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79" w:rsidRDefault="004C3B79" w:rsidP="004C3B79">
      <w:pPr>
        <w:pStyle w:val="Header"/>
        <w:jc w:val="center"/>
        <w:rPr>
          <w:rFonts w:ascii="Century Gothic" w:hAnsi="Century Gothic"/>
          <w:b/>
          <w:sz w:val="28"/>
          <w:szCs w:val="28"/>
        </w:rPr>
      </w:pPr>
    </w:p>
    <w:p w:rsidR="004C3B79" w:rsidRDefault="004C3B79" w:rsidP="004C3B79">
      <w:pPr>
        <w:pStyle w:val="Header"/>
        <w:jc w:val="center"/>
        <w:rPr>
          <w:rFonts w:ascii="Century Gothic" w:hAnsi="Century Gothic"/>
          <w:b/>
          <w:sz w:val="28"/>
          <w:szCs w:val="28"/>
        </w:rPr>
      </w:pPr>
    </w:p>
    <w:p w:rsidR="004C3B79" w:rsidRDefault="004C3B79" w:rsidP="004C3B79">
      <w:pPr>
        <w:pStyle w:val="Header"/>
        <w:jc w:val="center"/>
        <w:rPr>
          <w:rFonts w:ascii="Century Gothic" w:hAnsi="Century Gothic"/>
          <w:b/>
          <w:sz w:val="28"/>
          <w:szCs w:val="28"/>
        </w:rPr>
      </w:pPr>
    </w:p>
    <w:p w:rsidR="004C3B79" w:rsidRDefault="004C3B79" w:rsidP="004C3B79">
      <w:pPr>
        <w:pStyle w:val="Header"/>
        <w:jc w:val="center"/>
        <w:rPr>
          <w:rFonts w:ascii="Century Gothic" w:hAnsi="Century Gothic"/>
          <w:b/>
          <w:sz w:val="28"/>
          <w:szCs w:val="28"/>
        </w:rPr>
      </w:pPr>
    </w:p>
    <w:p w:rsidR="004C3B79" w:rsidRDefault="004C3B79" w:rsidP="004C3B79">
      <w:pPr>
        <w:pStyle w:val="Header"/>
        <w:jc w:val="center"/>
        <w:rPr>
          <w:rFonts w:ascii="Century Gothic" w:hAnsi="Century Gothic"/>
          <w:b/>
          <w:sz w:val="28"/>
          <w:szCs w:val="28"/>
        </w:rPr>
      </w:pPr>
    </w:p>
    <w:p w:rsidR="004C3B79" w:rsidRDefault="004C3B79" w:rsidP="004C3B79">
      <w:pPr>
        <w:pStyle w:val="Header"/>
        <w:jc w:val="center"/>
        <w:rPr>
          <w:rFonts w:ascii="Century Gothic" w:hAnsi="Century Gothic"/>
          <w:b/>
          <w:sz w:val="28"/>
          <w:szCs w:val="28"/>
        </w:rPr>
      </w:pPr>
    </w:p>
    <w:p w:rsidR="004C3B79" w:rsidRDefault="004C3B79" w:rsidP="004C3B79">
      <w:pPr>
        <w:pStyle w:val="Header"/>
        <w:jc w:val="center"/>
        <w:rPr>
          <w:rFonts w:ascii="Century Gothic" w:hAnsi="Century Gothic"/>
          <w:b/>
          <w:sz w:val="28"/>
          <w:szCs w:val="28"/>
        </w:rPr>
      </w:pPr>
    </w:p>
    <w:p w:rsidR="004C3B79" w:rsidRDefault="004C3B79" w:rsidP="004C3B79">
      <w:pPr>
        <w:pStyle w:val="Header"/>
        <w:jc w:val="center"/>
        <w:rPr>
          <w:rFonts w:ascii="Century Gothic" w:hAnsi="Century Gothic"/>
          <w:b/>
          <w:sz w:val="28"/>
          <w:szCs w:val="28"/>
        </w:rPr>
      </w:pPr>
    </w:p>
    <w:p w:rsidR="004C3B79" w:rsidRPr="007565D3" w:rsidRDefault="004C3B79" w:rsidP="004C3B79">
      <w:pPr>
        <w:pStyle w:val="Header"/>
        <w:jc w:val="center"/>
        <w:rPr>
          <w:rFonts w:ascii="Arial" w:hAnsi="Arial" w:cs="Arial"/>
          <w:b/>
          <w:sz w:val="48"/>
          <w:szCs w:val="48"/>
        </w:rPr>
      </w:pPr>
      <w:r w:rsidRPr="007565D3">
        <w:rPr>
          <w:rFonts w:ascii="Arial" w:hAnsi="Arial" w:cs="Arial"/>
          <w:b/>
          <w:sz w:val="48"/>
          <w:szCs w:val="48"/>
        </w:rPr>
        <w:t>GREATER MANCHESTER</w:t>
      </w:r>
    </w:p>
    <w:p w:rsidR="004C3B79" w:rsidRPr="007565D3" w:rsidRDefault="004C3B79" w:rsidP="004C3B79">
      <w:pPr>
        <w:pStyle w:val="Header"/>
        <w:jc w:val="center"/>
        <w:rPr>
          <w:rFonts w:ascii="Arial" w:hAnsi="Arial" w:cs="Arial"/>
          <w:b/>
          <w:sz w:val="48"/>
          <w:szCs w:val="48"/>
        </w:rPr>
      </w:pPr>
      <w:r w:rsidRPr="007565D3">
        <w:rPr>
          <w:rFonts w:ascii="Arial" w:hAnsi="Arial" w:cs="Arial"/>
          <w:b/>
          <w:sz w:val="48"/>
          <w:szCs w:val="48"/>
        </w:rPr>
        <w:t xml:space="preserve">POLICE FUND </w:t>
      </w:r>
    </w:p>
    <w:p w:rsidR="004C3B79" w:rsidRPr="007565D3" w:rsidRDefault="004C3B79" w:rsidP="004C3B79">
      <w:pPr>
        <w:pStyle w:val="Header"/>
        <w:jc w:val="center"/>
        <w:rPr>
          <w:rFonts w:ascii="Arial" w:hAnsi="Arial" w:cs="Arial"/>
          <w:b/>
          <w:sz w:val="48"/>
          <w:szCs w:val="48"/>
        </w:rPr>
      </w:pPr>
      <w:r w:rsidRPr="007565D3">
        <w:rPr>
          <w:rFonts w:ascii="Arial" w:hAnsi="Arial" w:cs="Arial"/>
          <w:b/>
          <w:sz w:val="48"/>
          <w:szCs w:val="48"/>
        </w:rPr>
        <w:t xml:space="preserve">REVENUE BUDGET AND </w:t>
      </w:r>
    </w:p>
    <w:p w:rsidR="004C3B79" w:rsidRPr="007565D3" w:rsidRDefault="004C3B79" w:rsidP="004C3B79">
      <w:pPr>
        <w:pStyle w:val="Header"/>
        <w:jc w:val="center"/>
        <w:rPr>
          <w:rFonts w:ascii="Arial" w:hAnsi="Arial" w:cs="Arial"/>
          <w:b/>
          <w:sz w:val="48"/>
          <w:szCs w:val="48"/>
        </w:rPr>
      </w:pPr>
      <w:r w:rsidRPr="007565D3">
        <w:rPr>
          <w:rFonts w:ascii="Arial" w:hAnsi="Arial" w:cs="Arial"/>
          <w:b/>
          <w:sz w:val="48"/>
          <w:szCs w:val="48"/>
        </w:rPr>
        <w:t xml:space="preserve">CAPITAL PROGRAMME </w:t>
      </w:r>
    </w:p>
    <w:p w:rsidR="004C3B79" w:rsidRPr="007565D3" w:rsidRDefault="004C3B79" w:rsidP="004C3B79">
      <w:pPr>
        <w:pStyle w:val="Header"/>
        <w:jc w:val="center"/>
        <w:rPr>
          <w:rFonts w:ascii="Arial" w:hAnsi="Arial" w:cs="Arial"/>
          <w:b/>
          <w:sz w:val="48"/>
          <w:szCs w:val="48"/>
        </w:rPr>
      </w:pPr>
      <w:r w:rsidRPr="007565D3">
        <w:rPr>
          <w:rFonts w:ascii="Arial" w:hAnsi="Arial" w:cs="Arial"/>
          <w:b/>
          <w:sz w:val="48"/>
          <w:szCs w:val="48"/>
        </w:rPr>
        <w:t>2018/19</w:t>
      </w:r>
    </w:p>
    <w:p w:rsidR="004C3B79" w:rsidRPr="00653837" w:rsidRDefault="004C3B79" w:rsidP="004C3B79">
      <w:pPr>
        <w:spacing w:after="160" w:line="259" w:lineRule="auto"/>
        <w:rPr>
          <w:rFonts w:ascii="Century Gothic" w:hAnsi="Century Gothic"/>
          <w:b/>
          <w:sz w:val="48"/>
          <w:szCs w:val="48"/>
        </w:rPr>
      </w:pPr>
      <w:r w:rsidRPr="00653837">
        <w:rPr>
          <w:rFonts w:ascii="Century Gothic" w:hAnsi="Century Gothic"/>
          <w:b/>
          <w:sz w:val="48"/>
          <w:szCs w:val="48"/>
        </w:rPr>
        <w:br w:type="page"/>
      </w:r>
    </w:p>
    <w:p w:rsidR="004C3B79" w:rsidRDefault="004C3B79" w:rsidP="004C3B79">
      <w:pPr>
        <w:pStyle w:val="Header"/>
        <w:jc w:val="center"/>
        <w:rPr>
          <w:rFonts w:ascii="Century Gothic" w:hAnsi="Century Gothic"/>
          <w:b/>
          <w:sz w:val="28"/>
          <w:szCs w:val="28"/>
        </w:rPr>
      </w:pPr>
    </w:p>
    <w:p w:rsidR="004C3B79" w:rsidRPr="007565D3" w:rsidRDefault="004C3B79" w:rsidP="004C3B79">
      <w:pPr>
        <w:pStyle w:val="Header"/>
        <w:jc w:val="center"/>
        <w:rPr>
          <w:rFonts w:ascii="Arial" w:hAnsi="Arial" w:cs="Arial"/>
          <w:b/>
          <w:sz w:val="22"/>
          <w:szCs w:val="22"/>
        </w:rPr>
      </w:pPr>
      <w:r w:rsidRPr="007565D3">
        <w:rPr>
          <w:rFonts w:ascii="Arial" w:hAnsi="Arial" w:cs="Arial"/>
          <w:b/>
          <w:sz w:val="22"/>
          <w:szCs w:val="22"/>
        </w:rPr>
        <w:t>2018-2019 REVENUE BUDGET AND CAPITAL PROGRAMME</w:t>
      </w:r>
    </w:p>
    <w:p w:rsidR="004C3B79" w:rsidRPr="007565D3" w:rsidRDefault="004C3B79" w:rsidP="004C3B79">
      <w:pPr>
        <w:tabs>
          <w:tab w:val="center" w:pos="1701"/>
          <w:tab w:val="center" w:pos="4678"/>
          <w:tab w:val="center" w:pos="7938"/>
        </w:tabs>
        <w:rPr>
          <w:rFonts w:ascii="Arial" w:hAnsi="Arial" w:cs="Arial"/>
          <w:b/>
          <w:sz w:val="22"/>
          <w:szCs w:val="22"/>
        </w:rPr>
      </w:pPr>
    </w:p>
    <w:p w:rsidR="004C3B79" w:rsidRPr="007565D3" w:rsidRDefault="004C3B79" w:rsidP="004C3B79">
      <w:pPr>
        <w:jc w:val="center"/>
        <w:rPr>
          <w:rFonts w:ascii="Arial" w:hAnsi="Arial" w:cs="Arial"/>
          <w:b/>
          <w:sz w:val="22"/>
          <w:szCs w:val="22"/>
          <w:u w:val="single"/>
        </w:rPr>
      </w:pPr>
      <w:r w:rsidRPr="007565D3">
        <w:rPr>
          <w:rFonts w:ascii="Arial" w:hAnsi="Arial" w:cs="Arial"/>
          <w:b/>
          <w:sz w:val="22"/>
          <w:szCs w:val="22"/>
          <w:u w:val="single"/>
        </w:rPr>
        <w:t>CONTENTS</w:t>
      </w:r>
    </w:p>
    <w:p w:rsidR="004C3B79" w:rsidRPr="007565D3" w:rsidRDefault="004C3B79" w:rsidP="004C3B79">
      <w:pPr>
        <w:tabs>
          <w:tab w:val="center" w:pos="1701"/>
          <w:tab w:val="center" w:pos="4678"/>
          <w:tab w:val="center" w:pos="7938"/>
        </w:tabs>
        <w:rPr>
          <w:rFonts w:ascii="Arial" w:hAnsi="Arial" w:cs="Arial"/>
          <w:sz w:val="22"/>
          <w:szCs w:val="22"/>
        </w:rPr>
      </w:pPr>
    </w:p>
    <w:p w:rsidR="004C3B79" w:rsidRPr="007565D3" w:rsidRDefault="004C3B79" w:rsidP="004C3B79">
      <w:pPr>
        <w:tabs>
          <w:tab w:val="center" w:pos="1701"/>
          <w:tab w:val="center" w:pos="4678"/>
          <w:tab w:val="center" w:pos="7938"/>
        </w:tabs>
        <w:rPr>
          <w:rFonts w:ascii="Arial" w:hAnsi="Arial" w:cs="Arial"/>
          <w:sz w:val="22"/>
          <w:szCs w:val="22"/>
        </w:rPr>
      </w:pPr>
    </w:p>
    <w:p w:rsidR="004C3B79" w:rsidRPr="007565D3" w:rsidRDefault="004C3B79" w:rsidP="004C3B79">
      <w:pPr>
        <w:tabs>
          <w:tab w:val="center" w:pos="1701"/>
          <w:tab w:val="center" w:pos="4678"/>
          <w:tab w:val="center" w:pos="7938"/>
        </w:tabs>
        <w:rPr>
          <w:rFonts w:ascii="Arial" w:hAnsi="Arial" w:cs="Arial"/>
          <w:sz w:val="22"/>
          <w:szCs w:val="22"/>
        </w:rPr>
      </w:pPr>
    </w:p>
    <w:p w:rsidR="004C3B79" w:rsidRPr="007565D3" w:rsidRDefault="004C3B79" w:rsidP="004C3B79">
      <w:pPr>
        <w:tabs>
          <w:tab w:val="center" w:pos="1701"/>
          <w:tab w:val="center" w:pos="4678"/>
          <w:tab w:val="center" w:pos="7938"/>
        </w:tabs>
        <w:rPr>
          <w:rFonts w:ascii="Arial" w:hAnsi="Arial" w:cs="Arial"/>
          <w:sz w:val="22"/>
          <w:szCs w:val="22"/>
        </w:rPr>
      </w:pPr>
    </w:p>
    <w:tbl>
      <w:tblPr>
        <w:tblStyle w:val="TableGrid"/>
        <w:tblW w:w="0" w:type="auto"/>
        <w:jc w:val="center"/>
        <w:tblLook w:val="04A0" w:firstRow="1" w:lastRow="0" w:firstColumn="1" w:lastColumn="0" w:noHBand="0" w:noVBand="1"/>
      </w:tblPr>
      <w:tblGrid>
        <w:gridCol w:w="1838"/>
        <w:gridCol w:w="6095"/>
        <w:gridCol w:w="1417"/>
      </w:tblGrid>
      <w:tr w:rsidR="004C3B79" w:rsidRPr="007565D3" w:rsidTr="00721530">
        <w:trPr>
          <w:jc w:val="center"/>
        </w:trPr>
        <w:tc>
          <w:tcPr>
            <w:tcW w:w="1838" w:type="dxa"/>
          </w:tcPr>
          <w:p w:rsidR="004C3B79" w:rsidRPr="007565D3" w:rsidRDefault="004C3B79" w:rsidP="00721530">
            <w:pPr>
              <w:tabs>
                <w:tab w:val="center" w:pos="1701"/>
                <w:tab w:val="center" w:pos="4678"/>
                <w:tab w:val="center" w:pos="7938"/>
              </w:tabs>
              <w:jc w:val="center"/>
              <w:rPr>
                <w:rFonts w:ascii="Arial" w:hAnsi="Arial" w:cs="Arial"/>
                <w:b/>
                <w:sz w:val="22"/>
                <w:szCs w:val="22"/>
              </w:rPr>
            </w:pPr>
            <w:r w:rsidRPr="007565D3">
              <w:rPr>
                <w:rFonts w:ascii="Arial" w:hAnsi="Arial" w:cs="Arial"/>
                <w:b/>
                <w:sz w:val="22"/>
                <w:szCs w:val="22"/>
              </w:rPr>
              <w:t>Section</w:t>
            </w:r>
          </w:p>
        </w:tc>
        <w:tc>
          <w:tcPr>
            <w:tcW w:w="6095" w:type="dxa"/>
          </w:tcPr>
          <w:p w:rsidR="004C3B79" w:rsidRPr="007565D3" w:rsidRDefault="004C3B79" w:rsidP="00721530">
            <w:pPr>
              <w:tabs>
                <w:tab w:val="center" w:pos="1701"/>
                <w:tab w:val="center" w:pos="4678"/>
                <w:tab w:val="center" w:pos="7938"/>
              </w:tabs>
              <w:rPr>
                <w:rFonts w:ascii="Arial" w:hAnsi="Arial" w:cs="Arial"/>
                <w:b/>
                <w:sz w:val="22"/>
                <w:szCs w:val="22"/>
              </w:rPr>
            </w:pPr>
            <w:r w:rsidRPr="007565D3">
              <w:rPr>
                <w:rFonts w:ascii="Arial" w:hAnsi="Arial" w:cs="Arial"/>
                <w:b/>
                <w:sz w:val="22"/>
                <w:szCs w:val="22"/>
              </w:rPr>
              <w:t>Heading</w:t>
            </w:r>
          </w:p>
        </w:tc>
        <w:tc>
          <w:tcPr>
            <w:tcW w:w="1417" w:type="dxa"/>
          </w:tcPr>
          <w:p w:rsidR="004C3B79" w:rsidRPr="007565D3" w:rsidRDefault="004C3B79" w:rsidP="00721530">
            <w:pPr>
              <w:tabs>
                <w:tab w:val="center" w:pos="1701"/>
                <w:tab w:val="center" w:pos="4678"/>
                <w:tab w:val="center" w:pos="7938"/>
              </w:tabs>
              <w:jc w:val="center"/>
              <w:rPr>
                <w:rFonts w:ascii="Arial" w:hAnsi="Arial" w:cs="Arial"/>
                <w:b/>
                <w:sz w:val="22"/>
                <w:szCs w:val="22"/>
              </w:rPr>
            </w:pPr>
            <w:r w:rsidRPr="007565D3">
              <w:rPr>
                <w:rFonts w:ascii="Arial" w:hAnsi="Arial" w:cs="Arial"/>
                <w:b/>
                <w:sz w:val="22"/>
                <w:szCs w:val="22"/>
              </w:rPr>
              <w:t>Page</w:t>
            </w:r>
          </w:p>
        </w:tc>
      </w:tr>
      <w:tr w:rsidR="004C3B79" w:rsidRPr="007565D3" w:rsidTr="00721530">
        <w:trPr>
          <w:trHeight w:val="574"/>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r w:rsidRPr="007565D3">
              <w:rPr>
                <w:rFonts w:ascii="Arial" w:hAnsi="Arial" w:cs="Arial"/>
                <w:sz w:val="22"/>
                <w:szCs w:val="22"/>
              </w:rPr>
              <w:t>Foreword</w:t>
            </w: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1</w:t>
            </w:r>
          </w:p>
        </w:tc>
      </w:tr>
      <w:tr w:rsidR="004C3B79" w:rsidRPr="007565D3" w:rsidTr="00721530">
        <w:trPr>
          <w:trHeight w:val="574"/>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r w:rsidRPr="007565D3">
              <w:rPr>
                <w:rFonts w:ascii="Arial" w:hAnsi="Arial" w:cs="Arial"/>
                <w:sz w:val="22"/>
                <w:szCs w:val="22"/>
              </w:rPr>
              <w:t>Background Documents</w:t>
            </w: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3</w:t>
            </w:r>
          </w:p>
        </w:tc>
      </w:tr>
      <w:tr w:rsidR="004C3B79" w:rsidRPr="007565D3" w:rsidTr="00721530">
        <w:trPr>
          <w:trHeight w:val="548"/>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1</w:t>
            </w: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r w:rsidRPr="007565D3">
              <w:rPr>
                <w:rFonts w:ascii="Arial" w:hAnsi="Arial" w:cs="Arial"/>
                <w:sz w:val="22"/>
                <w:szCs w:val="22"/>
              </w:rPr>
              <w:t>Introduction</w:t>
            </w: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4</w:t>
            </w:r>
          </w:p>
        </w:tc>
      </w:tr>
      <w:tr w:rsidR="004C3B79" w:rsidRPr="007565D3" w:rsidTr="00721530">
        <w:trPr>
          <w:trHeight w:val="852"/>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2</w:t>
            </w: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r w:rsidRPr="007565D3">
              <w:rPr>
                <w:rFonts w:ascii="Arial" w:hAnsi="Arial" w:cs="Arial"/>
                <w:sz w:val="22"/>
                <w:szCs w:val="22"/>
              </w:rPr>
              <w:t>National Police revenue and capital settlements 2018/19</w:t>
            </w:r>
          </w:p>
          <w:p w:rsidR="004C3B79" w:rsidRPr="007565D3" w:rsidRDefault="004C3B79" w:rsidP="00721530">
            <w:pPr>
              <w:ind w:firstLine="720"/>
              <w:rPr>
                <w:rFonts w:ascii="Arial" w:hAnsi="Arial" w:cs="Arial"/>
                <w:sz w:val="22"/>
                <w:szCs w:val="22"/>
              </w:rPr>
            </w:pP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4</w:t>
            </w:r>
          </w:p>
        </w:tc>
      </w:tr>
      <w:tr w:rsidR="004C3B79" w:rsidRPr="007565D3" w:rsidTr="00721530">
        <w:trPr>
          <w:trHeight w:val="852"/>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3</w:t>
            </w: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r w:rsidRPr="007565D3">
              <w:rPr>
                <w:rFonts w:ascii="Arial" w:hAnsi="Arial" w:cs="Arial"/>
                <w:sz w:val="22"/>
                <w:szCs w:val="22"/>
              </w:rPr>
              <w:t>Local context within which the 2018-2019 Budget was set</w:t>
            </w: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6</w:t>
            </w:r>
          </w:p>
        </w:tc>
      </w:tr>
      <w:tr w:rsidR="004C3B79" w:rsidRPr="007565D3" w:rsidTr="00721530">
        <w:trPr>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4</w:t>
            </w: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r w:rsidRPr="007565D3">
              <w:rPr>
                <w:rFonts w:ascii="Arial" w:hAnsi="Arial" w:cs="Arial"/>
                <w:sz w:val="22"/>
                <w:szCs w:val="22"/>
              </w:rPr>
              <w:t>Revenue Budget 2018/19</w:t>
            </w:r>
          </w:p>
          <w:p w:rsidR="004C3B79" w:rsidRPr="007565D3" w:rsidRDefault="004C3B79" w:rsidP="00721530">
            <w:pPr>
              <w:tabs>
                <w:tab w:val="center" w:pos="1701"/>
                <w:tab w:val="center" w:pos="4678"/>
                <w:tab w:val="center" w:pos="7938"/>
              </w:tabs>
              <w:rPr>
                <w:rFonts w:ascii="Arial" w:hAnsi="Arial" w:cs="Arial"/>
                <w:sz w:val="22"/>
                <w:szCs w:val="22"/>
              </w:rPr>
            </w:pP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8</w:t>
            </w:r>
          </w:p>
        </w:tc>
      </w:tr>
      <w:tr w:rsidR="004C3B79" w:rsidRPr="007565D3" w:rsidTr="00721530">
        <w:trPr>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5</w:t>
            </w:r>
          </w:p>
        </w:tc>
        <w:tc>
          <w:tcPr>
            <w:tcW w:w="6095" w:type="dxa"/>
            <w:vAlign w:val="center"/>
          </w:tcPr>
          <w:p w:rsidR="004C3B79" w:rsidRPr="007565D3" w:rsidRDefault="004C3B79" w:rsidP="00721530">
            <w:pPr>
              <w:tabs>
                <w:tab w:val="center" w:pos="2939"/>
              </w:tabs>
              <w:rPr>
                <w:rFonts w:ascii="Arial" w:hAnsi="Arial" w:cs="Arial"/>
                <w:sz w:val="22"/>
                <w:szCs w:val="22"/>
              </w:rPr>
            </w:pPr>
            <w:r w:rsidRPr="007565D3">
              <w:rPr>
                <w:rFonts w:ascii="Arial" w:hAnsi="Arial" w:cs="Arial"/>
                <w:sz w:val="22"/>
                <w:szCs w:val="22"/>
              </w:rPr>
              <w:t>The Precept</w:t>
            </w:r>
            <w:r w:rsidRPr="007565D3">
              <w:rPr>
                <w:rFonts w:ascii="Arial" w:hAnsi="Arial" w:cs="Arial"/>
                <w:sz w:val="22"/>
                <w:szCs w:val="22"/>
              </w:rPr>
              <w:tab/>
            </w:r>
          </w:p>
          <w:p w:rsidR="004C3B79" w:rsidRPr="007565D3" w:rsidRDefault="004C3B79" w:rsidP="00721530">
            <w:pPr>
              <w:tabs>
                <w:tab w:val="center" w:pos="2939"/>
              </w:tabs>
              <w:rPr>
                <w:rFonts w:ascii="Arial" w:hAnsi="Arial" w:cs="Arial"/>
                <w:sz w:val="22"/>
                <w:szCs w:val="22"/>
              </w:rPr>
            </w:pP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10</w:t>
            </w:r>
          </w:p>
        </w:tc>
      </w:tr>
      <w:tr w:rsidR="004C3B79" w:rsidRPr="007565D3" w:rsidTr="00721530">
        <w:trPr>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6</w:t>
            </w: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r w:rsidRPr="007565D3">
              <w:rPr>
                <w:rFonts w:ascii="Arial" w:hAnsi="Arial" w:cs="Arial"/>
                <w:sz w:val="22"/>
                <w:szCs w:val="22"/>
              </w:rPr>
              <w:t>Capital Programme 2018/19 - 2020/2021</w:t>
            </w:r>
          </w:p>
          <w:p w:rsidR="004C3B79" w:rsidRPr="007565D3" w:rsidRDefault="004C3B79" w:rsidP="00721530">
            <w:pPr>
              <w:tabs>
                <w:tab w:val="center" w:pos="1701"/>
                <w:tab w:val="center" w:pos="4678"/>
                <w:tab w:val="center" w:pos="7938"/>
              </w:tabs>
              <w:rPr>
                <w:rFonts w:ascii="Arial" w:hAnsi="Arial" w:cs="Arial"/>
                <w:sz w:val="22"/>
                <w:szCs w:val="22"/>
              </w:rPr>
            </w:pP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11</w:t>
            </w:r>
          </w:p>
        </w:tc>
      </w:tr>
      <w:tr w:rsidR="004C3B79" w:rsidRPr="007565D3" w:rsidTr="00721530">
        <w:trPr>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7</w:t>
            </w: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r w:rsidRPr="007565D3">
              <w:rPr>
                <w:rFonts w:ascii="Arial" w:hAnsi="Arial" w:cs="Arial"/>
                <w:sz w:val="22"/>
                <w:szCs w:val="22"/>
              </w:rPr>
              <w:t>Standing Together – Police and Crime Plan (extract)</w:t>
            </w:r>
          </w:p>
          <w:p w:rsidR="004C3B79" w:rsidRPr="007565D3" w:rsidRDefault="004C3B79" w:rsidP="00721530">
            <w:pPr>
              <w:tabs>
                <w:tab w:val="center" w:pos="1701"/>
                <w:tab w:val="center" w:pos="4678"/>
                <w:tab w:val="center" w:pos="7938"/>
              </w:tabs>
              <w:rPr>
                <w:rFonts w:ascii="Arial" w:hAnsi="Arial" w:cs="Arial"/>
                <w:sz w:val="22"/>
                <w:szCs w:val="22"/>
              </w:rPr>
            </w:pP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12</w:t>
            </w:r>
          </w:p>
        </w:tc>
      </w:tr>
      <w:tr w:rsidR="004C3B79" w:rsidRPr="007565D3" w:rsidTr="00721530">
        <w:trPr>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8</w:t>
            </w: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r w:rsidRPr="007565D3">
              <w:rPr>
                <w:rFonts w:ascii="Arial" w:hAnsi="Arial" w:cs="Arial"/>
                <w:sz w:val="22"/>
                <w:szCs w:val="22"/>
              </w:rPr>
              <w:t>Risk Assessments</w:t>
            </w:r>
          </w:p>
          <w:p w:rsidR="004C3B79" w:rsidRPr="007565D3" w:rsidRDefault="004C3B79" w:rsidP="00721530">
            <w:pPr>
              <w:tabs>
                <w:tab w:val="center" w:pos="1701"/>
                <w:tab w:val="center" w:pos="4678"/>
                <w:tab w:val="center" w:pos="7938"/>
              </w:tabs>
              <w:rPr>
                <w:rFonts w:ascii="Arial" w:hAnsi="Arial" w:cs="Arial"/>
                <w:sz w:val="22"/>
                <w:szCs w:val="22"/>
              </w:rPr>
            </w:pP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16</w:t>
            </w:r>
          </w:p>
        </w:tc>
      </w:tr>
      <w:tr w:rsidR="004C3B79" w:rsidRPr="007565D3" w:rsidTr="00721530">
        <w:trPr>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9</w:t>
            </w: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r w:rsidRPr="007565D3">
              <w:rPr>
                <w:rFonts w:ascii="Arial" w:hAnsi="Arial" w:cs="Arial"/>
                <w:sz w:val="22"/>
                <w:szCs w:val="22"/>
              </w:rPr>
              <w:t>Reserves</w:t>
            </w:r>
          </w:p>
          <w:p w:rsidR="004C3B79" w:rsidRPr="007565D3" w:rsidRDefault="004C3B79" w:rsidP="00721530">
            <w:pPr>
              <w:tabs>
                <w:tab w:val="center" w:pos="1701"/>
                <w:tab w:val="center" w:pos="4678"/>
                <w:tab w:val="center" w:pos="7938"/>
              </w:tabs>
              <w:rPr>
                <w:rFonts w:ascii="Arial" w:hAnsi="Arial" w:cs="Arial"/>
                <w:sz w:val="22"/>
                <w:szCs w:val="22"/>
              </w:rPr>
            </w:pP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17</w:t>
            </w:r>
          </w:p>
        </w:tc>
      </w:tr>
      <w:tr w:rsidR="004C3B79" w:rsidRPr="007565D3" w:rsidTr="00721530">
        <w:trPr>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p>
        </w:tc>
      </w:tr>
      <w:tr w:rsidR="004C3B79" w:rsidRPr="007565D3" w:rsidTr="00721530">
        <w:trPr>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Appendix 1</w:t>
            </w: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r w:rsidRPr="007565D3">
              <w:rPr>
                <w:rFonts w:ascii="Arial" w:hAnsi="Arial" w:cs="Arial"/>
                <w:sz w:val="22"/>
                <w:szCs w:val="22"/>
              </w:rPr>
              <w:t>National Police Settlement Data 2018/19</w:t>
            </w:r>
          </w:p>
          <w:p w:rsidR="004C3B79" w:rsidRPr="007565D3" w:rsidRDefault="004C3B79" w:rsidP="00721530">
            <w:pPr>
              <w:tabs>
                <w:tab w:val="center" w:pos="1701"/>
                <w:tab w:val="center" w:pos="4678"/>
                <w:tab w:val="center" w:pos="7938"/>
              </w:tabs>
              <w:rPr>
                <w:rFonts w:ascii="Arial" w:hAnsi="Arial" w:cs="Arial"/>
                <w:sz w:val="22"/>
                <w:szCs w:val="22"/>
              </w:rPr>
            </w:pP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21</w:t>
            </w:r>
          </w:p>
        </w:tc>
      </w:tr>
      <w:tr w:rsidR="004C3B79" w:rsidRPr="007565D3" w:rsidTr="00721530">
        <w:trPr>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Appendix 2</w:t>
            </w: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r w:rsidRPr="007565D3">
              <w:rPr>
                <w:rFonts w:ascii="Arial" w:hAnsi="Arial" w:cs="Arial"/>
                <w:sz w:val="22"/>
                <w:szCs w:val="22"/>
              </w:rPr>
              <w:t>Strategic Financial Outlook 2018/19 – 2021/22</w:t>
            </w:r>
          </w:p>
          <w:p w:rsidR="004C3B79" w:rsidRPr="007565D3" w:rsidRDefault="004C3B79" w:rsidP="00721530">
            <w:pPr>
              <w:tabs>
                <w:tab w:val="center" w:pos="1701"/>
                <w:tab w:val="center" w:pos="4678"/>
                <w:tab w:val="center" w:pos="7938"/>
              </w:tabs>
              <w:rPr>
                <w:rFonts w:ascii="Arial" w:hAnsi="Arial" w:cs="Arial"/>
                <w:sz w:val="22"/>
                <w:szCs w:val="22"/>
              </w:rPr>
            </w:pP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22</w:t>
            </w:r>
          </w:p>
        </w:tc>
      </w:tr>
      <w:tr w:rsidR="004C3B79" w:rsidRPr="007565D3" w:rsidTr="00721530">
        <w:trPr>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Appendix 3</w:t>
            </w: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r w:rsidRPr="007565D3">
              <w:rPr>
                <w:rFonts w:ascii="Arial" w:hAnsi="Arial" w:cs="Arial"/>
                <w:sz w:val="22"/>
                <w:szCs w:val="22"/>
              </w:rPr>
              <w:t>Formula Funding and Specific Grants</w:t>
            </w:r>
          </w:p>
          <w:p w:rsidR="004C3B79" w:rsidRPr="007565D3" w:rsidRDefault="004C3B79" w:rsidP="00721530">
            <w:pPr>
              <w:tabs>
                <w:tab w:val="center" w:pos="1701"/>
                <w:tab w:val="center" w:pos="4678"/>
                <w:tab w:val="center" w:pos="7938"/>
              </w:tabs>
              <w:rPr>
                <w:rFonts w:ascii="Arial" w:hAnsi="Arial" w:cs="Arial"/>
                <w:sz w:val="22"/>
                <w:szCs w:val="22"/>
              </w:rPr>
            </w:pP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24</w:t>
            </w:r>
          </w:p>
        </w:tc>
      </w:tr>
      <w:tr w:rsidR="004C3B79" w:rsidRPr="007565D3" w:rsidTr="00721530">
        <w:trPr>
          <w:jc w:val="center"/>
        </w:trPr>
        <w:tc>
          <w:tcPr>
            <w:tcW w:w="1838"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Appendix 4</w:t>
            </w:r>
          </w:p>
        </w:tc>
        <w:tc>
          <w:tcPr>
            <w:tcW w:w="6095" w:type="dxa"/>
            <w:vAlign w:val="center"/>
          </w:tcPr>
          <w:p w:rsidR="004C3B79" w:rsidRPr="007565D3" w:rsidRDefault="004C3B79" w:rsidP="00721530">
            <w:pPr>
              <w:tabs>
                <w:tab w:val="center" w:pos="1701"/>
                <w:tab w:val="center" w:pos="4678"/>
                <w:tab w:val="center" w:pos="7938"/>
              </w:tabs>
              <w:rPr>
                <w:rFonts w:ascii="Arial" w:hAnsi="Arial" w:cs="Arial"/>
                <w:sz w:val="22"/>
                <w:szCs w:val="22"/>
              </w:rPr>
            </w:pPr>
            <w:r w:rsidRPr="007565D3">
              <w:rPr>
                <w:rFonts w:ascii="Arial" w:hAnsi="Arial" w:cs="Arial"/>
                <w:sz w:val="22"/>
                <w:szCs w:val="22"/>
              </w:rPr>
              <w:t>2018/19 revenue budget compared to 2017/18</w:t>
            </w:r>
          </w:p>
          <w:p w:rsidR="004C3B79" w:rsidRPr="007565D3" w:rsidRDefault="004C3B79" w:rsidP="00721530">
            <w:pPr>
              <w:tabs>
                <w:tab w:val="center" w:pos="1701"/>
                <w:tab w:val="center" w:pos="4678"/>
                <w:tab w:val="center" w:pos="7938"/>
              </w:tabs>
              <w:rPr>
                <w:rFonts w:ascii="Arial" w:hAnsi="Arial" w:cs="Arial"/>
                <w:sz w:val="22"/>
                <w:szCs w:val="22"/>
              </w:rPr>
            </w:pPr>
          </w:p>
        </w:tc>
        <w:tc>
          <w:tcPr>
            <w:tcW w:w="1417" w:type="dxa"/>
            <w:vAlign w:val="center"/>
          </w:tcPr>
          <w:p w:rsidR="004C3B79" w:rsidRPr="007565D3" w:rsidRDefault="004C3B79" w:rsidP="00721530">
            <w:pPr>
              <w:tabs>
                <w:tab w:val="center" w:pos="1701"/>
                <w:tab w:val="center" w:pos="4678"/>
                <w:tab w:val="center" w:pos="7938"/>
              </w:tabs>
              <w:jc w:val="center"/>
              <w:rPr>
                <w:rFonts w:ascii="Arial" w:hAnsi="Arial" w:cs="Arial"/>
                <w:sz w:val="22"/>
                <w:szCs w:val="22"/>
              </w:rPr>
            </w:pPr>
            <w:r w:rsidRPr="007565D3">
              <w:rPr>
                <w:rFonts w:ascii="Arial" w:hAnsi="Arial" w:cs="Arial"/>
                <w:sz w:val="22"/>
                <w:szCs w:val="22"/>
              </w:rPr>
              <w:t>25</w:t>
            </w:r>
          </w:p>
        </w:tc>
      </w:tr>
    </w:tbl>
    <w:p w:rsidR="004C3B79" w:rsidRDefault="004C3B79" w:rsidP="004C3B79">
      <w:pPr>
        <w:tabs>
          <w:tab w:val="center" w:pos="1701"/>
          <w:tab w:val="center" w:pos="4678"/>
          <w:tab w:val="center" w:pos="7938"/>
        </w:tabs>
        <w:rPr>
          <w:rFonts w:ascii="Century Gothic" w:hAnsi="Century Gothic" w:cs="Arial"/>
          <w:sz w:val="22"/>
        </w:rPr>
      </w:pPr>
    </w:p>
    <w:p w:rsidR="004C3B79" w:rsidRDefault="004C3B79" w:rsidP="004C3B79">
      <w:pPr>
        <w:tabs>
          <w:tab w:val="center" w:pos="1701"/>
          <w:tab w:val="center" w:pos="4678"/>
          <w:tab w:val="center" w:pos="7938"/>
        </w:tabs>
        <w:rPr>
          <w:rFonts w:ascii="Century Gothic" w:hAnsi="Century Gothic" w:cs="Arial"/>
          <w:sz w:val="22"/>
        </w:rPr>
      </w:pPr>
    </w:p>
    <w:p w:rsidR="009526B5" w:rsidRDefault="009526B5" w:rsidP="004C3B79">
      <w:pPr>
        <w:jc w:val="center"/>
        <w:rPr>
          <w:rFonts w:ascii="Century Gothic" w:hAnsi="Century Gothic" w:cs="Arial"/>
          <w:sz w:val="22"/>
        </w:rPr>
        <w:sectPr w:rsidR="009526B5" w:rsidSect="00721530">
          <w:footerReference w:type="default" r:id="rId8"/>
          <w:pgSz w:w="12240" w:h="15840"/>
          <w:pgMar w:top="1440" w:right="1440" w:bottom="1440" w:left="1440" w:header="708" w:footer="708" w:gutter="0"/>
          <w:pgNumType w:start="1"/>
          <w:cols w:space="708"/>
          <w:titlePg/>
          <w:docGrid w:linePitch="360"/>
        </w:sectPr>
      </w:pPr>
    </w:p>
    <w:p w:rsidR="004C3B79" w:rsidRPr="002A59B4" w:rsidRDefault="004C3B79" w:rsidP="004C3B79">
      <w:pPr>
        <w:jc w:val="center"/>
        <w:rPr>
          <w:rFonts w:ascii="Century Gothic" w:hAnsi="Century Gothic" w:cs="Arial"/>
          <w:sz w:val="22"/>
        </w:rPr>
      </w:pPr>
      <w:r>
        <w:rPr>
          <w:rFonts w:ascii="Century Gothic" w:hAnsi="Century Gothic" w:cs="Arial"/>
          <w:sz w:val="22"/>
        </w:rPr>
        <w:br w:type="page"/>
      </w:r>
    </w:p>
    <w:p w:rsidR="004C3B79" w:rsidRDefault="004C3B79" w:rsidP="004C3B79">
      <w:pPr>
        <w:jc w:val="center"/>
        <w:rPr>
          <w:rFonts w:ascii="Century Gothic" w:hAnsi="Century Gothic" w:cs="Arial"/>
          <w:b/>
          <w:sz w:val="22"/>
          <w:szCs w:val="22"/>
          <w:u w:val="single"/>
        </w:rPr>
        <w:sectPr w:rsidR="004C3B79" w:rsidSect="009526B5">
          <w:type w:val="continuous"/>
          <w:pgSz w:w="12240" w:h="15840"/>
          <w:pgMar w:top="1440" w:right="1440" w:bottom="1440" w:left="1440" w:header="708" w:footer="708" w:gutter="0"/>
          <w:pgNumType w:start="1"/>
          <w:cols w:space="708"/>
          <w:titlePg/>
          <w:docGrid w:linePitch="360"/>
        </w:sectPr>
      </w:pPr>
      <w:bookmarkStart w:id="0" w:name="Foreword"/>
    </w:p>
    <w:p w:rsidR="004C3B79" w:rsidRPr="007565D3" w:rsidRDefault="004C3B79" w:rsidP="004C3B79">
      <w:pPr>
        <w:jc w:val="center"/>
        <w:rPr>
          <w:rFonts w:ascii="Arial" w:hAnsi="Arial" w:cs="Arial"/>
          <w:sz w:val="22"/>
          <w:szCs w:val="22"/>
        </w:rPr>
      </w:pPr>
      <w:r w:rsidRPr="007565D3">
        <w:rPr>
          <w:rFonts w:ascii="Arial" w:hAnsi="Arial" w:cs="Arial"/>
          <w:b/>
          <w:sz w:val="22"/>
          <w:szCs w:val="22"/>
          <w:u w:val="single"/>
        </w:rPr>
        <w:t>FOREWORD</w:t>
      </w:r>
    </w:p>
    <w:bookmarkEnd w:id="0"/>
    <w:p w:rsidR="004C3B79" w:rsidRPr="007565D3" w:rsidRDefault="004C3B79" w:rsidP="004C3B79">
      <w:pPr>
        <w:pStyle w:val="Body"/>
        <w:rPr>
          <w:b w:val="0"/>
          <w:bCs/>
          <w:sz w:val="22"/>
          <w:szCs w:val="22"/>
        </w:rPr>
      </w:pPr>
    </w:p>
    <w:p w:rsidR="004C3B79" w:rsidRPr="007565D3" w:rsidRDefault="004C3B79" w:rsidP="004C3B79">
      <w:pPr>
        <w:autoSpaceDE w:val="0"/>
        <w:autoSpaceDN w:val="0"/>
        <w:adjustRightInd w:val="0"/>
        <w:rPr>
          <w:rFonts w:ascii="Arial" w:eastAsiaTheme="minorHAnsi" w:hAnsi="Arial" w:cs="Arial"/>
          <w:b/>
          <w:color w:val="000000"/>
          <w:sz w:val="22"/>
          <w:szCs w:val="22"/>
          <w:lang w:val="en-US"/>
        </w:rPr>
      </w:pPr>
    </w:p>
    <w:p w:rsidR="004C3B79" w:rsidRPr="007565D3" w:rsidRDefault="004C3B79" w:rsidP="004C3B79">
      <w:pPr>
        <w:autoSpaceDE w:val="0"/>
        <w:autoSpaceDN w:val="0"/>
        <w:adjustRightInd w:val="0"/>
        <w:rPr>
          <w:rFonts w:ascii="Arial" w:eastAsiaTheme="minorHAnsi" w:hAnsi="Arial" w:cs="Arial"/>
          <w:color w:val="000000"/>
          <w:sz w:val="22"/>
          <w:szCs w:val="22"/>
          <w:lang w:val="en-US"/>
        </w:rPr>
      </w:pPr>
      <w:r w:rsidRPr="007565D3">
        <w:rPr>
          <w:rFonts w:ascii="Arial" w:eastAsiaTheme="minorHAnsi" w:hAnsi="Arial" w:cs="Arial"/>
          <w:color w:val="000000"/>
          <w:sz w:val="22"/>
          <w:szCs w:val="22"/>
          <w:lang w:val="en-US"/>
        </w:rPr>
        <w:t xml:space="preserve">There is a statutory duty to determine the policing precept and set a balanced budget by 1 March each year. This paper sets out the resources available to deliver the ambitions set out in our recently published plan, Standing Together </w:t>
      </w:r>
      <w:hyperlink r:id="rId9" w:history="1">
        <w:r w:rsidRPr="007565D3">
          <w:rPr>
            <w:rStyle w:val="Hyperlink"/>
            <w:rFonts w:ascii="Arial" w:eastAsiaTheme="minorHAnsi" w:hAnsi="Arial" w:cs="Arial"/>
            <w:sz w:val="22"/>
            <w:szCs w:val="22"/>
            <w:lang w:val="en-US"/>
          </w:rPr>
          <w:t>https://www.greatermanchester-ca.gov.uk/info/20006/safer_and_stronger_communities/82/police_and_crime_plan</w:t>
        </w:r>
      </w:hyperlink>
    </w:p>
    <w:p w:rsidR="004C3B79" w:rsidRPr="007565D3" w:rsidRDefault="004C3B79" w:rsidP="004C3B79">
      <w:pPr>
        <w:autoSpaceDE w:val="0"/>
        <w:autoSpaceDN w:val="0"/>
        <w:adjustRightInd w:val="0"/>
        <w:rPr>
          <w:rFonts w:ascii="Arial" w:eastAsiaTheme="minorHAnsi" w:hAnsi="Arial" w:cs="Arial"/>
          <w:color w:val="000000"/>
          <w:sz w:val="22"/>
          <w:szCs w:val="22"/>
          <w:lang w:val="en-US"/>
        </w:rPr>
      </w:pPr>
    </w:p>
    <w:p w:rsidR="004C3B79" w:rsidRPr="007565D3" w:rsidRDefault="004C3B79" w:rsidP="004C3B79">
      <w:pPr>
        <w:spacing w:after="160" w:line="259" w:lineRule="auto"/>
        <w:rPr>
          <w:rFonts w:ascii="Arial" w:eastAsiaTheme="minorHAnsi" w:hAnsi="Arial" w:cs="Arial"/>
          <w:sz w:val="22"/>
          <w:szCs w:val="22"/>
        </w:rPr>
      </w:pPr>
      <w:r w:rsidRPr="007565D3">
        <w:rPr>
          <w:rFonts w:ascii="Arial" w:eastAsiaTheme="minorHAnsi" w:hAnsi="Arial" w:cs="Arial"/>
          <w:sz w:val="22"/>
          <w:szCs w:val="22"/>
        </w:rPr>
        <w:t>Investments included in the budget;</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 xml:space="preserve"> Recruitment of a minimum of 100 additional police officers over the next 2 years with at least 50 additional police officers recruited in 18/19. </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Investment in extra resources that can respond to the challenges of year</w:t>
      </w:r>
      <w:r w:rsidRPr="007565D3">
        <w:rPr>
          <w:rFonts w:ascii="Cambria Math" w:eastAsiaTheme="minorHAnsi" w:hAnsi="Cambria Math" w:cs="Cambria Math"/>
          <w:sz w:val="22"/>
          <w:szCs w:val="22"/>
        </w:rPr>
        <w:t>‐</w:t>
      </w:r>
      <w:r w:rsidRPr="007565D3">
        <w:rPr>
          <w:rFonts w:ascii="Arial" w:eastAsiaTheme="minorHAnsi" w:hAnsi="Arial" w:cs="Arial"/>
          <w:sz w:val="22"/>
          <w:szCs w:val="22"/>
        </w:rPr>
        <w:t>on</w:t>
      </w:r>
      <w:r w:rsidRPr="007565D3">
        <w:rPr>
          <w:rFonts w:ascii="Cambria Math" w:eastAsiaTheme="minorHAnsi" w:hAnsi="Cambria Math" w:cs="Cambria Math"/>
          <w:sz w:val="22"/>
          <w:szCs w:val="22"/>
        </w:rPr>
        <w:t>‐</w:t>
      </w:r>
      <w:r w:rsidRPr="007565D3">
        <w:rPr>
          <w:rFonts w:ascii="Arial" w:eastAsiaTheme="minorHAnsi" w:hAnsi="Arial" w:cs="Arial"/>
          <w:sz w:val="22"/>
          <w:szCs w:val="22"/>
        </w:rPr>
        <w:t xml:space="preserve">year increases in public protection incidents and the increasing complexity of investigations, such as child abuse and organised exploitation </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Maintenance of PCSO numbers</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Investment in the digital forensics unit to ensure that evidence is gathered quickly and cases progressed, improving the service for victims of crime</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 xml:space="preserve">Additional funding to support the policing of particularly serious incidents and crimes </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The transformation of GMP through the new Target Operating Model</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A Mayoral Investment Fund - increasing the pace of improvements to how the public contact the police including the 101 line and reducing levels of sickness absence</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The cost of the additional 1% pay award</w:t>
      </w:r>
    </w:p>
    <w:p w:rsidR="004C3B79" w:rsidRPr="007565D3" w:rsidRDefault="004C3B79" w:rsidP="004C3B79">
      <w:pPr>
        <w:autoSpaceDE w:val="0"/>
        <w:autoSpaceDN w:val="0"/>
        <w:adjustRightInd w:val="0"/>
        <w:rPr>
          <w:rFonts w:ascii="Arial" w:eastAsiaTheme="minorHAnsi" w:hAnsi="Arial" w:cs="Arial"/>
          <w:color w:val="000000"/>
          <w:sz w:val="22"/>
          <w:szCs w:val="22"/>
          <w:u w:val="single"/>
          <w:lang w:val="en-US"/>
        </w:rPr>
      </w:pPr>
    </w:p>
    <w:p w:rsidR="004C3B79" w:rsidRPr="007565D3" w:rsidRDefault="004C3B79" w:rsidP="004C3B79">
      <w:pPr>
        <w:tabs>
          <w:tab w:val="left" w:pos="0"/>
          <w:tab w:val="left" w:pos="567"/>
        </w:tabs>
        <w:jc w:val="both"/>
        <w:rPr>
          <w:rFonts w:ascii="Arial" w:hAnsi="Arial" w:cs="Arial"/>
          <w:sz w:val="22"/>
          <w:szCs w:val="22"/>
        </w:rPr>
      </w:pPr>
      <w:r w:rsidRPr="007565D3">
        <w:rPr>
          <w:rFonts w:ascii="Arial" w:eastAsiaTheme="minorHAnsi" w:hAnsi="Arial" w:cs="Arial"/>
          <w:color w:val="000000"/>
          <w:sz w:val="22"/>
          <w:szCs w:val="22"/>
          <w:lang w:val="en-US"/>
        </w:rPr>
        <w:t xml:space="preserve">These additional resources will help keep communities across Greater Manchester safe. </w:t>
      </w:r>
      <w:r w:rsidRPr="007565D3">
        <w:rPr>
          <w:rFonts w:ascii="Arial" w:hAnsi="Arial" w:cs="Arial"/>
          <w:sz w:val="22"/>
          <w:szCs w:val="22"/>
        </w:rPr>
        <w:t>The latest Home Office statistics show that, in the 12 months to the end of September 2017, GMP recorded 323,617 crimes (excluding fraud).  This is an increase of 41% on the previous 12 months and is due to improvements in crime recording as well as changes in crime and steps to increase confidence in reporting crime.  GMP receives the second highest number of 999 calls, relative to population, of all police forces in England and Wales and deals with the highest number of priority incidents relative to population.   Safeguarding vulnerable people and communities remains essential whilst the complexity of crime that GMP deals with continues to increase.  In the last year GMP has dealt with 65,000 domestic abuse incidents, 22,000 incidents involving people with mental health conditions and 177 modern slavery crimes.  The force is improving its capabilities in protecting victims and tackling crimes such as fraud and digitally-enabled crime. </w:t>
      </w:r>
    </w:p>
    <w:p w:rsidR="004C3B79" w:rsidRPr="007565D3" w:rsidRDefault="004C3B79" w:rsidP="004C3B79">
      <w:pPr>
        <w:tabs>
          <w:tab w:val="left" w:pos="0"/>
          <w:tab w:val="left" w:pos="567"/>
        </w:tabs>
        <w:ind w:left="567"/>
        <w:jc w:val="both"/>
        <w:rPr>
          <w:rFonts w:ascii="Arial" w:hAnsi="Arial" w:cs="Arial"/>
          <w:sz w:val="22"/>
        </w:rPr>
      </w:pPr>
    </w:p>
    <w:p w:rsidR="004C3B79" w:rsidRPr="007565D3" w:rsidRDefault="004C3B79" w:rsidP="004C3B79">
      <w:pPr>
        <w:autoSpaceDE w:val="0"/>
        <w:autoSpaceDN w:val="0"/>
        <w:adjustRightInd w:val="0"/>
        <w:rPr>
          <w:rFonts w:ascii="Arial" w:eastAsiaTheme="minorHAnsi" w:hAnsi="Arial" w:cs="Arial"/>
          <w:color w:val="000000"/>
          <w:sz w:val="22"/>
          <w:szCs w:val="22"/>
          <w:u w:val="single"/>
          <w:lang w:val="en-US"/>
        </w:rPr>
      </w:pPr>
      <w:r w:rsidRPr="007565D3">
        <w:rPr>
          <w:rFonts w:ascii="Arial" w:eastAsiaTheme="minorHAnsi" w:hAnsi="Arial" w:cs="Arial"/>
          <w:color w:val="000000"/>
          <w:sz w:val="22"/>
          <w:szCs w:val="22"/>
          <w:u w:val="single"/>
          <w:lang w:val="en-US"/>
        </w:rPr>
        <w:t>Police Grant Settlement</w:t>
      </w:r>
    </w:p>
    <w:p w:rsidR="004C3B79" w:rsidRPr="007565D3" w:rsidRDefault="004C3B79" w:rsidP="004C3B79">
      <w:pPr>
        <w:autoSpaceDE w:val="0"/>
        <w:autoSpaceDN w:val="0"/>
        <w:adjustRightInd w:val="0"/>
        <w:rPr>
          <w:rFonts w:ascii="Arial" w:eastAsiaTheme="minorHAnsi" w:hAnsi="Arial" w:cs="Arial"/>
          <w:color w:val="000000"/>
          <w:sz w:val="22"/>
          <w:szCs w:val="22"/>
          <w:lang w:val="en-US"/>
        </w:rPr>
      </w:pPr>
    </w:p>
    <w:p w:rsidR="004C3B79" w:rsidRPr="007565D3" w:rsidRDefault="004C3B79" w:rsidP="004C3B79">
      <w:pPr>
        <w:jc w:val="both"/>
        <w:rPr>
          <w:rFonts w:ascii="Arial" w:hAnsi="Arial" w:cs="Arial"/>
          <w:sz w:val="22"/>
          <w:szCs w:val="22"/>
        </w:rPr>
      </w:pPr>
      <w:r w:rsidRPr="007565D3">
        <w:rPr>
          <w:rFonts w:ascii="Arial" w:hAnsi="Arial" w:cs="Arial"/>
          <w:sz w:val="22"/>
          <w:szCs w:val="22"/>
        </w:rPr>
        <w:t>The Government announced their settlement for policing on 31</w:t>
      </w:r>
      <w:r w:rsidRPr="007565D3">
        <w:rPr>
          <w:rFonts w:ascii="Arial" w:hAnsi="Arial" w:cs="Arial"/>
          <w:sz w:val="22"/>
          <w:szCs w:val="22"/>
          <w:vertAlign w:val="superscript"/>
        </w:rPr>
        <w:t>st</w:t>
      </w:r>
      <w:r w:rsidRPr="007565D3">
        <w:rPr>
          <w:rFonts w:ascii="Arial" w:hAnsi="Arial" w:cs="Arial"/>
          <w:sz w:val="22"/>
          <w:szCs w:val="22"/>
        </w:rPr>
        <w:t xml:space="preserve"> January 2018 including announcements that;  </w:t>
      </w:r>
    </w:p>
    <w:p w:rsidR="004C3B79" w:rsidRPr="007565D3" w:rsidRDefault="004C3B79" w:rsidP="004C3B79">
      <w:pPr>
        <w:ind w:left="720" w:hanging="720"/>
        <w:jc w:val="both"/>
        <w:rPr>
          <w:rFonts w:ascii="Arial" w:hAnsi="Arial" w:cs="Arial"/>
          <w:sz w:val="22"/>
          <w:szCs w:val="22"/>
        </w:rPr>
      </w:pPr>
    </w:p>
    <w:p w:rsidR="004C3B79" w:rsidRPr="007565D3" w:rsidRDefault="004C3B79" w:rsidP="004C3B79">
      <w:pPr>
        <w:numPr>
          <w:ilvl w:val="0"/>
          <w:numId w:val="28"/>
        </w:numPr>
        <w:spacing w:after="160" w:line="259" w:lineRule="auto"/>
        <w:contextualSpacing/>
        <w:jc w:val="both"/>
        <w:rPr>
          <w:rFonts w:ascii="Arial" w:hAnsi="Arial" w:cs="Arial"/>
          <w:sz w:val="22"/>
          <w:szCs w:val="22"/>
        </w:rPr>
      </w:pPr>
      <w:r w:rsidRPr="007565D3">
        <w:rPr>
          <w:rFonts w:ascii="Arial" w:hAnsi="Arial" w:cs="Arial"/>
          <w:sz w:val="22"/>
          <w:szCs w:val="22"/>
        </w:rPr>
        <w:t>The police grant for 2018/19 would remain the same as the  grant received in the 2017/18 financial year, there would be no additional funding to support increasing costs and demands on police services</w:t>
      </w:r>
    </w:p>
    <w:p w:rsidR="004C3B79" w:rsidRPr="007565D3" w:rsidRDefault="004C3B79" w:rsidP="004C3B79">
      <w:pPr>
        <w:ind w:left="720" w:hanging="720"/>
        <w:jc w:val="both"/>
        <w:rPr>
          <w:rFonts w:ascii="Arial" w:hAnsi="Arial" w:cs="Arial"/>
          <w:sz w:val="22"/>
          <w:szCs w:val="22"/>
        </w:rPr>
      </w:pPr>
    </w:p>
    <w:p w:rsidR="004C3B79" w:rsidRPr="007565D3" w:rsidRDefault="004C3B79" w:rsidP="004C3B79">
      <w:pPr>
        <w:numPr>
          <w:ilvl w:val="0"/>
          <w:numId w:val="28"/>
        </w:numPr>
        <w:spacing w:after="160" w:line="259" w:lineRule="auto"/>
        <w:contextualSpacing/>
        <w:jc w:val="both"/>
        <w:rPr>
          <w:rFonts w:ascii="Arial" w:hAnsi="Arial" w:cs="Arial"/>
          <w:sz w:val="22"/>
          <w:szCs w:val="22"/>
        </w:rPr>
      </w:pPr>
      <w:r w:rsidRPr="007565D3">
        <w:rPr>
          <w:rFonts w:ascii="Arial" w:hAnsi="Arial" w:cs="Arial"/>
          <w:sz w:val="22"/>
          <w:szCs w:val="22"/>
        </w:rPr>
        <w:t xml:space="preserve">Mayors and Police and Crime Commissioners would be allowed to increase the police precept by £12 </w:t>
      </w:r>
    </w:p>
    <w:p w:rsidR="004C3B79" w:rsidRPr="007565D3" w:rsidRDefault="004C3B79" w:rsidP="004C3B79">
      <w:pPr>
        <w:autoSpaceDE w:val="0"/>
        <w:autoSpaceDN w:val="0"/>
        <w:adjustRightInd w:val="0"/>
        <w:rPr>
          <w:rFonts w:ascii="Arial" w:eastAsiaTheme="minorHAnsi" w:hAnsi="Arial" w:cs="Arial"/>
          <w:color w:val="000000"/>
          <w:sz w:val="22"/>
          <w:szCs w:val="22"/>
          <w:lang w:val="en-US"/>
        </w:rPr>
      </w:pPr>
    </w:p>
    <w:p w:rsidR="004C3B79" w:rsidRPr="007565D3" w:rsidRDefault="004C3B79" w:rsidP="004C3B79">
      <w:pPr>
        <w:spacing w:after="160" w:line="259" w:lineRule="auto"/>
        <w:rPr>
          <w:rFonts w:ascii="Arial" w:eastAsiaTheme="minorHAnsi" w:hAnsi="Arial" w:cs="Arial"/>
          <w:sz w:val="22"/>
          <w:szCs w:val="22"/>
        </w:rPr>
      </w:pPr>
      <w:r w:rsidRPr="007565D3">
        <w:rPr>
          <w:rFonts w:ascii="Arial" w:eastAsiaTheme="minorHAnsi" w:hAnsi="Arial" w:cs="Arial"/>
          <w:sz w:val="22"/>
          <w:szCs w:val="22"/>
        </w:rPr>
        <w:t xml:space="preserve">Although it is clear that the Government have accepted the need to invest more resources into policing services they have failed to provide this additional funding. The only option that allows the maximisation of resources, mitigates Government cuts and keeps Greater Manchester as safe as possible was to ask residents to pay an extra £12 a year (Council Tax band D average). This was not decision taken lightly, and does not underestimate the financial pressures people across Greater Manchester face. We will continue to lobby the Government to provide a funding settlement that recognises increasing costs and demands on policing services rather than expecting local tax payers to pick up the whole bill. </w:t>
      </w:r>
    </w:p>
    <w:p w:rsidR="004C3B79" w:rsidRPr="007565D3" w:rsidRDefault="004C3B79" w:rsidP="004C3B79">
      <w:pPr>
        <w:autoSpaceDE w:val="0"/>
        <w:autoSpaceDN w:val="0"/>
        <w:adjustRightInd w:val="0"/>
        <w:rPr>
          <w:rFonts w:ascii="Arial" w:eastAsiaTheme="minorHAnsi" w:hAnsi="Arial" w:cs="Arial"/>
          <w:color w:val="000000"/>
          <w:sz w:val="22"/>
          <w:szCs w:val="22"/>
          <w:lang w:val="en-US"/>
        </w:rPr>
      </w:pPr>
    </w:p>
    <w:p w:rsidR="004C3B79" w:rsidRPr="007565D3" w:rsidRDefault="004C3B79" w:rsidP="004C3B79">
      <w:pPr>
        <w:autoSpaceDE w:val="0"/>
        <w:autoSpaceDN w:val="0"/>
        <w:adjustRightInd w:val="0"/>
        <w:rPr>
          <w:rFonts w:ascii="Arial" w:eastAsiaTheme="minorHAnsi" w:hAnsi="Arial" w:cs="Arial"/>
          <w:color w:val="000000"/>
          <w:sz w:val="22"/>
          <w:szCs w:val="22"/>
          <w:lang w:val="en-US"/>
        </w:rPr>
      </w:pPr>
    </w:p>
    <w:p w:rsidR="004C3B79" w:rsidRPr="007565D3" w:rsidRDefault="004C3B79" w:rsidP="004C3B79">
      <w:pPr>
        <w:autoSpaceDE w:val="0"/>
        <w:autoSpaceDN w:val="0"/>
        <w:adjustRightInd w:val="0"/>
        <w:rPr>
          <w:rFonts w:ascii="Arial" w:eastAsiaTheme="minorHAnsi" w:hAnsi="Arial" w:cs="Arial"/>
          <w:color w:val="000000"/>
          <w:sz w:val="22"/>
          <w:szCs w:val="22"/>
          <w:lang w:val="en-US"/>
        </w:rPr>
      </w:pPr>
    </w:p>
    <w:p w:rsidR="004C3B79" w:rsidRPr="007565D3" w:rsidRDefault="004C3B79" w:rsidP="004C3B79">
      <w:pPr>
        <w:autoSpaceDE w:val="0"/>
        <w:autoSpaceDN w:val="0"/>
        <w:adjustRightInd w:val="0"/>
        <w:rPr>
          <w:rFonts w:ascii="Arial" w:eastAsiaTheme="minorHAnsi" w:hAnsi="Arial" w:cs="Arial"/>
          <w:color w:val="000000"/>
          <w:sz w:val="22"/>
          <w:szCs w:val="22"/>
          <w:lang w:val="en-US"/>
        </w:rPr>
      </w:pPr>
    </w:p>
    <w:p w:rsidR="004C3B79" w:rsidRPr="007565D3" w:rsidRDefault="004C3B79" w:rsidP="004C3B79">
      <w:pPr>
        <w:spacing w:after="160" w:line="259" w:lineRule="auto"/>
        <w:rPr>
          <w:rFonts w:ascii="Arial" w:eastAsia="ヒラギノ角ゴ Pro W3" w:hAnsi="Arial" w:cs="Arial"/>
          <w:color w:val="000000"/>
          <w:sz w:val="22"/>
          <w:szCs w:val="22"/>
          <w:lang w:eastAsia="en-GB"/>
        </w:rPr>
      </w:pPr>
      <w:r w:rsidRPr="007565D3">
        <w:rPr>
          <w:rFonts w:ascii="Arial" w:hAnsi="Arial" w:cs="Arial"/>
          <w:b/>
          <w:sz w:val="22"/>
          <w:szCs w:val="22"/>
        </w:rPr>
        <w:br w:type="page"/>
      </w:r>
    </w:p>
    <w:p w:rsidR="004C3B79" w:rsidRPr="00AF557F" w:rsidRDefault="004C3B79" w:rsidP="004C3B79">
      <w:pPr>
        <w:pStyle w:val="Body"/>
        <w:rPr>
          <w:rFonts w:ascii="Century Gothic" w:hAnsi="Century Gothic"/>
          <w:b w:val="0"/>
          <w:sz w:val="22"/>
          <w:szCs w:val="22"/>
        </w:rPr>
      </w:pPr>
    </w:p>
    <w:p w:rsidR="004C3B79" w:rsidRPr="007565D3" w:rsidRDefault="004C3B79" w:rsidP="004C3B79">
      <w:pPr>
        <w:pStyle w:val="Body"/>
        <w:rPr>
          <w:b w:val="0"/>
          <w:sz w:val="22"/>
          <w:szCs w:val="22"/>
        </w:rPr>
      </w:pPr>
    </w:p>
    <w:p w:rsidR="004C3B79" w:rsidRPr="007565D3" w:rsidRDefault="004C3B79" w:rsidP="004C3B79">
      <w:pPr>
        <w:tabs>
          <w:tab w:val="left" w:pos="567"/>
          <w:tab w:val="left" w:pos="1134"/>
          <w:tab w:val="left" w:pos="2977"/>
          <w:tab w:val="left" w:pos="3261"/>
        </w:tabs>
        <w:ind w:left="3261" w:hanging="3261"/>
        <w:jc w:val="both"/>
        <w:rPr>
          <w:rFonts w:ascii="Arial" w:hAnsi="Arial" w:cs="Arial"/>
          <w:sz w:val="22"/>
        </w:rPr>
      </w:pPr>
      <w:r w:rsidRPr="007565D3">
        <w:rPr>
          <w:rFonts w:ascii="Arial" w:hAnsi="Arial" w:cs="Arial"/>
          <w:b/>
          <w:sz w:val="22"/>
          <w:u w:val="single"/>
        </w:rPr>
        <w:t>BACKGROUND DOCUMENTS</w:t>
      </w:r>
    </w:p>
    <w:p w:rsidR="004C3B79" w:rsidRPr="007565D3" w:rsidRDefault="004C3B79" w:rsidP="004C3B79">
      <w:pPr>
        <w:tabs>
          <w:tab w:val="left" w:pos="567"/>
          <w:tab w:val="left" w:pos="1134"/>
          <w:tab w:val="left" w:pos="2977"/>
          <w:tab w:val="left" w:pos="3261"/>
        </w:tabs>
        <w:ind w:left="567" w:hanging="567"/>
        <w:jc w:val="both"/>
        <w:rPr>
          <w:rFonts w:ascii="Arial" w:hAnsi="Arial" w:cs="Arial"/>
          <w:sz w:val="22"/>
        </w:rPr>
      </w:pPr>
    </w:p>
    <w:p w:rsidR="004C3B79" w:rsidRPr="007565D3" w:rsidRDefault="004C3B79" w:rsidP="004C3B79">
      <w:pPr>
        <w:tabs>
          <w:tab w:val="left" w:pos="567"/>
          <w:tab w:val="left" w:pos="1134"/>
          <w:tab w:val="left" w:pos="2977"/>
          <w:tab w:val="left" w:pos="3261"/>
        </w:tabs>
        <w:ind w:left="567" w:hanging="567"/>
        <w:jc w:val="both"/>
        <w:rPr>
          <w:rFonts w:ascii="Arial" w:hAnsi="Arial" w:cs="Arial"/>
          <w:sz w:val="22"/>
          <w:szCs w:val="22"/>
        </w:rPr>
      </w:pPr>
      <w:r w:rsidRPr="007565D3">
        <w:rPr>
          <w:rFonts w:ascii="Arial" w:hAnsi="Arial" w:cs="Arial"/>
          <w:sz w:val="22"/>
        </w:rPr>
        <w:tab/>
      </w:r>
      <w:r w:rsidRPr="007565D3">
        <w:rPr>
          <w:rFonts w:ascii="Arial" w:hAnsi="Arial" w:cs="Arial"/>
          <w:sz w:val="22"/>
          <w:szCs w:val="22"/>
        </w:rPr>
        <w:t>Background documents to this report are: -</w:t>
      </w:r>
    </w:p>
    <w:p w:rsidR="004C3B79" w:rsidRPr="007565D3" w:rsidRDefault="004C3B79" w:rsidP="004C3B79">
      <w:pPr>
        <w:tabs>
          <w:tab w:val="left" w:pos="567"/>
          <w:tab w:val="left" w:pos="1134"/>
          <w:tab w:val="left" w:pos="2977"/>
          <w:tab w:val="left" w:pos="3261"/>
        </w:tabs>
        <w:ind w:left="567" w:hanging="567"/>
        <w:jc w:val="both"/>
        <w:rPr>
          <w:rFonts w:ascii="Arial" w:hAnsi="Arial" w:cs="Arial"/>
          <w:sz w:val="22"/>
          <w:szCs w:val="22"/>
        </w:rPr>
      </w:pPr>
    </w:p>
    <w:p w:rsidR="004C3B79" w:rsidRPr="007565D3" w:rsidRDefault="004C3B79" w:rsidP="004C3B79">
      <w:pPr>
        <w:tabs>
          <w:tab w:val="left" w:pos="567"/>
          <w:tab w:val="left" w:pos="1134"/>
          <w:tab w:val="left" w:pos="2977"/>
          <w:tab w:val="left" w:pos="3261"/>
        </w:tabs>
        <w:ind w:left="567" w:hanging="567"/>
        <w:jc w:val="both"/>
        <w:rPr>
          <w:rFonts w:ascii="Arial" w:hAnsi="Arial" w:cs="Arial"/>
          <w:sz w:val="22"/>
          <w:szCs w:val="22"/>
        </w:rPr>
      </w:pPr>
    </w:p>
    <w:p w:rsidR="004C3B79" w:rsidRPr="007565D3" w:rsidRDefault="004C3B79" w:rsidP="004C3B79">
      <w:pPr>
        <w:numPr>
          <w:ilvl w:val="0"/>
          <w:numId w:val="2"/>
        </w:numPr>
        <w:tabs>
          <w:tab w:val="left" w:pos="567"/>
          <w:tab w:val="left" w:pos="1134"/>
          <w:tab w:val="left" w:pos="2977"/>
          <w:tab w:val="left" w:pos="3261"/>
        </w:tabs>
        <w:jc w:val="both"/>
        <w:rPr>
          <w:rFonts w:ascii="Arial" w:hAnsi="Arial" w:cs="Arial"/>
          <w:sz w:val="22"/>
          <w:szCs w:val="22"/>
        </w:rPr>
      </w:pPr>
      <w:r w:rsidRPr="007565D3">
        <w:rPr>
          <w:rFonts w:ascii="Arial" w:hAnsi="Arial" w:cs="Arial"/>
          <w:sz w:val="22"/>
          <w:szCs w:val="22"/>
        </w:rPr>
        <w:t>Government Settlement letters, reports and precept referendum letters.</w:t>
      </w:r>
    </w:p>
    <w:p w:rsidR="004C3B79" w:rsidRPr="007565D3" w:rsidRDefault="004C3B79" w:rsidP="004C3B79">
      <w:pPr>
        <w:tabs>
          <w:tab w:val="left" w:pos="567"/>
          <w:tab w:val="left" w:pos="1134"/>
          <w:tab w:val="left" w:pos="2977"/>
          <w:tab w:val="left" w:pos="3261"/>
        </w:tabs>
        <w:ind w:left="570"/>
        <w:jc w:val="both"/>
        <w:rPr>
          <w:rFonts w:ascii="Arial" w:hAnsi="Arial" w:cs="Arial"/>
          <w:sz w:val="22"/>
          <w:szCs w:val="22"/>
        </w:rPr>
      </w:pPr>
    </w:p>
    <w:p w:rsidR="004C3B79" w:rsidRPr="007565D3" w:rsidRDefault="004C3B79" w:rsidP="004C3B79">
      <w:pPr>
        <w:tabs>
          <w:tab w:val="left" w:pos="567"/>
          <w:tab w:val="left" w:pos="1134"/>
          <w:tab w:val="left" w:pos="2977"/>
          <w:tab w:val="left" w:pos="3261"/>
        </w:tabs>
        <w:ind w:left="1134" w:hanging="981"/>
        <w:jc w:val="both"/>
        <w:rPr>
          <w:rFonts w:ascii="Arial" w:hAnsi="Arial" w:cs="Arial"/>
          <w:sz w:val="22"/>
          <w:szCs w:val="22"/>
        </w:rPr>
      </w:pPr>
      <w:r w:rsidRPr="007565D3">
        <w:rPr>
          <w:rFonts w:ascii="Arial" w:hAnsi="Arial" w:cs="Arial"/>
          <w:sz w:val="22"/>
          <w:szCs w:val="22"/>
        </w:rPr>
        <w:tab/>
        <w:t>(ii)</w:t>
      </w:r>
      <w:r w:rsidRPr="007565D3">
        <w:rPr>
          <w:rFonts w:ascii="Arial" w:hAnsi="Arial" w:cs="Arial"/>
          <w:sz w:val="22"/>
          <w:szCs w:val="22"/>
        </w:rPr>
        <w:tab/>
        <w:t>Reports to the Police and Crime Panel.</w:t>
      </w:r>
    </w:p>
    <w:p w:rsidR="004C3B79" w:rsidRPr="007565D3" w:rsidRDefault="004C3B79" w:rsidP="004C3B79">
      <w:pPr>
        <w:tabs>
          <w:tab w:val="left" w:pos="567"/>
          <w:tab w:val="left" w:pos="1134"/>
          <w:tab w:val="left" w:pos="2977"/>
          <w:tab w:val="left" w:pos="3261"/>
        </w:tabs>
        <w:ind w:left="567" w:hanging="567"/>
        <w:jc w:val="both"/>
        <w:rPr>
          <w:rFonts w:ascii="Arial" w:hAnsi="Arial" w:cs="Arial"/>
          <w:sz w:val="22"/>
          <w:szCs w:val="22"/>
        </w:rPr>
      </w:pPr>
    </w:p>
    <w:p w:rsidR="004C3B79" w:rsidRPr="007565D3" w:rsidRDefault="004C3B79" w:rsidP="004C3B79">
      <w:pPr>
        <w:tabs>
          <w:tab w:val="left" w:pos="567"/>
          <w:tab w:val="left" w:pos="1134"/>
          <w:tab w:val="left" w:pos="2977"/>
          <w:tab w:val="left" w:pos="3261"/>
        </w:tabs>
        <w:ind w:left="1134" w:hanging="1134"/>
        <w:jc w:val="both"/>
        <w:rPr>
          <w:rFonts w:ascii="Arial" w:hAnsi="Arial" w:cs="Arial"/>
          <w:sz w:val="22"/>
          <w:szCs w:val="22"/>
        </w:rPr>
      </w:pPr>
      <w:r w:rsidRPr="007565D3">
        <w:rPr>
          <w:rFonts w:ascii="Arial" w:hAnsi="Arial" w:cs="Arial"/>
          <w:sz w:val="22"/>
          <w:szCs w:val="22"/>
        </w:rPr>
        <w:tab/>
        <w:t>(iii)</w:t>
      </w:r>
      <w:r w:rsidRPr="007565D3">
        <w:rPr>
          <w:rFonts w:ascii="Arial" w:hAnsi="Arial" w:cs="Arial"/>
          <w:sz w:val="22"/>
          <w:szCs w:val="22"/>
        </w:rPr>
        <w:tab/>
        <w:t>Guidance note on Local Authority Reserves and Balances - Chartered Institute of Public Finance and Accountancy (CIPFA).</w:t>
      </w:r>
    </w:p>
    <w:p w:rsidR="004C3B79" w:rsidRPr="007565D3" w:rsidRDefault="004C3B79" w:rsidP="004C3B79">
      <w:pPr>
        <w:tabs>
          <w:tab w:val="left" w:pos="567"/>
          <w:tab w:val="left" w:pos="1134"/>
          <w:tab w:val="left" w:pos="2977"/>
          <w:tab w:val="left" w:pos="3261"/>
        </w:tabs>
        <w:ind w:left="1134" w:hanging="1134"/>
        <w:jc w:val="both"/>
        <w:rPr>
          <w:rFonts w:ascii="Arial" w:hAnsi="Arial" w:cs="Arial"/>
          <w:sz w:val="22"/>
          <w:szCs w:val="22"/>
        </w:rPr>
      </w:pPr>
      <w:r w:rsidRPr="007565D3">
        <w:rPr>
          <w:rFonts w:ascii="Arial" w:hAnsi="Arial" w:cs="Arial"/>
          <w:sz w:val="22"/>
          <w:szCs w:val="22"/>
        </w:rPr>
        <w:t xml:space="preserve"> </w:t>
      </w:r>
    </w:p>
    <w:p w:rsidR="004C3B79" w:rsidRPr="007565D3" w:rsidRDefault="004C3B79" w:rsidP="004C3B79">
      <w:pPr>
        <w:tabs>
          <w:tab w:val="left" w:pos="567"/>
          <w:tab w:val="left" w:pos="1134"/>
          <w:tab w:val="left" w:pos="2977"/>
          <w:tab w:val="left" w:pos="3261"/>
        </w:tabs>
        <w:ind w:left="1134" w:hanging="1134"/>
        <w:jc w:val="both"/>
        <w:rPr>
          <w:rFonts w:ascii="Arial" w:hAnsi="Arial" w:cs="Arial"/>
          <w:sz w:val="22"/>
          <w:szCs w:val="22"/>
        </w:rPr>
      </w:pPr>
      <w:r w:rsidRPr="007565D3">
        <w:rPr>
          <w:rFonts w:ascii="Arial" w:hAnsi="Arial" w:cs="Arial"/>
          <w:sz w:val="22"/>
          <w:szCs w:val="22"/>
        </w:rPr>
        <w:tab/>
        <w:t>(iv)</w:t>
      </w:r>
      <w:r w:rsidRPr="007565D3">
        <w:rPr>
          <w:rFonts w:ascii="Arial" w:hAnsi="Arial" w:cs="Arial"/>
          <w:sz w:val="22"/>
          <w:szCs w:val="22"/>
        </w:rPr>
        <w:tab/>
        <w:t>Local Government Finance Act 1992.</w:t>
      </w:r>
    </w:p>
    <w:p w:rsidR="004C3B79" w:rsidRPr="007565D3" w:rsidRDefault="004C3B79" w:rsidP="004C3B79">
      <w:pPr>
        <w:tabs>
          <w:tab w:val="left" w:pos="567"/>
          <w:tab w:val="left" w:pos="1134"/>
          <w:tab w:val="left" w:pos="2977"/>
          <w:tab w:val="left" w:pos="3261"/>
        </w:tabs>
        <w:ind w:left="1134" w:hanging="1134"/>
        <w:jc w:val="both"/>
        <w:rPr>
          <w:rFonts w:ascii="Arial" w:hAnsi="Arial" w:cs="Arial"/>
          <w:sz w:val="22"/>
          <w:szCs w:val="22"/>
        </w:rPr>
      </w:pPr>
    </w:p>
    <w:p w:rsidR="004C3B79" w:rsidRPr="007565D3" w:rsidRDefault="004C3B79" w:rsidP="004C3B79">
      <w:pPr>
        <w:tabs>
          <w:tab w:val="left" w:pos="567"/>
          <w:tab w:val="left" w:pos="1134"/>
          <w:tab w:val="left" w:pos="2977"/>
          <w:tab w:val="left" w:pos="3261"/>
        </w:tabs>
        <w:ind w:left="570"/>
        <w:jc w:val="both"/>
        <w:rPr>
          <w:rFonts w:ascii="Arial" w:hAnsi="Arial" w:cs="Arial"/>
          <w:sz w:val="22"/>
          <w:szCs w:val="22"/>
        </w:rPr>
      </w:pPr>
      <w:r w:rsidRPr="007565D3">
        <w:rPr>
          <w:rFonts w:ascii="Arial" w:hAnsi="Arial" w:cs="Arial"/>
          <w:sz w:val="22"/>
          <w:szCs w:val="22"/>
        </w:rPr>
        <w:t>(v)</w:t>
      </w:r>
      <w:r w:rsidRPr="007565D3">
        <w:rPr>
          <w:rFonts w:ascii="Arial" w:hAnsi="Arial" w:cs="Arial"/>
          <w:sz w:val="22"/>
          <w:szCs w:val="22"/>
        </w:rPr>
        <w:tab/>
        <w:t>Local Government Act 2003.</w:t>
      </w:r>
    </w:p>
    <w:p w:rsidR="004C3B79" w:rsidRPr="007565D3" w:rsidRDefault="004C3B79" w:rsidP="004C3B79">
      <w:pPr>
        <w:tabs>
          <w:tab w:val="left" w:pos="567"/>
          <w:tab w:val="left" w:pos="1134"/>
          <w:tab w:val="left" w:pos="2977"/>
          <w:tab w:val="left" w:pos="3261"/>
        </w:tabs>
        <w:ind w:left="570"/>
        <w:jc w:val="both"/>
        <w:rPr>
          <w:rFonts w:ascii="Arial" w:hAnsi="Arial" w:cs="Arial"/>
          <w:sz w:val="22"/>
          <w:szCs w:val="22"/>
        </w:rPr>
      </w:pPr>
    </w:p>
    <w:p w:rsidR="004C3B79" w:rsidRPr="007565D3" w:rsidRDefault="004C3B79" w:rsidP="004C3B79">
      <w:pPr>
        <w:tabs>
          <w:tab w:val="left" w:pos="567"/>
          <w:tab w:val="left" w:pos="1134"/>
          <w:tab w:val="left" w:pos="2977"/>
          <w:tab w:val="left" w:pos="3261"/>
        </w:tabs>
        <w:ind w:left="570"/>
        <w:jc w:val="both"/>
        <w:rPr>
          <w:rFonts w:ascii="Arial" w:hAnsi="Arial" w:cs="Arial"/>
          <w:sz w:val="22"/>
          <w:szCs w:val="22"/>
        </w:rPr>
      </w:pPr>
      <w:r w:rsidRPr="007565D3">
        <w:rPr>
          <w:rFonts w:ascii="Arial" w:hAnsi="Arial" w:cs="Arial"/>
          <w:sz w:val="22"/>
          <w:szCs w:val="22"/>
        </w:rPr>
        <w:t>(vi)</w:t>
      </w:r>
      <w:r w:rsidRPr="007565D3">
        <w:rPr>
          <w:rFonts w:ascii="Arial" w:hAnsi="Arial" w:cs="Arial"/>
          <w:sz w:val="22"/>
          <w:szCs w:val="22"/>
        </w:rPr>
        <w:tab/>
        <w:t>Localism Act 2011.</w:t>
      </w:r>
    </w:p>
    <w:p w:rsidR="004C3B79" w:rsidRPr="007565D3" w:rsidRDefault="004C3B79" w:rsidP="004C3B79">
      <w:pPr>
        <w:tabs>
          <w:tab w:val="left" w:pos="567"/>
          <w:tab w:val="left" w:pos="1134"/>
          <w:tab w:val="left" w:pos="2977"/>
          <w:tab w:val="left" w:pos="3261"/>
        </w:tabs>
        <w:jc w:val="both"/>
        <w:rPr>
          <w:rFonts w:ascii="Arial" w:hAnsi="Arial" w:cs="Arial"/>
          <w:sz w:val="22"/>
          <w:szCs w:val="22"/>
        </w:rPr>
      </w:pPr>
    </w:p>
    <w:p w:rsidR="004C3B79" w:rsidRPr="007565D3" w:rsidRDefault="004C3B79" w:rsidP="004C3B79">
      <w:pPr>
        <w:tabs>
          <w:tab w:val="left" w:pos="567"/>
          <w:tab w:val="left" w:pos="1134"/>
          <w:tab w:val="left" w:pos="2977"/>
          <w:tab w:val="left" w:pos="3261"/>
        </w:tabs>
        <w:ind w:left="570"/>
        <w:jc w:val="both"/>
        <w:rPr>
          <w:rFonts w:ascii="Arial" w:hAnsi="Arial" w:cs="Arial"/>
          <w:sz w:val="22"/>
          <w:szCs w:val="22"/>
        </w:rPr>
      </w:pPr>
      <w:r w:rsidRPr="007565D3">
        <w:rPr>
          <w:rFonts w:ascii="Arial" w:hAnsi="Arial" w:cs="Arial"/>
          <w:sz w:val="22"/>
          <w:szCs w:val="22"/>
        </w:rPr>
        <w:t xml:space="preserve">(vii) </w:t>
      </w:r>
      <w:r w:rsidRPr="007565D3">
        <w:rPr>
          <w:rFonts w:ascii="Arial" w:hAnsi="Arial" w:cs="Arial"/>
          <w:sz w:val="22"/>
          <w:szCs w:val="22"/>
        </w:rPr>
        <w:tab/>
        <w:t>Police Reform and Social Responsibility Act 2011</w:t>
      </w:r>
    </w:p>
    <w:p w:rsidR="004C3B79" w:rsidRPr="007565D3" w:rsidRDefault="004C3B79" w:rsidP="004C3B79">
      <w:pPr>
        <w:tabs>
          <w:tab w:val="left" w:pos="567"/>
          <w:tab w:val="left" w:pos="1134"/>
          <w:tab w:val="left" w:pos="2977"/>
          <w:tab w:val="left" w:pos="3261"/>
        </w:tabs>
        <w:ind w:left="570"/>
        <w:jc w:val="both"/>
        <w:rPr>
          <w:rFonts w:ascii="Arial" w:hAnsi="Arial" w:cs="Arial"/>
          <w:sz w:val="22"/>
          <w:szCs w:val="22"/>
        </w:rPr>
      </w:pPr>
    </w:p>
    <w:p w:rsidR="004C3B79" w:rsidRPr="007565D3" w:rsidRDefault="004C3B79" w:rsidP="004C3B79">
      <w:pPr>
        <w:tabs>
          <w:tab w:val="left" w:pos="567"/>
          <w:tab w:val="left" w:pos="1134"/>
          <w:tab w:val="left" w:pos="2977"/>
          <w:tab w:val="left" w:pos="3261"/>
        </w:tabs>
        <w:ind w:left="1127" w:hanging="557"/>
        <w:jc w:val="both"/>
        <w:rPr>
          <w:rFonts w:ascii="Arial" w:hAnsi="Arial" w:cs="Arial"/>
          <w:sz w:val="22"/>
          <w:szCs w:val="22"/>
        </w:rPr>
      </w:pPr>
      <w:r w:rsidRPr="007565D3">
        <w:rPr>
          <w:rFonts w:ascii="Arial" w:hAnsi="Arial" w:cs="Arial"/>
          <w:sz w:val="22"/>
          <w:szCs w:val="22"/>
        </w:rPr>
        <w:t>(viii)</w:t>
      </w:r>
      <w:r w:rsidRPr="007565D3">
        <w:rPr>
          <w:rFonts w:ascii="Arial" w:hAnsi="Arial" w:cs="Arial"/>
          <w:sz w:val="22"/>
          <w:szCs w:val="22"/>
        </w:rPr>
        <w:tab/>
        <w:t>The Greater Manchester Combined Authority (Transfer of Police and Crime Commissioner Functions to the Mayor) Order 2017</w:t>
      </w:r>
    </w:p>
    <w:p w:rsidR="004C3B79" w:rsidRPr="007565D3" w:rsidRDefault="004C3B79" w:rsidP="004C3B79">
      <w:pPr>
        <w:tabs>
          <w:tab w:val="left" w:pos="567"/>
          <w:tab w:val="left" w:pos="1134"/>
          <w:tab w:val="left" w:pos="2977"/>
          <w:tab w:val="left" w:pos="3261"/>
        </w:tabs>
        <w:ind w:left="570"/>
        <w:jc w:val="both"/>
        <w:rPr>
          <w:rFonts w:ascii="Arial" w:hAnsi="Arial" w:cs="Arial"/>
          <w:sz w:val="22"/>
          <w:szCs w:val="22"/>
        </w:rPr>
      </w:pPr>
    </w:p>
    <w:p w:rsidR="004C3B79" w:rsidRPr="007565D3" w:rsidRDefault="004C3B79" w:rsidP="004C3B79">
      <w:pPr>
        <w:tabs>
          <w:tab w:val="left" w:pos="567"/>
          <w:tab w:val="left" w:pos="1134"/>
          <w:tab w:val="left" w:pos="2977"/>
          <w:tab w:val="left" w:pos="3261"/>
        </w:tabs>
        <w:ind w:left="570"/>
        <w:jc w:val="both"/>
        <w:rPr>
          <w:rFonts w:ascii="Arial" w:hAnsi="Arial" w:cs="Arial"/>
          <w:sz w:val="22"/>
        </w:rPr>
      </w:pPr>
    </w:p>
    <w:p w:rsidR="004C3B79" w:rsidRPr="002A59B4" w:rsidRDefault="004C3B79" w:rsidP="004C3B79">
      <w:pPr>
        <w:tabs>
          <w:tab w:val="left" w:pos="567"/>
          <w:tab w:val="left" w:pos="1134"/>
          <w:tab w:val="left" w:pos="2977"/>
          <w:tab w:val="left" w:pos="3261"/>
        </w:tabs>
        <w:ind w:left="1134" w:hanging="1134"/>
        <w:jc w:val="both"/>
        <w:rPr>
          <w:rFonts w:ascii="Century Gothic" w:hAnsi="Century Gothic" w:cs="Arial"/>
          <w:sz w:val="22"/>
        </w:rPr>
      </w:pPr>
      <w:r w:rsidRPr="007565D3">
        <w:rPr>
          <w:rFonts w:ascii="Arial" w:hAnsi="Arial" w:cs="Arial"/>
          <w:sz w:val="22"/>
        </w:rPr>
        <w:br w:type="page"/>
      </w:r>
    </w:p>
    <w:p w:rsidR="004C3B79" w:rsidRPr="007565D3" w:rsidRDefault="004C3B79" w:rsidP="004C3B79">
      <w:pPr>
        <w:tabs>
          <w:tab w:val="left" w:pos="567"/>
          <w:tab w:val="left" w:pos="1134"/>
          <w:tab w:val="left" w:pos="1560"/>
          <w:tab w:val="right" w:pos="4820"/>
          <w:tab w:val="left" w:pos="5387"/>
          <w:tab w:val="right" w:pos="8789"/>
        </w:tabs>
        <w:ind w:left="1134" w:hanging="1134"/>
        <w:jc w:val="center"/>
        <w:rPr>
          <w:rFonts w:ascii="Arial" w:hAnsi="Arial" w:cs="Arial"/>
          <w:b/>
          <w:sz w:val="22"/>
          <w:u w:val="single"/>
        </w:rPr>
      </w:pPr>
      <w:bookmarkStart w:id="1" w:name="Section1"/>
      <w:r w:rsidRPr="007565D3">
        <w:rPr>
          <w:rFonts w:ascii="Arial" w:hAnsi="Arial" w:cs="Arial"/>
          <w:b/>
          <w:sz w:val="22"/>
          <w:u w:val="single"/>
        </w:rPr>
        <w:t>SECTION 1:  THE 2018-2019 REVENUE BUDGET PROPOSALS</w:t>
      </w:r>
    </w:p>
    <w:bookmarkEnd w:id="1"/>
    <w:p w:rsidR="004C3B79" w:rsidRPr="007565D3" w:rsidRDefault="004C3B79" w:rsidP="004C3B79">
      <w:pPr>
        <w:jc w:val="both"/>
        <w:rPr>
          <w:rFonts w:ascii="Arial" w:hAnsi="Arial" w:cs="Arial"/>
          <w:sz w:val="22"/>
        </w:rPr>
      </w:pPr>
    </w:p>
    <w:p w:rsidR="004C3B79" w:rsidRPr="007565D3" w:rsidRDefault="004C3B79" w:rsidP="004C3B79">
      <w:pPr>
        <w:jc w:val="both"/>
        <w:rPr>
          <w:rFonts w:ascii="Arial" w:hAnsi="Arial" w:cs="Arial"/>
          <w:sz w:val="22"/>
        </w:rPr>
      </w:pPr>
    </w:p>
    <w:p w:rsidR="004C3B79" w:rsidRPr="007565D3" w:rsidRDefault="004C3B79" w:rsidP="004C3B79">
      <w:pPr>
        <w:tabs>
          <w:tab w:val="left" w:pos="567"/>
          <w:tab w:val="left" w:pos="1418"/>
        </w:tabs>
        <w:jc w:val="both"/>
        <w:rPr>
          <w:rFonts w:ascii="Arial" w:hAnsi="Arial" w:cs="Arial"/>
          <w:sz w:val="22"/>
        </w:rPr>
      </w:pPr>
      <w:r w:rsidRPr="007565D3">
        <w:rPr>
          <w:rFonts w:ascii="Arial" w:hAnsi="Arial" w:cs="Arial"/>
          <w:sz w:val="22"/>
        </w:rPr>
        <w:t>1.</w:t>
      </w:r>
      <w:r w:rsidRPr="007565D3">
        <w:rPr>
          <w:rFonts w:ascii="Arial" w:hAnsi="Arial" w:cs="Arial"/>
          <w:sz w:val="22"/>
        </w:rPr>
        <w:tab/>
      </w:r>
      <w:r w:rsidRPr="007565D3">
        <w:rPr>
          <w:rFonts w:ascii="Arial" w:hAnsi="Arial" w:cs="Arial"/>
          <w:b/>
          <w:sz w:val="22"/>
          <w:u w:val="single"/>
        </w:rPr>
        <w:t>INTRODUCTION</w:t>
      </w:r>
    </w:p>
    <w:p w:rsidR="004C3B79" w:rsidRPr="007565D3" w:rsidRDefault="004C3B79" w:rsidP="004C3B79">
      <w:pPr>
        <w:tabs>
          <w:tab w:val="left" w:pos="709"/>
          <w:tab w:val="left" w:pos="1418"/>
        </w:tabs>
        <w:ind w:left="709"/>
        <w:jc w:val="both"/>
        <w:rPr>
          <w:rFonts w:ascii="Arial" w:hAnsi="Arial" w:cs="Arial"/>
          <w:sz w:val="22"/>
        </w:rPr>
      </w:pPr>
    </w:p>
    <w:p w:rsidR="004C3B79" w:rsidRPr="007565D3" w:rsidRDefault="004C3B79" w:rsidP="004C3B79">
      <w:pPr>
        <w:ind w:left="567" w:hanging="567"/>
        <w:rPr>
          <w:rFonts w:ascii="Arial" w:hAnsi="Arial" w:cs="Arial"/>
          <w:sz w:val="22"/>
        </w:rPr>
      </w:pPr>
      <w:r w:rsidRPr="007565D3">
        <w:rPr>
          <w:rFonts w:ascii="Arial" w:hAnsi="Arial" w:cs="Arial"/>
          <w:sz w:val="22"/>
        </w:rPr>
        <w:t>1.1</w:t>
      </w:r>
      <w:r w:rsidRPr="007565D3">
        <w:rPr>
          <w:rFonts w:ascii="Arial" w:hAnsi="Arial" w:cs="Arial"/>
          <w:sz w:val="22"/>
        </w:rPr>
        <w:tab/>
        <w:t>The PCC within each force area has a statutory duty and electoral mandate to ensure an efficient and effective police service and to hold the police to account on behalf of the public. For Greater Manchester the PCC functions were transferred to the Mayor on 8</w:t>
      </w:r>
      <w:r w:rsidRPr="007565D3">
        <w:rPr>
          <w:rFonts w:ascii="Arial" w:hAnsi="Arial" w:cs="Arial"/>
          <w:sz w:val="22"/>
          <w:vertAlign w:val="superscript"/>
        </w:rPr>
        <w:t>th</w:t>
      </w:r>
      <w:r w:rsidRPr="007565D3">
        <w:rPr>
          <w:rFonts w:ascii="Arial" w:hAnsi="Arial" w:cs="Arial"/>
          <w:sz w:val="22"/>
        </w:rPr>
        <w:t xml:space="preserve"> May 2017. The Mayor (PCC) is the recipient of funding relating to policing and crime reduction, including government grants, the council tax precept and other sources of income. How this money is allocated is a matter for the Mayor (PCC) in consultation with the Chief Constable, or in accordance with any grant terms.</w:t>
      </w:r>
    </w:p>
    <w:p w:rsidR="004C3B79" w:rsidRPr="007565D3" w:rsidRDefault="004C3B79" w:rsidP="004C3B79">
      <w:pPr>
        <w:rPr>
          <w:rFonts w:ascii="Arial" w:hAnsi="Arial" w:cs="Arial"/>
          <w:sz w:val="22"/>
        </w:rPr>
      </w:pPr>
    </w:p>
    <w:p w:rsidR="004C3B79" w:rsidRPr="007565D3" w:rsidRDefault="004C3B79" w:rsidP="004C3B79">
      <w:pPr>
        <w:pStyle w:val="ListParagraph"/>
        <w:numPr>
          <w:ilvl w:val="1"/>
          <w:numId w:val="33"/>
        </w:numPr>
        <w:ind w:left="567" w:hanging="567"/>
        <w:rPr>
          <w:rFonts w:cs="Arial"/>
          <w:sz w:val="22"/>
        </w:rPr>
      </w:pPr>
      <w:r w:rsidRPr="007565D3">
        <w:rPr>
          <w:rFonts w:cs="Arial"/>
          <w:sz w:val="22"/>
        </w:rPr>
        <w:t>The provisions of Section 32 of the Local Government Finance Act 1992 require the Mayor (PCC) to set a balanced budget. In addition, Section 26 of the Police Reform and Social Responsibility Act 2011 establishes the PCC as a precepting authority for the purposes of the 1992 Act. Which means the Mayor (PCC) decides how much local people pay for policing through their council tax. For Greater Manchester, the precepting authority is Greater Manchester Combined Authority with the Mayor setting the PCC precept.</w:t>
      </w:r>
    </w:p>
    <w:p w:rsidR="004C3B79" w:rsidRPr="007565D3" w:rsidRDefault="004C3B79" w:rsidP="004C3B79">
      <w:pPr>
        <w:pStyle w:val="ListParagraph"/>
        <w:ind w:left="360"/>
        <w:rPr>
          <w:rFonts w:cs="Arial"/>
          <w:sz w:val="22"/>
        </w:rPr>
      </w:pPr>
    </w:p>
    <w:p w:rsidR="004C3B79" w:rsidRPr="007565D3" w:rsidRDefault="004C3B79" w:rsidP="004C3B79">
      <w:pPr>
        <w:pStyle w:val="ListParagraph"/>
        <w:numPr>
          <w:ilvl w:val="1"/>
          <w:numId w:val="33"/>
        </w:numPr>
        <w:ind w:left="567" w:hanging="567"/>
        <w:rPr>
          <w:rFonts w:cs="Arial"/>
          <w:sz w:val="22"/>
        </w:rPr>
      </w:pPr>
      <w:r w:rsidRPr="007565D3">
        <w:rPr>
          <w:rFonts w:cs="Arial"/>
          <w:sz w:val="22"/>
        </w:rPr>
        <w:t xml:space="preserve">In accordance with </w:t>
      </w:r>
      <w:r w:rsidRPr="007565D3">
        <w:rPr>
          <w:rFonts w:eastAsiaTheme="minorHAnsi" w:cs="Arial"/>
          <w:color w:val="000000"/>
          <w:sz w:val="22"/>
          <w:szCs w:val="22"/>
        </w:rPr>
        <w:t>Schedule 5 of the Police Reform and Social Responsibility Act 2011 (“the Act”) and Part 2 of the Police and Crime Panels (Precepts and Chief Constable Appointments) Regulations 2012 (“the Regulations”), a number of reports were presented to the Police and Crime Panel, with the final proposals presented and agreed at the panel meeting held on 18 January 2018.</w:t>
      </w:r>
    </w:p>
    <w:p w:rsidR="004C3B79" w:rsidRPr="007565D3" w:rsidRDefault="004C3B79" w:rsidP="004C3B79">
      <w:pPr>
        <w:rPr>
          <w:rFonts w:ascii="Arial" w:hAnsi="Arial" w:cs="Arial"/>
          <w:sz w:val="22"/>
        </w:rPr>
      </w:pPr>
    </w:p>
    <w:p w:rsidR="004C3B79" w:rsidRPr="007565D3" w:rsidRDefault="004C3B79" w:rsidP="004C3B79">
      <w:pPr>
        <w:tabs>
          <w:tab w:val="left" w:pos="567"/>
          <w:tab w:val="left" w:pos="1418"/>
        </w:tabs>
        <w:ind w:left="567" w:hanging="567"/>
        <w:jc w:val="both"/>
        <w:rPr>
          <w:rFonts w:ascii="Arial" w:hAnsi="Arial" w:cs="Arial"/>
          <w:sz w:val="22"/>
        </w:rPr>
      </w:pPr>
      <w:r w:rsidRPr="007565D3">
        <w:rPr>
          <w:rFonts w:ascii="Arial" w:hAnsi="Arial" w:cs="Arial"/>
          <w:sz w:val="22"/>
        </w:rPr>
        <w:t>1.4</w:t>
      </w:r>
      <w:r w:rsidRPr="007565D3">
        <w:rPr>
          <w:rFonts w:ascii="Arial" w:hAnsi="Arial" w:cs="Arial"/>
          <w:sz w:val="22"/>
        </w:rPr>
        <w:tab/>
        <w:t>On 19th December 2017 the 2018-2019 Provisional Settlement was announced in Parliament and details were released to Police and Crime Commissioners.  The final settlement was announced on 31</w:t>
      </w:r>
      <w:r w:rsidRPr="007565D3">
        <w:rPr>
          <w:rFonts w:ascii="Arial" w:hAnsi="Arial" w:cs="Arial"/>
          <w:sz w:val="22"/>
          <w:vertAlign w:val="superscript"/>
        </w:rPr>
        <w:t>st</w:t>
      </w:r>
      <w:r w:rsidRPr="007565D3">
        <w:rPr>
          <w:rFonts w:ascii="Arial" w:hAnsi="Arial" w:cs="Arial"/>
          <w:sz w:val="22"/>
        </w:rPr>
        <w:t xml:space="preserve"> January 2018.</w:t>
      </w:r>
    </w:p>
    <w:p w:rsidR="004C3B79" w:rsidRPr="007565D3" w:rsidRDefault="004C3B79" w:rsidP="004C3B79">
      <w:pPr>
        <w:pStyle w:val="Header"/>
        <w:tabs>
          <w:tab w:val="clear" w:pos="4153"/>
          <w:tab w:val="clear" w:pos="8306"/>
        </w:tabs>
        <w:jc w:val="both"/>
        <w:rPr>
          <w:rFonts w:ascii="Arial" w:hAnsi="Arial" w:cs="Arial"/>
          <w:sz w:val="22"/>
          <w:szCs w:val="22"/>
        </w:rPr>
      </w:pPr>
    </w:p>
    <w:p w:rsidR="004C3B79" w:rsidRPr="007565D3" w:rsidRDefault="004C3B79" w:rsidP="004C3B79">
      <w:pPr>
        <w:pStyle w:val="Header"/>
        <w:tabs>
          <w:tab w:val="clear" w:pos="4153"/>
          <w:tab w:val="clear" w:pos="8306"/>
        </w:tabs>
        <w:ind w:left="567" w:hanging="567"/>
        <w:jc w:val="both"/>
        <w:rPr>
          <w:rFonts w:ascii="Arial" w:hAnsi="Arial" w:cs="Arial"/>
          <w:sz w:val="22"/>
          <w:szCs w:val="22"/>
        </w:rPr>
      </w:pPr>
      <w:r w:rsidRPr="007565D3">
        <w:rPr>
          <w:rFonts w:ascii="Arial" w:hAnsi="Arial" w:cs="Arial"/>
          <w:sz w:val="22"/>
          <w:szCs w:val="22"/>
        </w:rPr>
        <w:t>1.5</w:t>
      </w:r>
      <w:r w:rsidRPr="007565D3">
        <w:rPr>
          <w:rFonts w:ascii="Arial" w:hAnsi="Arial" w:cs="Arial"/>
          <w:sz w:val="22"/>
          <w:szCs w:val="22"/>
        </w:rPr>
        <w:tab/>
        <w:t xml:space="preserve">The budget sets out the overall funding which will be available to resource policing services in support of the Police and Crime Plan.  </w:t>
      </w:r>
    </w:p>
    <w:p w:rsidR="004C3B79" w:rsidRPr="007565D3" w:rsidRDefault="004C3B79" w:rsidP="004C3B79">
      <w:pPr>
        <w:pStyle w:val="Header"/>
        <w:tabs>
          <w:tab w:val="clear" w:pos="4153"/>
          <w:tab w:val="clear" w:pos="8306"/>
        </w:tabs>
        <w:ind w:left="709" w:hanging="709"/>
        <w:jc w:val="both"/>
        <w:rPr>
          <w:rFonts w:ascii="Arial" w:hAnsi="Arial" w:cs="Arial"/>
          <w:sz w:val="22"/>
          <w:szCs w:val="22"/>
        </w:rPr>
      </w:pPr>
    </w:p>
    <w:p w:rsidR="004C3B79" w:rsidRPr="007565D3" w:rsidRDefault="004C3B79" w:rsidP="004C3B79">
      <w:pPr>
        <w:pStyle w:val="Header"/>
        <w:tabs>
          <w:tab w:val="clear" w:pos="4153"/>
          <w:tab w:val="clear" w:pos="8306"/>
        </w:tabs>
        <w:ind w:left="709" w:hanging="709"/>
        <w:jc w:val="both"/>
        <w:rPr>
          <w:rFonts w:ascii="Arial" w:hAnsi="Arial" w:cs="Arial"/>
          <w:sz w:val="22"/>
          <w:szCs w:val="22"/>
        </w:rPr>
      </w:pPr>
    </w:p>
    <w:p w:rsidR="004C3B79" w:rsidRPr="007565D3" w:rsidRDefault="004C3B79" w:rsidP="004C3B79">
      <w:pPr>
        <w:tabs>
          <w:tab w:val="left" w:pos="567"/>
          <w:tab w:val="left" w:pos="1134"/>
        </w:tabs>
        <w:ind w:left="567" w:hanging="567"/>
        <w:jc w:val="both"/>
        <w:rPr>
          <w:rFonts w:ascii="Arial" w:hAnsi="Arial" w:cs="Arial"/>
          <w:sz w:val="22"/>
        </w:rPr>
      </w:pPr>
      <w:r w:rsidRPr="007565D3">
        <w:rPr>
          <w:rFonts w:ascii="Arial" w:hAnsi="Arial" w:cs="Arial"/>
          <w:sz w:val="22"/>
        </w:rPr>
        <w:t>2.</w:t>
      </w:r>
      <w:r w:rsidRPr="007565D3">
        <w:rPr>
          <w:rFonts w:ascii="Arial" w:hAnsi="Arial" w:cs="Arial"/>
          <w:sz w:val="22"/>
        </w:rPr>
        <w:tab/>
      </w:r>
      <w:r w:rsidRPr="007565D3">
        <w:rPr>
          <w:rFonts w:ascii="Arial" w:hAnsi="Arial" w:cs="Arial"/>
          <w:b/>
          <w:sz w:val="22"/>
          <w:u w:val="single"/>
        </w:rPr>
        <w:t xml:space="preserve">NATIONAL POLICE </w:t>
      </w:r>
      <w:r w:rsidRPr="007565D3">
        <w:rPr>
          <w:rFonts w:ascii="Arial" w:hAnsi="Arial" w:cs="Arial"/>
          <w:b/>
          <w:bCs/>
          <w:sz w:val="22"/>
          <w:u w:val="single"/>
        </w:rPr>
        <w:t>REVENUE AND CAPITAL SETTLEMENTS 2018-19</w:t>
      </w:r>
    </w:p>
    <w:p w:rsidR="004C3B79" w:rsidRPr="007565D3" w:rsidRDefault="004C3B79" w:rsidP="004C3B79">
      <w:pPr>
        <w:tabs>
          <w:tab w:val="left" w:pos="567"/>
          <w:tab w:val="left" w:pos="1134"/>
        </w:tabs>
        <w:ind w:left="567" w:hanging="567"/>
        <w:jc w:val="both"/>
        <w:rPr>
          <w:rFonts w:ascii="Arial" w:hAnsi="Arial" w:cs="Arial"/>
          <w:sz w:val="22"/>
        </w:rPr>
      </w:pPr>
    </w:p>
    <w:p w:rsidR="004C3B79" w:rsidRPr="007565D3" w:rsidRDefault="004C3B79" w:rsidP="004C3B79">
      <w:pPr>
        <w:jc w:val="both"/>
        <w:rPr>
          <w:rFonts w:ascii="Arial" w:hAnsi="Arial" w:cs="Arial"/>
          <w:sz w:val="22"/>
          <w:szCs w:val="22"/>
        </w:rPr>
      </w:pPr>
      <w:r w:rsidRPr="007565D3">
        <w:rPr>
          <w:rFonts w:ascii="Arial" w:hAnsi="Arial" w:cs="Arial"/>
          <w:sz w:val="22"/>
        </w:rPr>
        <w:t>2.1</w:t>
      </w:r>
      <w:r w:rsidRPr="007565D3">
        <w:rPr>
          <w:rFonts w:ascii="Arial" w:hAnsi="Arial" w:cs="Arial"/>
          <w:sz w:val="22"/>
          <w:szCs w:val="22"/>
        </w:rPr>
        <w:t xml:space="preserve"> </w:t>
      </w:r>
      <w:r w:rsidRPr="007565D3">
        <w:rPr>
          <w:rFonts w:ascii="Arial" w:hAnsi="Arial" w:cs="Arial"/>
          <w:sz w:val="22"/>
          <w:szCs w:val="22"/>
        </w:rPr>
        <w:tab/>
        <w:t>The settlement announced on 31</w:t>
      </w:r>
      <w:r w:rsidRPr="007565D3">
        <w:rPr>
          <w:rFonts w:ascii="Arial" w:hAnsi="Arial" w:cs="Arial"/>
          <w:sz w:val="22"/>
          <w:szCs w:val="22"/>
          <w:vertAlign w:val="superscript"/>
        </w:rPr>
        <w:t>st</w:t>
      </w:r>
      <w:r w:rsidRPr="007565D3">
        <w:rPr>
          <w:rFonts w:ascii="Arial" w:hAnsi="Arial" w:cs="Arial"/>
          <w:sz w:val="22"/>
          <w:szCs w:val="22"/>
        </w:rPr>
        <w:t xml:space="preserve"> January 2018 included two key features:  </w:t>
      </w:r>
    </w:p>
    <w:p w:rsidR="004C3B79" w:rsidRPr="007565D3" w:rsidRDefault="004C3B79" w:rsidP="004C3B79">
      <w:pPr>
        <w:spacing w:after="160" w:line="259" w:lineRule="auto"/>
        <w:contextualSpacing/>
        <w:jc w:val="both"/>
        <w:rPr>
          <w:rFonts w:ascii="Arial" w:hAnsi="Arial" w:cs="Arial"/>
          <w:sz w:val="22"/>
          <w:szCs w:val="22"/>
        </w:rPr>
      </w:pPr>
    </w:p>
    <w:p w:rsidR="004C3B79" w:rsidRPr="007565D3" w:rsidRDefault="004C3B79" w:rsidP="004C3B79">
      <w:pPr>
        <w:pStyle w:val="ListParagraph"/>
        <w:numPr>
          <w:ilvl w:val="0"/>
          <w:numId w:val="37"/>
        </w:numPr>
        <w:spacing w:after="160" w:line="259" w:lineRule="auto"/>
        <w:contextualSpacing/>
        <w:jc w:val="both"/>
        <w:rPr>
          <w:rFonts w:eastAsia="Arial Unicode MS" w:cs="Arial"/>
          <w:color w:val="000000"/>
          <w:sz w:val="22"/>
          <w:szCs w:val="22"/>
          <w:u w:color="000000"/>
          <w:lang w:eastAsia="en-GB"/>
        </w:rPr>
      </w:pPr>
      <w:r w:rsidRPr="007565D3">
        <w:rPr>
          <w:rFonts w:eastAsia="Arial Unicode MS" w:cs="Arial"/>
          <w:color w:val="000000"/>
          <w:sz w:val="22"/>
          <w:szCs w:val="22"/>
          <w:u w:color="000000"/>
          <w:lang w:eastAsia="en-GB"/>
        </w:rPr>
        <w:t xml:space="preserve">The police grant for 2018/19 will remain the same as the 2017/18 grant, meaning no increase to fund rising costs and demands.  </w:t>
      </w:r>
    </w:p>
    <w:p w:rsidR="004C3B79" w:rsidRPr="007565D3" w:rsidRDefault="004C3B79" w:rsidP="004C3B79">
      <w:pPr>
        <w:jc w:val="both"/>
        <w:rPr>
          <w:rFonts w:ascii="Arial" w:hAnsi="Arial" w:cs="Arial"/>
          <w:sz w:val="22"/>
          <w:szCs w:val="22"/>
        </w:rPr>
      </w:pPr>
    </w:p>
    <w:p w:rsidR="004C3B79" w:rsidRPr="007565D3" w:rsidRDefault="004C3B79" w:rsidP="004C3B79">
      <w:pPr>
        <w:pStyle w:val="Body1"/>
        <w:numPr>
          <w:ilvl w:val="0"/>
          <w:numId w:val="34"/>
        </w:numPr>
        <w:spacing w:after="0" w:line="240" w:lineRule="auto"/>
        <w:jc w:val="both"/>
        <w:outlineLvl w:val="9"/>
        <w:rPr>
          <w:rFonts w:ascii="Arial" w:eastAsia="Times New Roman" w:hAnsi="Arial" w:cs="Arial"/>
          <w:color w:val="auto"/>
          <w:szCs w:val="22"/>
          <w:lang w:val="en-US" w:eastAsia="en-US"/>
        </w:rPr>
      </w:pPr>
      <w:r w:rsidRPr="007565D3">
        <w:rPr>
          <w:rFonts w:ascii="Arial" w:hAnsi="Arial" w:cs="Arial"/>
          <w:szCs w:val="22"/>
        </w:rPr>
        <w:t>The raising of the maximum precept increase to £12.</w:t>
      </w:r>
      <w:r w:rsidRPr="007565D3">
        <w:rPr>
          <w:rFonts w:ascii="Arial" w:hAnsi="Arial" w:cs="Arial"/>
          <w:szCs w:val="22"/>
          <w:lang w:val="en-US"/>
        </w:rPr>
        <w:t xml:space="preserve"> </w:t>
      </w:r>
      <w:r w:rsidRPr="007565D3">
        <w:rPr>
          <w:rFonts w:ascii="Arial" w:eastAsia="Times New Roman" w:hAnsi="Arial" w:cs="Arial"/>
          <w:color w:val="auto"/>
          <w:szCs w:val="22"/>
          <w:lang w:val="en-US" w:eastAsia="en-US"/>
        </w:rPr>
        <w:t>This is a significant change from recent years whereby Police and Crime Commissioners could raise the precept by no more than 2% unless they were one of the 10 areas with the lowest police precept. For these Police and Crime Commissioners they had flexibility to raise income from council tax by £5 rather than 2%. In 2017/18 Greater Manchester had the 9th lowest precept in England and therefore qualified for the additional flexibility.</w:t>
      </w:r>
    </w:p>
    <w:p w:rsidR="004C3B79" w:rsidRPr="007565D3" w:rsidRDefault="004C3B79" w:rsidP="004C3B79">
      <w:pPr>
        <w:spacing w:after="160" w:line="259" w:lineRule="auto"/>
        <w:contextualSpacing/>
        <w:jc w:val="both"/>
        <w:rPr>
          <w:rFonts w:ascii="Arial" w:hAnsi="Arial" w:cs="Arial"/>
          <w:sz w:val="22"/>
          <w:szCs w:val="22"/>
        </w:rPr>
      </w:pPr>
    </w:p>
    <w:p w:rsidR="004C3B79" w:rsidRPr="007565D3" w:rsidRDefault="004C3B79" w:rsidP="004C3B79">
      <w:pPr>
        <w:ind w:left="720" w:hanging="720"/>
        <w:jc w:val="both"/>
        <w:rPr>
          <w:rFonts w:ascii="Arial" w:hAnsi="Arial" w:cs="Arial"/>
          <w:sz w:val="22"/>
        </w:rPr>
      </w:pPr>
      <w:r w:rsidRPr="007565D3">
        <w:rPr>
          <w:rFonts w:ascii="Arial" w:hAnsi="Arial" w:cs="Arial"/>
          <w:sz w:val="22"/>
        </w:rPr>
        <w:tab/>
      </w:r>
    </w:p>
    <w:p w:rsidR="004C3B79" w:rsidRPr="007565D3" w:rsidRDefault="004C3B79" w:rsidP="004C3B79">
      <w:pPr>
        <w:ind w:left="720" w:hanging="720"/>
        <w:jc w:val="both"/>
        <w:rPr>
          <w:rFonts w:ascii="Arial" w:hAnsi="Arial" w:cs="Arial"/>
          <w:sz w:val="22"/>
        </w:rPr>
      </w:pPr>
      <w:r w:rsidRPr="007565D3">
        <w:rPr>
          <w:rFonts w:ascii="Arial" w:hAnsi="Arial" w:cs="Arial"/>
          <w:sz w:val="22"/>
        </w:rPr>
        <w:t>2.2</w:t>
      </w:r>
      <w:r w:rsidRPr="007565D3">
        <w:rPr>
          <w:rFonts w:ascii="Arial" w:hAnsi="Arial" w:cs="Arial"/>
          <w:sz w:val="22"/>
        </w:rPr>
        <w:tab/>
        <w:t xml:space="preserve">The total police grant for 2018/19 is £8.63bn however </w:t>
      </w:r>
      <w:r w:rsidRPr="007565D3">
        <w:rPr>
          <w:rFonts w:ascii="Arial" w:hAnsi="Arial" w:cs="Arial"/>
          <w:sz w:val="22"/>
          <w:szCs w:val="22"/>
        </w:rPr>
        <w:t xml:space="preserve">the settlement included a number of top slices made by the Home Office, which have the effect of reducing the resources available for local policing. In 2017/18 the total value of the top slices was £812m, in 2018/19 the total top slice is £945m, a 16% increase. This represents 10% of the national police grant. The impact for Greater Manchester means £55m has been re-distributed from local policing to fund national projects. </w:t>
      </w:r>
      <w:r w:rsidRPr="007565D3">
        <w:rPr>
          <w:rFonts w:ascii="Arial" w:hAnsi="Arial" w:cs="Arial"/>
          <w:sz w:val="22"/>
        </w:rPr>
        <w:t>The table below details the top slices for 2018/19:</w:t>
      </w:r>
    </w:p>
    <w:p w:rsidR="004C3B79" w:rsidRPr="007565D3" w:rsidRDefault="004C3B79" w:rsidP="004C3B79">
      <w:pPr>
        <w:rPr>
          <w:rFonts w:ascii="Arial" w:hAnsi="Arial" w:cs="Arial"/>
          <w:sz w:val="22"/>
        </w:rPr>
      </w:pPr>
    </w:p>
    <w:p w:rsidR="004C3B79" w:rsidRPr="007565D3" w:rsidRDefault="004C3B79" w:rsidP="004C3B79">
      <w:pPr>
        <w:ind w:left="720" w:hanging="720"/>
        <w:jc w:val="both"/>
        <w:rPr>
          <w:rFonts w:ascii="Arial" w:hAnsi="Arial" w:cs="Arial"/>
          <w:sz w:val="22"/>
        </w:rPr>
      </w:pPr>
    </w:p>
    <w:tbl>
      <w:tblPr>
        <w:tblStyle w:val="TableGrid1"/>
        <w:tblW w:w="0" w:type="auto"/>
        <w:tblInd w:w="817" w:type="dxa"/>
        <w:tblLook w:val="04A0" w:firstRow="1" w:lastRow="0" w:firstColumn="1" w:lastColumn="0" w:noHBand="0" w:noVBand="1"/>
      </w:tblPr>
      <w:tblGrid>
        <w:gridCol w:w="3573"/>
        <w:gridCol w:w="1701"/>
        <w:gridCol w:w="1559"/>
        <w:gridCol w:w="1276"/>
      </w:tblGrid>
      <w:tr w:rsidR="004C3B79" w:rsidRPr="007565D3" w:rsidTr="00721530">
        <w:tc>
          <w:tcPr>
            <w:tcW w:w="3573" w:type="dxa"/>
          </w:tcPr>
          <w:p w:rsidR="004C3B79" w:rsidRPr="007565D3" w:rsidRDefault="004C3B79" w:rsidP="00721530">
            <w:pPr>
              <w:jc w:val="both"/>
              <w:rPr>
                <w:rFonts w:ascii="Arial" w:eastAsiaTheme="minorHAnsi" w:hAnsi="Arial" w:cs="Arial"/>
                <w:b/>
                <w:sz w:val="22"/>
                <w:szCs w:val="22"/>
                <w:lang w:val="en-US"/>
              </w:rPr>
            </w:pPr>
            <w:r w:rsidRPr="007565D3">
              <w:rPr>
                <w:rFonts w:ascii="Arial" w:eastAsiaTheme="minorHAnsi" w:hAnsi="Arial" w:cs="Arial"/>
                <w:b/>
                <w:sz w:val="22"/>
                <w:szCs w:val="22"/>
                <w:lang w:val="en-US"/>
              </w:rPr>
              <w:t>Top Slice</w:t>
            </w:r>
          </w:p>
        </w:tc>
        <w:tc>
          <w:tcPr>
            <w:tcW w:w="1701" w:type="dxa"/>
          </w:tcPr>
          <w:p w:rsidR="004C3B79" w:rsidRPr="007565D3" w:rsidRDefault="004C3B79" w:rsidP="00721530">
            <w:pPr>
              <w:jc w:val="center"/>
              <w:rPr>
                <w:rFonts w:ascii="Arial" w:eastAsiaTheme="minorHAnsi" w:hAnsi="Arial" w:cs="Arial"/>
                <w:b/>
                <w:sz w:val="22"/>
                <w:szCs w:val="22"/>
                <w:lang w:val="en-US"/>
              </w:rPr>
            </w:pPr>
            <w:r w:rsidRPr="007565D3">
              <w:rPr>
                <w:rFonts w:ascii="Arial" w:eastAsiaTheme="minorHAnsi" w:hAnsi="Arial" w:cs="Arial"/>
                <w:b/>
                <w:sz w:val="22"/>
                <w:szCs w:val="22"/>
                <w:lang w:val="en-US"/>
              </w:rPr>
              <w:t>National figure</w:t>
            </w:r>
          </w:p>
          <w:p w:rsidR="004C3B79" w:rsidRPr="007565D3" w:rsidRDefault="004C3B79" w:rsidP="00721530">
            <w:pPr>
              <w:jc w:val="center"/>
              <w:rPr>
                <w:rFonts w:ascii="Arial" w:eastAsiaTheme="minorHAnsi" w:hAnsi="Arial" w:cs="Arial"/>
                <w:b/>
                <w:sz w:val="22"/>
                <w:szCs w:val="22"/>
                <w:lang w:val="en-US"/>
              </w:rPr>
            </w:pPr>
            <w:r w:rsidRPr="007565D3">
              <w:rPr>
                <w:rFonts w:ascii="Arial" w:eastAsiaTheme="minorHAnsi" w:hAnsi="Arial" w:cs="Arial"/>
                <w:b/>
                <w:sz w:val="22"/>
                <w:szCs w:val="22"/>
                <w:lang w:val="en-US"/>
              </w:rPr>
              <w:t>2018/19</w:t>
            </w:r>
          </w:p>
          <w:p w:rsidR="004C3B79" w:rsidRPr="007565D3" w:rsidRDefault="004C3B79" w:rsidP="00721530">
            <w:pPr>
              <w:jc w:val="center"/>
              <w:rPr>
                <w:rFonts w:ascii="Arial" w:eastAsiaTheme="minorHAnsi" w:hAnsi="Arial" w:cs="Arial"/>
                <w:b/>
                <w:sz w:val="22"/>
                <w:szCs w:val="22"/>
                <w:lang w:val="en-US"/>
              </w:rPr>
            </w:pPr>
            <w:r w:rsidRPr="007565D3">
              <w:rPr>
                <w:rFonts w:ascii="Arial" w:eastAsiaTheme="minorHAnsi" w:hAnsi="Arial" w:cs="Arial"/>
                <w:b/>
                <w:sz w:val="22"/>
                <w:szCs w:val="22"/>
                <w:lang w:val="en-US"/>
              </w:rPr>
              <w:t>£m</w:t>
            </w:r>
          </w:p>
        </w:tc>
        <w:tc>
          <w:tcPr>
            <w:tcW w:w="1559" w:type="dxa"/>
          </w:tcPr>
          <w:p w:rsidR="004C3B79" w:rsidRPr="007565D3" w:rsidRDefault="004C3B79" w:rsidP="00721530">
            <w:pPr>
              <w:jc w:val="center"/>
              <w:rPr>
                <w:rFonts w:ascii="Arial" w:eastAsiaTheme="minorHAnsi" w:hAnsi="Arial" w:cs="Arial"/>
                <w:b/>
                <w:sz w:val="22"/>
                <w:szCs w:val="22"/>
                <w:lang w:val="en-US"/>
              </w:rPr>
            </w:pPr>
            <w:r w:rsidRPr="007565D3">
              <w:rPr>
                <w:rFonts w:ascii="Arial" w:eastAsiaTheme="minorHAnsi" w:hAnsi="Arial" w:cs="Arial"/>
                <w:b/>
                <w:sz w:val="22"/>
                <w:szCs w:val="22"/>
                <w:lang w:val="en-US"/>
              </w:rPr>
              <w:t>National figure</w:t>
            </w:r>
          </w:p>
          <w:p w:rsidR="004C3B79" w:rsidRPr="007565D3" w:rsidRDefault="004C3B79" w:rsidP="00721530">
            <w:pPr>
              <w:jc w:val="center"/>
              <w:rPr>
                <w:rFonts w:ascii="Arial" w:eastAsiaTheme="minorHAnsi" w:hAnsi="Arial" w:cs="Arial"/>
                <w:b/>
                <w:sz w:val="22"/>
                <w:szCs w:val="22"/>
                <w:lang w:val="en-US"/>
              </w:rPr>
            </w:pPr>
            <w:r w:rsidRPr="007565D3">
              <w:rPr>
                <w:rFonts w:ascii="Arial" w:eastAsiaTheme="minorHAnsi" w:hAnsi="Arial" w:cs="Arial"/>
                <w:b/>
                <w:sz w:val="22"/>
                <w:szCs w:val="22"/>
                <w:lang w:val="en-US"/>
              </w:rPr>
              <w:t>2017/18</w:t>
            </w:r>
          </w:p>
          <w:p w:rsidR="004C3B79" w:rsidRPr="007565D3" w:rsidRDefault="004C3B79" w:rsidP="00721530">
            <w:pPr>
              <w:jc w:val="center"/>
              <w:rPr>
                <w:rFonts w:ascii="Arial" w:eastAsiaTheme="minorHAnsi" w:hAnsi="Arial" w:cs="Arial"/>
                <w:b/>
                <w:sz w:val="22"/>
                <w:szCs w:val="22"/>
                <w:lang w:val="en-US"/>
              </w:rPr>
            </w:pPr>
            <w:r w:rsidRPr="007565D3">
              <w:rPr>
                <w:rFonts w:ascii="Arial" w:eastAsiaTheme="minorHAnsi" w:hAnsi="Arial" w:cs="Arial"/>
                <w:b/>
                <w:sz w:val="22"/>
                <w:szCs w:val="22"/>
                <w:lang w:val="en-US"/>
              </w:rPr>
              <w:t>£m</w:t>
            </w:r>
          </w:p>
        </w:tc>
        <w:tc>
          <w:tcPr>
            <w:tcW w:w="1276" w:type="dxa"/>
          </w:tcPr>
          <w:p w:rsidR="004C3B79" w:rsidRPr="007565D3" w:rsidRDefault="004C3B79" w:rsidP="00721530">
            <w:pPr>
              <w:jc w:val="center"/>
              <w:rPr>
                <w:rFonts w:ascii="Arial" w:eastAsiaTheme="minorHAnsi" w:hAnsi="Arial" w:cs="Arial"/>
                <w:b/>
                <w:sz w:val="22"/>
                <w:szCs w:val="22"/>
                <w:lang w:val="en-US"/>
              </w:rPr>
            </w:pPr>
            <w:r w:rsidRPr="007565D3">
              <w:rPr>
                <w:rFonts w:ascii="Arial" w:eastAsiaTheme="minorHAnsi" w:hAnsi="Arial" w:cs="Arial"/>
                <w:b/>
                <w:sz w:val="22"/>
                <w:szCs w:val="22"/>
                <w:lang w:val="en-US"/>
              </w:rPr>
              <w:t>Change</w:t>
            </w:r>
          </w:p>
          <w:p w:rsidR="004C3B79" w:rsidRPr="007565D3" w:rsidRDefault="004C3B79" w:rsidP="00721530">
            <w:pPr>
              <w:jc w:val="center"/>
              <w:rPr>
                <w:rFonts w:ascii="Arial" w:eastAsiaTheme="minorHAnsi" w:hAnsi="Arial" w:cs="Arial"/>
                <w:b/>
                <w:sz w:val="22"/>
                <w:szCs w:val="22"/>
                <w:lang w:val="en-US"/>
              </w:rPr>
            </w:pPr>
          </w:p>
          <w:p w:rsidR="004C3B79" w:rsidRPr="007565D3" w:rsidRDefault="004C3B79" w:rsidP="00721530">
            <w:pPr>
              <w:jc w:val="center"/>
              <w:rPr>
                <w:rFonts w:ascii="Arial" w:eastAsiaTheme="minorHAnsi" w:hAnsi="Arial" w:cs="Arial"/>
                <w:b/>
                <w:sz w:val="22"/>
                <w:szCs w:val="22"/>
                <w:lang w:val="en-US"/>
              </w:rPr>
            </w:pPr>
          </w:p>
          <w:p w:rsidR="004C3B79" w:rsidRPr="007565D3" w:rsidRDefault="004C3B79" w:rsidP="00721530">
            <w:pPr>
              <w:jc w:val="center"/>
              <w:rPr>
                <w:rFonts w:ascii="Arial" w:eastAsiaTheme="minorHAnsi" w:hAnsi="Arial" w:cs="Arial"/>
                <w:b/>
                <w:sz w:val="22"/>
                <w:szCs w:val="22"/>
                <w:lang w:val="en-US"/>
              </w:rPr>
            </w:pPr>
            <w:r w:rsidRPr="007565D3">
              <w:rPr>
                <w:rFonts w:ascii="Arial" w:eastAsiaTheme="minorHAnsi" w:hAnsi="Arial" w:cs="Arial"/>
                <w:b/>
                <w:sz w:val="22"/>
                <w:szCs w:val="22"/>
                <w:lang w:val="en-US"/>
              </w:rPr>
              <w:t>£m</w:t>
            </w:r>
          </w:p>
        </w:tc>
      </w:tr>
      <w:tr w:rsidR="004C3B79" w:rsidRPr="007565D3" w:rsidTr="00721530">
        <w:tc>
          <w:tcPr>
            <w:tcW w:w="3573" w:type="dxa"/>
          </w:tcPr>
          <w:p w:rsidR="004C3B79" w:rsidRPr="007565D3" w:rsidRDefault="004C3B79" w:rsidP="00721530">
            <w:pPr>
              <w:jc w:val="both"/>
              <w:rPr>
                <w:rFonts w:ascii="Arial" w:eastAsiaTheme="minorHAnsi" w:hAnsi="Arial" w:cs="Arial"/>
                <w:sz w:val="22"/>
                <w:szCs w:val="22"/>
                <w:lang w:val="en-US"/>
              </w:rPr>
            </w:pPr>
            <w:r w:rsidRPr="007565D3">
              <w:rPr>
                <w:rFonts w:ascii="Arial" w:eastAsiaTheme="minorHAnsi" w:hAnsi="Arial" w:cs="Arial"/>
                <w:sz w:val="22"/>
                <w:szCs w:val="22"/>
                <w:lang w:val="en-US"/>
              </w:rPr>
              <w:t xml:space="preserve">PFI </w:t>
            </w:r>
          </w:p>
        </w:tc>
        <w:tc>
          <w:tcPr>
            <w:tcW w:w="1701"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73</w:t>
            </w:r>
          </w:p>
        </w:tc>
        <w:tc>
          <w:tcPr>
            <w:tcW w:w="1559"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73</w:t>
            </w:r>
          </w:p>
        </w:tc>
        <w:tc>
          <w:tcPr>
            <w:tcW w:w="1276"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0</w:t>
            </w:r>
          </w:p>
        </w:tc>
      </w:tr>
      <w:tr w:rsidR="004C3B79" w:rsidRPr="007565D3" w:rsidTr="00721530">
        <w:tc>
          <w:tcPr>
            <w:tcW w:w="3573" w:type="dxa"/>
          </w:tcPr>
          <w:p w:rsidR="004C3B79" w:rsidRPr="007565D3" w:rsidRDefault="004C3B79" w:rsidP="00721530">
            <w:pPr>
              <w:rPr>
                <w:rFonts w:ascii="Arial" w:eastAsiaTheme="minorHAnsi" w:hAnsi="Arial" w:cs="Arial"/>
                <w:sz w:val="22"/>
                <w:szCs w:val="22"/>
                <w:lang w:val="en-US"/>
              </w:rPr>
            </w:pPr>
            <w:r w:rsidRPr="007565D3">
              <w:rPr>
                <w:rFonts w:ascii="Arial" w:eastAsiaTheme="minorHAnsi" w:hAnsi="Arial" w:cs="Arial"/>
                <w:sz w:val="22"/>
                <w:szCs w:val="22"/>
                <w:lang w:val="en-US"/>
              </w:rPr>
              <w:t>Police Technology Programmes (including ESN)</w:t>
            </w:r>
          </w:p>
        </w:tc>
        <w:tc>
          <w:tcPr>
            <w:tcW w:w="1701"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495</w:t>
            </w:r>
          </w:p>
        </w:tc>
        <w:tc>
          <w:tcPr>
            <w:tcW w:w="1559"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417</w:t>
            </w:r>
          </w:p>
        </w:tc>
        <w:tc>
          <w:tcPr>
            <w:tcW w:w="1276"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78</w:t>
            </w:r>
          </w:p>
        </w:tc>
      </w:tr>
      <w:tr w:rsidR="004C3B79" w:rsidRPr="007565D3" w:rsidTr="00721530">
        <w:tc>
          <w:tcPr>
            <w:tcW w:w="3573" w:type="dxa"/>
          </w:tcPr>
          <w:p w:rsidR="004C3B79" w:rsidRPr="007565D3" w:rsidRDefault="004C3B79" w:rsidP="00721530">
            <w:pPr>
              <w:rPr>
                <w:rFonts w:ascii="Arial" w:eastAsiaTheme="minorHAnsi" w:hAnsi="Arial" w:cs="Arial"/>
                <w:sz w:val="22"/>
                <w:szCs w:val="22"/>
                <w:lang w:val="en-US"/>
              </w:rPr>
            </w:pPr>
            <w:r w:rsidRPr="007565D3">
              <w:rPr>
                <w:rFonts w:ascii="Arial" w:eastAsiaTheme="minorHAnsi" w:hAnsi="Arial" w:cs="Arial"/>
                <w:sz w:val="22"/>
                <w:szCs w:val="22"/>
                <w:lang w:val="en-US"/>
              </w:rPr>
              <w:t>Arm’s Length Bodies</w:t>
            </w:r>
          </w:p>
        </w:tc>
        <w:tc>
          <w:tcPr>
            <w:tcW w:w="1701"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63</w:t>
            </w:r>
          </w:p>
        </w:tc>
        <w:tc>
          <w:tcPr>
            <w:tcW w:w="1559"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53</w:t>
            </w:r>
          </w:p>
        </w:tc>
        <w:tc>
          <w:tcPr>
            <w:tcW w:w="1276"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9</w:t>
            </w:r>
          </w:p>
        </w:tc>
      </w:tr>
      <w:tr w:rsidR="004C3B79" w:rsidRPr="007565D3" w:rsidTr="00721530">
        <w:tc>
          <w:tcPr>
            <w:tcW w:w="3573" w:type="dxa"/>
          </w:tcPr>
          <w:p w:rsidR="004C3B79" w:rsidRPr="007565D3" w:rsidRDefault="004C3B79" w:rsidP="00721530">
            <w:pPr>
              <w:rPr>
                <w:rFonts w:ascii="Arial" w:eastAsiaTheme="minorHAnsi" w:hAnsi="Arial" w:cs="Arial"/>
                <w:sz w:val="22"/>
                <w:szCs w:val="22"/>
                <w:lang w:val="en-US"/>
              </w:rPr>
            </w:pPr>
            <w:r w:rsidRPr="007565D3">
              <w:rPr>
                <w:rFonts w:ascii="Arial" w:eastAsiaTheme="minorHAnsi" w:hAnsi="Arial" w:cs="Arial"/>
                <w:sz w:val="22"/>
                <w:szCs w:val="22"/>
                <w:lang w:val="en-US"/>
              </w:rPr>
              <w:t>Strengthening the response to Organised Crime</w:t>
            </w:r>
          </w:p>
        </w:tc>
        <w:tc>
          <w:tcPr>
            <w:tcW w:w="1701"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42</w:t>
            </w:r>
          </w:p>
        </w:tc>
        <w:tc>
          <w:tcPr>
            <w:tcW w:w="1559"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28</w:t>
            </w:r>
          </w:p>
        </w:tc>
        <w:tc>
          <w:tcPr>
            <w:tcW w:w="1276"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14</w:t>
            </w:r>
          </w:p>
        </w:tc>
      </w:tr>
      <w:tr w:rsidR="004C3B79" w:rsidRPr="007565D3" w:rsidTr="00721530">
        <w:tc>
          <w:tcPr>
            <w:tcW w:w="3573" w:type="dxa"/>
          </w:tcPr>
          <w:p w:rsidR="004C3B79" w:rsidRPr="007565D3" w:rsidRDefault="004C3B79" w:rsidP="00721530">
            <w:pPr>
              <w:rPr>
                <w:rFonts w:ascii="Arial" w:eastAsiaTheme="minorHAnsi" w:hAnsi="Arial" w:cs="Arial"/>
                <w:sz w:val="22"/>
                <w:szCs w:val="22"/>
                <w:lang w:val="en-US"/>
              </w:rPr>
            </w:pPr>
            <w:r w:rsidRPr="007565D3">
              <w:rPr>
                <w:rFonts w:ascii="Arial" w:eastAsiaTheme="minorHAnsi" w:hAnsi="Arial" w:cs="Arial"/>
                <w:sz w:val="22"/>
                <w:szCs w:val="22"/>
                <w:lang w:val="en-US"/>
              </w:rPr>
              <w:t>Police Transformation Fund (now incorporating the Innovation Fund)</w:t>
            </w:r>
          </w:p>
        </w:tc>
        <w:tc>
          <w:tcPr>
            <w:tcW w:w="1701"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175</w:t>
            </w:r>
          </w:p>
        </w:tc>
        <w:tc>
          <w:tcPr>
            <w:tcW w:w="1559"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175</w:t>
            </w:r>
          </w:p>
        </w:tc>
        <w:tc>
          <w:tcPr>
            <w:tcW w:w="1276"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0</w:t>
            </w:r>
          </w:p>
        </w:tc>
      </w:tr>
      <w:tr w:rsidR="004C3B79" w:rsidRPr="007565D3" w:rsidTr="00721530">
        <w:tc>
          <w:tcPr>
            <w:tcW w:w="3573" w:type="dxa"/>
          </w:tcPr>
          <w:p w:rsidR="004C3B79" w:rsidRPr="007565D3" w:rsidRDefault="004C3B79" w:rsidP="00721530">
            <w:pPr>
              <w:rPr>
                <w:rFonts w:ascii="Arial" w:eastAsiaTheme="minorHAnsi" w:hAnsi="Arial" w:cs="Arial"/>
                <w:sz w:val="22"/>
                <w:szCs w:val="22"/>
                <w:lang w:val="en-US"/>
              </w:rPr>
            </w:pPr>
            <w:r w:rsidRPr="007565D3">
              <w:rPr>
                <w:rFonts w:ascii="Arial" w:eastAsiaTheme="minorHAnsi" w:hAnsi="Arial" w:cs="Arial"/>
                <w:sz w:val="22"/>
                <w:szCs w:val="22"/>
                <w:lang w:val="en-US"/>
              </w:rPr>
              <w:t>Special Grant</w:t>
            </w:r>
          </w:p>
        </w:tc>
        <w:tc>
          <w:tcPr>
            <w:tcW w:w="1701"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93</w:t>
            </w:r>
          </w:p>
        </w:tc>
        <w:tc>
          <w:tcPr>
            <w:tcW w:w="1559"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50</w:t>
            </w:r>
          </w:p>
        </w:tc>
        <w:tc>
          <w:tcPr>
            <w:tcW w:w="1276"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43</w:t>
            </w:r>
          </w:p>
        </w:tc>
      </w:tr>
      <w:tr w:rsidR="004C3B79" w:rsidRPr="007565D3" w:rsidTr="00721530">
        <w:tc>
          <w:tcPr>
            <w:tcW w:w="3573" w:type="dxa"/>
          </w:tcPr>
          <w:p w:rsidR="004C3B79" w:rsidRPr="007565D3" w:rsidRDefault="004C3B79" w:rsidP="00721530">
            <w:pPr>
              <w:rPr>
                <w:rFonts w:ascii="Arial" w:eastAsiaTheme="minorHAnsi" w:hAnsi="Arial" w:cs="Arial"/>
                <w:sz w:val="22"/>
                <w:szCs w:val="22"/>
                <w:lang w:val="en-US"/>
              </w:rPr>
            </w:pPr>
            <w:r w:rsidRPr="007565D3">
              <w:rPr>
                <w:rFonts w:ascii="Arial" w:eastAsiaTheme="minorHAnsi" w:hAnsi="Arial" w:cs="Arial"/>
                <w:sz w:val="22"/>
                <w:szCs w:val="22"/>
                <w:lang w:val="en-US"/>
              </w:rPr>
              <w:t>Pre-Charge Bail</w:t>
            </w:r>
          </w:p>
        </w:tc>
        <w:tc>
          <w:tcPr>
            <w:tcW w:w="1701"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4</w:t>
            </w:r>
          </w:p>
        </w:tc>
        <w:tc>
          <w:tcPr>
            <w:tcW w:w="1559"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15</w:t>
            </w:r>
          </w:p>
        </w:tc>
        <w:tc>
          <w:tcPr>
            <w:tcW w:w="1276" w:type="dxa"/>
          </w:tcPr>
          <w:p w:rsidR="004C3B79" w:rsidRPr="007565D3" w:rsidRDefault="004C3B79" w:rsidP="00721530">
            <w:pPr>
              <w:jc w:val="right"/>
              <w:rPr>
                <w:rFonts w:ascii="Arial" w:eastAsiaTheme="minorHAnsi" w:hAnsi="Arial" w:cs="Arial"/>
                <w:sz w:val="22"/>
                <w:szCs w:val="22"/>
                <w:lang w:val="en-US"/>
              </w:rPr>
            </w:pPr>
            <w:r w:rsidRPr="007565D3">
              <w:rPr>
                <w:rFonts w:ascii="Arial" w:eastAsiaTheme="minorHAnsi" w:hAnsi="Arial" w:cs="Arial"/>
                <w:sz w:val="22"/>
                <w:szCs w:val="22"/>
                <w:lang w:val="en-US"/>
              </w:rPr>
              <w:t>(11)</w:t>
            </w:r>
          </w:p>
        </w:tc>
      </w:tr>
      <w:tr w:rsidR="004C3B79" w:rsidRPr="007565D3" w:rsidTr="00721530">
        <w:tc>
          <w:tcPr>
            <w:tcW w:w="3573" w:type="dxa"/>
          </w:tcPr>
          <w:p w:rsidR="004C3B79" w:rsidRPr="007565D3" w:rsidRDefault="004C3B79" w:rsidP="00721530">
            <w:pPr>
              <w:jc w:val="both"/>
              <w:rPr>
                <w:rFonts w:ascii="Arial" w:eastAsiaTheme="minorHAnsi" w:hAnsi="Arial" w:cs="Arial"/>
                <w:b/>
                <w:sz w:val="22"/>
                <w:szCs w:val="22"/>
                <w:lang w:val="en-US"/>
              </w:rPr>
            </w:pPr>
            <w:r w:rsidRPr="007565D3">
              <w:rPr>
                <w:rFonts w:ascii="Arial" w:eastAsiaTheme="minorHAnsi" w:hAnsi="Arial" w:cs="Arial"/>
                <w:b/>
                <w:sz w:val="22"/>
                <w:szCs w:val="22"/>
                <w:lang w:val="en-US"/>
              </w:rPr>
              <w:t>TOTAL</w:t>
            </w:r>
          </w:p>
        </w:tc>
        <w:tc>
          <w:tcPr>
            <w:tcW w:w="1701" w:type="dxa"/>
          </w:tcPr>
          <w:p w:rsidR="004C3B79" w:rsidRPr="007565D3" w:rsidRDefault="004C3B79" w:rsidP="00721530">
            <w:pPr>
              <w:jc w:val="right"/>
              <w:rPr>
                <w:rFonts w:ascii="Arial" w:eastAsiaTheme="minorHAnsi" w:hAnsi="Arial" w:cs="Arial"/>
                <w:b/>
                <w:sz w:val="22"/>
                <w:szCs w:val="22"/>
                <w:lang w:val="en-US"/>
              </w:rPr>
            </w:pPr>
            <w:r w:rsidRPr="007565D3">
              <w:rPr>
                <w:rFonts w:ascii="Arial" w:eastAsiaTheme="minorHAnsi" w:hAnsi="Arial" w:cs="Arial"/>
                <w:b/>
                <w:sz w:val="22"/>
                <w:szCs w:val="22"/>
                <w:lang w:val="en-US"/>
              </w:rPr>
              <w:t>945</w:t>
            </w:r>
          </w:p>
        </w:tc>
        <w:tc>
          <w:tcPr>
            <w:tcW w:w="1559" w:type="dxa"/>
          </w:tcPr>
          <w:p w:rsidR="004C3B79" w:rsidRPr="007565D3" w:rsidRDefault="004C3B79" w:rsidP="00721530">
            <w:pPr>
              <w:jc w:val="right"/>
              <w:rPr>
                <w:rFonts w:ascii="Arial" w:eastAsiaTheme="minorHAnsi" w:hAnsi="Arial" w:cs="Arial"/>
                <w:b/>
                <w:sz w:val="22"/>
                <w:szCs w:val="22"/>
                <w:lang w:val="en-US"/>
              </w:rPr>
            </w:pPr>
            <w:r w:rsidRPr="007565D3">
              <w:rPr>
                <w:rFonts w:ascii="Arial" w:eastAsiaTheme="minorHAnsi" w:hAnsi="Arial" w:cs="Arial"/>
                <w:b/>
                <w:sz w:val="22"/>
                <w:szCs w:val="22"/>
                <w:lang w:val="en-US"/>
              </w:rPr>
              <w:t>812</w:t>
            </w:r>
          </w:p>
        </w:tc>
        <w:tc>
          <w:tcPr>
            <w:tcW w:w="1276" w:type="dxa"/>
          </w:tcPr>
          <w:p w:rsidR="004C3B79" w:rsidRPr="007565D3" w:rsidRDefault="004C3B79" w:rsidP="00721530">
            <w:pPr>
              <w:jc w:val="right"/>
              <w:rPr>
                <w:rFonts w:ascii="Arial" w:eastAsiaTheme="minorHAnsi" w:hAnsi="Arial" w:cs="Arial"/>
                <w:b/>
                <w:sz w:val="22"/>
                <w:szCs w:val="22"/>
                <w:lang w:val="en-US"/>
              </w:rPr>
            </w:pPr>
            <w:r w:rsidRPr="007565D3">
              <w:rPr>
                <w:rFonts w:ascii="Arial" w:eastAsiaTheme="minorHAnsi" w:hAnsi="Arial" w:cs="Arial"/>
                <w:b/>
                <w:sz w:val="22"/>
                <w:szCs w:val="22"/>
                <w:lang w:val="en-US"/>
              </w:rPr>
              <w:t>133</w:t>
            </w:r>
          </w:p>
        </w:tc>
      </w:tr>
    </w:tbl>
    <w:p w:rsidR="004C3B79" w:rsidRPr="007565D3" w:rsidRDefault="004C3B79" w:rsidP="004C3B79">
      <w:pPr>
        <w:ind w:left="720" w:hanging="720"/>
        <w:jc w:val="both"/>
        <w:rPr>
          <w:rFonts w:ascii="Arial" w:hAnsi="Arial" w:cs="Arial"/>
          <w:sz w:val="22"/>
        </w:rPr>
      </w:pPr>
    </w:p>
    <w:p w:rsidR="004C3B79" w:rsidRPr="007565D3" w:rsidRDefault="004C3B79" w:rsidP="004C3B79">
      <w:pPr>
        <w:tabs>
          <w:tab w:val="left" w:pos="567"/>
          <w:tab w:val="left" w:pos="1134"/>
        </w:tabs>
        <w:jc w:val="both"/>
        <w:rPr>
          <w:rFonts w:ascii="Arial" w:hAnsi="Arial" w:cs="Arial"/>
          <w:sz w:val="22"/>
        </w:rPr>
      </w:pPr>
    </w:p>
    <w:p w:rsidR="004C3B79" w:rsidRPr="007565D3" w:rsidRDefault="004C3B79" w:rsidP="004C3B79">
      <w:pPr>
        <w:tabs>
          <w:tab w:val="left" w:pos="567"/>
          <w:tab w:val="left" w:pos="1134"/>
        </w:tabs>
        <w:ind w:left="567"/>
        <w:jc w:val="both"/>
        <w:rPr>
          <w:rFonts w:ascii="Arial" w:hAnsi="Arial" w:cs="Arial"/>
          <w:sz w:val="22"/>
        </w:rPr>
      </w:pPr>
      <w:r w:rsidRPr="007565D3">
        <w:rPr>
          <w:rFonts w:ascii="Arial" w:hAnsi="Arial" w:cs="Arial"/>
          <w:sz w:val="22"/>
        </w:rPr>
        <w:t>The remaining £7.685bn has been distributed to each PCC using the historic formula. The revenue grant allocated Greater Manchester is £428m, 5.6% of the national grant. The National Settlement is detailed in Appendix 1</w:t>
      </w:r>
    </w:p>
    <w:p w:rsidR="004C3B79" w:rsidRPr="007565D3" w:rsidRDefault="004C3B79" w:rsidP="004C3B79">
      <w:pPr>
        <w:tabs>
          <w:tab w:val="left" w:pos="567"/>
          <w:tab w:val="left" w:pos="1134"/>
        </w:tabs>
        <w:ind w:left="567" w:hanging="567"/>
        <w:jc w:val="both"/>
        <w:rPr>
          <w:rFonts w:ascii="Arial" w:hAnsi="Arial" w:cs="Arial"/>
          <w:sz w:val="22"/>
        </w:rPr>
      </w:pPr>
    </w:p>
    <w:p w:rsidR="004C3B79" w:rsidRPr="007565D3" w:rsidRDefault="004C3B79" w:rsidP="004C3B79">
      <w:pPr>
        <w:tabs>
          <w:tab w:val="left" w:pos="567"/>
          <w:tab w:val="left" w:pos="1134"/>
        </w:tabs>
        <w:ind w:left="567" w:hanging="567"/>
        <w:jc w:val="both"/>
        <w:rPr>
          <w:rFonts w:ascii="Arial" w:hAnsi="Arial" w:cs="Arial"/>
          <w:sz w:val="22"/>
        </w:rPr>
      </w:pPr>
      <w:r w:rsidRPr="007565D3">
        <w:rPr>
          <w:rFonts w:ascii="Arial" w:hAnsi="Arial" w:cs="Arial"/>
          <w:sz w:val="22"/>
        </w:rPr>
        <w:t>2.3</w:t>
      </w:r>
      <w:r w:rsidRPr="007565D3">
        <w:rPr>
          <w:rFonts w:ascii="Arial" w:hAnsi="Arial" w:cs="Arial"/>
          <w:sz w:val="22"/>
        </w:rPr>
        <w:tab/>
        <w:t>£45.9m will be distributed as capital funding.  The total capital budget available was £75.2m before a top-slice of £30m was taken, for the National Police Air Service, Police Live Services, and Special Capital Grant.  The capital grant allocated to Greater Manchester is £2.3m.</w:t>
      </w:r>
    </w:p>
    <w:p w:rsidR="004C3B79" w:rsidRPr="007565D3" w:rsidRDefault="004C3B79" w:rsidP="004C3B79">
      <w:pPr>
        <w:tabs>
          <w:tab w:val="left" w:pos="567"/>
          <w:tab w:val="left" w:pos="1134"/>
        </w:tabs>
        <w:ind w:left="567" w:hanging="567"/>
        <w:jc w:val="both"/>
        <w:rPr>
          <w:rFonts w:ascii="Arial" w:hAnsi="Arial" w:cs="Arial"/>
          <w:sz w:val="22"/>
        </w:rPr>
      </w:pPr>
    </w:p>
    <w:p w:rsidR="004C3B79" w:rsidRPr="007565D3" w:rsidRDefault="004C3B79" w:rsidP="004C3B79">
      <w:pPr>
        <w:tabs>
          <w:tab w:val="left" w:pos="567"/>
          <w:tab w:val="left" w:pos="1134"/>
        </w:tabs>
        <w:ind w:left="567" w:hanging="567"/>
        <w:jc w:val="both"/>
        <w:rPr>
          <w:rFonts w:ascii="Arial" w:hAnsi="Arial" w:cs="Arial"/>
          <w:b/>
          <w:sz w:val="22"/>
        </w:rPr>
      </w:pPr>
      <w:r w:rsidRPr="007565D3">
        <w:rPr>
          <w:rFonts w:ascii="Arial" w:hAnsi="Arial" w:cs="Arial"/>
          <w:b/>
          <w:sz w:val="22"/>
        </w:rPr>
        <w:t>MEDIUM TERM FINANCIAL PLANNING</w:t>
      </w:r>
    </w:p>
    <w:p w:rsidR="004C3B79" w:rsidRPr="007565D3" w:rsidRDefault="004C3B79" w:rsidP="004C3B79">
      <w:pPr>
        <w:tabs>
          <w:tab w:val="left" w:pos="567"/>
          <w:tab w:val="left" w:pos="1134"/>
        </w:tabs>
        <w:ind w:left="567" w:hanging="567"/>
        <w:jc w:val="both"/>
        <w:rPr>
          <w:rFonts w:ascii="Arial" w:hAnsi="Arial" w:cs="Arial"/>
          <w:b/>
          <w:sz w:val="22"/>
          <w:highlight w:val="yellow"/>
        </w:rPr>
      </w:pPr>
    </w:p>
    <w:p w:rsidR="004C3B79" w:rsidRPr="007565D3" w:rsidRDefault="004C3B79" w:rsidP="004C3B79">
      <w:pPr>
        <w:ind w:left="567" w:hanging="567"/>
        <w:jc w:val="both"/>
        <w:rPr>
          <w:rFonts w:ascii="Arial" w:eastAsiaTheme="minorHAnsi" w:hAnsi="Arial" w:cs="Arial"/>
          <w:sz w:val="22"/>
          <w:szCs w:val="22"/>
          <w:lang w:val="en-US"/>
        </w:rPr>
      </w:pPr>
      <w:r w:rsidRPr="007565D3">
        <w:rPr>
          <w:rFonts w:ascii="Arial" w:hAnsi="Arial" w:cs="Arial"/>
          <w:sz w:val="22"/>
        </w:rPr>
        <w:t>2.4</w:t>
      </w:r>
      <w:r w:rsidRPr="007565D3">
        <w:rPr>
          <w:rFonts w:ascii="Arial" w:hAnsi="Arial" w:cs="Arial"/>
          <w:sz w:val="22"/>
        </w:rPr>
        <w:tab/>
      </w:r>
      <w:r w:rsidRPr="007565D3">
        <w:rPr>
          <w:rFonts w:ascii="Arial" w:eastAsiaTheme="minorHAnsi" w:hAnsi="Arial" w:cs="Arial"/>
          <w:sz w:val="22"/>
          <w:szCs w:val="22"/>
          <w:lang w:val="en-US"/>
        </w:rPr>
        <w:t>There are a number of uncertainties which impact on the ability to plan for the medium term, mainly the delay in the £1bn project to transition from Airwave radio to the new Emergency Services Network (ESN). The only approved iteration of the Emergency Services Mobile Communication Programme (ESMCP) transition plan, issued in 2016, has the North West Forces going live on the ESN in September 2017.  Although a revised national plan has yet to be agreed and published it is anticipated that transition for the North West Forces will not now start until at least late 2019. As it stands the delay will require the continuation of the existing Airwave contracts beyond Forces National Shut Down’ (NSD) date of December 2019. There is a real concern that any additional costs arising as a result of this delay will involve further top-slicing to the Police Grant, particularly as the 2017/18 police funding settlement did not confirm the exact level of future reallocations which will fund the core costs of ESN beyond 2017/18.  It is envisaged that it will take 12 months for GMP to fully transition to ESN followed by up to 2 years for the remaining Forces in England &amp; Wales and other Emergency Service users to transition.  Until then there will be a need to keep, and fund, a core Airwave provision.  This effectively means funding dual running costs for up to 3 years. The lack of certainty regarding the national plan and funding position presents significant risk to medium term planning.</w:t>
      </w:r>
    </w:p>
    <w:p w:rsidR="004C3B79" w:rsidRPr="007565D3" w:rsidRDefault="004C3B79" w:rsidP="004C3B79">
      <w:pPr>
        <w:tabs>
          <w:tab w:val="left" w:pos="567"/>
          <w:tab w:val="left" w:pos="1134"/>
        </w:tabs>
        <w:ind w:left="567" w:hanging="567"/>
        <w:jc w:val="both"/>
        <w:rPr>
          <w:rFonts w:ascii="Arial" w:hAnsi="Arial" w:cs="Arial"/>
          <w:sz w:val="22"/>
        </w:rPr>
      </w:pPr>
    </w:p>
    <w:p w:rsidR="004C3B79" w:rsidRPr="007565D3" w:rsidRDefault="004C3B79" w:rsidP="004C3B79">
      <w:pPr>
        <w:ind w:left="709" w:hanging="709"/>
        <w:jc w:val="both"/>
        <w:rPr>
          <w:rFonts w:ascii="Arial" w:hAnsi="Arial" w:cs="Arial"/>
          <w:sz w:val="22"/>
        </w:rPr>
      </w:pPr>
    </w:p>
    <w:p w:rsidR="004C3B79" w:rsidRPr="007565D3" w:rsidRDefault="004C3B79" w:rsidP="004C3B79">
      <w:pPr>
        <w:ind w:left="567" w:hanging="567"/>
        <w:jc w:val="both"/>
        <w:rPr>
          <w:rFonts w:ascii="Arial" w:eastAsiaTheme="minorHAnsi" w:hAnsi="Arial" w:cs="Arial"/>
          <w:sz w:val="22"/>
          <w:szCs w:val="22"/>
          <w:lang w:val="en-US"/>
        </w:rPr>
      </w:pPr>
      <w:r w:rsidRPr="007565D3">
        <w:rPr>
          <w:rFonts w:ascii="Arial" w:hAnsi="Arial" w:cs="Arial"/>
          <w:sz w:val="22"/>
        </w:rPr>
        <w:t>2.5</w:t>
      </w:r>
      <w:r w:rsidRPr="007565D3">
        <w:rPr>
          <w:rFonts w:ascii="Arial" w:hAnsi="Arial" w:cs="Arial"/>
          <w:sz w:val="22"/>
        </w:rPr>
        <w:tab/>
        <w:t xml:space="preserve">The have been numerous attempts to review the police funding formula however this is now not expected until at least 2020/21. There are a number of reasons why a review is significant to Greater </w:t>
      </w:r>
      <w:r w:rsidRPr="007565D3">
        <w:rPr>
          <w:rFonts w:ascii="Arial" w:eastAsiaTheme="minorHAnsi" w:hAnsi="Arial" w:cs="Arial"/>
          <w:sz w:val="22"/>
          <w:szCs w:val="22"/>
          <w:lang w:val="en-US"/>
        </w:rPr>
        <w:t>Manchester, firstly the gearing ratio which is the proportion of total funding received via grant funding. For Greater Manchester the police grant makes up 78% of the total funding available for policing, this compares to a national average of 70%, with individual forces ranging from 48% to 86%. In practical terms this means that reductions in central funding have hit GMP harder than the majority of other police forces. Conversely if a future funding formula recognises the complexity of policing in Greater Manchester, funding could increase.</w:t>
      </w:r>
    </w:p>
    <w:p w:rsidR="004C3B79" w:rsidRPr="007565D3" w:rsidRDefault="004C3B79" w:rsidP="004C3B79">
      <w:pPr>
        <w:contextualSpacing/>
        <w:jc w:val="both"/>
        <w:rPr>
          <w:rFonts w:ascii="Arial" w:hAnsi="Arial" w:cs="Arial"/>
          <w:sz w:val="22"/>
          <w:highlight w:val="yellow"/>
        </w:rPr>
      </w:pPr>
    </w:p>
    <w:p w:rsidR="004C3B79" w:rsidRPr="007565D3" w:rsidRDefault="004C3B79" w:rsidP="004C3B79">
      <w:pPr>
        <w:tabs>
          <w:tab w:val="left" w:pos="709"/>
          <w:tab w:val="left" w:pos="1418"/>
        </w:tabs>
        <w:jc w:val="both"/>
        <w:rPr>
          <w:rFonts w:ascii="Arial" w:hAnsi="Arial" w:cs="Arial"/>
          <w:sz w:val="22"/>
          <w:highlight w:val="yellow"/>
        </w:rPr>
      </w:pPr>
    </w:p>
    <w:p w:rsidR="004C3B79" w:rsidRPr="007565D3" w:rsidRDefault="004C3B79" w:rsidP="004C3B79">
      <w:pPr>
        <w:pStyle w:val="BodyTextIndent"/>
        <w:tabs>
          <w:tab w:val="clear" w:pos="709"/>
          <w:tab w:val="left" w:pos="567"/>
        </w:tabs>
        <w:rPr>
          <w:rFonts w:cs="Arial"/>
          <w:b/>
          <w:sz w:val="22"/>
          <w:u w:val="single"/>
        </w:rPr>
      </w:pPr>
      <w:r w:rsidRPr="007565D3">
        <w:rPr>
          <w:rFonts w:cs="Arial"/>
          <w:b/>
          <w:sz w:val="22"/>
        </w:rPr>
        <w:t>3.</w:t>
      </w:r>
      <w:r w:rsidRPr="007565D3">
        <w:rPr>
          <w:rFonts w:cs="Arial"/>
          <w:sz w:val="22"/>
        </w:rPr>
        <w:tab/>
      </w:r>
      <w:r w:rsidRPr="007565D3">
        <w:rPr>
          <w:rFonts w:cs="Arial"/>
          <w:b/>
          <w:sz w:val="22"/>
          <w:u w:val="single"/>
        </w:rPr>
        <w:t>LOCAL BACKGROUND TO THE 2018-2019 REVENUE BUDGET PROPOSALS</w:t>
      </w:r>
    </w:p>
    <w:p w:rsidR="004C3B79" w:rsidRPr="007565D3" w:rsidRDefault="004C3B79" w:rsidP="004C3B79">
      <w:pPr>
        <w:pStyle w:val="BodyTextIndent"/>
        <w:rPr>
          <w:rFonts w:cs="Arial"/>
          <w:b/>
          <w:sz w:val="22"/>
          <w:u w:val="single"/>
        </w:rPr>
      </w:pPr>
    </w:p>
    <w:p w:rsidR="004C3B79" w:rsidRPr="007565D3" w:rsidRDefault="004C3B79" w:rsidP="004C3B79">
      <w:pPr>
        <w:pStyle w:val="BodyTextIndent"/>
        <w:rPr>
          <w:rFonts w:cs="Arial"/>
          <w:b/>
          <w:sz w:val="22"/>
          <w:u w:val="single"/>
        </w:rPr>
      </w:pPr>
    </w:p>
    <w:p w:rsidR="004C3B79" w:rsidRPr="007565D3" w:rsidRDefault="004C3B79" w:rsidP="004C3B79">
      <w:pPr>
        <w:numPr>
          <w:ilvl w:val="1"/>
          <w:numId w:val="18"/>
        </w:numPr>
        <w:tabs>
          <w:tab w:val="left" w:pos="0"/>
          <w:tab w:val="left" w:pos="567"/>
        </w:tabs>
        <w:ind w:left="567" w:hanging="567"/>
        <w:jc w:val="both"/>
        <w:rPr>
          <w:rFonts w:ascii="Arial" w:hAnsi="Arial" w:cs="Arial"/>
          <w:sz w:val="22"/>
        </w:rPr>
      </w:pPr>
      <w:r w:rsidRPr="007565D3">
        <w:rPr>
          <w:rFonts w:ascii="Arial" w:hAnsi="Arial" w:cs="Arial"/>
          <w:sz w:val="22"/>
        </w:rPr>
        <w:t>The settlement received on 31</w:t>
      </w:r>
      <w:r w:rsidRPr="007565D3">
        <w:rPr>
          <w:rFonts w:ascii="Arial" w:hAnsi="Arial" w:cs="Arial"/>
          <w:sz w:val="22"/>
          <w:vertAlign w:val="superscript"/>
        </w:rPr>
        <w:t>st</w:t>
      </w:r>
      <w:r w:rsidRPr="007565D3">
        <w:rPr>
          <w:rFonts w:ascii="Arial" w:hAnsi="Arial" w:cs="Arial"/>
          <w:sz w:val="22"/>
        </w:rPr>
        <w:t xml:space="preserve"> January confirmed that the police grant for 2018/19 will remain at the same level as the 2017/18 grant.  This means that there is no additional central government funding to meet cost and demand pressures which means the savings requirement for 2018/19 is £10.9m and £37.9m by 2022.</w:t>
      </w:r>
    </w:p>
    <w:p w:rsidR="004C3B79" w:rsidRPr="007565D3" w:rsidRDefault="004C3B79" w:rsidP="004C3B79">
      <w:pPr>
        <w:pStyle w:val="ListParagraph"/>
        <w:rPr>
          <w:rFonts w:cs="Arial"/>
          <w:sz w:val="22"/>
        </w:rPr>
      </w:pPr>
    </w:p>
    <w:p w:rsidR="004C3B79" w:rsidRPr="007565D3" w:rsidRDefault="004C3B79" w:rsidP="004C3B79">
      <w:pPr>
        <w:numPr>
          <w:ilvl w:val="1"/>
          <w:numId w:val="18"/>
        </w:numPr>
        <w:tabs>
          <w:tab w:val="left" w:pos="0"/>
          <w:tab w:val="left" w:pos="567"/>
        </w:tabs>
        <w:ind w:left="567" w:hanging="567"/>
        <w:jc w:val="both"/>
        <w:rPr>
          <w:rFonts w:ascii="Arial" w:hAnsi="Arial" w:cs="Arial"/>
          <w:sz w:val="22"/>
        </w:rPr>
      </w:pPr>
      <w:r w:rsidRPr="007565D3">
        <w:rPr>
          <w:rFonts w:ascii="Arial" w:eastAsiaTheme="minorHAnsi" w:hAnsi="Arial" w:cs="Arial"/>
          <w:sz w:val="22"/>
          <w:szCs w:val="22"/>
          <w:lang w:val="en-US"/>
        </w:rPr>
        <w:t xml:space="preserve">When considering the precept level the rising crime levels, increasing threats identified by the Chief Constable and the impact of the cumulative cuts since 2010 are all taken in to account. </w:t>
      </w:r>
    </w:p>
    <w:p w:rsidR="004C3B79" w:rsidRPr="007565D3" w:rsidRDefault="004C3B79" w:rsidP="004C3B79">
      <w:pPr>
        <w:rPr>
          <w:rFonts w:ascii="Arial" w:hAnsi="Arial" w:cs="Arial"/>
          <w:sz w:val="22"/>
          <w:szCs w:val="22"/>
        </w:rPr>
      </w:pPr>
    </w:p>
    <w:p w:rsidR="004C3B79" w:rsidRPr="007565D3" w:rsidRDefault="004C3B79" w:rsidP="004C3B79">
      <w:pPr>
        <w:numPr>
          <w:ilvl w:val="1"/>
          <w:numId w:val="18"/>
        </w:numPr>
        <w:tabs>
          <w:tab w:val="left" w:pos="0"/>
          <w:tab w:val="left" w:pos="567"/>
        </w:tabs>
        <w:ind w:left="567" w:hanging="567"/>
        <w:jc w:val="both"/>
        <w:rPr>
          <w:rFonts w:ascii="Arial" w:hAnsi="Arial" w:cs="Arial"/>
          <w:sz w:val="22"/>
        </w:rPr>
      </w:pPr>
      <w:r w:rsidRPr="007565D3">
        <w:rPr>
          <w:rFonts w:ascii="Arial" w:hAnsi="Arial" w:cs="Arial"/>
          <w:sz w:val="22"/>
        </w:rPr>
        <w:t>There is no doubt that the real term reduction in funding of 38% over the last 7 years have seriously impacted on many capabilities required by the Force to deliver against its vision of “Protecting society and helping keep people safe”. The number of Police Officers has reduced by 2000 (25%) since 2010, with the loss of almost 1,000 police staff and PCSOs. The Force faces increased threats from terrorism, serious and organised crime, child sexual exploitation, serious sexual offences and cyber-crime.</w:t>
      </w:r>
    </w:p>
    <w:p w:rsidR="004C3B79" w:rsidRPr="007565D3" w:rsidRDefault="004C3B79" w:rsidP="004C3B79">
      <w:pPr>
        <w:rPr>
          <w:rFonts w:ascii="Arial" w:hAnsi="Arial" w:cs="Arial"/>
          <w:color w:val="0070C0"/>
          <w:sz w:val="22"/>
        </w:rPr>
      </w:pPr>
    </w:p>
    <w:p w:rsidR="004C3B79" w:rsidRPr="007565D3" w:rsidRDefault="004C3B79" w:rsidP="004C3B79">
      <w:pPr>
        <w:tabs>
          <w:tab w:val="left" w:pos="0"/>
          <w:tab w:val="left" w:pos="567"/>
        </w:tabs>
        <w:ind w:left="567"/>
        <w:jc w:val="both"/>
        <w:rPr>
          <w:rFonts w:ascii="Arial" w:hAnsi="Arial" w:cs="Arial"/>
          <w:sz w:val="22"/>
        </w:rPr>
      </w:pPr>
    </w:p>
    <w:p w:rsidR="004C3B79" w:rsidRPr="007565D3" w:rsidRDefault="004C3B79" w:rsidP="004C3B79">
      <w:pPr>
        <w:numPr>
          <w:ilvl w:val="1"/>
          <w:numId w:val="18"/>
        </w:numPr>
        <w:tabs>
          <w:tab w:val="left" w:pos="0"/>
          <w:tab w:val="left" w:pos="567"/>
        </w:tabs>
        <w:ind w:left="567" w:hanging="567"/>
        <w:jc w:val="both"/>
        <w:rPr>
          <w:rFonts w:ascii="Arial" w:hAnsi="Arial" w:cs="Arial"/>
          <w:sz w:val="22"/>
          <w:szCs w:val="22"/>
        </w:rPr>
      </w:pPr>
      <w:r w:rsidRPr="007565D3">
        <w:rPr>
          <w:rFonts w:ascii="Arial" w:hAnsi="Arial" w:cs="Arial"/>
          <w:sz w:val="22"/>
          <w:szCs w:val="22"/>
        </w:rPr>
        <w:t>The latest Home Office statistics show that, in the 12 months to the end of September 2017, GMP recorded 323,617 crimes (excluding fraud).  This is an increase of 41% on the previous 12 months and is due to improvements in crime recording as well as changes in crime and steps to increase confidence in reporting crime.  GMP receives the second highest number of 999 calls, relative to population, of all police forces in England and Wales and deals with the highest number of priority incidents relative to population.   Safeguarding vulnerable people and communities remains essential whilst the complexity of crime that GMP deals with continues to increase.  In the last year GMP has dealt with 65,000 domestic abuse incidents, 22,000 incidents involving people with mental health conditions and 177 modern slavery crimes.  The force is improving its capabilities in protecting victims and tackling crimes such as fraud and digitally-enabled crime. </w:t>
      </w:r>
    </w:p>
    <w:p w:rsidR="004C3B79" w:rsidRPr="007565D3" w:rsidRDefault="004C3B79" w:rsidP="004C3B79">
      <w:pPr>
        <w:tabs>
          <w:tab w:val="left" w:pos="0"/>
          <w:tab w:val="left" w:pos="567"/>
        </w:tabs>
        <w:ind w:left="567"/>
        <w:jc w:val="both"/>
        <w:rPr>
          <w:rFonts w:ascii="Arial" w:hAnsi="Arial" w:cs="Arial"/>
          <w:sz w:val="22"/>
        </w:rPr>
      </w:pPr>
    </w:p>
    <w:p w:rsidR="004C3B79" w:rsidRPr="007565D3" w:rsidRDefault="004C3B79" w:rsidP="004C3B79">
      <w:pPr>
        <w:numPr>
          <w:ilvl w:val="1"/>
          <w:numId w:val="18"/>
        </w:numPr>
        <w:tabs>
          <w:tab w:val="left" w:pos="0"/>
          <w:tab w:val="left" w:pos="567"/>
        </w:tabs>
        <w:ind w:left="567" w:hanging="567"/>
        <w:jc w:val="both"/>
        <w:rPr>
          <w:rFonts w:ascii="Arial" w:hAnsi="Arial" w:cs="Arial"/>
          <w:sz w:val="22"/>
        </w:rPr>
      </w:pPr>
      <w:r w:rsidRPr="007565D3">
        <w:rPr>
          <w:rFonts w:ascii="Arial" w:hAnsi="Arial" w:cs="Arial"/>
          <w:sz w:val="22"/>
        </w:rPr>
        <w:t>Index of Demand</w:t>
      </w:r>
      <w:r w:rsidRPr="007565D3">
        <w:rPr>
          <w:rStyle w:val="FootnoteReference"/>
          <w:rFonts w:ascii="Arial" w:hAnsi="Arial" w:cs="Arial"/>
          <w:sz w:val="22"/>
        </w:rPr>
        <w:footnoteReference w:id="1"/>
      </w:r>
      <w:r w:rsidRPr="007565D3">
        <w:rPr>
          <w:rFonts w:ascii="Arial" w:hAnsi="Arial" w:cs="Arial"/>
          <w:sz w:val="22"/>
        </w:rPr>
        <w:t xml:space="preserve"> records that Greater Manchester is one of most challenging areas for policing in England and Wales. </w:t>
      </w:r>
    </w:p>
    <w:p w:rsidR="004C3B79" w:rsidRPr="007565D3" w:rsidRDefault="004C3B79" w:rsidP="004C3B79">
      <w:pPr>
        <w:pStyle w:val="ListParagraph"/>
        <w:rPr>
          <w:rFonts w:cs="Arial"/>
          <w:sz w:val="22"/>
        </w:rPr>
      </w:pPr>
    </w:p>
    <w:p w:rsidR="004C3B79" w:rsidRPr="007565D3" w:rsidRDefault="004C3B79" w:rsidP="004C3B79">
      <w:pPr>
        <w:numPr>
          <w:ilvl w:val="1"/>
          <w:numId w:val="18"/>
        </w:numPr>
        <w:tabs>
          <w:tab w:val="left" w:pos="0"/>
          <w:tab w:val="left" w:pos="567"/>
        </w:tabs>
        <w:ind w:left="567" w:hanging="567"/>
        <w:jc w:val="both"/>
        <w:rPr>
          <w:rFonts w:ascii="Arial" w:hAnsi="Arial" w:cs="Arial"/>
          <w:sz w:val="22"/>
        </w:rPr>
      </w:pPr>
      <w:r w:rsidRPr="007565D3">
        <w:rPr>
          <w:rFonts w:ascii="Arial" w:hAnsi="Arial" w:cs="Arial"/>
          <w:sz w:val="22"/>
        </w:rPr>
        <w:t xml:space="preserve">The decision to increase the precept by the maximum allowable of £12 (for a band D property) was not taken lightly </w:t>
      </w:r>
      <w:r w:rsidRPr="007565D3">
        <w:rPr>
          <w:rFonts w:ascii="Arial" w:eastAsiaTheme="minorHAnsi" w:hAnsi="Arial" w:cs="Arial"/>
          <w:sz w:val="22"/>
          <w:szCs w:val="22"/>
        </w:rPr>
        <w:t xml:space="preserve">because of the impact it has on local taxpayers. However, this is the only option the Government has allowed in order to maximise resources, mitigate Government cuts and keep Greater Manchester as safe as possible.  We have been able to provide budget for: </w:t>
      </w:r>
    </w:p>
    <w:p w:rsidR="004C3B79" w:rsidRPr="007565D3" w:rsidRDefault="004C3B79" w:rsidP="004C3B79">
      <w:pPr>
        <w:tabs>
          <w:tab w:val="left" w:pos="0"/>
          <w:tab w:val="left" w:pos="567"/>
        </w:tabs>
        <w:ind w:left="567"/>
        <w:jc w:val="both"/>
        <w:rPr>
          <w:rFonts w:ascii="Arial" w:hAnsi="Arial" w:cs="Arial"/>
          <w:sz w:val="22"/>
        </w:rPr>
      </w:pP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 xml:space="preserve">Recruit a minimum of 100 additional police officers over the next 2 years with at least 50 additional police officers recruited in 18/19. </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Investment in extra resources that can respond to the challenges of year</w:t>
      </w:r>
      <w:r w:rsidRPr="007565D3">
        <w:rPr>
          <w:rFonts w:ascii="Cambria Math" w:eastAsiaTheme="minorHAnsi" w:hAnsi="Cambria Math" w:cs="Cambria Math"/>
          <w:sz w:val="22"/>
          <w:szCs w:val="22"/>
        </w:rPr>
        <w:t>‐</w:t>
      </w:r>
      <w:r w:rsidRPr="007565D3">
        <w:rPr>
          <w:rFonts w:ascii="Arial" w:eastAsiaTheme="minorHAnsi" w:hAnsi="Arial" w:cs="Arial"/>
          <w:sz w:val="22"/>
          <w:szCs w:val="22"/>
        </w:rPr>
        <w:t>on</w:t>
      </w:r>
      <w:r w:rsidRPr="007565D3">
        <w:rPr>
          <w:rFonts w:ascii="Cambria Math" w:eastAsiaTheme="minorHAnsi" w:hAnsi="Cambria Math" w:cs="Cambria Math"/>
          <w:sz w:val="22"/>
          <w:szCs w:val="22"/>
        </w:rPr>
        <w:t>‐</w:t>
      </w:r>
      <w:r w:rsidRPr="007565D3">
        <w:rPr>
          <w:rFonts w:ascii="Arial" w:eastAsiaTheme="minorHAnsi" w:hAnsi="Arial" w:cs="Arial"/>
          <w:sz w:val="22"/>
          <w:szCs w:val="22"/>
        </w:rPr>
        <w:t xml:space="preserve">year increases in public protection incidents and the increasing complexity of investigations, such as child abuse and organised exploitation </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Maintain PCSO numbers</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Invest in the digital forensics unit to ensure that evidence is gathered quickly and cases progressed, improving the service for victims of crime</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 xml:space="preserve">Additional funding to support the policing of particularly serious incidents and crimes </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Support the transformation of GMP through the new Target Operating Model</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Mayoral Investment Fund - Increase the pace of improvements to public contact including the 101 line and reducing levels of sickness absence</w:t>
      </w:r>
    </w:p>
    <w:p w:rsidR="004C3B79" w:rsidRPr="007565D3" w:rsidRDefault="004C3B79" w:rsidP="004C3B79">
      <w:pPr>
        <w:numPr>
          <w:ilvl w:val="0"/>
          <w:numId w:val="30"/>
        </w:numPr>
        <w:spacing w:after="160" w:line="259" w:lineRule="auto"/>
        <w:contextualSpacing/>
        <w:rPr>
          <w:rFonts w:ascii="Arial" w:eastAsiaTheme="minorHAnsi" w:hAnsi="Arial" w:cs="Arial"/>
          <w:sz w:val="22"/>
          <w:szCs w:val="22"/>
        </w:rPr>
      </w:pPr>
      <w:r w:rsidRPr="007565D3">
        <w:rPr>
          <w:rFonts w:ascii="Arial" w:eastAsiaTheme="minorHAnsi" w:hAnsi="Arial" w:cs="Arial"/>
          <w:sz w:val="22"/>
          <w:szCs w:val="22"/>
        </w:rPr>
        <w:t>Cost of the additional 1% pay award</w:t>
      </w:r>
    </w:p>
    <w:p w:rsidR="004C3B79" w:rsidRPr="00F5784B" w:rsidRDefault="004C3B79" w:rsidP="004C3B79">
      <w:pPr>
        <w:spacing w:after="160" w:line="259" w:lineRule="auto"/>
        <w:ind w:left="720"/>
        <w:contextualSpacing/>
        <w:rPr>
          <w:rFonts w:ascii="Arial" w:eastAsiaTheme="minorHAnsi" w:hAnsi="Arial" w:cs="Arial"/>
          <w:sz w:val="22"/>
          <w:szCs w:val="22"/>
        </w:rPr>
      </w:pPr>
    </w:p>
    <w:p w:rsidR="004C3B79" w:rsidRPr="00A713A1" w:rsidRDefault="004C3B79" w:rsidP="004C3B79">
      <w:pPr>
        <w:tabs>
          <w:tab w:val="left" w:pos="0"/>
          <w:tab w:val="left" w:pos="567"/>
        </w:tabs>
        <w:ind w:left="567"/>
        <w:jc w:val="both"/>
        <w:rPr>
          <w:rFonts w:ascii="Arial" w:hAnsi="Arial" w:cs="Arial"/>
          <w:sz w:val="22"/>
        </w:rPr>
      </w:pPr>
    </w:p>
    <w:p w:rsidR="004C3B79" w:rsidRDefault="004C3B79" w:rsidP="004C3B79">
      <w:pPr>
        <w:spacing w:after="160" w:line="259" w:lineRule="auto"/>
        <w:rPr>
          <w:rFonts w:ascii="Century Gothic" w:hAnsi="Century Gothic" w:cs="Arial"/>
          <w:sz w:val="22"/>
        </w:rPr>
      </w:pPr>
      <w:r>
        <w:rPr>
          <w:rFonts w:ascii="Century Gothic" w:hAnsi="Century Gothic" w:cs="Arial"/>
          <w:sz w:val="22"/>
        </w:rPr>
        <w:br w:type="page"/>
      </w:r>
    </w:p>
    <w:p w:rsidR="004C3B79" w:rsidRPr="007565D3" w:rsidRDefault="004C3B79" w:rsidP="004C3B79">
      <w:pPr>
        <w:pStyle w:val="BodyTextIndent"/>
        <w:tabs>
          <w:tab w:val="clear" w:pos="709"/>
          <w:tab w:val="left" w:pos="567"/>
        </w:tabs>
        <w:rPr>
          <w:rFonts w:cs="Arial"/>
          <w:sz w:val="22"/>
        </w:rPr>
      </w:pPr>
    </w:p>
    <w:p w:rsidR="004C3B79" w:rsidRPr="007565D3" w:rsidRDefault="004C3B79" w:rsidP="004C3B79">
      <w:pPr>
        <w:pStyle w:val="BodyTextIndent"/>
        <w:tabs>
          <w:tab w:val="clear" w:pos="709"/>
          <w:tab w:val="left" w:pos="567"/>
        </w:tabs>
        <w:rPr>
          <w:rFonts w:cs="Arial"/>
          <w:b/>
          <w:sz w:val="22"/>
        </w:rPr>
      </w:pPr>
      <w:r w:rsidRPr="007565D3">
        <w:rPr>
          <w:rFonts w:cs="Arial"/>
          <w:b/>
          <w:sz w:val="22"/>
        </w:rPr>
        <w:t>4.</w:t>
      </w:r>
      <w:r w:rsidRPr="007565D3">
        <w:rPr>
          <w:rFonts w:cs="Arial"/>
          <w:b/>
          <w:sz w:val="22"/>
        </w:rPr>
        <w:tab/>
        <w:t>REVENUE BUDGET 2018/19</w:t>
      </w:r>
    </w:p>
    <w:p w:rsidR="004C3B79" w:rsidRPr="007565D3" w:rsidRDefault="004C3B79" w:rsidP="004C3B79">
      <w:pPr>
        <w:pStyle w:val="BodyTextIndent"/>
        <w:rPr>
          <w:rFonts w:cs="Arial"/>
          <w:sz w:val="22"/>
        </w:rPr>
      </w:pPr>
    </w:p>
    <w:p w:rsidR="004C3B79" w:rsidRPr="007565D3" w:rsidRDefault="004C3B79" w:rsidP="004C3B79">
      <w:pPr>
        <w:pStyle w:val="BodyTextIndent"/>
        <w:rPr>
          <w:rFonts w:cs="Arial"/>
          <w:sz w:val="22"/>
        </w:rPr>
      </w:pPr>
    </w:p>
    <w:p w:rsidR="004C3B79" w:rsidRPr="007565D3" w:rsidRDefault="004C3B79" w:rsidP="004C3B79">
      <w:pPr>
        <w:ind w:left="567" w:hanging="567"/>
        <w:rPr>
          <w:rFonts w:ascii="Arial" w:hAnsi="Arial" w:cs="Arial"/>
          <w:color w:val="000000"/>
          <w:sz w:val="22"/>
          <w:szCs w:val="22"/>
          <w:highlight w:val="yellow"/>
        </w:rPr>
      </w:pPr>
      <w:r w:rsidRPr="007565D3">
        <w:rPr>
          <w:rFonts w:ascii="Arial" w:hAnsi="Arial" w:cs="Arial"/>
          <w:color w:val="000000"/>
          <w:sz w:val="22"/>
          <w:szCs w:val="22"/>
        </w:rPr>
        <w:t>4.1</w:t>
      </w:r>
      <w:r w:rsidRPr="007565D3">
        <w:rPr>
          <w:rFonts w:ascii="Arial" w:hAnsi="Arial" w:cs="Arial"/>
          <w:color w:val="000000"/>
          <w:sz w:val="22"/>
          <w:szCs w:val="22"/>
        </w:rPr>
        <w:tab/>
        <w:t>The budget sets out the resources which are available to fund my Mayoral PCC functions and GMP to resource policing services in support of the Standing Together Plan. It goes without saying that the appropriate distribution and deployment of those resources is critical to its success. The agreed budget for 2018/19 is as follows:</w:t>
      </w:r>
    </w:p>
    <w:p w:rsidR="004C3B79" w:rsidRPr="007565D3" w:rsidRDefault="004C3B79" w:rsidP="004C3B79">
      <w:pPr>
        <w:ind w:left="567" w:hanging="567"/>
        <w:rPr>
          <w:rFonts w:ascii="Arial" w:hAnsi="Arial" w:cs="Arial"/>
          <w:color w:val="000000"/>
          <w:sz w:val="22"/>
          <w:szCs w:val="22"/>
          <w:highlight w:val="yellow"/>
        </w:rPr>
      </w:pPr>
    </w:p>
    <w:tbl>
      <w:tblPr>
        <w:tblW w:w="6226" w:type="dxa"/>
        <w:tblInd w:w="715" w:type="dxa"/>
        <w:tblLook w:val="04A0" w:firstRow="1" w:lastRow="0" w:firstColumn="1" w:lastColumn="0" w:noHBand="0" w:noVBand="1"/>
      </w:tblPr>
      <w:tblGrid>
        <w:gridCol w:w="3675"/>
        <w:gridCol w:w="2551"/>
      </w:tblGrid>
      <w:tr w:rsidR="004C3B79" w:rsidRPr="007565D3" w:rsidTr="00721530">
        <w:trPr>
          <w:trHeight w:val="575"/>
        </w:trPr>
        <w:tc>
          <w:tcPr>
            <w:tcW w:w="3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B79" w:rsidRPr="007565D3" w:rsidRDefault="004C3B79" w:rsidP="00721530">
            <w:pPr>
              <w:rPr>
                <w:rFonts w:ascii="Arial" w:hAnsi="Arial" w:cs="Arial"/>
                <w:color w:val="000000"/>
                <w:sz w:val="22"/>
                <w:szCs w:val="22"/>
              </w:rPr>
            </w:pPr>
            <w:r w:rsidRPr="007565D3">
              <w:rPr>
                <w:rFonts w:ascii="Arial" w:hAnsi="Arial" w:cs="Arial"/>
                <w:color w:val="000000"/>
                <w:sz w:val="22"/>
                <w:szCs w:val="22"/>
              </w:rPr>
              <w:t> </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4C3B79" w:rsidRPr="007565D3" w:rsidRDefault="004C3B79" w:rsidP="00721530">
            <w:pPr>
              <w:jc w:val="center"/>
              <w:rPr>
                <w:rFonts w:ascii="Arial" w:hAnsi="Arial" w:cs="Arial"/>
                <w:b/>
                <w:bCs/>
                <w:color w:val="000000"/>
                <w:sz w:val="22"/>
                <w:szCs w:val="22"/>
              </w:rPr>
            </w:pPr>
            <w:r w:rsidRPr="007565D3">
              <w:rPr>
                <w:rFonts w:ascii="Arial" w:hAnsi="Arial" w:cs="Arial"/>
                <w:b/>
                <w:bCs/>
                <w:color w:val="000000"/>
                <w:sz w:val="22"/>
                <w:szCs w:val="22"/>
              </w:rPr>
              <w:t>2018/19                        £</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sz w:val="22"/>
                <w:szCs w:val="22"/>
              </w:rPr>
            </w:pPr>
            <w:r w:rsidRPr="007565D3">
              <w:rPr>
                <w:rFonts w:ascii="Arial" w:hAnsi="Arial" w:cs="Arial"/>
                <w:sz w:val="22"/>
                <w:szCs w:val="22"/>
              </w:rPr>
              <w:t>Employee Related</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000000"/>
                <w:sz w:val="22"/>
                <w:szCs w:val="22"/>
              </w:rPr>
              <w:t>£504,453,412</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sz w:val="22"/>
                <w:szCs w:val="22"/>
              </w:rPr>
            </w:pPr>
            <w:r w:rsidRPr="007565D3">
              <w:rPr>
                <w:rFonts w:ascii="Arial" w:hAnsi="Arial" w:cs="Arial"/>
                <w:sz w:val="22"/>
                <w:szCs w:val="22"/>
              </w:rPr>
              <w:t>Pensions</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000000"/>
                <w:sz w:val="22"/>
                <w:szCs w:val="22"/>
              </w:rPr>
              <w:t>£125,620,683</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sz w:val="22"/>
                <w:szCs w:val="22"/>
              </w:rPr>
            </w:pPr>
            <w:r w:rsidRPr="007565D3">
              <w:rPr>
                <w:rFonts w:ascii="Arial" w:hAnsi="Arial" w:cs="Arial"/>
                <w:sz w:val="22"/>
                <w:szCs w:val="22"/>
              </w:rPr>
              <w:t>Premises Related</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000000"/>
                <w:sz w:val="22"/>
                <w:szCs w:val="22"/>
              </w:rPr>
              <w:t>£31,280,785</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sz w:val="22"/>
                <w:szCs w:val="22"/>
              </w:rPr>
            </w:pPr>
            <w:r w:rsidRPr="007565D3">
              <w:rPr>
                <w:rFonts w:ascii="Arial" w:hAnsi="Arial" w:cs="Arial"/>
                <w:sz w:val="22"/>
                <w:szCs w:val="22"/>
              </w:rPr>
              <w:t>Supplies &amp; Services</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000000"/>
                <w:sz w:val="22"/>
                <w:szCs w:val="22"/>
              </w:rPr>
              <w:t>£55,964,456</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sz w:val="22"/>
                <w:szCs w:val="22"/>
              </w:rPr>
            </w:pPr>
            <w:r w:rsidRPr="007565D3">
              <w:rPr>
                <w:rFonts w:ascii="Arial" w:hAnsi="Arial" w:cs="Arial"/>
                <w:sz w:val="22"/>
                <w:szCs w:val="22"/>
              </w:rPr>
              <w:t>Agency Payments</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000000"/>
                <w:sz w:val="22"/>
                <w:szCs w:val="22"/>
              </w:rPr>
              <w:t>£22,138,124</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sz w:val="22"/>
                <w:szCs w:val="22"/>
              </w:rPr>
            </w:pPr>
            <w:r w:rsidRPr="007565D3">
              <w:rPr>
                <w:rFonts w:ascii="Arial" w:hAnsi="Arial" w:cs="Arial"/>
                <w:sz w:val="22"/>
                <w:szCs w:val="22"/>
              </w:rPr>
              <w:t>Transport Related</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000000"/>
                <w:sz w:val="22"/>
                <w:szCs w:val="22"/>
              </w:rPr>
              <w:t>£6,294,299</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sz w:val="22"/>
                <w:szCs w:val="22"/>
              </w:rPr>
            </w:pPr>
            <w:r w:rsidRPr="007565D3">
              <w:rPr>
                <w:rFonts w:ascii="Arial" w:hAnsi="Arial" w:cs="Arial"/>
                <w:sz w:val="22"/>
                <w:szCs w:val="22"/>
              </w:rPr>
              <w:t>Capital Financing</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000000"/>
                <w:sz w:val="22"/>
                <w:szCs w:val="22"/>
              </w:rPr>
              <w:t>£30,839,020</w:t>
            </w:r>
          </w:p>
        </w:tc>
      </w:tr>
      <w:tr w:rsidR="004C3B79" w:rsidRPr="007565D3" w:rsidTr="00721530">
        <w:trPr>
          <w:trHeight w:val="575"/>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sz w:val="22"/>
                <w:szCs w:val="22"/>
              </w:rPr>
            </w:pPr>
            <w:r w:rsidRPr="007565D3">
              <w:rPr>
                <w:rFonts w:ascii="Arial" w:hAnsi="Arial" w:cs="Arial"/>
                <w:sz w:val="22"/>
                <w:szCs w:val="22"/>
              </w:rPr>
              <w:t>Transfer to/from Reserves</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FF0000"/>
                <w:sz w:val="22"/>
                <w:szCs w:val="22"/>
              </w:rPr>
              <w:t>(£11,924,071)</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sz w:val="22"/>
                <w:szCs w:val="22"/>
              </w:rPr>
            </w:pPr>
            <w:r w:rsidRPr="007565D3">
              <w:rPr>
                <w:rFonts w:ascii="Arial" w:hAnsi="Arial" w:cs="Arial"/>
                <w:sz w:val="22"/>
                <w:szCs w:val="22"/>
              </w:rPr>
              <w:t xml:space="preserve">Specific Grants </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FF0000"/>
                <w:sz w:val="22"/>
                <w:szCs w:val="22"/>
              </w:rPr>
              <w:t>(£170,972,636)</w:t>
            </w:r>
          </w:p>
        </w:tc>
      </w:tr>
      <w:tr w:rsidR="004C3B79" w:rsidRPr="007565D3" w:rsidTr="00721530">
        <w:trPr>
          <w:trHeight w:val="575"/>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sz w:val="22"/>
                <w:szCs w:val="22"/>
              </w:rPr>
            </w:pPr>
            <w:r w:rsidRPr="007565D3">
              <w:rPr>
                <w:rFonts w:ascii="Arial" w:hAnsi="Arial" w:cs="Arial"/>
                <w:sz w:val="22"/>
                <w:szCs w:val="22"/>
              </w:rPr>
              <w:t>Income &amp; Sponsorship</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FF0000"/>
                <w:sz w:val="22"/>
                <w:szCs w:val="22"/>
              </w:rPr>
              <w:t>(£34,836,246)</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b/>
                <w:bCs/>
                <w:sz w:val="22"/>
                <w:szCs w:val="22"/>
              </w:rPr>
            </w:pPr>
            <w:r w:rsidRPr="007565D3">
              <w:rPr>
                <w:rFonts w:ascii="Arial" w:hAnsi="Arial" w:cs="Arial"/>
                <w:b/>
                <w:bCs/>
                <w:sz w:val="22"/>
                <w:szCs w:val="22"/>
              </w:rPr>
              <w:t>Total Other Costs</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000000"/>
                <w:sz w:val="22"/>
                <w:szCs w:val="22"/>
              </w:rPr>
              <w:t>£54,404,414</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sz w:val="22"/>
                <w:szCs w:val="22"/>
              </w:rPr>
            </w:pPr>
            <w:r w:rsidRPr="007565D3">
              <w:rPr>
                <w:rFonts w:ascii="Arial" w:hAnsi="Arial" w:cs="Arial"/>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rPr>
                <w:rFonts w:ascii="Arial" w:hAnsi="Arial" w:cs="Arial"/>
                <w:color w:val="000000"/>
                <w:sz w:val="22"/>
                <w:szCs w:val="22"/>
              </w:rPr>
            </w:pPr>
            <w:r w:rsidRPr="007565D3">
              <w:rPr>
                <w:rFonts w:ascii="Arial" w:hAnsi="Arial" w:cs="Arial"/>
                <w:color w:val="000000"/>
                <w:sz w:val="22"/>
                <w:szCs w:val="22"/>
              </w:rPr>
              <w:t> </w:t>
            </w:r>
          </w:p>
        </w:tc>
      </w:tr>
      <w:tr w:rsidR="004C3B79" w:rsidRPr="007565D3" w:rsidTr="00721530">
        <w:trPr>
          <w:trHeight w:val="575"/>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b/>
                <w:bCs/>
                <w:sz w:val="22"/>
                <w:szCs w:val="22"/>
              </w:rPr>
            </w:pPr>
            <w:r w:rsidRPr="007565D3">
              <w:rPr>
                <w:rFonts w:ascii="Arial" w:hAnsi="Arial" w:cs="Arial"/>
                <w:b/>
                <w:bCs/>
                <w:sz w:val="22"/>
                <w:szCs w:val="22"/>
              </w:rPr>
              <w:t>Net Budget Requirement</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000000"/>
                <w:sz w:val="22"/>
                <w:szCs w:val="22"/>
              </w:rPr>
              <w:t>£558,857,826</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sz w:val="22"/>
                <w:szCs w:val="22"/>
              </w:rPr>
            </w:pPr>
            <w:r w:rsidRPr="007565D3">
              <w:rPr>
                <w:rFonts w:ascii="Arial" w:hAnsi="Arial" w:cs="Arial"/>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rPr>
                <w:rFonts w:ascii="Arial" w:hAnsi="Arial" w:cs="Arial"/>
                <w:color w:val="000000"/>
                <w:sz w:val="22"/>
                <w:szCs w:val="22"/>
              </w:rPr>
            </w:pPr>
            <w:r w:rsidRPr="007565D3">
              <w:rPr>
                <w:rFonts w:ascii="Arial" w:hAnsi="Arial" w:cs="Arial"/>
                <w:color w:val="000000"/>
                <w:sz w:val="22"/>
                <w:szCs w:val="22"/>
              </w:rPr>
              <w:t> </w:t>
            </w:r>
          </w:p>
        </w:tc>
      </w:tr>
      <w:tr w:rsidR="004C3B79" w:rsidRPr="007565D3" w:rsidTr="00721530">
        <w:trPr>
          <w:trHeight w:val="575"/>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sz w:val="22"/>
                <w:szCs w:val="22"/>
              </w:rPr>
            </w:pPr>
            <w:r w:rsidRPr="007565D3">
              <w:rPr>
                <w:rFonts w:ascii="Arial" w:hAnsi="Arial" w:cs="Arial"/>
                <w:sz w:val="22"/>
                <w:szCs w:val="22"/>
              </w:rPr>
              <w:t>Home Office Grant/RSG/NNDR</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FF0000"/>
                <w:sz w:val="22"/>
                <w:szCs w:val="22"/>
              </w:rPr>
              <w:t>(£428,017,738)</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sz w:val="22"/>
                <w:szCs w:val="22"/>
              </w:rPr>
            </w:pPr>
            <w:r w:rsidRPr="007565D3">
              <w:rPr>
                <w:rFonts w:ascii="Arial" w:hAnsi="Arial" w:cs="Arial"/>
                <w:sz w:val="22"/>
                <w:szCs w:val="22"/>
              </w:rPr>
              <w:t>Precept/ CT Surplus</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FF0000"/>
                <w:sz w:val="22"/>
                <w:szCs w:val="22"/>
              </w:rPr>
              <w:t>(£130,840,088)</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b/>
                <w:bCs/>
                <w:sz w:val="22"/>
                <w:szCs w:val="22"/>
              </w:rPr>
            </w:pPr>
            <w:r w:rsidRPr="007565D3">
              <w:rPr>
                <w:rFonts w:ascii="Arial" w:hAnsi="Arial" w:cs="Arial"/>
                <w:b/>
                <w:bCs/>
                <w:sz w:val="22"/>
                <w:szCs w:val="22"/>
              </w:rPr>
              <w:t>Total Funding</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FF0000"/>
                <w:sz w:val="22"/>
                <w:szCs w:val="22"/>
              </w:rPr>
              <w:t>(£558,857,826)</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b/>
                <w:bCs/>
                <w:sz w:val="22"/>
                <w:szCs w:val="22"/>
              </w:rPr>
            </w:pPr>
            <w:r w:rsidRPr="007565D3">
              <w:rPr>
                <w:rFonts w:ascii="Arial" w:hAnsi="Arial" w:cs="Arial"/>
                <w:b/>
                <w:bCs/>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rPr>
                <w:rFonts w:ascii="Arial" w:hAnsi="Arial" w:cs="Arial"/>
                <w:color w:val="000000"/>
                <w:sz w:val="22"/>
                <w:szCs w:val="22"/>
              </w:rPr>
            </w:pPr>
            <w:r w:rsidRPr="007565D3">
              <w:rPr>
                <w:rFonts w:ascii="Arial" w:hAnsi="Arial" w:cs="Arial"/>
                <w:color w:val="000000"/>
                <w:sz w:val="22"/>
                <w:szCs w:val="22"/>
              </w:rPr>
              <w:t> </w:t>
            </w:r>
          </w:p>
        </w:tc>
      </w:tr>
      <w:tr w:rsidR="004C3B79" w:rsidRPr="007565D3" w:rsidTr="00721530">
        <w:trPr>
          <w:trHeight w:val="292"/>
        </w:trPr>
        <w:tc>
          <w:tcPr>
            <w:tcW w:w="3675" w:type="dxa"/>
            <w:tcBorders>
              <w:top w:val="nil"/>
              <w:left w:val="single" w:sz="4" w:space="0" w:color="auto"/>
              <w:bottom w:val="single" w:sz="4" w:space="0" w:color="auto"/>
              <w:right w:val="single" w:sz="4" w:space="0" w:color="auto"/>
            </w:tcBorders>
            <w:shd w:val="clear" w:color="auto" w:fill="auto"/>
            <w:vAlign w:val="bottom"/>
            <w:hideMark/>
          </w:tcPr>
          <w:p w:rsidR="004C3B79" w:rsidRPr="007565D3" w:rsidRDefault="004C3B79" w:rsidP="00721530">
            <w:pPr>
              <w:rPr>
                <w:rFonts w:ascii="Arial" w:hAnsi="Arial" w:cs="Arial"/>
                <w:b/>
                <w:bCs/>
                <w:sz w:val="22"/>
                <w:szCs w:val="22"/>
              </w:rPr>
            </w:pPr>
            <w:r w:rsidRPr="007565D3">
              <w:rPr>
                <w:rFonts w:ascii="Arial" w:hAnsi="Arial" w:cs="Arial"/>
                <w:b/>
                <w:bCs/>
                <w:sz w:val="22"/>
                <w:szCs w:val="22"/>
              </w:rPr>
              <w:t>Surplus / Shortfall</w:t>
            </w:r>
          </w:p>
        </w:tc>
        <w:tc>
          <w:tcPr>
            <w:tcW w:w="2551" w:type="dxa"/>
            <w:tcBorders>
              <w:top w:val="nil"/>
              <w:left w:val="nil"/>
              <w:bottom w:val="single" w:sz="4" w:space="0" w:color="auto"/>
              <w:right w:val="single" w:sz="4" w:space="0" w:color="auto"/>
            </w:tcBorders>
            <w:shd w:val="clear" w:color="auto" w:fill="auto"/>
            <w:noWrap/>
            <w:vAlign w:val="bottom"/>
            <w:hideMark/>
          </w:tcPr>
          <w:p w:rsidR="004C3B79" w:rsidRPr="007565D3" w:rsidRDefault="004C3B79" w:rsidP="00721530">
            <w:pPr>
              <w:jc w:val="right"/>
              <w:rPr>
                <w:rFonts w:ascii="Arial" w:hAnsi="Arial" w:cs="Arial"/>
                <w:color w:val="000000"/>
                <w:sz w:val="22"/>
                <w:szCs w:val="22"/>
              </w:rPr>
            </w:pPr>
            <w:r w:rsidRPr="007565D3">
              <w:rPr>
                <w:rFonts w:ascii="Arial" w:hAnsi="Arial" w:cs="Arial"/>
                <w:color w:val="FF0000"/>
                <w:sz w:val="22"/>
                <w:szCs w:val="22"/>
              </w:rPr>
              <w:t>(£0)</w:t>
            </w:r>
          </w:p>
        </w:tc>
      </w:tr>
    </w:tbl>
    <w:p w:rsidR="004C3B79" w:rsidRPr="007565D3" w:rsidRDefault="004C3B79" w:rsidP="004C3B79">
      <w:pPr>
        <w:ind w:left="567" w:hanging="567"/>
        <w:rPr>
          <w:rFonts w:ascii="Arial" w:hAnsi="Arial" w:cs="Arial"/>
          <w:color w:val="000000"/>
          <w:sz w:val="22"/>
          <w:szCs w:val="22"/>
          <w:highlight w:val="yellow"/>
        </w:rPr>
      </w:pPr>
    </w:p>
    <w:p w:rsidR="004C3B79" w:rsidRPr="007565D3" w:rsidRDefault="004C3B79" w:rsidP="004C3B79">
      <w:pPr>
        <w:ind w:left="567"/>
        <w:rPr>
          <w:rFonts w:ascii="Arial" w:hAnsi="Arial" w:cs="Arial"/>
          <w:color w:val="000000"/>
          <w:sz w:val="22"/>
          <w:szCs w:val="22"/>
          <w:highlight w:val="yellow"/>
        </w:rPr>
      </w:pPr>
    </w:p>
    <w:p w:rsidR="004C3B79" w:rsidRPr="007565D3" w:rsidRDefault="004C3B79" w:rsidP="004C3B79">
      <w:pPr>
        <w:ind w:left="567"/>
        <w:rPr>
          <w:rFonts w:ascii="Arial" w:hAnsi="Arial" w:cs="Arial"/>
          <w:i/>
          <w:sz w:val="20"/>
        </w:rPr>
      </w:pPr>
      <w:r w:rsidRPr="007565D3">
        <w:rPr>
          <w:rFonts w:ascii="Arial" w:hAnsi="Arial" w:cs="Arial"/>
          <w:sz w:val="22"/>
          <w:szCs w:val="22"/>
        </w:rPr>
        <w:t xml:space="preserve">  </w:t>
      </w:r>
      <w:r w:rsidRPr="007565D3">
        <w:rPr>
          <w:rFonts w:ascii="Arial" w:hAnsi="Arial" w:cs="Arial"/>
          <w:i/>
          <w:sz w:val="20"/>
        </w:rPr>
        <w:t>A comparison with 2017/18 can be found at Appendix 4</w:t>
      </w:r>
    </w:p>
    <w:p w:rsidR="004C3B79" w:rsidRPr="007565D3" w:rsidRDefault="004C3B79" w:rsidP="004C3B79">
      <w:pPr>
        <w:ind w:left="567"/>
        <w:rPr>
          <w:rFonts w:ascii="Arial" w:hAnsi="Arial" w:cs="Arial"/>
          <w:i/>
          <w:sz w:val="20"/>
        </w:rPr>
      </w:pPr>
    </w:p>
    <w:p w:rsidR="004C3B79" w:rsidRPr="007565D3" w:rsidRDefault="004C3B79" w:rsidP="004C3B79">
      <w:pPr>
        <w:ind w:left="567"/>
        <w:rPr>
          <w:rFonts w:ascii="Arial" w:hAnsi="Arial" w:cs="Arial"/>
          <w:i/>
          <w:sz w:val="20"/>
        </w:rPr>
      </w:pPr>
    </w:p>
    <w:p w:rsidR="004C3B79" w:rsidRDefault="004C3B79" w:rsidP="004C3B79">
      <w:pPr>
        <w:ind w:left="567"/>
        <w:rPr>
          <w:rFonts w:ascii="Century Gothic" w:hAnsi="Century Gothic" w:cs="Arial"/>
          <w:i/>
          <w:sz w:val="20"/>
        </w:rPr>
      </w:pPr>
    </w:p>
    <w:p w:rsidR="004C3B79" w:rsidRDefault="004C3B79" w:rsidP="004C3B79">
      <w:pPr>
        <w:ind w:left="567"/>
        <w:rPr>
          <w:rFonts w:ascii="Century Gothic" w:hAnsi="Century Gothic" w:cs="Arial"/>
          <w:i/>
          <w:sz w:val="20"/>
        </w:rPr>
      </w:pPr>
    </w:p>
    <w:p w:rsidR="004C3B79" w:rsidRDefault="004C3B79" w:rsidP="004C3B79">
      <w:pPr>
        <w:ind w:left="567"/>
        <w:rPr>
          <w:rFonts w:ascii="Century Gothic" w:hAnsi="Century Gothic" w:cs="Arial"/>
          <w:i/>
          <w:sz w:val="20"/>
        </w:rPr>
      </w:pPr>
    </w:p>
    <w:p w:rsidR="004C3B79" w:rsidRDefault="004C3B79" w:rsidP="004C3B79">
      <w:pPr>
        <w:ind w:left="567"/>
        <w:rPr>
          <w:rFonts w:ascii="Century Gothic" w:hAnsi="Century Gothic" w:cs="Arial"/>
          <w:i/>
          <w:sz w:val="20"/>
        </w:rPr>
      </w:pPr>
    </w:p>
    <w:p w:rsidR="004C3B79" w:rsidRDefault="004C3B79" w:rsidP="004C3B79">
      <w:pPr>
        <w:ind w:left="567"/>
        <w:rPr>
          <w:rFonts w:ascii="Century Gothic" w:hAnsi="Century Gothic" w:cs="Arial"/>
          <w:i/>
          <w:sz w:val="20"/>
        </w:rPr>
      </w:pPr>
    </w:p>
    <w:p w:rsidR="004C3B79" w:rsidRDefault="004C3B79" w:rsidP="004C3B79">
      <w:pPr>
        <w:ind w:left="567"/>
        <w:rPr>
          <w:rFonts w:ascii="Century Gothic" w:hAnsi="Century Gothic" w:cs="Arial"/>
          <w:i/>
          <w:sz w:val="20"/>
        </w:rPr>
      </w:pPr>
    </w:p>
    <w:p w:rsidR="004C3B79" w:rsidRPr="007565D3" w:rsidRDefault="004C3B79" w:rsidP="004C3B79">
      <w:pPr>
        <w:ind w:left="567" w:hanging="567"/>
        <w:rPr>
          <w:rFonts w:ascii="Arial" w:hAnsi="Arial" w:cs="Arial"/>
          <w:i/>
          <w:sz w:val="20"/>
        </w:rPr>
      </w:pPr>
      <w:r w:rsidRPr="007565D3">
        <w:rPr>
          <w:rFonts w:ascii="Arial" w:hAnsi="Arial" w:cs="Arial"/>
          <w:sz w:val="22"/>
        </w:rPr>
        <w:t>4.2</w:t>
      </w:r>
      <w:r w:rsidRPr="007565D3">
        <w:rPr>
          <w:rFonts w:ascii="Arial" w:hAnsi="Arial" w:cs="Arial"/>
          <w:sz w:val="22"/>
        </w:rPr>
        <w:tab/>
        <w:t>The following key budget assumptions have been made in developing the budget. Ideally this would represent a four year strategy however the Home Office continue to issue a one year settlement due to the delay of the funding formula review.</w:t>
      </w:r>
    </w:p>
    <w:p w:rsidR="004C3B79" w:rsidRPr="007565D3" w:rsidRDefault="004C3B79" w:rsidP="004C3B79">
      <w:pPr>
        <w:tabs>
          <w:tab w:val="left" w:pos="0"/>
          <w:tab w:val="left" w:pos="567"/>
        </w:tabs>
        <w:ind w:left="567"/>
        <w:jc w:val="both"/>
        <w:rPr>
          <w:rFonts w:ascii="Arial" w:hAnsi="Arial" w:cs="Arial"/>
          <w:sz w:val="22"/>
        </w:rPr>
      </w:pPr>
    </w:p>
    <w:p w:rsidR="004C3B79" w:rsidRPr="007565D3" w:rsidRDefault="004C3B79" w:rsidP="004C3B79">
      <w:pPr>
        <w:pStyle w:val="ListParagraph"/>
        <w:numPr>
          <w:ilvl w:val="0"/>
          <w:numId w:val="26"/>
        </w:numPr>
        <w:tabs>
          <w:tab w:val="left" w:pos="0"/>
          <w:tab w:val="left" w:pos="567"/>
        </w:tabs>
        <w:ind w:left="1434" w:hanging="357"/>
        <w:jc w:val="both"/>
        <w:rPr>
          <w:rFonts w:cs="Arial"/>
          <w:sz w:val="22"/>
        </w:rPr>
      </w:pPr>
      <w:r w:rsidRPr="007565D3">
        <w:rPr>
          <w:rFonts w:cs="Arial"/>
          <w:sz w:val="22"/>
        </w:rPr>
        <w:t xml:space="preserve">Pay awards of 2% </w:t>
      </w:r>
    </w:p>
    <w:p w:rsidR="004C3B79" w:rsidRPr="007565D3" w:rsidRDefault="004C3B79" w:rsidP="004C3B79">
      <w:pPr>
        <w:pStyle w:val="ListParagraph"/>
        <w:numPr>
          <w:ilvl w:val="0"/>
          <w:numId w:val="26"/>
        </w:numPr>
        <w:tabs>
          <w:tab w:val="left" w:pos="0"/>
          <w:tab w:val="left" w:pos="567"/>
        </w:tabs>
        <w:ind w:left="1434" w:hanging="357"/>
        <w:jc w:val="both"/>
        <w:rPr>
          <w:rFonts w:cs="Arial"/>
          <w:sz w:val="22"/>
        </w:rPr>
      </w:pPr>
      <w:r w:rsidRPr="007565D3">
        <w:rPr>
          <w:rFonts w:cs="Arial"/>
          <w:sz w:val="22"/>
        </w:rPr>
        <w:t>Assume no price inflation unless evidence suggests otherwise</w:t>
      </w:r>
    </w:p>
    <w:p w:rsidR="004C3B79" w:rsidRPr="007565D3" w:rsidRDefault="004C3B79" w:rsidP="004C3B79">
      <w:pPr>
        <w:pStyle w:val="ListParagraph"/>
        <w:numPr>
          <w:ilvl w:val="0"/>
          <w:numId w:val="26"/>
        </w:numPr>
        <w:tabs>
          <w:tab w:val="left" w:pos="0"/>
          <w:tab w:val="left" w:pos="567"/>
        </w:tabs>
        <w:ind w:left="1434" w:hanging="357"/>
        <w:jc w:val="both"/>
        <w:rPr>
          <w:rFonts w:cs="Arial"/>
          <w:sz w:val="22"/>
        </w:rPr>
      </w:pPr>
      <w:r w:rsidRPr="007565D3">
        <w:rPr>
          <w:rFonts w:cs="Arial"/>
          <w:sz w:val="22"/>
        </w:rPr>
        <w:t>Pension contributions remain static for the next 3 years</w:t>
      </w:r>
    </w:p>
    <w:p w:rsidR="004C3B79" w:rsidRPr="007565D3" w:rsidRDefault="004C3B79" w:rsidP="004C3B79">
      <w:pPr>
        <w:pStyle w:val="ListParagraph"/>
        <w:numPr>
          <w:ilvl w:val="0"/>
          <w:numId w:val="26"/>
        </w:numPr>
        <w:tabs>
          <w:tab w:val="left" w:pos="0"/>
          <w:tab w:val="left" w:pos="567"/>
        </w:tabs>
        <w:ind w:left="1434" w:hanging="357"/>
        <w:jc w:val="both"/>
        <w:rPr>
          <w:rFonts w:cs="Arial"/>
          <w:sz w:val="22"/>
        </w:rPr>
      </w:pPr>
      <w:r w:rsidRPr="007565D3">
        <w:rPr>
          <w:rFonts w:cs="Arial"/>
          <w:sz w:val="22"/>
        </w:rPr>
        <w:t xml:space="preserve">Community Safety Fund to remain at the same level as 2017/18 </w:t>
      </w:r>
    </w:p>
    <w:p w:rsidR="004C3B79" w:rsidRPr="007565D3" w:rsidRDefault="004C3B79" w:rsidP="004C3B79">
      <w:pPr>
        <w:pStyle w:val="ListParagraph"/>
        <w:numPr>
          <w:ilvl w:val="0"/>
          <w:numId w:val="26"/>
        </w:numPr>
        <w:tabs>
          <w:tab w:val="left" w:pos="0"/>
          <w:tab w:val="left" w:pos="567"/>
        </w:tabs>
        <w:ind w:left="1434" w:hanging="357"/>
        <w:jc w:val="both"/>
        <w:rPr>
          <w:rFonts w:cs="Arial"/>
          <w:sz w:val="22"/>
        </w:rPr>
      </w:pPr>
      <w:r w:rsidRPr="007565D3">
        <w:rPr>
          <w:rFonts w:cs="Arial"/>
          <w:sz w:val="22"/>
        </w:rPr>
        <w:t>Increase the police precept for 2018/19 by £12 for a Band D property</w:t>
      </w:r>
    </w:p>
    <w:p w:rsidR="004C3B79" w:rsidRPr="007565D3" w:rsidRDefault="004C3B79" w:rsidP="004C3B79">
      <w:pPr>
        <w:pStyle w:val="ListParagraph"/>
        <w:numPr>
          <w:ilvl w:val="0"/>
          <w:numId w:val="26"/>
        </w:numPr>
        <w:tabs>
          <w:tab w:val="left" w:pos="0"/>
          <w:tab w:val="left" w:pos="567"/>
        </w:tabs>
        <w:ind w:left="1434" w:hanging="357"/>
        <w:jc w:val="both"/>
        <w:rPr>
          <w:rFonts w:cs="Arial"/>
          <w:sz w:val="22"/>
        </w:rPr>
      </w:pPr>
      <w:r w:rsidRPr="007565D3">
        <w:rPr>
          <w:rFonts w:cs="Arial"/>
          <w:sz w:val="22"/>
        </w:rPr>
        <w:t>Council tax base and collection fund balances provided by each of the 10 Local Authorities</w:t>
      </w:r>
    </w:p>
    <w:p w:rsidR="004C3B79" w:rsidRPr="007565D3" w:rsidRDefault="004C3B79" w:rsidP="004C3B79">
      <w:pPr>
        <w:pStyle w:val="ListParagraph"/>
        <w:tabs>
          <w:tab w:val="left" w:pos="0"/>
          <w:tab w:val="left" w:pos="567"/>
        </w:tabs>
        <w:ind w:left="1434"/>
        <w:jc w:val="both"/>
        <w:rPr>
          <w:rFonts w:cs="Arial"/>
          <w:sz w:val="22"/>
        </w:rPr>
      </w:pPr>
    </w:p>
    <w:p w:rsidR="004C3B79" w:rsidRPr="007565D3" w:rsidRDefault="004C3B79" w:rsidP="004C3B79">
      <w:pPr>
        <w:pStyle w:val="ListParagraph"/>
        <w:numPr>
          <w:ilvl w:val="1"/>
          <w:numId w:val="42"/>
        </w:numPr>
        <w:tabs>
          <w:tab w:val="left" w:pos="0"/>
          <w:tab w:val="left" w:pos="567"/>
        </w:tabs>
        <w:jc w:val="both"/>
        <w:rPr>
          <w:rFonts w:cs="Arial"/>
          <w:sz w:val="22"/>
        </w:rPr>
      </w:pPr>
      <w:r w:rsidRPr="007565D3">
        <w:rPr>
          <w:rFonts w:cs="Arial"/>
          <w:sz w:val="22"/>
        </w:rPr>
        <w:t xml:space="preserve">   With regard to operational transformation GMP is progressing on its journey to develop the</w:t>
      </w:r>
    </w:p>
    <w:p w:rsidR="004C3B79" w:rsidRPr="007565D3" w:rsidRDefault="004C3B79" w:rsidP="004C3B79">
      <w:pPr>
        <w:pStyle w:val="ListParagraph"/>
        <w:tabs>
          <w:tab w:val="left" w:pos="0"/>
          <w:tab w:val="left" w:pos="567"/>
        </w:tabs>
        <w:ind w:left="1134" w:hanging="567"/>
        <w:jc w:val="both"/>
        <w:rPr>
          <w:rFonts w:cs="Arial"/>
          <w:sz w:val="22"/>
        </w:rPr>
      </w:pPr>
      <w:r w:rsidRPr="007565D3">
        <w:rPr>
          <w:rFonts w:cs="Arial"/>
          <w:sz w:val="22"/>
        </w:rPr>
        <w:tab/>
        <w:t>new target operating model, which will ensure GMP is equipped and trained for the</w:t>
      </w:r>
    </w:p>
    <w:p w:rsidR="004C3B79" w:rsidRPr="007565D3" w:rsidRDefault="004C3B79" w:rsidP="004C3B79">
      <w:pPr>
        <w:pStyle w:val="ListParagraph"/>
        <w:tabs>
          <w:tab w:val="left" w:pos="0"/>
          <w:tab w:val="left" w:pos="567"/>
        </w:tabs>
        <w:ind w:left="1134" w:hanging="567"/>
        <w:jc w:val="both"/>
        <w:rPr>
          <w:rFonts w:cs="Arial"/>
          <w:sz w:val="22"/>
        </w:rPr>
      </w:pPr>
      <w:r w:rsidRPr="007565D3">
        <w:rPr>
          <w:rFonts w:cs="Arial"/>
          <w:sz w:val="22"/>
        </w:rPr>
        <w:tab/>
        <w:t>demands of the 21st Century. The target operating model is underpinned by 5 key</w:t>
      </w:r>
    </w:p>
    <w:p w:rsidR="004C3B79" w:rsidRPr="007565D3" w:rsidRDefault="004C3B79" w:rsidP="004C3B79">
      <w:pPr>
        <w:pStyle w:val="ListParagraph"/>
        <w:tabs>
          <w:tab w:val="left" w:pos="0"/>
          <w:tab w:val="left" w:pos="567"/>
        </w:tabs>
        <w:ind w:left="1134" w:hanging="567"/>
        <w:jc w:val="both"/>
        <w:rPr>
          <w:rFonts w:cs="Arial"/>
          <w:sz w:val="22"/>
        </w:rPr>
      </w:pPr>
      <w:r w:rsidRPr="007565D3">
        <w:rPr>
          <w:rFonts w:cs="Arial"/>
          <w:sz w:val="22"/>
        </w:rPr>
        <w:tab/>
        <w:t xml:space="preserve">principles: </w:t>
      </w:r>
    </w:p>
    <w:p w:rsidR="004C3B79" w:rsidRPr="007565D3" w:rsidRDefault="004C3B79" w:rsidP="004C3B79">
      <w:pPr>
        <w:pStyle w:val="ListParagraph"/>
        <w:tabs>
          <w:tab w:val="left" w:pos="0"/>
          <w:tab w:val="left" w:pos="567"/>
        </w:tabs>
        <w:jc w:val="both"/>
        <w:rPr>
          <w:rFonts w:cs="Arial"/>
          <w:sz w:val="22"/>
        </w:rPr>
      </w:pPr>
    </w:p>
    <w:p w:rsidR="004C3B79" w:rsidRPr="007565D3" w:rsidRDefault="004C3B79" w:rsidP="004C3B79">
      <w:pPr>
        <w:pStyle w:val="NormalWeb"/>
        <w:numPr>
          <w:ilvl w:val="0"/>
          <w:numId w:val="38"/>
        </w:numPr>
        <w:suppressAutoHyphens w:val="0"/>
        <w:spacing w:before="0" w:after="0"/>
        <w:rPr>
          <w:rFonts w:ascii="Arial" w:eastAsiaTheme="minorHAnsi" w:hAnsi="Arial" w:cs="Arial"/>
          <w:sz w:val="22"/>
          <w:szCs w:val="22"/>
        </w:rPr>
      </w:pPr>
      <w:r w:rsidRPr="007565D3">
        <w:rPr>
          <w:rFonts w:ascii="Arial" w:eastAsiaTheme="minorHAnsi" w:hAnsi="Arial" w:cs="Arial"/>
          <w:sz w:val="22"/>
          <w:szCs w:val="22"/>
        </w:rPr>
        <w:t xml:space="preserve">Achieve better outcomes through place based working </w:t>
      </w:r>
    </w:p>
    <w:p w:rsidR="004C3B79" w:rsidRPr="007565D3" w:rsidRDefault="004C3B79" w:rsidP="004C3B79">
      <w:pPr>
        <w:pStyle w:val="NormalWeb"/>
        <w:numPr>
          <w:ilvl w:val="0"/>
          <w:numId w:val="38"/>
        </w:numPr>
        <w:suppressAutoHyphens w:val="0"/>
        <w:spacing w:before="0" w:after="0"/>
        <w:rPr>
          <w:rFonts w:ascii="Arial" w:eastAsiaTheme="minorHAnsi" w:hAnsi="Arial" w:cs="Arial"/>
          <w:sz w:val="22"/>
          <w:szCs w:val="22"/>
        </w:rPr>
      </w:pPr>
      <w:r w:rsidRPr="007565D3">
        <w:rPr>
          <w:rFonts w:ascii="Arial" w:eastAsiaTheme="minorHAnsi" w:hAnsi="Arial" w:cs="Arial"/>
          <w:sz w:val="22"/>
          <w:szCs w:val="22"/>
        </w:rPr>
        <w:t xml:space="preserve">Prioritise activity according to threat, harm and risk </w:t>
      </w:r>
    </w:p>
    <w:p w:rsidR="004C3B79" w:rsidRPr="007565D3" w:rsidRDefault="004C3B79" w:rsidP="004C3B79">
      <w:pPr>
        <w:pStyle w:val="NormalWeb"/>
        <w:numPr>
          <w:ilvl w:val="0"/>
          <w:numId w:val="38"/>
        </w:numPr>
        <w:suppressAutoHyphens w:val="0"/>
        <w:spacing w:before="0" w:after="0"/>
        <w:rPr>
          <w:rFonts w:ascii="Arial" w:eastAsiaTheme="minorHAnsi" w:hAnsi="Arial" w:cs="Arial"/>
          <w:sz w:val="22"/>
          <w:szCs w:val="22"/>
        </w:rPr>
      </w:pPr>
      <w:r w:rsidRPr="007565D3">
        <w:rPr>
          <w:rFonts w:ascii="Arial" w:eastAsiaTheme="minorHAnsi" w:hAnsi="Arial" w:cs="Arial"/>
          <w:sz w:val="22"/>
          <w:szCs w:val="22"/>
        </w:rPr>
        <w:t xml:space="preserve">Build a binding relationship with the people of Greater Manchester </w:t>
      </w:r>
    </w:p>
    <w:p w:rsidR="004C3B79" w:rsidRPr="007565D3" w:rsidRDefault="004C3B79" w:rsidP="004C3B79">
      <w:pPr>
        <w:pStyle w:val="NormalWeb"/>
        <w:numPr>
          <w:ilvl w:val="0"/>
          <w:numId w:val="38"/>
        </w:numPr>
        <w:suppressAutoHyphens w:val="0"/>
        <w:spacing w:before="0" w:after="0"/>
        <w:rPr>
          <w:rFonts w:ascii="Arial" w:eastAsiaTheme="minorHAnsi" w:hAnsi="Arial" w:cs="Arial"/>
          <w:sz w:val="22"/>
          <w:szCs w:val="22"/>
        </w:rPr>
      </w:pPr>
      <w:r w:rsidRPr="007565D3">
        <w:rPr>
          <w:rFonts w:ascii="Arial" w:eastAsiaTheme="minorHAnsi" w:hAnsi="Arial" w:cs="Arial"/>
          <w:sz w:val="22"/>
          <w:szCs w:val="22"/>
        </w:rPr>
        <w:t>Develop and support our workforce to change the way we work</w:t>
      </w:r>
    </w:p>
    <w:p w:rsidR="004C3B79" w:rsidRPr="007565D3" w:rsidRDefault="004C3B79" w:rsidP="004C3B79">
      <w:pPr>
        <w:pStyle w:val="NormalWeb"/>
        <w:numPr>
          <w:ilvl w:val="0"/>
          <w:numId w:val="38"/>
        </w:numPr>
        <w:suppressAutoHyphens w:val="0"/>
        <w:spacing w:before="0" w:after="0"/>
        <w:rPr>
          <w:rFonts w:ascii="Arial" w:eastAsiaTheme="minorHAnsi" w:hAnsi="Arial" w:cs="Arial"/>
          <w:sz w:val="22"/>
          <w:szCs w:val="22"/>
        </w:rPr>
      </w:pPr>
      <w:r w:rsidRPr="007565D3">
        <w:rPr>
          <w:rFonts w:ascii="Arial" w:eastAsiaTheme="minorHAnsi" w:hAnsi="Arial" w:cs="Arial"/>
          <w:sz w:val="22"/>
          <w:szCs w:val="22"/>
        </w:rPr>
        <w:t>Embrace opportunities from information and technology</w:t>
      </w:r>
    </w:p>
    <w:p w:rsidR="004C3B79" w:rsidRPr="007565D3" w:rsidRDefault="004C3B79" w:rsidP="004C3B79">
      <w:pPr>
        <w:tabs>
          <w:tab w:val="left" w:pos="3437"/>
        </w:tabs>
        <w:rPr>
          <w:rFonts w:ascii="Arial" w:hAnsi="Arial" w:cs="Arial"/>
          <w:sz w:val="22"/>
          <w:szCs w:val="22"/>
        </w:rPr>
      </w:pPr>
    </w:p>
    <w:p w:rsidR="004C3B79" w:rsidRPr="007565D3" w:rsidRDefault="004C3B79" w:rsidP="004C3B79">
      <w:pPr>
        <w:tabs>
          <w:tab w:val="left" w:pos="3437"/>
        </w:tabs>
        <w:ind w:left="720" w:hanging="720"/>
        <w:rPr>
          <w:rFonts w:ascii="Arial" w:hAnsi="Arial" w:cs="Arial"/>
          <w:sz w:val="22"/>
          <w:szCs w:val="22"/>
        </w:rPr>
      </w:pPr>
      <w:r w:rsidRPr="007565D3">
        <w:rPr>
          <w:rFonts w:ascii="Arial" w:hAnsi="Arial" w:cs="Arial"/>
          <w:sz w:val="22"/>
          <w:szCs w:val="22"/>
        </w:rPr>
        <w:tab/>
        <w:t>A high level plan incorporating 4 Programmes have been developed, further work to refine the financial impact and benefits.</w:t>
      </w:r>
    </w:p>
    <w:p w:rsidR="004C3B79" w:rsidRPr="00BA2A10" w:rsidRDefault="004C3B79" w:rsidP="004C3B79">
      <w:pPr>
        <w:tabs>
          <w:tab w:val="left" w:pos="3437"/>
        </w:tabs>
        <w:ind w:left="720" w:hanging="720"/>
        <w:rPr>
          <w:rFonts w:ascii="Arial" w:hAnsi="Arial" w:cs="Arial"/>
          <w:sz w:val="22"/>
          <w:szCs w:val="22"/>
        </w:rPr>
      </w:pPr>
    </w:p>
    <w:p w:rsidR="004C3B79" w:rsidRDefault="004C3B79" w:rsidP="004C3B79">
      <w:pPr>
        <w:pStyle w:val="NormalWeb"/>
        <w:kinsoku w:val="0"/>
        <w:overflowPunct w:val="0"/>
        <w:spacing w:before="0" w:after="0"/>
        <w:textAlignment w:val="baseline"/>
        <w:rPr>
          <w:rFonts w:ascii="Arial" w:eastAsiaTheme="minorHAnsi" w:hAnsi="Arial" w:cs="Arial"/>
          <w:sz w:val="22"/>
          <w:szCs w:val="22"/>
        </w:rPr>
      </w:pPr>
      <w:r>
        <w:rPr>
          <w:rFonts w:ascii="Arial" w:eastAsiaTheme="minorHAnsi" w:hAnsi="Arial" w:cs="Arial"/>
          <w:sz w:val="22"/>
          <w:szCs w:val="22"/>
        </w:rPr>
        <w:tab/>
      </w:r>
    </w:p>
    <w:p w:rsidR="004C3B79" w:rsidRPr="00BA2A10" w:rsidRDefault="004C3B79" w:rsidP="004C3B79">
      <w:pPr>
        <w:tabs>
          <w:tab w:val="left" w:pos="3437"/>
        </w:tabs>
        <w:ind w:firstLine="720"/>
        <w:rPr>
          <w:rFonts w:ascii="Arial" w:hAnsi="Arial" w:cs="Arial"/>
          <w:sz w:val="22"/>
          <w:szCs w:val="22"/>
        </w:rPr>
      </w:pPr>
      <w:r>
        <w:rPr>
          <w:noProof/>
          <w:lang w:val="en-US"/>
        </w:rPr>
        <w:drawing>
          <wp:inline distT="0" distB="0" distL="0" distR="0" wp14:anchorId="64E0EB4C" wp14:editId="23AFA285">
            <wp:extent cx="5486400" cy="2710543"/>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C3B79" w:rsidRDefault="004C3B79" w:rsidP="004C3B79">
      <w:pPr>
        <w:jc w:val="both"/>
        <w:rPr>
          <w:rFonts w:ascii="Arial" w:hAnsi="Arial" w:cs="Arial"/>
          <w:color w:val="1F497D"/>
          <w:sz w:val="22"/>
          <w:szCs w:val="22"/>
        </w:rPr>
      </w:pPr>
    </w:p>
    <w:p w:rsidR="004C3B79" w:rsidRDefault="004C3B79" w:rsidP="004C3B79">
      <w:pPr>
        <w:jc w:val="both"/>
        <w:rPr>
          <w:rFonts w:ascii="Arial" w:hAnsi="Arial" w:cs="Arial"/>
          <w:color w:val="1F497D"/>
          <w:sz w:val="22"/>
          <w:szCs w:val="22"/>
        </w:rPr>
      </w:pPr>
    </w:p>
    <w:p w:rsidR="004C3B79" w:rsidRDefault="004C3B79" w:rsidP="004C3B79">
      <w:pPr>
        <w:jc w:val="both"/>
        <w:rPr>
          <w:rFonts w:ascii="Arial" w:hAnsi="Arial" w:cs="Arial"/>
          <w:color w:val="1F497D"/>
          <w:sz w:val="22"/>
          <w:szCs w:val="22"/>
        </w:rPr>
      </w:pPr>
    </w:p>
    <w:p w:rsidR="004C3B79" w:rsidRDefault="004C3B79" w:rsidP="004C3B79">
      <w:pPr>
        <w:jc w:val="both"/>
        <w:rPr>
          <w:rFonts w:ascii="Arial" w:hAnsi="Arial" w:cs="Arial"/>
          <w:color w:val="1F497D"/>
          <w:sz w:val="22"/>
          <w:szCs w:val="22"/>
        </w:rPr>
      </w:pPr>
    </w:p>
    <w:p w:rsidR="004C3B79" w:rsidRDefault="004C3B79" w:rsidP="004C3B79">
      <w:pPr>
        <w:jc w:val="both"/>
        <w:rPr>
          <w:rFonts w:ascii="Arial" w:hAnsi="Arial" w:cs="Arial"/>
          <w:color w:val="1F497D"/>
          <w:sz w:val="22"/>
          <w:szCs w:val="22"/>
        </w:rPr>
      </w:pPr>
    </w:p>
    <w:p w:rsidR="004C3B79" w:rsidRPr="00BA2A10" w:rsidRDefault="004C3B79" w:rsidP="004C3B79">
      <w:pPr>
        <w:jc w:val="both"/>
        <w:rPr>
          <w:rFonts w:ascii="Arial" w:hAnsi="Arial" w:cs="Arial"/>
          <w:color w:val="1F497D"/>
          <w:sz w:val="22"/>
          <w:szCs w:val="22"/>
        </w:rPr>
      </w:pPr>
    </w:p>
    <w:p w:rsidR="004C3B79" w:rsidRPr="007565D3" w:rsidRDefault="004C3B79" w:rsidP="004C3B79">
      <w:pPr>
        <w:pStyle w:val="BodyTextIndent"/>
        <w:numPr>
          <w:ilvl w:val="0"/>
          <w:numId w:val="41"/>
        </w:numPr>
        <w:tabs>
          <w:tab w:val="clear" w:pos="709"/>
          <w:tab w:val="left" w:pos="567"/>
        </w:tabs>
        <w:rPr>
          <w:rFonts w:cs="Arial"/>
          <w:b/>
          <w:sz w:val="22"/>
        </w:rPr>
      </w:pPr>
      <w:r w:rsidRPr="007565D3">
        <w:rPr>
          <w:rFonts w:cs="Arial"/>
          <w:b/>
          <w:sz w:val="22"/>
        </w:rPr>
        <w:t>PRECEPT 2018/19</w:t>
      </w:r>
    </w:p>
    <w:p w:rsidR="004C3B79" w:rsidRPr="007565D3" w:rsidRDefault="004C3B79" w:rsidP="004C3B79">
      <w:pPr>
        <w:pStyle w:val="BodyTextIndent"/>
        <w:tabs>
          <w:tab w:val="clear" w:pos="709"/>
          <w:tab w:val="left" w:pos="567"/>
        </w:tabs>
        <w:rPr>
          <w:rFonts w:cs="Arial"/>
          <w:sz w:val="22"/>
        </w:rPr>
      </w:pPr>
    </w:p>
    <w:p w:rsidR="004C3B79" w:rsidRPr="007565D3" w:rsidRDefault="004C3B79" w:rsidP="004C3B79">
      <w:pPr>
        <w:autoSpaceDE w:val="0"/>
        <w:autoSpaceDN w:val="0"/>
        <w:adjustRightInd w:val="0"/>
        <w:ind w:left="720" w:hanging="720"/>
        <w:rPr>
          <w:rFonts w:ascii="Arial" w:eastAsiaTheme="minorHAnsi" w:hAnsi="Arial" w:cs="Arial"/>
          <w:color w:val="000000"/>
          <w:sz w:val="22"/>
          <w:szCs w:val="22"/>
          <w:lang w:val="en-US"/>
        </w:rPr>
      </w:pPr>
      <w:r w:rsidRPr="007565D3">
        <w:rPr>
          <w:rFonts w:ascii="Arial" w:hAnsi="Arial" w:cs="Arial"/>
          <w:sz w:val="22"/>
        </w:rPr>
        <w:t>5.1</w:t>
      </w:r>
      <w:r w:rsidRPr="007565D3">
        <w:rPr>
          <w:rFonts w:ascii="Arial" w:hAnsi="Arial" w:cs="Arial"/>
          <w:sz w:val="22"/>
        </w:rPr>
        <w:tab/>
        <w:t xml:space="preserve">It was hoped that the police grant would increase to cover the rising costs and demands however, whilst the Government </w:t>
      </w:r>
      <w:r w:rsidRPr="007565D3">
        <w:rPr>
          <w:rFonts w:ascii="Arial" w:eastAsiaTheme="minorHAnsi" w:hAnsi="Arial" w:cs="Arial"/>
          <w:color w:val="000000"/>
          <w:sz w:val="22"/>
          <w:szCs w:val="22"/>
          <w:lang w:val="en-US"/>
        </w:rPr>
        <w:t xml:space="preserve">accepted the need to invest more resources into policing services, the settlement showed no increase in the grant with the only option allowed to maximise resources, mitigate Government cuts and keep Greater Manchester as save as possible, was to ask residents to pay an extra £12 in order. </w:t>
      </w:r>
    </w:p>
    <w:p w:rsidR="004C3B79" w:rsidRPr="007565D3" w:rsidRDefault="004C3B79" w:rsidP="004C3B79">
      <w:pPr>
        <w:pStyle w:val="BodyTextIndent"/>
        <w:tabs>
          <w:tab w:val="clear" w:pos="709"/>
          <w:tab w:val="left" w:pos="567"/>
        </w:tabs>
        <w:rPr>
          <w:rFonts w:cs="Arial"/>
          <w:sz w:val="22"/>
        </w:rPr>
      </w:pPr>
    </w:p>
    <w:p w:rsidR="004C3B79" w:rsidRPr="007565D3" w:rsidRDefault="004C3B79" w:rsidP="004C3B79">
      <w:pPr>
        <w:pStyle w:val="BodyTextIndent"/>
        <w:tabs>
          <w:tab w:val="clear" w:pos="709"/>
          <w:tab w:val="left" w:pos="567"/>
        </w:tabs>
        <w:rPr>
          <w:rFonts w:cs="Arial"/>
          <w:sz w:val="22"/>
        </w:rPr>
      </w:pPr>
      <w:r w:rsidRPr="007565D3">
        <w:rPr>
          <w:rFonts w:cs="Arial"/>
          <w:sz w:val="22"/>
        </w:rPr>
        <w:t>5.2</w:t>
      </w:r>
      <w:r w:rsidRPr="007565D3">
        <w:rPr>
          <w:rFonts w:cs="Arial"/>
          <w:sz w:val="22"/>
        </w:rPr>
        <w:tab/>
      </w:r>
      <w:r w:rsidRPr="007565D3">
        <w:rPr>
          <w:rFonts w:cs="Arial"/>
          <w:sz w:val="22"/>
        </w:rPr>
        <w:tab/>
        <w:t>As described 3.7 the decision was not taken lightly and it was important that tax payers can see where the investment has been made.</w:t>
      </w:r>
    </w:p>
    <w:p w:rsidR="004C3B79" w:rsidRPr="007565D3" w:rsidRDefault="004C3B79" w:rsidP="004C3B79">
      <w:pPr>
        <w:pStyle w:val="BodyTextIndent"/>
        <w:tabs>
          <w:tab w:val="clear" w:pos="709"/>
          <w:tab w:val="left" w:pos="567"/>
        </w:tabs>
        <w:rPr>
          <w:rFonts w:cs="Arial"/>
          <w:sz w:val="22"/>
        </w:rPr>
      </w:pPr>
    </w:p>
    <w:p w:rsidR="004C3B79" w:rsidRPr="007565D3" w:rsidRDefault="004C3B79" w:rsidP="004C3B79">
      <w:pPr>
        <w:pStyle w:val="BodyTextIndent"/>
        <w:tabs>
          <w:tab w:val="clear" w:pos="709"/>
          <w:tab w:val="left" w:pos="567"/>
        </w:tabs>
        <w:rPr>
          <w:rFonts w:cs="Arial"/>
          <w:sz w:val="22"/>
        </w:rPr>
      </w:pPr>
      <w:r w:rsidRPr="007565D3">
        <w:rPr>
          <w:rFonts w:cs="Arial"/>
          <w:sz w:val="22"/>
        </w:rPr>
        <w:t xml:space="preserve">5.3 </w:t>
      </w:r>
      <w:r w:rsidRPr="007565D3">
        <w:rPr>
          <w:rFonts w:cs="Arial"/>
          <w:sz w:val="22"/>
        </w:rPr>
        <w:tab/>
        <w:t xml:space="preserve">   In accordance with legislation the Mayor sets the PCC precept. The precept must be sufficient to meet expenditure after taking into account all sources of income. The council tax requirement for 2018/19 has been is made, after taking into account all other sources of income the balance is £128,040,083.</w:t>
      </w:r>
    </w:p>
    <w:p w:rsidR="004C3B79" w:rsidRPr="007565D3" w:rsidRDefault="004C3B79" w:rsidP="004C3B79">
      <w:pPr>
        <w:pStyle w:val="BodyTextIndent"/>
        <w:tabs>
          <w:tab w:val="clear" w:pos="709"/>
          <w:tab w:val="left" w:pos="567"/>
        </w:tabs>
        <w:rPr>
          <w:rFonts w:cs="Arial"/>
          <w:sz w:val="22"/>
        </w:rPr>
      </w:pPr>
    </w:p>
    <w:p w:rsidR="004C3B79" w:rsidRPr="007565D3" w:rsidRDefault="004C3B79" w:rsidP="004C3B79">
      <w:pPr>
        <w:pStyle w:val="BodyTextIndent"/>
        <w:tabs>
          <w:tab w:val="clear" w:pos="709"/>
          <w:tab w:val="left" w:pos="567"/>
        </w:tabs>
        <w:rPr>
          <w:rFonts w:cs="Arial"/>
          <w:sz w:val="22"/>
        </w:rPr>
      </w:pPr>
      <w:r w:rsidRPr="007565D3">
        <w:rPr>
          <w:rFonts w:cs="Arial"/>
          <w:sz w:val="22"/>
        </w:rPr>
        <w:t>5.4</w:t>
      </w:r>
      <w:r w:rsidRPr="007565D3">
        <w:rPr>
          <w:rFonts w:cs="Arial"/>
          <w:sz w:val="22"/>
        </w:rPr>
        <w:tab/>
      </w:r>
      <w:r w:rsidRPr="007565D3">
        <w:rPr>
          <w:rFonts w:cs="Arial"/>
          <w:sz w:val="22"/>
        </w:rPr>
        <w:tab/>
        <w:t>A council tax base of 734,596 Band D equivalent has been calculated, being the aggregate of the tax bases calculated by the Districts</w:t>
      </w:r>
    </w:p>
    <w:p w:rsidR="004C3B79" w:rsidRPr="007565D3" w:rsidRDefault="004C3B79" w:rsidP="004C3B79">
      <w:pPr>
        <w:tabs>
          <w:tab w:val="left" w:pos="709"/>
          <w:tab w:val="left" w:pos="1276"/>
        </w:tabs>
        <w:jc w:val="both"/>
        <w:rPr>
          <w:rFonts w:ascii="Arial" w:hAnsi="Arial" w:cs="Arial"/>
          <w:sz w:val="22"/>
        </w:rPr>
      </w:pPr>
    </w:p>
    <w:p w:rsidR="004C3B79" w:rsidRPr="007565D3" w:rsidRDefault="004C3B79" w:rsidP="004C3B79">
      <w:pPr>
        <w:tabs>
          <w:tab w:val="left" w:pos="1276"/>
        </w:tabs>
        <w:ind w:left="720" w:hanging="720"/>
        <w:jc w:val="both"/>
        <w:rPr>
          <w:rFonts w:ascii="Arial" w:hAnsi="Arial" w:cs="Arial"/>
          <w:sz w:val="22"/>
        </w:rPr>
      </w:pPr>
      <w:r w:rsidRPr="007565D3">
        <w:rPr>
          <w:rFonts w:ascii="Arial" w:hAnsi="Arial" w:cs="Arial"/>
          <w:sz w:val="22"/>
        </w:rPr>
        <w:t>5.5</w:t>
      </w:r>
      <w:r w:rsidRPr="007565D3">
        <w:rPr>
          <w:rFonts w:ascii="Arial" w:hAnsi="Arial" w:cs="Arial"/>
          <w:sz w:val="22"/>
        </w:rPr>
        <w:tab/>
        <w:t>To arrive at the band D equivalent PCC precept the following calculation is used:</w:t>
      </w:r>
    </w:p>
    <w:p w:rsidR="004C3B79" w:rsidRPr="007565D3" w:rsidRDefault="004C3B79" w:rsidP="004C3B79">
      <w:pPr>
        <w:tabs>
          <w:tab w:val="left" w:pos="1276"/>
        </w:tabs>
        <w:jc w:val="both"/>
        <w:rPr>
          <w:rFonts w:ascii="Arial" w:hAnsi="Arial" w:cs="Arial"/>
          <w:sz w:val="22"/>
        </w:rPr>
      </w:pPr>
    </w:p>
    <w:p w:rsidR="004C3B79" w:rsidRPr="007565D3" w:rsidRDefault="004C3B79" w:rsidP="004C3B79">
      <w:pPr>
        <w:tabs>
          <w:tab w:val="left" w:pos="1276"/>
        </w:tabs>
        <w:ind w:left="709"/>
        <w:jc w:val="both"/>
        <w:rPr>
          <w:rFonts w:ascii="Arial" w:hAnsi="Arial" w:cs="Arial"/>
          <w:sz w:val="10"/>
          <w:szCs w:val="10"/>
        </w:rPr>
      </w:pPr>
    </w:p>
    <w:tbl>
      <w:tblPr>
        <w:tblW w:w="0" w:type="auto"/>
        <w:tblInd w:w="817" w:type="dxa"/>
        <w:tblLayout w:type="fixed"/>
        <w:tblLook w:val="0000" w:firstRow="0" w:lastRow="0" w:firstColumn="0" w:lastColumn="0" w:noHBand="0" w:noVBand="0"/>
      </w:tblPr>
      <w:tblGrid>
        <w:gridCol w:w="3686"/>
        <w:gridCol w:w="1842"/>
        <w:gridCol w:w="2673"/>
      </w:tblGrid>
      <w:tr w:rsidR="004C3B79" w:rsidRPr="007565D3" w:rsidTr="00721530">
        <w:trPr>
          <w:trHeight w:val="71"/>
        </w:trPr>
        <w:tc>
          <w:tcPr>
            <w:tcW w:w="3686" w:type="dxa"/>
          </w:tcPr>
          <w:p w:rsidR="004C3B79" w:rsidRPr="007565D3" w:rsidRDefault="004C3B79" w:rsidP="00721530">
            <w:pPr>
              <w:tabs>
                <w:tab w:val="left" w:pos="709"/>
                <w:tab w:val="left" w:pos="1276"/>
              </w:tabs>
              <w:jc w:val="both"/>
              <w:rPr>
                <w:rFonts w:ascii="Arial" w:hAnsi="Arial" w:cs="Arial"/>
                <w:sz w:val="22"/>
              </w:rPr>
            </w:pPr>
            <w:r w:rsidRPr="007565D3">
              <w:rPr>
                <w:rFonts w:ascii="Arial" w:hAnsi="Arial" w:cs="Arial"/>
                <w:sz w:val="22"/>
              </w:rPr>
              <w:t>R = council tax requirement</w:t>
            </w:r>
          </w:p>
        </w:tc>
        <w:tc>
          <w:tcPr>
            <w:tcW w:w="1842" w:type="dxa"/>
          </w:tcPr>
          <w:p w:rsidR="004C3B79" w:rsidRPr="007565D3" w:rsidRDefault="004C3B79" w:rsidP="00721530">
            <w:pPr>
              <w:tabs>
                <w:tab w:val="left" w:pos="709"/>
                <w:tab w:val="left" w:pos="1276"/>
              </w:tabs>
              <w:jc w:val="right"/>
              <w:rPr>
                <w:rFonts w:ascii="Arial" w:hAnsi="Arial" w:cs="Arial"/>
                <w:sz w:val="22"/>
                <w:u w:val="single"/>
              </w:rPr>
            </w:pPr>
          </w:p>
        </w:tc>
        <w:tc>
          <w:tcPr>
            <w:tcW w:w="2673" w:type="dxa"/>
          </w:tcPr>
          <w:p w:rsidR="004C3B79" w:rsidRPr="007565D3" w:rsidRDefault="004C3B79" w:rsidP="00721530">
            <w:pPr>
              <w:tabs>
                <w:tab w:val="left" w:pos="709"/>
              </w:tabs>
              <w:ind w:right="246"/>
              <w:jc w:val="right"/>
              <w:rPr>
                <w:rFonts w:ascii="Arial" w:hAnsi="Arial" w:cs="Arial"/>
                <w:sz w:val="22"/>
              </w:rPr>
            </w:pPr>
          </w:p>
        </w:tc>
      </w:tr>
      <w:tr w:rsidR="004C3B79" w:rsidRPr="007565D3" w:rsidTr="00721530">
        <w:tc>
          <w:tcPr>
            <w:tcW w:w="3686" w:type="dxa"/>
          </w:tcPr>
          <w:p w:rsidR="004C3B79" w:rsidRPr="007565D3" w:rsidRDefault="004C3B79" w:rsidP="00721530">
            <w:pPr>
              <w:tabs>
                <w:tab w:val="left" w:pos="709"/>
                <w:tab w:val="left" w:pos="1276"/>
              </w:tabs>
              <w:jc w:val="both"/>
              <w:rPr>
                <w:rFonts w:ascii="Arial" w:hAnsi="Arial" w:cs="Arial"/>
                <w:sz w:val="22"/>
              </w:rPr>
            </w:pPr>
          </w:p>
        </w:tc>
        <w:tc>
          <w:tcPr>
            <w:tcW w:w="1842" w:type="dxa"/>
          </w:tcPr>
          <w:p w:rsidR="004C3B79" w:rsidRPr="007565D3" w:rsidRDefault="004C3B79" w:rsidP="00721530">
            <w:pPr>
              <w:ind w:right="176"/>
              <w:jc w:val="right"/>
              <w:rPr>
                <w:rFonts w:ascii="Arial" w:hAnsi="Arial" w:cs="Arial"/>
                <w:sz w:val="22"/>
              </w:rPr>
            </w:pPr>
          </w:p>
        </w:tc>
        <w:tc>
          <w:tcPr>
            <w:tcW w:w="2673" w:type="dxa"/>
          </w:tcPr>
          <w:p w:rsidR="004C3B79" w:rsidRPr="007565D3" w:rsidRDefault="004C3B79" w:rsidP="00721530">
            <w:pPr>
              <w:ind w:right="176"/>
              <w:jc w:val="right"/>
              <w:rPr>
                <w:rFonts w:ascii="Arial" w:hAnsi="Arial" w:cs="Arial"/>
                <w:sz w:val="22"/>
              </w:rPr>
            </w:pPr>
          </w:p>
        </w:tc>
      </w:tr>
      <w:tr w:rsidR="004C3B79" w:rsidRPr="007565D3" w:rsidTr="00721530">
        <w:trPr>
          <w:trHeight w:val="227"/>
        </w:trPr>
        <w:tc>
          <w:tcPr>
            <w:tcW w:w="3686" w:type="dxa"/>
          </w:tcPr>
          <w:p w:rsidR="004C3B79" w:rsidRPr="007565D3" w:rsidRDefault="004C3B79" w:rsidP="00721530">
            <w:pPr>
              <w:tabs>
                <w:tab w:val="left" w:pos="709"/>
                <w:tab w:val="left" w:pos="1276"/>
              </w:tabs>
              <w:jc w:val="both"/>
              <w:rPr>
                <w:rFonts w:ascii="Arial" w:hAnsi="Arial" w:cs="Arial"/>
                <w:sz w:val="22"/>
              </w:rPr>
            </w:pPr>
            <w:r w:rsidRPr="007565D3">
              <w:rPr>
                <w:rFonts w:ascii="Arial" w:hAnsi="Arial" w:cs="Arial"/>
                <w:sz w:val="22"/>
              </w:rPr>
              <w:t>T = Taxbase</w:t>
            </w:r>
          </w:p>
        </w:tc>
        <w:tc>
          <w:tcPr>
            <w:tcW w:w="1842" w:type="dxa"/>
          </w:tcPr>
          <w:p w:rsidR="004C3B79" w:rsidRPr="007565D3" w:rsidRDefault="004C3B79" w:rsidP="00721530">
            <w:pPr>
              <w:ind w:right="176"/>
              <w:jc w:val="right"/>
              <w:rPr>
                <w:rFonts w:ascii="Arial" w:hAnsi="Arial" w:cs="Arial"/>
                <w:sz w:val="22"/>
              </w:rPr>
            </w:pPr>
          </w:p>
        </w:tc>
        <w:tc>
          <w:tcPr>
            <w:tcW w:w="2673" w:type="dxa"/>
          </w:tcPr>
          <w:p w:rsidR="004C3B79" w:rsidRPr="007565D3" w:rsidRDefault="004C3B79" w:rsidP="00721530">
            <w:pPr>
              <w:ind w:right="176"/>
              <w:jc w:val="right"/>
              <w:rPr>
                <w:rFonts w:ascii="Arial" w:hAnsi="Arial" w:cs="Arial"/>
                <w:sz w:val="22"/>
              </w:rPr>
            </w:pPr>
          </w:p>
        </w:tc>
      </w:tr>
      <w:tr w:rsidR="004C3B79" w:rsidRPr="007565D3" w:rsidTr="00721530">
        <w:trPr>
          <w:trHeight w:val="93"/>
        </w:trPr>
        <w:tc>
          <w:tcPr>
            <w:tcW w:w="3686" w:type="dxa"/>
          </w:tcPr>
          <w:p w:rsidR="004C3B79" w:rsidRPr="007565D3" w:rsidRDefault="004C3B79" w:rsidP="00721530">
            <w:pPr>
              <w:tabs>
                <w:tab w:val="left" w:pos="709"/>
                <w:tab w:val="left" w:pos="1276"/>
              </w:tabs>
              <w:jc w:val="center"/>
              <w:rPr>
                <w:rFonts w:ascii="Arial" w:hAnsi="Arial" w:cs="Arial"/>
                <w:sz w:val="22"/>
                <w:u w:val="single"/>
              </w:rPr>
            </w:pPr>
            <w:r w:rsidRPr="007565D3">
              <w:rPr>
                <w:rFonts w:ascii="Arial" w:hAnsi="Arial" w:cs="Arial"/>
                <w:sz w:val="22"/>
                <w:u w:val="single"/>
              </w:rPr>
              <w:t>R</w:t>
            </w:r>
          </w:p>
        </w:tc>
        <w:tc>
          <w:tcPr>
            <w:tcW w:w="1842" w:type="dxa"/>
          </w:tcPr>
          <w:p w:rsidR="004C3B79" w:rsidRPr="007565D3" w:rsidRDefault="004C3B79" w:rsidP="00721530">
            <w:pPr>
              <w:ind w:right="176"/>
              <w:jc w:val="right"/>
              <w:rPr>
                <w:rFonts w:ascii="Arial" w:hAnsi="Arial" w:cs="Arial"/>
                <w:sz w:val="22"/>
                <w:u w:val="single"/>
              </w:rPr>
            </w:pPr>
            <w:r w:rsidRPr="007565D3">
              <w:rPr>
                <w:rFonts w:ascii="Arial" w:hAnsi="Arial" w:cs="Arial"/>
                <w:sz w:val="22"/>
                <w:u w:val="single"/>
              </w:rPr>
              <w:t>128,040,083</w:t>
            </w:r>
          </w:p>
        </w:tc>
        <w:tc>
          <w:tcPr>
            <w:tcW w:w="2673" w:type="dxa"/>
          </w:tcPr>
          <w:p w:rsidR="004C3B79" w:rsidRPr="007565D3" w:rsidRDefault="004C3B79" w:rsidP="00721530">
            <w:pPr>
              <w:ind w:right="176"/>
              <w:jc w:val="right"/>
              <w:rPr>
                <w:rFonts w:ascii="Arial" w:hAnsi="Arial" w:cs="Arial"/>
                <w:sz w:val="22"/>
              </w:rPr>
            </w:pPr>
          </w:p>
        </w:tc>
      </w:tr>
      <w:tr w:rsidR="004C3B79" w:rsidRPr="007565D3" w:rsidTr="00721530">
        <w:trPr>
          <w:trHeight w:val="93"/>
        </w:trPr>
        <w:tc>
          <w:tcPr>
            <w:tcW w:w="3686" w:type="dxa"/>
          </w:tcPr>
          <w:p w:rsidR="004C3B79" w:rsidRPr="007565D3" w:rsidRDefault="004C3B79" w:rsidP="00721530">
            <w:pPr>
              <w:tabs>
                <w:tab w:val="left" w:pos="709"/>
                <w:tab w:val="left" w:pos="1276"/>
              </w:tabs>
              <w:jc w:val="center"/>
              <w:rPr>
                <w:rFonts w:ascii="Arial" w:hAnsi="Arial" w:cs="Arial"/>
                <w:sz w:val="22"/>
              </w:rPr>
            </w:pPr>
            <w:r w:rsidRPr="007565D3">
              <w:rPr>
                <w:rFonts w:ascii="Arial" w:hAnsi="Arial" w:cs="Arial"/>
                <w:sz w:val="22"/>
              </w:rPr>
              <w:t>T</w:t>
            </w:r>
          </w:p>
        </w:tc>
        <w:tc>
          <w:tcPr>
            <w:tcW w:w="1842" w:type="dxa"/>
          </w:tcPr>
          <w:p w:rsidR="004C3B79" w:rsidRPr="007565D3" w:rsidRDefault="004C3B79" w:rsidP="00721530">
            <w:pPr>
              <w:ind w:right="176"/>
              <w:jc w:val="center"/>
              <w:rPr>
                <w:rFonts w:ascii="Arial" w:hAnsi="Arial" w:cs="Arial"/>
                <w:sz w:val="22"/>
              </w:rPr>
            </w:pPr>
            <w:r w:rsidRPr="007565D3">
              <w:rPr>
                <w:rFonts w:ascii="Arial" w:hAnsi="Arial" w:cs="Arial"/>
                <w:sz w:val="22"/>
              </w:rPr>
              <w:t xml:space="preserve">    734,596</w:t>
            </w:r>
          </w:p>
        </w:tc>
        <w:tc>
          <w:tcPr>
            <w:tcW w:w="2673" w:type="dxa"/>
          </w:tcPr>
          <w:p w:rsidR="004C3B79" w:rsidRPr="007565D3" w:rsidRDefault="004C3B79" w:rsidP="00721530">
            <w:pPr>
              <w:ind w:right="176"/>
              <w:jc w:val="right"/>
              <w:rPr>
                <w:rFonts w:ascii="Arial" w:hAnsi="Arial" w:cs="Arial"/>
                <w:sz w:val="22"/>
              </w:rPr>
            </w:pPr>
          </w:p>
        </w:tc>
      </w:tr>
      <w:tr w:rsidR="004C3B79" w:rsidRPr="007565D3" w:rsidTr="00721530">
        <w:trPr>
          <w:trHeight w:val="383"/>
        </w:trPr>
        <w:tc>
          <w:tcPr>
            <w:tcW w:w="3686" w:type="dxa"/>
            <w:vAlign w:val="bottom"/>
          </w:tcPr>
          <w:p w:rsidR="004C3B79" w:rsidRPr="007565D3" w:rsidRDefault="004C3B79" w:rsidP="00721530">
            <w:pPr>
              <w:tabs>
                <w:tab w:val="left" w:pos="709"/>
                <w:tab w:val="left" w:pos="1276"/>
              </w:tabs>
              <w:jc w:val="center"/>
              <w:rPr>
                <w:rFonts w:ascii="Arial" w:hAnsi="Arial" w:cs="Arial"/>
                <w:sz w:val="22"/>
              </w:rPr>
            </w:pPr>
            <w:r w:rsidRPr="007565D3">
              <w:rPr>
                <w:rFonts w:ascii="Arial" w:hAnsi="Arial" w:cs="Arial"/>
                <w:sz w:val="22"/>
              </w:rPr>
              <w:t>=</w:t>
            </w:r>
          </w:p>
        </w:tc>
        <w:tc>
          <w:tcPr>
            <w:tcW w:w="1842" w:type="dxa"/>
            <w:vAlign w:val="bottom"/>
          </w:tcPr>
          <w:p w:rsidR="004C3B79" w:rsidRPr="007565D3" w:rsidRDefault="004C3B79" w:rsidP="00721530">
            <w:pPr>
              <w:ind w:right="176"/>
              <w:jc w:val="center"/>
              <w:rPr>
                <w:rFonts w:ascii="Arial" w:hAnsi="Arial" w:cs="Arial"/>
                <w:sz w:val="22"/>
              </w:rPr>
            </w:pPr>
            <w:r w:rsidRPr="007565D3">
              <w:rPr>
                <w:rFonts w:ascii="Arial" w:hAnsi="Arial" w:cs="Arial"/>
                <w:sz w:val="22"/>
              </w:rPr>
              <w:t>174.30</w:t>
            </w:r>
          </w:p>
        </w:tc>
        <w:tc>
          <w:tcPr>
            <w:tcW w:w="2673" w:type="dxa"/>
            <w:vAlign w:val="bottom"/>
          </w:tcPr>
          <w:p w:rsidR="004C3B79" w:rsidRPr="007565D3" w:rsidRDefault="004C3B79" w:rsidP="00721530">
            <w:pPr>
              <w:ind w:right="176"/>
              <w:rPr>
                <w:rFonts w:ascii="Arial" w:hAnsi="Arial" w:cs="Arial"/>
                <w:sz w:val="22"/>
              </w:rPr>
            </w:pPr>
          </w:p>
        </w:tc>
      </w:tr>
    </w:tbl>
    <w:p w:rsidR="004C3B79" w:rsidRPr="007565D3" w:rsidRDefault="004C3B79" w:rsidP="004C3B79">
      <w:pPr>
        <w:tabs>
          <w:tab w:val="left" w:pos="709"/>
          <w:tab w:val="left" w:pos="1276"/>
        </w:tabs>
        <w:ind w:left="709" w:hanging="709"/>
        <w:jc w:val="both"/>
        <w:rPr>
          <w:rFonts w:ascii="Arial" w:hAnsi="Arial" w:cs="Arial"/>
          <w:sz w:val="10"/>
          <w:szCs w:val="10"/>
        </w:rPr>
      </w:pPr>
      <w:r w:rsidRPr="007565D3">
        <w:rPr>
          <w:rFonts w:ascii="Arial" w:hAnsi="Arial" w:cs="Arial"/>
          <w:sz w:val="22"/>
        </w:rPr>
        <w:tab/>
      </w:r>
    </w:p>
    <w:p w:rsidR="004C3B79" w:rsidRPr="007565D3" w:rsidRDefault="004C3B79" w:rsidP="004C3B79">
      <w:pPr>
        <w:tabs>
          <w:tab w:val="left" w:pos="709"/>
          <w:tab w:val="left" w:pos="1276"/>
        </w:tabs>
        <w:ind w:left="709" w:hanging="709"/>
        <w:jc w:val="both"/>
        <w:rPr>
          <w:rFonts w:ascii="Arial" w:hAnsi="Arial" w:cs="Arial"/>
          <w:sz w:val="22"/>
        </w:rPr>
      </w:pPr>
      <w:r w:rsidRPr="007565D3">
        <w:rPr>
          <w:rFonts w:ascii="Arial" w:hAnsi="Arial" w:cs="Arial"/>
          <w:sz w:val="22"/>
        </w:rPr>
        <w:tab/>
      </w:r>
    </w:p>
    <w:p w:rsidR="004C3B79" w:rsidRPr="007565D3" w:rsidRDefault="004C3B79" w:rsidP="004C3B79">
      <w:pPr>
        <w:tabs>
          <w:tab w:val="left" w:pos="709"/>
          <w:tab w:val="left" w:pos="1276"/>
        </w:tabs>
        <w:ind w:left="709" w:hanging="709"/>
        <w:jc w:val="both"/>
        <w:rPr>
          <w:rFonts w:ascii="Arial" w:hAnsi="Arial" w:cs="Arial"/>
          <w:sz w:val="22"/>
        </w:rPr>
      </w:pPr>
      <w:r w:rsidRPr="007565D3">
        <w:rPr>
          <w:rFonts w:ascii="Arial" w:hAnsi="Arial" w:cs="Arial"/>
          <w:sz w:val="22"/>
        </w:rPr>
        <w:tab/>
        <w:t>The cost per band is:</w:t>
      </w:r>
    </w:p>
    <w:p w:rsidR="004C3B79" w:rsidRPr="007565D3" w:rsidRDefault="004C3B79" w:rsidP="004C3B79">
      <w:pPr>
        <w:tabs>
          <w:tab w:val="left" w:pos="709"/>
          <w:tab w:val="left" w:pos="1276"/>
        </w:tabs>
        <w:ind w:left="709" w:hanging="709"/>
        <w:jc w:val="both"/>
        <w:rPr>
          <w:rFonts w:ascii="Arial" w:hAnsi="Arial" w:cs="Arial"/>
          <w:sz w:val="22"/>
        </w:rPr>
      </w:pPr>
      <w:r w:rsidRPr="007565D3">
        <w:rPr>
          <w:rFonts w:ascii="Arial" w:hAnsi="Arial" w:cs="Arial"/>
          <w:sz w:val="22"/>
        </w:rPr>
        <w:tab/>
      </w:r>
    </w:p>
    <w:tbl>
      <w:tblPr>
        <w:tblStyle w:val="TableGrid"/>
        <w:tblW w:w="8298" w:type="dxa"/>
        <w:tblInd w:w="714" w:type="dxa"/>
        <w:tblLook w:val="04A0" w:firstRow="1" w:lastRow="0" w:firstColumn="1" w:lastColumn="0" w:noHBand="0" w:noVBand="1"/>
      </w:tblPr>
      <w:tblGrid>
        <w:gridCol w:w="1037"/>
        <w:gridCol w:w="1037"/>
        <w:gridCol w:w="1037"/>
        <w:gridCol w:w="1037"/>
        <w:gridCol w:w="1037"/>
        <w:gridCol w:w="1037"/>
        <w:gridCol w:w="1038"/>
        <w:gridCol w:w="1038"/>
      </w:tblGrid>
      <w:tr w:rsidR="004C3B79" w:rsidRPr="007565D3" w:rsidTr="00721530">
        <w:trPr>
          <w:trHeight w:val="223"/>
        </w:trPr>
        <w:tc>
          <w:tcPr>
            <w:tcW w:w="1037" w:type="dxa"/>
          </w:tcPr>
          <w:p w:rsidR="004C3B79" w:rsidRPr="007565D3" w:rsidRDefault="004C3B79" w:rsidP="00721530">
            <w:pPr>
              <w:tabs>
                <w:tab w:val="left" w:pos="709"/>
                <w:tab w:val="left" w:pos="1134"/>
              </w:tabs>
              <w:jc w:val="both"/>
              <w:rPr>
                <w:rFonts w:ascii="Arial" w:hAnsi="Arial" w:cs="Arial"/>
                <w:sz w:val="22"/>
                <w:szCs w:val="22"/>
                <w:lang w:eastAsia="en-US"/>
              </w:rPr>
            </w:pPr>
            <w:r w:rsidRPr="007565D3">
              <w:rPr>
                <w:rFonts w:ascii="Arial" w:hAnsi="Arial" w:cs="Arial"/>
                <w:sz w:val="22"/>
                <w:szCs w:val="22"/>
                <w:lang w:eastAsia="en-US"/>
              </w:rPr>
              <w:t>A</w:t>
            </w:r>
          </w:p>
        </w:tc>
        <w:tc>
          <w:tcPr>
            <w:tcW w:w="1037" w:type="dxa"/>
          </w:tcPr>
          <w:p w:rsidR="004C3B79" w:rsidRPr="007565D3" w:rsidRDefault="004C3B79" w:rsidP="00721530">
            <w:pPr>
              <w:tabs>
                <w:tab w:val="left" w:pos="709"/>
                <w:tab w:val="left" w:pos="1134"/>
              </w:tabs>
              <w:jc w:val="both"/>
              <w:rPr>
                <w:rFonts w:ascii="Arial" w:hAnsi="Arial" w:cs="Arial"/>
                <w:sz w:val="22"/>
                <w:szCs w:val="22"/>
                <w:lang w:eastAsia="en-US"/>
              </w:rPr>
            </w:pPr>
            <w:r w:rsidRPr="007565D3">
              <w:rPr>
                <w:rFonts w:ascii="Arial" w:hAnsi="Arial" w:cs="Arial"/>
                <w:sz w:val="22"/>
                <w:szCs w:val="22"/>
                <w:lang w:eastAsia="en-US"/>
              </w:rPr>
              <w:t>B</w:t>
            </w:r>
          </w:p>
        </w:tc>
        <w:tc>
          <w:tcPr>
            <w:tcW w:w="1037" w:type="dxa"/>
          </w:tcPr>
          <w:p w:rsidR="004C3B79" w:rsidRPr="007565D3" w:rsidRDefault="004C3B79" w:rsidP="00721530">
            <w:pPr>
              <w:tabs>
                <w:tab w:val="left" w:pos="709"/>
                <w:tab w:val="left" w:pos="1134"/>
              </w:tabs>
              <w:jc w:val="both"/>
              <w:rPr>
                <w:rFonts w:ascii="Arial" w:hAnsi="Arial" w:cs="Arial"/>
                <w:sz w:val="22"/>
                <w:szCs w:val="22"/>
                <w:lang w:eastAsia="en-US"/>
              </w:rPr>
            </w:pPr>
            <w:r w:rsidRPr="007565D3">
              <w:rPr>
                <w:rFonts w:ascii="Arial" w:hAnsi="Arial" w:cs="Arial"/>
                <w:sz w:val="22"/>
                <w:szCs w:val="22"/>
                <w:lang w:eastAsia="en-US"/>
              </w:rPr>
              <w:t>C</w:t>
            </w:r>
          </w:p>
        </w:tc>
        <w:tc>
          <w:tcPr>
            <w:tcW w:w="1037" w:type="dxa"/>
          </w:tcPr>
          <w:p w:rsidR="004C3B79" w:rsidRPr="007565D3" w:rsidRDefault="004C3B79" w:rsidP="00721530">
            <w:pPr>
              <w:tabs>
                <w:tab w:val="left" w:pos="709"/>
                <w:tab w:val="left" w:pos="1134"/>
              </w:tabs>
              <w:jc w:val="both"/>
              <w:rPr>
                <w:rFonts w:ascii="Arial" w:hAnsi="Arial" w:cs="Arial"/>
                <w:sz w:val="22"/>
                <w:szCs w:val="22"/>
                <w:lang w:eastAsia="en-US"/>
              </w:rPr>
            </w:pPr>
            <w:r w:rsidRPr="007565D3">
              <w:rPr>
                <w:rFonts w:ascii="Arial" w:hAnsi="Arial" w:cs="Arial"/>
                <w:sz w:val="22"/>
                <w:szCs w:val="22"/>
                <w:lang w:eastAsia="en-US"/>
              </w:rPr>
              <w:t>D</w:t>
            </w:r>
          </w:p>
        </w:tc>
        <w:tc>
          <w:tcPr>
            <w:tcW w:w="1037" w:type="dxa"/>
          </w:tcPr>
          <w:p w:rsidR="004C3B79" w:rsidRPr="007565D3" w:rsidRDefault="004C3B79" w:rsidP="00721530">
            <w:pPr>
              <w:tabs>
                <w:tab w:val="left" w:pos="709"/>
                <w:tab w:val="left" w:pos="1134"/>
              </w:tabs>
              <w:jc w:val="both"/>
              <w:rPr>
                <w:rFonts w:ascii="Arial" w:hAnsi="Arial" w:cs="Arial"/>
                <w:sz w:val="22"/>
                <w:szCs w:val="22"/>
                <w:lang w:eastAsia="en-US"/>
              </w:rPr>
            </w:pPr>
            <w:r w:rsidRPr="007565D3">
              <w:rPr>
                <w:rFonts w:ascii="Arial" w:hAnsi="Arial" w:cs="Arial"/>
                <w:sz w:val="22"/>
                <w:szCs w:val="22"/>
                <w:lang w:eastAsia="en-US"/>
              </w:rPr>
              <w:t>E</w:t>
            </w:r>
          </w:p>
        </w:tc>
        <w:tc>
          <w:tcPr>
            <w:tcW w:w="1037" w:type="dxa"/>
          </w:tcPr>
          <w:p w:rsidR="004C3B79" w:rsidRPr="007565D3" w:rsidRDefault="004C3B79" w:rsidP="00721530">
            <w:pPr>
              <w:tabs>
                <w:tab w:val="left" w:pos="709"/>
                <w:tab w:val="left" w:pos="1134"/>
              </w:tabs>
              <w:jc w:val="both"/>
              <w:rPr>
                <w:rFonts w:ascii="Arial" w:hAnsi="Arial" w:cs="Arial"/>
                <w:sz w:val="22"/>
                <w:szCs w:val="22"/>
                <w:lang w:eastAsia="en-US"/>
              </w:rPr>
            </w:pPr>
            <w:r w:rsidRPr="007565D3">
              <w:rPr>
                <w:rFonts w:ascii="Arial" w:hAnsi="Arial" w:cs="Arial"/>
                <w:sz w:val="22"/>
                <w:szCs w:val="22"/>
                <w:lang w:eastAsia="en-US"/>
              </w:rPr>
              <w:t>F</w:t>
            </w:r>
          </w:p>
        </w:tc>
        <w:tc>
          <w:tcPr>
            <w:tcW w:w="1038" w:type="dxa"/>
          </w:tcPr>
          <w:p w:rsidR="004C3B79" w:rsidRPr="007565D3" w:rsidRDefault="004C3B79" w:rsidP="00721530">
            <w:pPr>
              <w:tabs>
                <w:tab w:val="left" w:pos="709"/>
                <w:tab w:val="left" w:pos="1134"/>
              </w:tabs>
              <w:jc w:val="both"/>
              <w:rPr>
                <w:rFonts w:ascii="Arial" w:hAnsi="Arial" w:cs="Arial"/>
                <w:sz w:val="22"/>
                <w:szCs w:val="22"/>
                <w:lang w:eastAsia="en-US"/>
              </w:rPr>
            </w:pPr>
            <w:r w:rsidRPr="007565D3">
              <w:rPr>
                <w:rFonts w:ascii="Arial" w:hAnsi="Arial" w:cs="Arial"/>
                <w:sz w:val="22"/>
                <w:szCs w:val="22"/>
                <w:lang w:eastAsia="en-US"/>
              </w:rPr>
              <w:t>G</w:t>
            </w:r>
          </w:p>
        </w:tc>
        <w:tc>
          <w:tcPr>
            <w:tcW w:w="1038" w:type="dxa"/>
          </w:tcPr>
          <w:p w:rsidR="004C3B79" w:rsidRPr="007565D3" w:rsidRDefault="004C3B79" w:rsidP="00721530">
            <w:pPr>
              <w:tabs>
                <w:tab w:val="left" w:pos="709"/>
                <w:tab w:val="left" w:pos="1134"/>
              </w:tabs>
              <w:jc w:val="both"/>
              <w:rPr>
                <w:rFonts w:ascii="Arial" w:hAnsi="Arial" w:cs="Arial"/>
                <w:sz w:val="22"/>
                <w:szCs w:val="22"/>
                <w:lang w:eastAsia="en-US"/>
              </w:rPr>
            </w:pPr>
            <w:r w:rsidRPr="007565D3">
              <w:rPr>
                <w:rFonts w:ascii="Arial" w:hAnsi="Arial" w:cs="Arial"/>
                <w:sz w:val="22"/>
                <w:szCs w:val="22"/>
                <w:lang w:eastAsia="en-US"/>
              </w:rPr>
              <w:t>H</w:t>
            </w:r>
          </w:p>
        </w:tc>
      </w:tr>
      <w:tr w:rsidR="004C3B79" w:rsidRPr="007565D3" w:rsidTr="00721530">
        <w:trPr>
          <w:trHeight w:val="248"/>
        </w:trPr>
        <w:tc>
          <w:tcPr>
            <w:tcW w:w="1037" w:type="dxa"/>
            <w:hideMark/>
          </w:tcPr>
          <w:p w:rsidR="004C3B79" w:rsidRPr="007565D3" w:rsidRDefault="004C3B79" w:rsidP="00721530">
            <w:pPr>
              <w:rPr>
                <w:rFonts w:ascii="Arial" w:hAnsi="Arial" w:cs="Arial"/>
                <w:sz w:val="22"/>
                <w:szCs w:val="22"/>
              </w:rPr>
            </w:pPr>
            <w:r w:rsidRPr="007565D3">
              <w:rPr>
                <w:rFonts w:ascii="Arial" w:hAnsi="Arial" w:cs="Arial"/>
                <w:sz w:val="22"/>
                <w:szCs w:val="22"/>
              </w:rPr>
              <w:t>£116.20</w:t>
            </w:r>
          </w:p>
        </w:tc>
        <w:tc>
          <w:tcPr>
            <w:tcW w:w="1037" w:type="dxa"/>
            <w:hideMark/>
          </w:tcPr>
          <w:p w:rsidR="004C3B79" w:rsidRPr="007565D3" w:rsidRDefault="004C3B79" w:rsidP="00721530">
            <w:pPr>
              <w:rPr>
                <w:rFonts w:ascii="Arial" w:hAnsi="Arial" w:cs="Arial"/>
                <w:sz w:val="22"/>
                <w:szCs w:val="22"/>
              </w:rPr>
            </w:pPr>
            <w:r w:rsidRPr="007565D3">
              <w:rPr>
                <w:rFonts w:ascii="Arial" w:hAnsi="Arial" w:cs="Arial"/>
                <w:sz w:val="22"/>
                <w:szCs w:val="22"/>
              </w:rPr>
              <w:t>£135.57</w:t>
            </w:r>
          </w:p>
        </w:tc>
        <w:tc>
          <w:tcPr>
            <w:tcW w:w="1037" w:type="dxa"/>
            <w:hideMark/>
          </w:tcPr>
          <w:p w:rsidR="004C3B79" w:rsidRPr="007565D3" w:rsidRDefault="004C3B79" w:rsidP="00721530">
            <w:pPr>
              <w:rPr>
                <w:rFonts w:ascii="Arial" w:hAnsi="Arial" w:cs="Arial"/>
                <w:sz w:val="22"/>
                <w:szCs w:val="22"/>
              </w:rPr>
            </w:pPr>
            <w:r w:rsidRPr="007565D3">
              <w:rPr>
                <w:rFonts w:ascii="Arial" w:hAnsi="Arial" w:cs="Arial"/>
                <w:sz w:val="22"/>
                <w:szCs w:val="22"/>
              </w:rPr>
              <w:t>£154.93</w:t>
            </w:r>
          </w:p>
        </w:tc>
        <w:tc>
          <w:tcPr>
            <w:tcW w:w="1037" w:type="dxa"/>
            <w:hideMark/>
          </w:tcPr>
          <w:p w:rsidR="004C3B79" w:rsidRPr="007565D3" w:rsidRDefault="004C3B79" w:rsidP="00721530">
            <w:pPr>
              <w:rPr>
                <w:rFonts w:ascii="Arial" w:hAnsi="Arial" w:cs="Arial"/>
                <w:sz w:val="22"/>
                <w:szCs w:val="22"/>
              </w:rPr>
            </w:pPr>
            <w:r w:rsidRPr="007565D3">
              <w:rPr>
                <w:rFonts w:ascii="Arial" w:hAnsi="Arial" w:cs="Arial"/>
                <w:sz w:val="22"/>
                <w:szCs w:val="22"/>
              </w:rPr>
              <w:t>£174.30</w:t>
            </w:r>
          </w:p>
        </w:tc>
        <w:tc>
          <w:tcPr>
            <w:tcW w:w="1037" w:type="dxa"/>
            <w:hideMark/>
          </w:tcPr>
          <w:p w:rsidR="004C3B79" w:rsidRPr="007565D3" w:rsidRDefault="004C3B79" w:rsidP="00721530">
            <w:pPr>
              <w:rPr>
                <w:rFonts w:ascii="Arial" w:hAnsi="Arial" w:cs="Arial"/>
                <w:sz w:val="22"/>
                <w:szCs w:val="22"/>
              </w:rPr>
            </w:pPr>
            <w:r w:rsidRPr="007565D3">
              <w:rPr>
                <w:rFonts w:ascii="Arial" w:hAnsi="Arial" w:cs="Arial"/>
                <w:sz w:val="22"/>
                <w:szCs w:val="22"/>
              </w:rPr>
              <w:t>£213.03</w:t>
            </w:r>
          </w:p>
        </w:tc>
        <w:tc>
          <w:tcPr>
            <w:tcW w:w="1037" w:type="dxa"/>
            <w:hideMark/>
          </w:tcPr>
          <w:p w:rsidR="004C3B79" w:rsidRPr="007565D3" w:rsidRDefault="004C3B79" w:rsidP="00721530">
            <w:pPr>
              <w:rPr>
                <w:rFonts w:ascii="Arial" w:hAnsi="Arial" w:cs="Arial"/>
                <w:sz w:val="22"/>
                <w:szCs w:val="22"/>
              </w:rPr>
            </w:pPr>
            <w:r w:rsidRPr="007565D3">
              <w:rPr>
                <w:rFonts w:ascii="Arial" w:hAnsi="Arial" w:cs="Arial"/>
                <w:sz w:val="22"/>
                <w:szCs w:val="22"/>
              </w:rPr>
              <w:t>£251.77</w:t>
            </w:r>
          </w:p>
        </w:tc>
        <w:tc>
          <w:tcPr>
            <w:tcW w:w="1038" w:type="dxa"/>
            <w:hideMark/>
          </w:tcPr>
          <w:p w:rsidR="004C3B79" w:rsidRPr="007565D3" w:rsidRDefault="004C3B79" w:rsidP="00721530">
            <w:pPr>
              <w:rPr>
                <w:rFonts w:ascii="Arial" w:hAnsi="Arial" w:cs="Arial"/>
                <w:sz w:val="22"/>
                <w:szCs w:val="22"/>
              </w:rPr>
            </w:pPr>
            <w:r w:rsidRPr="007565D3">
              <w:rPr>
                <w:rFonts w:ascii="Arial" w:hAnsi="Arial" w:cs="Arial"/>
                <w:sz w:val="22"/>
                <w:szCs w:val="22"/>
              </w:rPr>
              <w:t>£290.50</w:t>
            </w:r>
          </w:p>
        </w:tc>
        <w:tc>
          <w:tcPr>
            <w:tcW w:w="1038" w:type="dxa"/>
            <w:hideMark/>
          </w:tcPr>
          <w:p w:rsidR="004C3B79" w:rsidRPr="007565D3" w:rsidRDefault="004C3B79" w:rsidP="00721530">
            <w:pPr>
              <w:rPr>
                <w:rFonts w:ascii="Arial" w:hAnsi="Arial" w:cs="Arial"/>
                <w:sz w:val="22"/>
                <w:szCs w:val="22"/>
              </w:rPr>
            </w:pPr>
            <w:r w:rsidRPr="007565D3">
              <w:rPr>
                <w:rFonts w:ascii="Arial" w:hAnsi="Arial" w:cs="Arial"/>
                <w:sz w:val="22"/>
                <w:szCs w:val="22"/>
              </w:rPr>
              <w:t>£348.60</w:t>
            </w:r>
          </w:p>
        </w:tc>
      </w:tr>
    </w:tbl>
    <w:p w:rsidR="004C3B79" w:rsidRPr="007565D3" w:rsidRDefault="004C3B79" w:rsidP="004C3B79">
      <w:pPr>
        <w:tabs>
          <w:tab w:val="left" w:pos="709"/>
          <w:tab w:val="left" w:pos="1276"/>
        </w:tabs>
        <w:jc w:val="both"/>
        <w:rPr>
          <w:rFonts w:ascii="Arial" w:hAnsi="Arial" w:cs="Arial"/>
          <w:sz w:val="22"/>
        </w:rPr>
      </w:pPr>
    </w:p>
    <w:p w:rsidR="004C3B79" w:rsidRPr="007565D3" w:rsidRDefault="004C3B79" w:rsidP="004C3B79">
      <w:pPr>
        <w:tabs>
          <w:tab w:val="left" w:pos="709"/>
          <w:tab w:val="left" w:pos="1276"/>
        </w:tabs>
        <w:ind w:left="709" w:hanging="709"/>
        <w:jc w:val="both"/>
        <w:rPr>
          <w:rFonts w:ascii="Arial" w:hAnsi="Arial" w:cs="Arial"/>
          <w:sz w:val="22"/>
        </w:rPr>
      </w:pPr>
    </w:p>
    <w:p w:rsidR="004C3B79" w:rsidRPr="007565D3" w:rsidRDefault="004C3B79" w:rsidP="004C3B79">
      <w:pPr>
        <w:tabs>
          <w:tab w:val="left" w:pos="709"/>
          <w:tab w:val="left" w:pos="1276"/>
        </w:tabs>
        <w:ind w:left="709" w:hanging="709"/>
        <w:jc w:val="both"/>
        <w:rPr>
          <w:rFonts w:ascii="Arial" w:hAnsi="Arial" w:cs="Arial"/>
          <w:b/>
          <w:sz w:val="22"/>
          <w:u w:val="single"/>
        </w:rPr>
      </w:pPr>
      <w:r w:rsidRPr="007565D3">
        <w:rPr>
          <w:rFonts w:ascii="Arial" w:hAnsi="Arial" w:cs="Arial"/>
          <w:sz w:val="22"/>
        </w:rPr>
        <w:t>5.6</w:t>
      </w:r>
      <w:r w:rsidRPr="007565D3">
        <w:rPr>
          <w:rFonts w:ascii="Arial" w:hAnsi="Arial" w:cs="Arial"/>
          <w:sz w:val="22"/>
        </w:rPr>
        <w:tab/>
        <w:t>The level of the precept was considered and endorsed by the Police and Crime Panel at its meeting on 19th January 2018.</w:t>
      </w:r>
    </w:p>
    <w:p w:rsidR="004C3B79" w:rsidRPr="007565D3" w:rsidRDefault="004C3B79" w:rsidP="004C3B79">
      <w:pPr>
        <w:tabs>
          <w:tab w:val="left" w:pos="709"/>
          <w:tab w:val="left" w:pos="1276"/>
        </w:tabs>
        <w:ind w:left="709" w:hanging="709"/>
        <w:jc w:val="both"/>
        <w:rPr>
          <w:rFonts w:ascii="Arial" w:hAnsi="Arial" w:cs="Arial"/>
          <w:sz w:val="22"/>
          <w:highlight w:val="yellow"/>
        </w:rPr>
      </w:pPr>
    </w:p>
    <w:p w:rsidR="004C3B79" w:rsidRPr="007565D3" w:rsidRDefault="004C3B79" w:rsidP="004C3B79">
      <w:pPr>
        <w:tabs>
          <w:tab w:val="left" w:pos="5854"/>
        </w:tabs>
        <w:ind w:left="720" w:hanging="720"/>
        <w:rPr>
          <w:rFonts w:ascii="Arial" w:hAnsi="Arial" w:cs="Arial"/>
          <w:sz w:val="22"/>
          <w:szCs w:val="22"/>
        </w:rPr>
      </w:pPr>
      <w:r w:rsidRPr="007565D3">
        <w:rPr>
          <w:rFonts w:ascii="Arial" w:hAnsi="Arial" w:cs="Arial"/>
          <w:sz w:val="22"/>
        </w:rPr>
        <w:t>5.7</w:t>
      </w:r>
      <w:r w:rsidRPr="007565D3">
        <w:rPr>
          <w:rFonts w:ascii="Arial" w:hAnsi="Arial" w:cs="Arial"/>
          <w:sz w:val="22"/>
        </w:rPr>
        <w:tab/>
      </w:r>
      <w:r w:rsidRPr="007565D3">
        <w:rPr>
          <w:rFonts w:ascii="Arial" w:hAnsi="Arial" w:cs="Arial"/>
          <w:sz w:val="22"/>
          <w:szCs w:val="22"/>
        </w:rPr>
        <w:t>A public consultation exercise was also undertaken with 74% of respondents stating that they would be willing to pay a £12 increase.</w:t>
      </w:r>
    </w:p>
    <w:p w:rsidR="004C3B79" w:rsidRPr="007565D3" w:rsidRDefault="004C3B79" w:rsidP="004C3B79">
      <w:pPr>
        <w:pStyle w:val="BodyTextIndent"/>
        <w:tabs>
          <w:tab w:val="clear" w:pos="709"/>
          <w:tab w:val="left" w:pos="567"/>
        </w:tabs>
        <w:rPr>
          <w:rFonts w:cs="Arial"/>
          <w:sz w:val="22"/>
        </w:rPr>
      </w:pPr>
    </w:p>
    <w:p w:rsidR="004C3B79" w:rsidRPr="007565D3" w:rsidRDefault="004C3B79" w:rsidP="004C3B79">
      <w:pPr>
        <w:pStyle w:val="BodyTextIndent"/>
        <w:tabs>
          <w:tab w:val="clear" w:pos="709"/>
          <w:tab w:val="left" w:pos="567"/>
        </w:tabs>
        <w:rPr>
          <w:rFonts w:cs="Arial"/>
          <w:sz w:val="22"/>
        </w:rPr>
      </w:pPr>
    </w:p>
    <w:p w:rsidR="004C3B79" w:rsidRPr="007565D3" w:rsidRDefault="004C3B79" w:rsidP="004C3B79">
      <w:pPr>
        <w:pStyle w:val="BodyTextIndent"/>
        <w:tabs>
          <w:tab w:val="clear" w:pos="709"/>
          <w:tab w:val="left" w:pos="567"/>
        </w:tabs>
        <w:rPr>
          <w:rFonts w:cs="Arial"/>
          <w:sz w:val="22"/>
        </w:rPr>
      </w:pPr>
    </w:p>
    <w:p w:rsidR="004C3B79" w:rsidRPr="007565D3" w:rsidRDefault="004C3B79" w:rsidP="004C3B79">
      <w:pPr>
        <w:pStyle w:val="BodyTextIndent"/>
        <w:tabs>
          <w:tab w:val="clear" w:pos="709"/>
          <w:tab w:val="left" w:pos="567"/>
        </w:tabs>
        <w:rPr>
          <w:rFonts w:cs="Arial"/>
          <w:sz w:val="22"/>
        </w:rPr>
      </w:pPr>
    </w:p>
    <w:p w:rsidR="004C3B79" w:rsidRPr="007565D3" w:rsidRDefault="004C3B79" w:rsidP="004C3B79">
      <w:pPr>
        <w:pStyle w:val="BodyTextIndent"/>
        <w:tabs>
          <w:tab w:val="clear" w:pos="709"/>
          <w:tab w:val="left" w:pos="567"/>
        </w:tabs>
        <w:rPr>
          <w:rFonts w:cs="Arial"/>
          <w:sz w:val="22"/>
        </w:rPr>
      </w:pPr>
    </w:p>
    <w:p w:rsidR="004C3B79" w:rsidRPr="007565D3" w:rsidRDefault="004C3B79" w:rsidP="004C3B79">
      <w:pPr>
        <w:pStyle w:val="BodyTextIndent"/>
        <w:tabs>
          <w:tab w:val="clear" w:pos="709"/>
          <w:tab w:val="left" w:pos="567"/>
        </w:tabs>
        <w:rPr>
          <w:rFonts w:cs="Arial"/>
          <w:sz w:val="22"/>
        </w:rPr>
      </w:pPr>
    </w:p>
    <w:p w:rsidR="004C3B79" w:rsidRPr="007565D3" w:rsidRDefault="004C3B79" w:rsidP="004C3B79">
      <w:pPr>
        <w:pStyle w:val="BodyTextIndent"/>
        <w:tabs>
          <w:tab w:val="clear" w:pos="709"/>
          <w:tab w:val="left" w:pos="567"/>
        </w:tabs>
        <w:rPr>
          <w:rFonts w:cs="Arial"/>
          <w:sz w:val="22"/>
        </w:rPr>
      </w:pPr>
    </w:p>
    <w:p w:rsidR="004C3B79" w:rsidRPr="007565D3" w:rsidRDefault="004C3B79" w:rsidP="004C3B79">
      <w:pPr>
        <w:pStyle w:val="BodyTextIndent"/>
        <w:tabs>
          <w:tab w:val="clear" w:pos="709"/>
          <w:tab w:val="left" w:pos="567"/>
        </w:tabs>
        <w:rPr>
          <w:rFonts w:cs="Arial"/>
          <w:sz w:val="22"/>
        </w:rPr>
      </w:pPr>
    </w:p>
    <w:p w:rsidR="004C3B79" w:rsidRPr="007565D3" w:rsidRDefault="004C3B79" w:rsidP="004C3B79">
      <w:pPr>
        <w:pStyle w:val="BodyTextIndent"/>
        <w:tabs>
          <w:tab w:val="clear" w:pos="709"/>
          <w:tab w:val="left" w:pos="567"/>
        </w:tabs>
        <w:rPr>
          <w:rFonts w:cs="Arial"/>
          <w:sz w:val="22"/>
        </w:rPr>
      </w:pPr>
    </w:p>
    <w:p w:rsidR="004C3B79" w:rsidRPr="007565D3" w:rsidRDefault="004C3B79" w:rsidP="004C3B79">
      <w:pPr>
        <w:jc w:val="both"/>
        <w:rPr>
          <w:rFonts w:ascii="Arial" w:hAnsi="Arial" w:cs="Arial"/>
          <w:color w:val="1F497D"/>
          <w:sz w:val="22"/>
          <w:szCs w:val="22"/>
        </w:rPr>
      </w:pPr>
    </w:p>
    <w:p w:rsidR="004C3B79" w:rsidRPr="007565D3" w:rsidRDefault="004C3B79" w:rsidP="004C3B79">
      <w:pPr>
        <w:pStyle w:val="Body1"/>
        <w:spacing w:after="0" w:line="240" w:lineRule="auto"/>
        <w:ind w:left="720" w:hanging="720"/>
        <w:jc w:val="both"/>
        <w:outlineLvl w:val="9"/>
        <w:rPr>
          <w:rFonts w:ascii="Arial" w:eastAsia="Times New Roman" w:hAnsi="Arial" w:cs="Arial"/>
          <w:b/>
          <w:color w:val="auto"/>
          <w:szCs w:val="22"/>
        </w:rPr>
      </w:pPr>
      <w:r w:rsidRPr="007565D3">
        <w:rPr>
          <w:rFonts w:ascii="Arial" w:eastAsia="Times New Roman" w:hAnsi="Arial" w:cs="Arial"/>
          <w:b/>
          <w:color w:val="auto"/>
          <w:szCs w:val="22"/>
        </w:rPr>
        <w:t>6.</w:t>
      </w:r>
      <w:r w:rsidRPr="007565D3">
        <w:rPr>
          <w:rFonts w:ascii="Arial" w:eastAsia="Times New Roman" w:hAnsi="Arial" w:cs="Arial"/>
          <w:b/>
          <w:color w:val="auto"/>
          <w:szCs w:val="22"/>
        </w:rPr>
        <w:tab/>
        <w:t>CAPITAL PROGRAMME 2018/19 – 2020/2021</w:t>
      </w:r>
    </w:p>
    <w:p w:rsidR="004C3B79" w:rsidRPr="007565D3" w:rsidRDefault="004C3B79" w:rsidP="004C3B79">
      <w:pPr>
        <w:pStyle w:val="Body1"/>
        <w:spacing w:after="0" w:line="240" w:lineRule="auto"/>
        <w:ind w:left="720" w:hanging="720"/>
        <w:jc w:val="both"/>
        <w:outlineLvl w:val="9"/>
        <w:rPr>
          <w:rFonts w:ascii="Arial" w:eastAsia="Times New Roman" w:hAnsi="Arial" w:cs="Arial"/>
          <w:color w:val="auto"/>
          <w:szCs w:val="22"/>
        </w:rPr>
      </w:pPr>
    </w:p>
    <w:p w:rsidR="004C3B79" w:rsidRPr="007565D3" w:rsidRDefault="004C3B79" w:rsidP="004C3B79">
      <w:pPr>
        <w:tabs>
          <w:tab w:val="left" w:pos="709"/>
          <w:tab w:val="left" w:pos="1418"/>
        </w:tabs>
        <w:ind w:left="709" w:hanging="709"/>
        <w:jc w:val="both"/>
        <w:rPr>
          <w:rFonts w:ascii="Arial" w:hAnsi="Arial" w:cs="Arial"/>
          <w:sz w:val="22"/>
          <w:highlight w:val="yellow"/>
        </w:rPr>
      </w:pPr>
    </w:p>
    <w:p w:rsidR="004C3B79" w:rsidRPr="007565D3" w:rsidRDefault="004C3B79" w:rsidP="004C3B79">
      <w:pPr>
        <w:pStyle w:val="ListParagraph"/>
        <w:numPr>
          <w:ilvl w:val="1"/>
          <w:numId w:val="39"/>
        </w:numPr>
        <w:tabs>
          <w:tab w:val="left" w:pos="709"/>
          <w:tab w:val="left" w:pos="1418"/>
        </w:tabs>
        <w:spacing w:after="240"/>
        <w:ind w:left="709" w:hanging="709"/>
        <w:rPr>
          <w:rFonts w:cs="Arial"/>
          <w:sz w:val="22"/>
        </w:rPr>
      </w:pPr>
      <w:r w:rsidRPr="007565D3">
        <w:rPr>
          <w:rFonts w:cs="Arial"/>
          <w:sz w:val="22"/>
        </w:rPr>
        <w:t xml:space="preserve">The key capital spending priority in 2018-19 continues to be the Information Services Transformation Programme (ISTP), which is scheduled for completion in the </w:t>
      </w:r>
      <w:r>
        <w:rPr>
          <w:rFonts w:cs="Arial"/>
          <w:sz w:val="22"/>
        </w:rPr>
        <w:t>Autumn</w:t>
      </w:r>
      <w:r w:rsidRPr="007565D3">
        <w:rPr>
          <w:rFonts w:cs="Arial"/>
          <w:sz w:val="22"/>
        </w:rPr>
        <w:t xml:space="preserve">. The programme is made up of a number of projects to replace key operational policing systems and ageing infrastructure and architecture. The programme will remove the significant risk of IT failure which the current platform presents, and act as a key enabler to facilitate the changes in practices to make policing more effective and efficient. </w:t>
      </w:r>
    </w:p>
    <w:p w:rsidR="004C3B79" w:rsidRPr="007565D3" w:rsidRDefault="004C3B79" w:rsidP="004C3B79">
      <w:pPr>
        <w:pStyle w:val="ListParagraph"/>
        <w:numPr>
          <w:ilvl w:val="1"/>
          <w:numId w:val="39"/>
        </w:numPr>
        <w:tabs>
          <w:tab w:val="left" w:pos="709"/>
          <w:tab w:val="left" w:pos="1418"/>
        </w:tabs>
        <w:spacing w:after="240"/>
        <w:ind w:left="709" w:hanging="709"/>
        <w:rPr>
          <w:rFonts w:cs="Arial"/>
          <w:sz w:val="22"/>
        </w:rPr>
      </w:pPr>
      <w:r w:rsidRPr="007565D3">
        <w:rPr>
          <w:rFonts w:cs="Arial"/>
          <w:sz w:val="22"/>
        </w:rPr>
        <w:t>Aside from the ISTP investment the majority of the capital programme is classified as business as usual activity. However there are 2 major projects within the Estates category, both of which act as enablers to release either space or property which support the rationalisation of the Estate.</w:t>
      </w:r>
    </w:p>
    <w:p w:rsidR="004C3B79" w:rsidRPr="007565D3" w:rsidRDefault="004C3B79" w:rsidP="004C3B79">
      <w:pPr>
        <w:tabs>
          <w:tab w:val="left" w:pos="709"/>
          <w:tab w:val="left" w:pos="1418"/>
        </w:tabs>
        <w:spacing w:after="240"/>
        <w:ind w:left="709"/>
        <w:rPr>
          <w:rFonts w:ascii="Arial" w:hAnsi="Arial" w:cs="Arial"/>
          <w:sz w:val="22"/>
        </w:rPr>
      </w:pPr>
      <w:r w:rsidRPr="007565D3">
        <w:rPr>
          <w:rFonts w:ascii="Arial" w:hAnsi="Arial" w:cs="Arial"/>
          <w:sz w:val="22"/>
        </w:rPr>
        <w:t>Details of the funding of the proposed capital programme are included in the tables below:</w:t>
      </w:r>
    </w:p>
    <w:p w:rsidR="004C3B79" w:rsidRDefault="004C3B79" w:rsidP="004C3B79">
      <w:pPr>
        <w:tabs>
          <w:tab w:val="left" w:pos="709"/>
          <w:tab w:val="left" w:pos="1418"/>
        </w:tabs>
        <w:ind w:left="1065"/>
        <w:jc w:val="both"/>
        <w:rPr>
          <w:rFonts w:ascii="Century Gothic" w:hAnsi="Century Gothic" w:cs="Arial"/>
          <w:sz w:val="22"/>
          <w:highlight w:val="yellow"/>
        </w:rPr>
      </w:pPr>
    </w:p>
    <w:tbl>
      <w:tblPr>
        <w:tblW w:w="7520" w:type="dxa"/>
        <w:tblInd w:w="925" w:type="dxa"/>
        <w:tblLook w:val="04A0" w:firstRow="1" w:lastRow="0" w:firstColumn="1" w:lastColumn="0" w:noHBand="0" w:noVBand="1"/>
      </w:tblPr>
      <w:tblGrid>
        <w:gridCol w:w="3560"/>
        <w:gridCol w:w="1320"/>
        <w:gridCol w:w="1320"/>
        <w:gridCol w:w="1320"/>
      </w:tblGrid>
      <w:tr w:rsidR="004C3B79" w:rsidTr="00721530">
        <w:trPr>
          <w:trHeight w:val="292"/>
        </w:trPr>
        <w:tc>
          <w:tcPr>
            <w:tcW w:w="3560" w:type="dxa"/>
            <w:tcBorders>
              <w:top w:val="nil"/>
              <w:left w:val="nil"/>
              <w:bottom w:val="nil"/>
              <w:right w:val="nil"/>
            </w:tcBorders>
            <w:shd w:val="clear" w:color="auto" w:fill="DEEAF6" w:themeFill="accent1" w:themeFillTint="33"/>
            <w:noWrap/>
            <w:vAlign w:val="bottom"/>
            <w:hideMark/>
          </w:tcPr>
          <w:p w:rsidR="004C3B79" w:rsidRDefault="004C3B79" w:rsidP="00721530">
            <w:pPr>
              <w:rPr>
                <w:rFonts w:ascii="Arial" w:hAnsi="Arial" w:cs="Arial"/>
                <w:b/>
                <w:bCs/>
                <w:color w:val="000000"/>
                <w:sz w:val="20"/>
              </w:rPr>
            </w:pPr>
          </w:p>
        </w:tc>
        <w:tc>
          <w:tcPr>
            <w:tcW w:w="1320" w:type="dxa"/>
            <w:tcBorders>
              <w:top w:val="nil"/>
              <w:left w:val="nil"/>
              <w:bottom w:val="nil"/>
              <w:right w:val="nil"/>
            </w:tcBorders>
            <w:shd w:val="clear" w:color="auto" w:fill="DEEAF6" w:themeFill="accent1" w:themeFillTint="33"/>
            <w:noWrap/>
            <w:vAlign w:val="bottom"/>
            <w:hideMark/>
          </w:tcPr>
          <w:p w:rsidR="004C3B79" w:rsidRDefault="004C3B79" w:rsidP="00721530">
            <w:pPr>
              <w:jc w:val="right"/>
              <w:rPr>
                <w:rFonts w:ascii="Arial" w:hAnsi="Arial" w:cs="Arial"/>
                <w:b/>
                <w:bCs/>
                <w:color w:val="000000"/>
                <w:sz w:val="20"/>
              </w:rPr>
            </w:pPr>
            <w:r>
              <w:rPr>
                <w:rFonts w:ascii="Arial" w:hAnsi="Arial" w:cs="Arial"/>
                <w:b/>
                <w:bCs/>
                <w:color w:val="000000"/>
                <w:sz w:val="20"/>
              </w:rPr>
              <w:t>2018/19</w:t>
            </w:r>
          </w:p>
        </w:tc>
        <w:tc>
          <w:tcPr>
            <w:tcW w:w="1320" w:type="dxa"/>
            <w:tcBorders>
              <w:top w:val="nil"/>
              <w:left w:val="nil"/>
              <w:bottom w:val="nil"/>
              <w:right w:val="nil"/>
            </w:tcBorders>
            <w:shd w:val="clear" w:color="auto" w:fill="DEEAF6" w:themeFill="accent1" w:themeFillTint="33"/>
            <w:vAlign w:val="bottom"/>
          </w:tcPr>
          <w:p w:rsidR="004C3B79" w:rsidRDefault="004C3B79" w:rsidP="00721530">
            <w:pPr>
              <w:jc w:val="right"/>
              <w:rPr>
                <w:rFonts w:ascii="Arial" w:hAnsi="Arial" w:cs="Arial"/>
                <w:b/>
                <w:bCs/>
                <w:color w:val="000000"/>
                <w:sz w:val="20"/>
              </w:rPr>
            </w:pPr>
            <w:r>
              <w:rPr>
                <w:rFonts w:ascii="Arial" w:hAnsi="Arial" w:cs="Arial"/>
                <w:b/>
                <w:bCs/>
                <w:color w:val="000000"/>
                <w:sz w:val="20"/>
              </w:rPr>
              <w:t>2019/20</w:t>
            </w:r>
          </w:p>
        </w:tc>
        <w:tc>
          <w:tcPr>
            <w:tcW w:w="1320" w:type="dxa"/>
            <w:tcBorders>
              <w:top w:val="nil"/>
              <w:left w:val="nil"/>
              <w:bottom w:val="nil"/>
              <w:right w:val="nil"/>
            </w:tcBorders>
            <w:shd w:val="clear" w:color="auto" w:fill="DEEAF6" w:themeFill="accent1" w:themeFillTint="33"/>
            <w:vAlign w:val="bottom"/>
          </w:tcPr>
          <w:p w:rsidR="004C3B79" w:rsidRDefault="004C3B79" w:rsidP="00721530">
            <w:pPr>
              <w:jc w:val="right"/>
              <w:rPr>
                <w:rFonts w:ascii="Arial" w:hAnsi="Arial" w:cs="Arial"/>
                <w:b/>
                <w:bCs/>
                <w:color w:val="000000"/>
                <w:sz w:val="20"/>
              </w:rPr>
            </w:pPr>
            <w:r>
              <w:rPr>
                <w:rFonts w:ascii="Arial" w:hAnsi="Arial" w:cs="Arial"/>
                <w:b/>
                <w:bCs/>
                <w:color w:val="000000"/>
                <w:sz w:val="20"/>
              </w:rPr>
              <w:t>2020/21</w:t>
            </w:r>
          </w:p>
        </w:tc>
      </w:tr>
      <w:tr w:rsidR="004C3B79" w:rsidTr="00721530">
        <w:trPr>
          <w:trHeight w:val="292"/>
        </w:trPr>
        <w:tc>
          <w:tcPr>
            <w:tcW w:w="3560" w:type="dxa"/>
            <w:tcBorders>
              <w:top w:val="nil"/>
              <w:left w:val="nil"/>
              <w:bottom w:val="nil"/>
              <w:right w:val="nil"/>
            </w:tcBorders>
            <w:shd w:val="clear" w:color="auto" w:fill="DEEAF6" w:themeFill="accent1" w:themeFillTint="33"/>
            <w:noWrap/>
            <w:vAlign w:val="bottom"/>
            <w:hideMark/>
          </w:tcPr>
          <w:p w:rsidR="004C3B79" w:rsidRDefault="004C3B79" w:rsidP="00721530">
            <w:pPr>
              <w:rPr>
                <w:rFonts w:ascii="Calibri" w:hAnsi="Calibri" w:cs="Calibri"/>
                <w:color w:val="000000"/>
                <w:sz w:val="22"/>
                <w:szCs w:val="22"/>
              </w:rPr>
            </w:pPr>
            <w:r>
              <w:rPr>
                <w:rFonts w:ascii="Calibri" w:hAnsi="Calibri" w:cs="Calibri"/>
                <w:color w:val="000000"/>
                <w:sz w:val="22"/>
                <w:szCs w:val="22"/>
              </w:rPr>
              <w:t> </w:t>
            </w:r>
          </w:p>
        </w:tc>
        <w:tc>
          <w:tcPr>
            <w:tcW w:w="1320" w:type="dxa"/>
            <w:tcBorders>
              <w:top w:val="nil"/>
              <w:left w:val="nil"/>
              <w:bottom w:val="nil"/>
              <w:right w:val="nil"/>
            </w:tcBorders>
            <w:shd w:val="clear" w:color="auto" w:fill="DEEAF6" w:themeFill="accent1" w:themeFillTint="33"/>
            <w:noWrap/>
            <w:vAlign w:val="bottom"/>
            <w:hideMark/>
          </w:tcPr>
          <w:p w:rsidR="004C3B79" w:rsidRDefault="004C3B79" w:rsidP="00721530">
            <w:pPr>
              <w:jc w:val="right"/>
              <w:rPr>
                <w:rFonts w:ascii="Arial" w:hAnsi="Arial" w:cs="Arial"/>
                <w:b/>
                <w:bCs/>
                <w:color w:val="000000"/>
                <w:sz w:val="20"/>
              </w:rPr>
            </w:pPr>
            <w:r>
              <w:rPr>
                <w:rFonts w:ascii="Arial" w:hAnsi="Arial" w:cs="Arial"/>
                <w:b/>
                <w:bCs/>
                <w:color w:val="000000"/>
                <w:sz w:val="20"/>
              </w:rPr>
              <w:t>£000s</w:t>
            </w:r>
          </w:p>
        </w:tc>
        <w:tc>
          <w:tcPr>
            <w:tcW w:w="1320" w:type="dxa"/>
            <w:tcBorders>
              <w:top w:val="nil"/>
              <w:left w:val="nil"/>
              <w:bottom w:val="nil"/>
              <w:right w:val="nil"/>
            </w:tcBorders>
            <w:shd w:val="clear" w:color="auto" w:fill="DEEAF6" w:themeFill="accent1" w:themeFillTint="33"/>
            <w:vAlign w:val="bottom"/>
          </w:tcPr>
          <w:p w:rsidR="004C3B79" w:rsidRDefault="004C3B79" w:rsidP="00721530">
            <w:pPr>
              <w:jc w:val="right"/>
              <w:rPr>
                <w:rFonts w:ascii="Arial" w:hAnsi="Arial" w:cs="Arial"/>
                <w:b/>
                <w:bCs/>
                <w:color w:val="000000"/>
                <w:sz w:val="20"/>
              </w:rPr>
            </w:pPr>
            <w:r>
              <w:rPr>
                <w:rFonts w:ascii="Arial" w:hAnsi="Arial" w:cs="Arial"/>
                <w:b/>
                <w:bCs/>
                <w:color w:val="000000"/>
                <w:sz w:val="20"/>
              </w:rPr>
              <w:t>£000s</w:t>
            </w:r>
          </w:p>
        </w:tc>
        <w:tc>
          <w:tcPr>
            <w:tcW w:w="1320" w:type="dxa"/>
            <w:tcBorders>
              <w:top w:val="nil"/>
              <w:left w:val="nil"/>
              <w:bottom w:val="nil"/>
              <w:right w:val="nil"/>
            </w:tcBorders>
            <w:shd w:val="clear" w:color="auto" w:fill="DEEAF6" w:themeFill="accent1" w:themeFillTint="33"/>
            <w:vAlign w:val="bottom"/>
          </w:tcPr>
          <w:p w:rsidR="004C3B79" w:rsidRDefault="004C3B79" w:rsidP="00721530">
            <w:pPr>
              <w:jc w:val="right"/>
              <w:rPr>
                <w:rFonts w:ascii="Arial" w:hAnsi="Arial" w:cs="Arial"/>
                <w:b/>
                <w:bCs/>
                <w:color w:val="000000"/>
                <w:sz w:val="20"/>
              </w:rPr>
            </w:pPr>
            <w:r>
              <w:rPr>
                <w:rFonts w:ascii="Arial" w:hAnsi="Arial" w:cs="Arial"/>
                <w:b/>
                <w:bCs/>
                <w:color w:val="000000"/>
                <w:sz w:val="20"/>
              </w:rPr>
              <w:t>£000s</w:t>
            </w: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jc w:val="right"/>
              <w:rPr>
                <w:rFonts w:ascii="Arial" w:hAnsi="Arial" w:cs="Arial"/>
                <w:b/>
                <w:bCs/>
                <w:color w:val="000000"/>
                <w:sz w:val="20"/>
              </w:rPr>
            </w:pPr>
          </w:p>
        </w:tc>
        <w:tc>
          <w:tcPr>
            <w:tcW w:w="1320" w:type="dxa"/>
            <w:tcBorders>
              <w:top w:val="nil"/>
              <w:left w:val="nil"/>
              <w:bottom w:val="nil"/>
              <w:right w:val="nil"/>
            </w:tcBorders>
            <w:shd w:val="clear" w:color="auto" w:fill="auto"/>
            <w:noWrap/>
            <w:vAlign w:val="bottom"/>
            <w:hideMark/>
          </w:tcPr>
          <w:p w:rsidR="004C3B79" w:rsidRDefault="004C3B79" w:rsidP="00721530">
            <w:pPr>
              <w:rPr>
                <w:sz w:val="20"/>
              </w:rPr>
            </w:pPr>
          </w:p>
        </w:tc>
        <w:tc>
          <w:tcPr>
            <w:tcW w:w="1320" w:type="dxa"/>
            <w:tcBorders>
              <w:top w:val="nil"/>
              <w:left w:val="nil"/>
              <w:bottom w:val="nil"/>
              <w:right w:val="nil"/>
            </w:tcBorders>
            <w:vAlign w:val="bottom"/>
          </w:tcPr>
          <w:p w:rsidR="004C3B79" w:rsidRDefault="004C3B79" w:rsidP="00721530">
            <w:pPr>
              <w:rPr>
                <w:sz w:val="20"/>
              </w:rPr>
            </w:pPr>
          </w:p>
        </w:tc>
        <w:tc>
          <w:tcPr>
            <w:tcW w:w="1320" w:type="dxa"/>
            <w:tcBorders>
              <w:top w:val="nil"/>
              <w:left w:val="nil"/>
              <w:bottom w:val="nil"/>
              <w:right w:val="nil"/>
            </w:tcBorders>
            <w:vAlign w:val="bottom"/>
          </w:tcPr>
          <w:p w:rsidR="004C3B79" w:rsidRDefault="004C3B79" w:rsidP="00721530">
            <w:pPr>
              <w:rPr>
                <w:sz w:val="20"/>
              </w:rPr>
            </w:pP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rPr>
                <w:rFonts w:ascii="Arial" w:hAnsi="Arial" w:cs="Arial"/>
                <w:sz w:val="20"/>
              </w:rPr>
            </w:pPr>
            <w:r>
              <w:rPr>
                <w:rFonts w:ascii="Arial" w:hAnsi="Arial" w:cs="Arial"/>
                <w:sz w:val="20"/>
              </w:rPr>
              <w:t>Estates</w:t>
            </w:r>
          </w:p>
        </w:tc>
        <w:tc>
          <w:tcPr>
            <w:tcW w:w="1320" w:type="dxa"/>
            <w:tcBorders>
              <w:top w:val="nil"/>
              <w:left w:val="nil"/>
              <w:bottom w:val="nil"/>
              <w:right w:val="nil"/>
            </w:tcBorders>
            <w:shd w:val="clear" w:color="auto" w:fill="auto"/>
            <w:noWrap/>
            <w:vAlign w:val="bottom"/>
            <w:hideMark/>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10,385</w:t>
            </w:r>
          </w:p>
        </w:tc>
        <w:tc>
          <w:tcPr>
            <w:tcW w:w="1320" w:type="dxa"/>
            <w:tcBorders>
              <w:top w:val="nil"/>
              <w:left w:val="nil"/>
              <w:bottom w:val="nil"/>
              <w:right w:val="nil"/>
            </w:tcBorders>
            <w:vAlign w:val="bottom"/>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3,734</w:t>
            </w:r>
          </w:p>
        </w:tc>
        <w:tc>
          <w:tcPr>
            <w:tcW w:w="1320" w:type="dxa"/>
            <w:tcBorders>
              <w:top w:val="nil"/>
              <w:left w:val="nil"/>
              <w:bottom w:val="nil"/>
              <w:right w:val="nil"/>
            </w:tcBorders>
            <w:vAlign w:val="bottom"/>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1,309</w:t>
            </w: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rPr>
                <w:rFonts w:ascii="Arial" w:hAnsi="Arial" w:cs="Arial"/>
                <w:sz w:val="20"/>
              </w:rPr>
            </w:pPr>
            <w:r>
              <w:rPr>
                <w:rFonts w:ascii="Arial" w:hAnsi="Arial" w:cs="Arial"/>
                <w:sz w:val="20"/>
              </w:rPr>
              <w:t>Fleet</w:t>
            </w:r>
          </w:p>
        </w:tc>
        <w:tc>
          <w:tcPr>
            <w:tcW w:w="1320" w:type="dxa"/>
            <w:tcBorders>
              <w:top w:val="nil"/>
              <w:left w:val="nil"/>
              <w:bottom w:val="nil"/>
              <w:right w:val="nil"/>
            </w:tcBorders>
            <w:shd w:val="clear" w:color="auto" w:fill="auto"/>
            <w:noWrap/>
            <w:vAlign w:val="bottom"/>
            <w:hideMark/>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3,258</w:t>
            </w:r>
          </w:p>
        </w:tc>
        <w:tc>
          <w:tcPr>
            <w:tcW w:w="1320" w:type="dxa"/>
            <w:tcBorders>
              <w:top w:val="nil"/>
              <w:left w:val="nil"/>
              <w:bottom w:val="nil"/>
              <w:right w:val="nil"/>
            </w:tcBorders>
            <w:vAlign w:val="bottom"/>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3,409</w:t>
            </w:r>
          </w:p>
        </w:tc>
        <w:tc>
          <w:tcPr>
            <w:tcW w:w="1320" w:type="dxa"/>
            <w:tcBorders>
              <w:top w:val="nil"/>
              <w:left w:val="nil"/>
              <w:bottom w:val="nil"/>
              <w:right w:val="nil"/>
            </w:tcBorders>
            <w:vAlign w:val="bottom"/>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3,582</w:t>
            </w: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rPr>
                <w:rFonts w:ascii="Arial" w:hAnsi="Arial" w:cs="Arial"/>
                <w:sz w:val="20"/>
              </w:rPr>
            </w:pPr>
            <w:r>
              <w:rPr>
                <w:rFonts w:ascii="Arial" w:hAnsi="Arial" w:cs="Arial"/>
                <w:sz w:val="20"/>
              </w:rPr>
              <w:t>Business  Change</w:t>
            </w:r>
          </w:p>
        </w:tc>
        <w:tc>
          <w:tcPr>
            <w:tcW w:w="1320" w:type="dxa"/>
            <w:tcBorders>
              <w:top w:val="nil"/>
              <w:left w:val="nil"/>
              <w:bottom w:val="nil"/>
              <w:right w:val="nil"/>
            </w:tcBorders>
            <w:shd w:val="clear" w:color="auto" w:fill="auto"/>
            <w:noWrap/>
            <w:vAlign w:val="bottom"/>
            <w:hideMark/>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6,739</w:t>
            </w:r>
          </w:p>
        </w:tc>
        <w:tc>
          <w:tcPr>
            <w:tcW w:w="1320" w:type="dxa"/>
            <w:tcBorders>
              <w:top w:val="nil"/>
              <w:left w:val="nil"/>
              <w:bottom w:val="nil"/>
              <w:right w:val="nil"/>
            </w:tcBorders>
            <w:vAlign w:val="bottom"/>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16,152</w:t>
            </w:r>
          </w:p>
        </w:tc>
        <w:tc>
          <w:tcPr>
            <w:tcW w:w="1320" w:type="dxa"/>
            <w:tcBorders>
              <w:top w:val="nil"/>
              <w:left w:val="nil"/>
              <w:bottom w:val="nil"/>
              <w:right w:val="nil"/>
            </w:tcBorders>
            <w:vAlign w:val="bottom"/>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20,902</w:t>
            </w: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rPr>
                <w:rFonts w:ascii="Arial" w:hAnsi="Arial" w:cs="Arial"/>
                <w:sz w:val="20"/>
              </w:rPr>
            </w:pPr>
            <w:r>
              <w:rPr>
                <w:rFonts w:ascii="Arial" w:hAnsi="Arial" w:cs="Arial"/>
                <w:sz w:val="20"/>
              </w:rPr>
              <w:t>Information Services Transformation Programme</w:t>
            </w:r>
          </w:p>
        </w:tc>
        <w:tc>
          <w:tcPr>
            <w:tcW w:w="1320" w:type="dxa"/>
            <w:tcBorders>
              <w:top w:val="nil"/>
              <w:left w:val="nil"/>
              <w:bottom w:val="nil"/>
              <w:right w:val="nil"/>
            </w:tcBorders>
            <w:shd w:val="clear" w:color="auto" w:fill="auto"/>
            <w:noWrap/>
            <w:vAlign w:val="bottom"/>
            <w:hideMark/>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14,366</w:t>
            </w:r>
          </w:p>
        </w:tc>
        <w:tc>
          <w:tcPr>
            <w:tcW w:w="1320" w:type="dxa"/>
            <w:tcBorders>
              <w:top w:val="nil"/>
              <w:left w:val="nil"/>
              <w:bottom w:val="nil"/>
              <w:right w:val="nil"/>
            </w:tcBorders>
            <w:vAlign w:val="bottom"/>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w:t>
            </w:r>
          </w:p>
        </w:tc>
        <w:tc>
          <w:tcPr>
            <w:tcW w:w="1320" w:type="dxa"/>
            <w:tcBorders>
              <w:top w:val="nil"/>
              <w:left w:val="nil"/>
              <w:bottom w:val="nil"/>
              <w:right w:val="nil"/>
            </w:tcBorders>
            <w:vAlign w:val="bottom"/>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w:t>
            </w: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rPr>
                <w:rFonts w:ascii="Arial" w:hAnsi="Arial" w:cs="Arial"/>
                <w:sz w:val="20"/>
              </w:rPr>
            </w:pPr>
            <w:r>
              <w:rPr>
                <w:rFonts w:ascii="Arial" w:hAnsi="Arial" w:cs="Arial"/>
                <w:sz w:val="20"/>
              </w:rPr>
              <w:t>Other Information Services Projects</w:t>
            </w:r>
          </w:p>
        </w:tc>
        <w:tc>
          <w:tcPr>
            <w:tcW w:w="1320" w:type="dxa"/>
            <w:tcBorders>
              <w:top w:val="nil"/>
              <w:left w:val="nil"/>
              <w:bottom w:val="nil"/>
              <w:right w:val="nil"/>
            </w:tcBorders>
            <w:shd w:val="clear" w:color="auto" w:fill="auto"/>
            <w:noWrap/>
            <w:vAlign w:val="bottom"/>
            <w:hideMark/>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4,150</w:t>
            </w:r>
          </w:p>
        </w:tc>
        <w:tc>
          <w:tcPr>
            <w:tcW w:w="1320" w:type="dxa"/>
            <w:tcBorders>
              <w:top w:val="nil"/>
              <w:left w:val="nil"/>
              <w:bottom w:val="nil"/>
              <w:right w:val="nil"/>
            </w:tcBorders>
            <w:vAlign w:val="bottom"/>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9,798</w:t>
            </w:r>
          </w:p>
        </w:tc>
        <w:tc>
          <w:tcPr>
            <w:tcW w:w="1320" w:type="dxa"/>
            <w:tcBorders>
              <w:top w:val="nil"/>
              <w:left w:val="nil"/>
              <w:bottom w:val="nil"/>
              <w:right w:val="nil"/>
            </w:tcBorders>
            <w:vAlign w:val="bottom"/>
          </w:tcPr>
          <w:p w:rsidR="004C3B79" w:rsidRDefault="004C3B79" w:rsidP="00721530">
            <w:pPr>
              <w:jc w:val="right"/>
              <w:rPr>
                <w:rFonts w:ascii="Calibri" w:hAnsi="Calibri" w:cs="Calibri"/>
                <w:color w:val="000000"/>
                <w:sz w:val="22"/>
                <w:szCs w:val="22"/>
              </w:rPr>
            </w:pPr>
            <w:r>
              <w:rPr>
                <w:rFonts w:ascii="Calibri" w:hAnsi="Calibri" w:cs="Calibri"/>
                <w:color w:val="000000"/>
                <w:sz w:val="22"/>
                <w:szCs w:val="22"/>
              </w:rPr>
              <w:t>7,655</w:t>
            </w: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jc w:val="right"/>
              <w:rPr>
                <w:rFonts w:ascii="Calibri" w:hAnsi="Calibri" w:cs="Calibri"/>
                <w:color w:val="000000"/>
                <w:sz w:val="22"/>
                <w:szCs w:val="22"/>
              </w:rPr>
            </w:pPr>
          </w:p>
        </w:tc>
        <w:tc>
          <w:tcPr>
            <w:tcW w:w="1320" w:type="dxa"/>
            <w:tcBorders>
              <w:top w:val="nil"/>
              <w:left w:val="nil"/>
              <w:bottom w:val="nil"/>
              <w:right w:val="nil"/>
            </w:tcBorders>
            <w:shd w:val="clear" w:color="auto" w:fill="auto"/>
            <w:noWrap/>
            <w:vAlign w:val="bottom"/>
            <w:hideMark/>
          </w:tcPr>
          <w:p w:rsidR="004C3B79" w:rsidRDefault="004C3B79" w:rsidP="00721530">
            <w:pPr>
              <w:rPr>
                <w:sz w:val="20"/>
              </w:rPr>
            </w:pPr>
          </w:p>
        </w:tc>
        <w:tc>
          <w:tcPr>
            <w:tcW w:w="1320" w:type="dxa"/>
            <w:tcBorders>
              <w:top w:val="nil"/>
              <w:left w:val="nil"/>
              <w:bottom w:val="nil"/>
              <w:right w:val="nil"/>
            </w:tcBorders>
            <w:vAlign w:val="bottom"/>
          </w:tcPr>
          <w:p w:rsidR="004C3B79" w:rsidRDefault="004C3B79" w:rsidP="00721530">
            <w:pPr>
              <w:rPr>
                <w:sz w:val="20"/>
              </w:rPr>
            </w:pPr>
          </w:p>
        </w:tc>
        <w:tc>
          <w:tcPr>
            <w:tcW w:w="1320" w:type="dxa"/>
            <w:tcBorders>
              <w:top w:val="nil"/>
              <w:left w:val="nil"/>
              <w:bottom w:val="nil"/>
              <w:right w:val="nil"/>
            </w:tcBorders>
            <w:vAlign w:val="bottom"/>
          </w:tcPr>
          <w:p w:rsidR="004C3B79" w:rsidRDefault="004C3B79" w:rsidP="00721530">
            <w:pPr>
              <w:rPr>
                <w:sz w:val="20"/>
              </w:rPr>
            </w:pPr>
          </w:p>
        </w:tc>
      </w:tr>
      <w:tr w:rsidR="004C3B79" w:rsidTr="00721530">
        <w:trPr>
          <w:trHeight w:val="292"/>
        </w:trPr>
        <w:tc>
          <w:tcPr>
            <w:tcW w:w="3560" w:type="dxa"/>
            <w:tcBorders>
              <w:top w:val="nil"/>
              <w:left w:val="nil"/>
              <w:bottom w:val="nil"/>
              <w:right w:val="nil"/>
            </w:tcBorders>
            <w:shd w:val="clear" w:color="auto" w:fill="DEEAF6" w:themeFill="accent1" w:themeFillTint="33"/>
            <w:noWrap/>
            <w:vAlign w:val="bottom"/>
            <w:hideMark/>
          </w:tcPr>
          <w:p w:rsidR="004C3B79" w:rsidRDefault="004C3B79" w:rsidP="00721530">
            <w:pPr>
              <w:rPr>
                <w:rFonts w:ascii="Arial" w:hAnsi="Arial" w:cs="Arial"/>
                <w:b/>
                <w:bCs/>
                <w:color w:val="000000"/>
                <w:sz w:val="20"/>
              </w:rPr>
            </w:pPr>
            <w:r>
              <w:rPr>
                <w:rFonts w:ascii="Arial" w:hAnsi="Arial" w:cs="Arial"/>
                <w:b/>
                <w:bCs/>
                <w:color w:val="000000"/>
                <w:sz w:val="20"/>
              </w:rPr>
              <w:t>Grand Total</w:t>
            </w:r>
          </w:p>
        </w:tc>
        <w:tc>
          <w:tcPr>
            <w:tcW w:w="1320" w:type="dxa"/>
            <w:tcBorders>
              <w:top w:val="nil"/>
              <w:left w:val="nil"/>
              <w:bottom w:val="nil"/>
              <w:right w:val="nil"/>
            </w:tcBorders>
            <w:shd w:val="clear" w:color="auto" w:fill="DEEAF6" w:themeFill="accent1" w:themeFillTint="33"/>
            <w:noWrap/>
            <w:vAlign w:val="bottom"/>
            <w:hideMark/>
          </w:tcPr>
          <w:p w:rsidR="004C3B79" w:rsidRDefault="004C3B79" w:rsidP="00721530">
            <w:pPr>
              <w:jc w:val="right"/>
              <w:rPr>
                <w:rFonts w:ascii="Arial" w:hAnsi="Arial" w:cs="Arial"/>
                <w:b/>
                <w:bCs/>
                <w:color w:val="000000"/>
                <w:sz w:val="20"/>
              </w:rPr>
            </w:pPr>
            <w:r>
              <w:rPr>
                <w:rFonts w:ascii="Arial" w:hAnsi="Arial" w:cs="Arial"/>
                <w:b/>
                <w:bCs/>
                <w:color w:val="000000"/>
                <w:sz w:val="20"/>
              </w:rPr>
              <w:t>38,898</w:t>
            </w:r>
          </w:p>
        </w:tc>
        <w:tc>
          <w:tcPr>
            <w:tcW w:w="1320" w:type="dxa"/>
            <w:tcBorders>
              <w:top w:val="nil"/>
              <w:left w:val="nil"/>
              <w:bottom w:val="nil"/>
              <w:right w:val="nil"/>
            </w:tcBorders>
            <w:shd w:val="clear" w:color="auto" w:fill="DEEAF6" w:themeFill="accent1" w:themeFillTint="33"/>
            <w:vAlign w:val="bottom"/>
          </w:tcPr>
          <w:p w:rsidR="004C3B79" w:rsidRDefault="004C3B79" w:rsidP="00721530">
            <w:pPr>
              <w:jc w:val="right"/>
              <w:rPr>
                <w:rFonts w:ascii="Arial" w:hAnsi="Arial" w:cs="Arial"/>
                <w:b/>
                <w:bCs/>
                <w:color w:val="000000"/>
                <w:sz w:val="20"/>
              </w:rPr>
            </w:pPr>
            <w:r>
              <w:rPr>
                <w:rFonts w:ascii="Arial" w:hAnsi="Arial" w:cs="Arial"/>
                <w:b/>
                <w:bCs/>
                <w:color w:val="000000"/>
                <w:sz w:val="20"/>
              </w:rPr>
              <w:t>33,093</w:t>
            </w:r>
          </w:p>
        </w:tc>
        <w:tc>
          <w:tcPr>
            <w:tcW w:w="1320" w:type="dxa"/>
            <w:tcBorders>
              <w:top w:val="nil"/>
              <w:left w:val="nil"/>
              <w:bottom w:val="nil"/>
              <w:right w:val="nil"/>
            </w:tcBorders>
            <w:shd w:val="clear" w:color="auto" w:fill="DEEAF6" w:themeFill="accent1" w:themeFillTint="33"/>
            <w:vAlign w:val="bottom"/>
          </w:tcPr>
          <w:p w:rsidR="004C3B79" w:rsidRDefault="004C3B79" w:rsidP="00721530">
            <w:pPr>
              <w:jc w:val="right"/>
              <w:rPr>
                <w:rFonts w:ascii="Arial" w:hAnsi="Arial" w:cs="Arial"/>
                <w:b/>
                <w:bCs/>
                <w:color w:val="000000"/>
                <w:sz w:val="20"/>
              </w:rPr>
            </w:pPr>
            <w:r>
              <w:rPr>
                <w:rFonts w:ascii="Arial" w:hAnsi="Arial" w:cs="Arial"/>
                <w:b/>
                <w:bCs/>
                <w:color w:val="000000"/>
                <w:sz w:val="20"/>
              </w:rPr>
              <w:t>33,448</w:t>
            </w: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jc w:val="right"/>
              <w:rPr>
                <w:rFonts w:ascii="Arial" w:hAnsi="Arial" w:cs="Arial"/>
                <w:b/>
                <w:bCs/>
                <w:color w:val="000000"/>
                <w:sz w:val="20"/>
              </w:rPr>
            </w:pPr>
          </w:p>
        </w:tc>
        <w:tc>
          <w:tcPr>
            <w:tcW w:w="1320" w:type="dxa"/>
            <w:tcBorders>
              <w:top w:val="nil"/>
              <w:left w:val="nil"/>
              <w:bottom w:val="nil"/>
              <w:right w:val="nil"/>
            </w:tcBorders>
            <w:shd w:val="clear" w:color="auto" w:fill="auto"/>
            <w:noWrap/>
            <w:vAlign w:val="bottom"/>
            <w:hideMark/>
          </w:tcPr>
          <w:p w:rsidR="004C3B79" w:rsidRDefault="004C3B79" w:rsidP="00721530">
            <w:pPr>
              <w:rPr>
                <w:sz w:val="20"/>
              </w:rPr>
            </w:pPr>
          </w:p>
        </w:tc>
        <w:tc>
          <w:tcPr>
            <w:tcW w:w="1320" w:type="dxa"/>
            <w:tcBorders>
              <w:top w:val="nil"/>
              <w:left w:val="nil"/>
              <w:bottom w:val="nil"/>
              <w:right w:val="nil"/>
            </w:tcBorders>
            <w:vAlign w:val="bottom"/>
          </w:tcPr>
          <w:p w:rsidR="004C3B79" w:rsidRDefault="004C3B79" w:rsidP="00721530">
            <w:pPr>
              <w:rPr>
                <w:sz w:val="20"/>
              </w:rPr>
            </w:pPr>
          </w:p>
        </w:tc>
        <w:tc>
          <w:tcPr>
            <w:tcW w:w="1320" w:type="dxa"/>
            <w:tcBorders>
              <w:top w:val="nil"/>
              <w:left w:val="nil"/>
              <w:bottom w:val="nil"/>
              <w:right w:val="nil"/>
            </w:tcBorders>
            <w:vAlign w:val="bottom"/>
          </w:tcPr>
          <w:p w:rsidR="004C3B79" w:rsidRDefault="004C3B79" w:rsidP="00721530">
            <w:pPr>
              <w:rPr>
                <w:sz w:val="20"/>
              </w:rPr>
            </w:pP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rPr>
                <w:sz w:val="20"/>
              </w:rPr>
            </w:pPr>
          </w:p>
        </w:tc>
        <w:tc>
          <w:tcPr>
            <w:tcW w:w="1320" w:type="dxa"/>
            <w:tcBorders>
              <w:top w:val="nil"/>
              <w:left w:val="nil"/>
              <w:bottom w:val="nil"/>
              <w:right w:val="nil"/>
            </w:tcBorders>
            <w:shd w:val="clear" w:color="auto" w:fill="auto"/>
            <w:noWrap/>
            <w:vAlign w:val="bottom"/>
            <w:hideMark/>
          </w:tcPr>
          <w:p w:rsidR="004C3B79" w:rsidRDefault="004C3B79" w:rsidP="00721530">
            <w:pPr>
              <w:rPr>
                <w:sz w:val="20"/>
              </w:rPr>
            </w:pPr>
          </w:p>
        </w:tc>
        <w:tc>
          <w:tcPr>
            <w:tcW w:w="1320" w:type="dxa"/>
            <w:tcBorders>
              <w:top w:val="nil"/>
              <w:left w:val="nil"/>
              <w:bottom w:val="nil"/>
              <w:right w:val="nil"/>
            </w:tcBorders>
            <w:vAlign w:val="bottom"/>
          </w:tcPr>
          <w:p w:rsidR="004C3B79" w:rsidRDefault="004C3B79" w:rsidP="00721530">
            <w:pPr>
              <w:rPr>
                <w:sz w:val="20"/>
              </w:rPr>
            </w:pPr>
          </w:p>
        </w:tc>
        <w:tc>
          <w:tcPr>
            <w:tcW w:w="1320" w:type="dxa"/>
            <w:tcBorders>
              <w:top w:val="nil"/>
              <w:left w:val="nil"/>
              <w:bottom w:val="nil"/>
              <w:right w:val="nil"/>
            </w:tcBorders>
            <w:vAlign w:val="bottom"/>
          </w:tcPr>
          <w:p w:rsidR="004C3B79" w:rsidRDefault="004C3B79" w:rsidP="00721530">
            <w:pPr>
              <w:rPr>
                <w:sz w:val="20"/>
              </w:rPr>
            </w:pPr>
          </w:p>
        </w:tc>
      </w:tr>
      <w:tr w:rsidR="004C3B79" w:rsidTr="00721530">
        <w:trPr>
          <w:trHeight w:val="292"/>
        </w:trPr>
        <w:tc>
          <w:tcPr>
            <w:tcW w:w="3560" w:type="dxa"/>
            <w:tcBorders>
              <w:top w:val="nil"/>
              <w:left w:val="nil"/>
              <w:bottom w:val="nil"/>
              <w:right w:val="nil"/>
            </w:tcBorders>
            <w:shd w:val="clear" w:color="auto" w:fill="DEEAF6" w:themeFill="accent1" w:themeFillTint="33"/>
            <w:noWrap/>
            <w:vAlign w:val="bottom"/>
            <w:hideMark/>
          </w:tcPr>
          <w:p w:rsidR="004C3B79" w:rsidRDefault="004C3B79" w:rsidP="00721530">
            <w:pPr>
              <w:rPr>
                <w:rFonts w:ascii="Arial" w:hAnsi="Arial" w:cs="Arial"/>
                <w:b/>
                <w:bCs/>
                <w:color w:val="000000"/>
                <w:sz w:val="20"/>
              </w:rPr>
            </w:pPr>
            <w:r>
              <w:rPr>
                <w:rFonts w:ascii="Arial" w:hAnsi="Arial" w:cs="Arial"/>
                <w:b/>
                <w:bCs/>
                <w:color w:val="000000"/>
                <w:sz w:val="20"/>
              </w:rPr>
              <w:t>Funded By:</w:t>
            </w:r>
          </w:p>
        </w:tc>
        <w:tc>
          <w:tcPr>
            <w:tcW w:w="1320" w:type="dxa"/>
            <w:tcBorders>
              <w:top w:val="nil"/>
              <w:left w:val="nil"/>
              <w:bottom w:val="nil"/>
              <w:right w:val="nil"/>
            </w:tcBorders>
            <w:shd w:val="clear" w:color="auto" w:fill="DEEAF6" w:themeFill="accent1" w:themeFillTint="33"/>
            <w:noWrap/>
            <w:vAlign w:val="bottom"/>
            <w:hideMark/>
          </w:tcPr>
          <w:p w:rsidR="004C3B79" w:rsidRDefault="004C3B79" w:rsidP="00721530">
            <w:pPr>
              <w:jc w:val="right"/>
              <w:rPr>
                <w:rFonts w:ascii="Arial" w:hAnsi="Arial" w:cs="Arial"/>
                <w:b/>
                <w:bCs/>
                <w:color w:val="000000"/>
                <w:sz w:val="20"/>
              </w:rPr>
            </w:pPr>
            <w:r>
              <w:rPr>
                <w:rFonts w:ascii="Arial" w:hAnsi="Arial" w:cs="Arial"/>
                <w:b/>
                <w:bCs/>
                <w:color w:val="000000"/>
                <w:sz w:val="20"/>
              </w:rPr>
              <w:t>2018/19</w:t>
            </w:r>
          </w:p>
        </w:tc>
        <w:tc>
          <w:tcPr>
            <w:tcW w:w="1320" w:type="dxa"/>
            <w:tcBorders>
              <w:top w:val="nil"/>
              <w:left w:val="nil"/>
              <w:bottom w:val="nil"/>
              <w:right w:val="nil"/>
            </w:tcBorders>
            <w:shd w:val="clear" w:color="auto" w:fill="DEEAF6" w:themeFill="accent1" w:themeFillTint="33"/>
            <w:vAlign w:val="bottom"/>
          </w:tcPr>
          <w:p w:rsidR="004C3B79" w:rsidRDefault="004C3B79" w:rsidP="00721530">
            <w:pPr>
              <w:jc w:val="right"/>
              <w:rPr>
                <w:rFonts w:ascii="Arial" w:hAnsi="Arial" w:cs="Arial"/>
                <w:b/>
                <w:bCs/>
                <w:color w:val="000000"/>
                <w:sz w:val="20"/>
              </w:rPr>
            </w:pPr>
            <w:r>
              <w:rPr>
                <w:rFonts w:ascii="Arial" w:hAnsi="Arial" w:cs="Arial"/>
                <w:b/>
                <w:bCs/>
                <w:color w:val="000000"/>
                <w:sz w:val="20"/>
              </w:rPr>
              <w:t>2019/20</w:t>
            </w:r>
          </w:p>
        </w:tc>
        <w:tc>
          <w:tcPr>
            <w:tcW w:w="1320" w:type="dxa"/>
            <w:tcBorders>
              <w:top w:val="nil"/>
              <w:left w:val="nil"/>
              <w:bottom w:val="nil"/>
              <w:right w:val="nil"/>
            </w:tcBorders>
            <w:shd w:val="clear" w:color="auto" w:fill="DEEAF6" w:themeFill="accent1" w:themeFillTint="33"/>
            <w:vAlign w:val="bottom"/>
          </w:tcPr>
          <w:p w:rsidR="004C3B79" w:rsidRDefault="004C3B79" w:rsidP="00721530">
            <w:pPr>
              <w:jc w:val="right"/>
              <w:rPr>
                <w:rFonts w:ascii="Arial" w:hAnsi="Arial" w:cs="Arial"/>
                <w:b/>
                <w:bCs/>
                <w:color w:val="000000"/>
                <w:sz w:val="20"/>
              </w:rPr>
            </w:pPr>
            <w:r>
              <w:rPr>
                <w:rFonts w:ascii="Arial" w:hAnsi="Arial" w:cs="Arial"/>
                <w:b/>
                <w:bCs/>
                <w:color w:val="000000"/>
                <w:sz w:val="20"/>
              </w:rPr>
              <w:t>2020/21</w:t>
            </w:r>
          </w:p>
        </w:tc>
      </w:tr>
      <w:tr w:rsidR="004C3B79" w:rsidTr="00721530">
        <w:trPr>
          <w:trHeight w:val="292"/>
        </w:trPr>
        <w:tc>
          <w:tcPr>
            <w:tcW w:w="3560" w:type="dxa"/>
            <w:tcBorders>
              <w:top w:val="nil"/>
              <w:left w:val="nil"/>
              <w:bottom w:val="nil"/>
              <w:right w:val="nil"/>
            </w:tcBorders>
            <w:shd w:val="clear" w:color="auto" w:fill="DEEAF6" w:themeFill="accent1" w:themeFillTint="33"/>
            <w:noWrap/>
            <w:vAlign w:val="bottom"/>
            <w:hideMark/>
          </w:tcPr>
          <w:p w:rsidR="004C3B79" w:rsidRDefault="004C3B79" w:rsidP="00721530">
            <w:pPr>
              <w:rPr>
                <w:rFonts w:ascii="Calibri" w:hAnsi="Calibri" w:cs="Calibri"/>
                <w:color w:val="000000"/>
                <w:sz w:val="22"/>
                <w:szCs w:val="22"/>
              </w:rPr>
            </w:pPr>
            <w:r>
              <w:rPr>
                <w:rFonts w:ascii="Calibri" w:hAnsi="Calibri" w:cs="Calibri"/>
                <w:color w:val="000000"/>
                <w:sz w:val="22"/>
                <w:szCs w:val="22"/>
              </w:rPr>
              <w:t> </w:t>
            </w:r>
          </w:p>
        </w:tc>
        <w:tc>
          <w:tcPr>
            <w:tcW w:w="1320" w:type="dxa"/>
            <w:tcBorders>
              <w:top w:val="nil"/>
              <w:left w:val="nil"/>
              <w:bottom w:val="nil"/>
              <w:right w:val="nil"/>
            </w:tcBorders>
            <w:shd w:val="clear" w:color="auto" w:fill="DEEAF6" w:themeFill="accent1" w:themeFillTint="33"/>
            <w:noWrap/>
            <w:vAlign w:val="bottom"/>
            <w:hideMark/>
          </w:tcPr>
          <w:p w:rsidR="004C3B79" w:rsidRDefault="004C3B79" w:rsidP="00721530">
            <w:pPr>
              <w:jc w:val="right"/>
              <w:rPr>
                <w:rFonts w:ascii="Arial" w:hAnsi="Arial" w:cs="Arial"/>
                <w:b/>
                <w:bCs/>
                <w:color w:val="000000"/>
                <w:sz w:val="20"/>
              </w:rPr>
            </w:pPr>
            <w:r>
              <w:rPr>
                <w:rFonts w:ascii="Arial" w:hAnsi="Arial" w:cs="Arial"/>
                <w:b/>
                <w:bCs/>
                <w:color w:val="000000"/>
                <w:sz w:val="20"/>
              </w:rPr>
              <w:t>£000s</w:t>
            </w:r>
          </w:p>
        </w:tc>
        <w:tc>
          <w:tcPr>
            <w:tcW w:w="1320" w:type="dxa"/>
            <w:tcBorders>
              <w:top w:val="nil"/>
              <w:left w:val="nil"/>
              <w:bottom w:val="nil"/>
              <w:right w:val="nil"/>
            </w:tcBorders>
            <w:shd w:val="clear" w:color="auto" w:fill="DEEAF6" w:themeFill="accent1" w:themeFillTint="33"/>
            <w:vAlign w:val="bottom"/>
          </w:tcPr>
          <w:p w:rsidR="004C3B79" w:rsidRDefault="004C3B79" w:rsidP="00721530">
            <w:pPr>
              <w:jc w:val="right"/>
              <w:rPr>
                <w:rFonts w:ascii="Arial" w:hAnsi="Arial" w:cs="Arial"/>
                <w:b/>
                <w:bCs/>
                <w:color w:val="000000"/>
                <w:sz w:val="20"/>
              </w:rPr>
            </w:pPr>
            <w:r>
              <w:rPr>
                <w:rFonts w:ascii="Arial" w:hAnsi="Arial" w:cs="Arial"/>
                <w:b/>
                <w:bCs/>
                <w:color w:val="000000"/>
                <w:sz w:val="20"/>
              </w:rPr>
              <w:t>£000s</w:t>
            </w:r>
          </w:p>
        </w:tc>
        <w:tc>
          <w:tcPr>
            <w:tcW w:w="1320" w:type="dxa"/>
            <w:tcBorders>
              <w:top w:val="nil"/>
              <w:left w:val="nil"/>
              <w:bottom w:val="nil"/>
              <w:right w:val="nil"/>
            </w:tcBorders>
            <w:shd w:val="clear" w:color="auto" w:fill="DEEAF6" w:themeFill="accent1" w:themeFillTint="33"/>
            <w:vAlign w:val="bottom"/>
          </w:tcPr>
          <w:p w:rsidR="004C3B79" w:rsidRDefault="004C3B79" w:rsidP="00721530">
            <w:pPr>
              <w:jc w:val="right"/>
              <w:rPr>
                <w:rFonts w:ascii="Arial" w:hAnsi="Arial" w:cs="Arial"/>
                <w:b/>
                <w:bCs/>
                <w:color w:val="000000"/>
                <w:sz w:val="20"/>
              </w:rPr>
            </w:pPr>
            <w:r>
              <w:rPr>
                <w:rFonts w:ascii="Arial" w:hAnsi="Arial" w:cs="Arial"/>
                <w:b/>
                <w:bCs/>
                <w:color w:val="000000"/>
                <w:sz w:val="20"/>
              </w:rPr>
              <w:t>£000s</w:t>
            </w: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jc w:val="right"/>
              <w:rPr>
                <w:rFonts w:ascii="Arial" w:hAnsi="Arial" w:cs="Arial"/>
                <w:b/>
                <w:bCs/>
                <w:color w:val="000000"/>
                <w:sz w:val="20"/>
              </w:rPr>
            </w:pPr>
          </w:p>
        </w:tc>
        <w:tc>
          <w:tcPr>
            <w:tcW w:w="1320" w:type="dxa"/>
            <w:tcBorders>
              <w:top w:val="nil"/>
              <w:left w:val="nil"/>
              <w:bottom w:val="nil"/>
              <w:right w:val="nil"/>
            </w:tcBorders>
            <w:shd w:val="clear" w:color="auto" w:fill="auto"/>
            <w:noWrap/>
            <w:vAlign w:val="bottom"/>
            <w:hideMark/>
          </w:tcPr>
          <w:p w:rsidR="004C3B79" w:rsidRDefault="004C3B79" w:rsidP="00721530">
            <w:pPr>
              <w:rPr>
                <w:sz w:val="20"/>
              </w:rPr>
            </w:pPr>
          </w:p>
        </w:tc>
        <w:tc>
          <w:tcPr>
            <w:tcW w:w="1320" w:type="dxa"/>
            <w:tcBorders>
              <w:top w:val="nil"/>
              <w:left w:val="nil"/>
              <w:bottom w:val="nil"/>
              <w:right w:val="nil"/>
            </w:tcBorders>
            <w:vAlign w:val="bottom"/>
          </w:tcPr>
          <w:p w:rsidR="004C3B79" w:rsidRDefault="004C3B79" w:rsidP="00721530">
            <w:pPr>
              <w:rPr>
                <w:sz w:val="20"/>
              </w:rPr>
            </w:pPr>
          </w:p>
        </w:tc>
        <w:tc>
          <w:tcPr>
            <w:tcW w:w="1320" w:type="dxa"/>
            <w:tcBorders>
              <w:top w:val="nil"/>
              <w:left w:val="nil"/>
              <w:bottom w:val="nil"/>
              <w:right w:val="nil"/>
            </w:tcBorders>
            <w:vAlign w:val="bottom"/>
          </w:tcPr>
          <w:p w:rsidR="004C3B79" w:rsidRDefault="004C3B79" w:rsidP="00721530">
            <w:pPr>
              <w:rPr>
                <w:sz w:val="20"/>
              </w:rPr>
            </w:pP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rPr>
                <w:rFonts w:ascii="Arial" w:hAnsi="Arial" w:cs="Arial"/>
                <w:sz w:val="20"/>
              </w:rPr>
            </w:pPr>
            <w:r>
              <w:rPr>
                <w:rFonts w:ascii="Arial" w:hAnsi="Arial" w:cs="Arial"/>
                <w:sz w:val="20"/>
              </w:rPr>
              <w:t>Capital Grant</w:t>
            </w:r>
          </w:p>
        </w:tc>
        <w:tc>
          <w:tcPr>
            <w:tcW w:w="1320" w:type="dxa"/>
            <w:tcBorders>
              <w:top w:val="nil"/>
              <w:left w:val="nil"/>
              <w:bottom w:val="nil"/>
              <w:right w:val="nil"/>
            </w:tcBorders>
            <w:shd w:val="clear" w:color="auto" w:fill="auto"/>
            <w:noWrap/>
            <w:vAlign w:val="bottom"/>
            <w:hideMark/>
          </w:tcPr>
          <w:p w:rsidR="004C3B79" w:rsidRDefault="004C3B79" w:rsidP="00721530">
            <w:pPr>
              <w:jc w:val="right"/>
              <w:rPr>
                <w:rFonts w:ascii="Arial" w:hAnsi="Arial" w:cs="Arial"/>
                <w:color w:val="000000"/>
                <w:sz w:val="20"/>
              </w:rPr>
            </w:pPr>
            <w:r>
              <w:rPr>
                <w:rFonts w:ascii="Arial" w:hAnsi="Arial" w:cs="Arial"/>
                <w:color w:val="000000"/>
                <w:sz w:val="20"/>
              </w:rPr>
              <w:t>-2,321</w:t>
            </w:r>
          </w:p>
        </w:tc>
        <w:tc>
          <w:tcPr>
            <w:tcW w:w="1320" w:type="dxa"/>
            <w:tcBorders>
              <w:top w:val="nil"/>
              <w:left w:val="nil"/>
              <w:bottom w:val="nil"/>
              <w:right w:val="nil"/>
            </w:tcBorders>
            <w:vAlign w:val="bottom"/>
          </w:tcPr>
          <w:p w:rsidR="004C3B79" w:rsidRDefault="004C3B79" w:rsidP="00721530">
            <w:pPr>
              <w:jc w:val="right"/>
              <w:rPr>
                <w:rFonts w:ascii="Arial" w:hAnsi="Arial" w:cs="Arial"/>
                <w:color w:val="000000"/>
                <w:sz w:val="20"/>
              </w:rPr>
            </w:pPr>
            <w:r>
              <w:rPr>
                <w:rFonts w:ascii="Arial" w:hAnsi="Arial" w:cs="Arial"/>
                <w:color w:val="000000"/>
                <w:sz w:val="20"/>
              </w:rPr>
              <w:t>-2,321</w:t>
            </w:r>
          </w:p>
        </w:tc>
        <w:tc>
          <w:tcPr>
            <w:tcW w:w="1320" w:type="dxa"/>
            <w:tcBorders>
              <w:top w:val="nil"/>
              <w:left w:val="nil"/>
              <w:bottom w:val="nil"/>
              <w:right w:val="nil"/>
            </w:tcBorders>
            <w:vAlign w:val="bottom"/>
          </w:tcPr>
          <w:p w:rsidR="004C3B79" w:rsidRDefault="004C3B79" w:rsidP="00721530">
            <w:pPr>
              <w:jc w:val="right"/>
              <w:rPr>
                <w:rFonts w:ascii="Arial" w:hAnsi="Arial" w:cs="Arial"/>
                <w:color w:val="000000"/>
                <w:sz w:val="20"/>
              </w:rPr>
            </w:pPr>
            <w:r>
              <w:rPr>
                <w:rFonts w:ascii="Arial" w:hAnsi="Arial" w:cs="Arial"/>
                <w:color w:val="000000"/>
                <w:sz w:val="20"/>
              </w:rPr>
              <w:t>-2,321</w:t>
            </w: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rPr>
                <w:rFonts w:ascii="Arial" w:hAnsi="Arial" w:cs="Arial"/>
                <w:sz w:val="20"/>
              </w:rPr>
            </w:pPr>
            <w:r>
              <w:rPr>
                <w:rFonts w:ascii="Arial" w:hAnsi="Arial" w:cs="Arial"/>
                <w:sz w:val="20"/>
              </w:rPr>
              <w:t xml:space="preserve">Specific grants </w:t>
            </w:r>
          </w:p>
        </w:tc>
        <w:tc>
          <w:tcPr>
            <w:tcW w:w="1320" w:type="dxa"/>
            <w:tcBorders>
              <w:top w:val="nil"/>
              <w:left w:val="nil"/>
              <w:bottom w:val="nil"/>
              <w:right w:val="nil"/>
            </w:tcBorders>
            <w:shd w:val="clear" w:color="auto" w:fill="auto"/>
            <w:noWrap/>
            <w:vAlign w:val="bottom"/>
            <w:hideMark/>
          </w:tcPr>
          <w:p w:rsidR="004C3B79" w:rsidRDefault="004C3B79" w:rsidP="00721530">
            <w:pPr>
              <w:jc w:val="right"/>
              <w:rPr>
                <w:rFonts w:ascii="Arial" w:hAnsi="Arial" w:cs="Arial"/>
                <w:color w:val="000000"/>
                <w:sz w:val="20"/>
              </w:rPr>
            </w:pPr>
            <w:r>
              <w:rPr>
                <w:rFonts w:ascii="Arial" w:hAnsi="Arial" w:cs="Arial"/>
                <w:color w:val="000000"/>
                <w:sz w:val="20"/>
              </w:rPr>
              <w:t>-1,812</w:t>
            </w:r>
          </w:p>
        </w:tc>
        <w:tc>
          <w:tcPr>
            <w:tcW w:w="1320" w:type="dxa"/>
            <w:tcBorders>
              <w:top w:val="nil"/>
              <w:left w:val="nil"/>
              <w:bottom w:val="nil"/>
              <w:right w:val="nil"/>
            </w:tcBorders>
            <w:vAlign w:val="bottom"/>
          </w:tcPr>
          <w:p w:rsidR="004C3B79" w:rsidRDefault="004C3B79" w:rsidP="00721530">
            <w:pPr>
              <w:jc w:val="right"/>
              <w:rPr>
                <w:rFonts w:ascii="Arial" w:hAnsi="Arial" w:cs="Arial"/>
                <w:color w:val="000000"/>
                <w:sz w:val="20"/>
              </w:rPr>
            </w:pPr>
            <w:r>
              <w:rPr>
                <w:rFonts w:ascii="Arial" w:hAnsi="Arial" w:cs="Arial"/>
                <w:color w:val="000000"/>
                <w:sz w:val="20"/>
              </w:rPr>
              <w:t>-1,680</w:t>
            </w:r>
          </w:p>
        </w:tc>
        <w:tc>
          <w:tcPr>
            <w:tcW w:w="1320" w:type="dxa"/>
            <w:tcBorders>
              <w:top w:val="nil"/>
              <w:left w:val="nil"/>
              <w:bottom w:val="nil"/>
              <w:right w:val="nil"/>
            </w:tcBorders>
            <w:vAlign w:val="bottom"/>
          </w:tcPr>
          <w:p w:rsidR="004C3B79" w:rsidRDefault="004C3B79" w:rsidP="00721530">
            <w:pPr>
              <w:jc w:val="right"/>
              <w:rPr>
                <w:rFonts w:ascii="Arial" w:hAnsi="Arial" w:cs="Arial"/>
                <w:color w:val="000000"/>
                <w:sz w:val="20"/>
              </w:rPr>
            </w:pPr>
            <w:r>
              <w:rPr>
                <w:rFonts w:ascii="Arial" w:hAnsi="Arial" w:cs="Arial"/>
                <w:color w:val="000000"/>
                <w:sz w:val="20"/>
              </w:rPr>
              <w:t>-1,720</w:t>
            </w:r>
          </w:p>
        </w:tc>
      </w:tr>
      <w:tr w:rsidR="004C3B79" w:rsidTr="00721530">
        <w:trPr>
          <w:trHeight w:val="515"/>
        </w:trPr>
        <w:tc>
          <w:tcPr>
            <w:tcW w:w="3560" w:type="dxa"/>
            <w:tcBorders>
              <w:top w:val="nil"/>
              <w:left w:val="nil"/>
              <w:bottom w:val="nil"/>
              <w:right w:val="nil"/>
            </w:tcBorders>
            <w:shd w:val="clear" w:color="auto" w:fill="auto"/>
            <w:vAlign w:val="bottom"/>
            <w:hideMark/>
          </w:tcPr>
          <w:p w:rsidR="004C3B79" w:rsidRDefault="004C3B79" w:rsidP="00721530">
            <w:pPr>
              <w:rPr>
                <w:rFonts w:ascii="Arial" w:hAnsi="Arial" w:cs="Arial"/>
                <w:sz w:val="20"/>
              </w:rPr>
            </w:pPr>
            <w:r>
              <w:rPr>
                <w:rFonts w:ascii="Arial" w:hAnsi="Arial" w:cs="Arial"/>
                <w:sz w:val="20"/>
              </w:rPr>
              <w:t>Direct Revenue Funding from reserves/revenue budget</w:t>
            </w:r>
          </w:p>
        </w:tc>
        <w:tc>
          <w:tcPr>
            <w:tcW w:w="1320" w:type="dxa"/>
            <w:tcBorders>
              <w:top w:val="nil"/>
              <w:left w:val="nil"/>
              <w:bottom w:val="nil"/>
              <w:right w:val="nil"/>
            </w:tcBorders>
            <w:shd w:val="clear" w:color="auto" w:fill="auto"/>
            <w:noWrap/>
            <w:vAlign w:val="bottom"/>
            <w:hideMark/>
          </w:tcPr>
          <w:p w:rsidR="004C3B79" w:rsidRDefault="004C3B79" w:rsidP="00721530">
            <w:pPr>
              <w:jc w:val="right"/>
              <w:rPr>
                <w:rFonts w:ascii="Arial" w:hAnsi="Arial" w:cs="Arial"/>
                <w:color w:val="000000"/>
                <w:sz w:val="20"/>
              </w:rPr>
            </w:pPr>
            <w:r>
              <w:rPr>
                <w:rFonts w:ascii="Arial" w:hAnsi="Arial" w:cs="Arial"/>
                <w:color w:val="000000"/>
                <w:sz w:val="20"/>
              </w:rPr>
              <w:t>-19,319</w:t>
            </w:r>
          </w:p>
        </w:tc>
        <w:tc>
          <w:tcPr>
            <w:tcW w:w="1320" w:type="dxa"/>
            <w:tcBorders>
              <w:top w:val="nil"/>
              <w:left w:val="nil"/>
              <w:bottom w:val="nil"/>
              <w:right w:val="nil"/>
            </w:tcBorders>
            <w:vAlign w:val="bottom"/>
          </w:tcPr>
          <w:p w:rsidR="004C3B79" w:rsidRDefault="004C3B79" w:rsidP="00721530">
            <w:pPr>
              <w:jc w:val="right"/>
              <w:rPr>
                <w:rFonts w:ascii="Arial" w:hAnsi="Arial" w:cs="Arial"/>
                <w:color w:val="000000"/>
                <w:sz w:val="20"/>
              </w:rPr>
            </w:pPr>
            <w:r>
              <w:rPr>
                <w:rFonts w:ascii="Arial" w:hAnsi="Arial" w:cs="Arial"/>
                <w:color w:val="000000"/>
                <w:sz w:val="20"/>
              </w:rPr>
              <w:t>-6,000</w:t>
            </w:r>
          </w:p>
        </w:tc>
        <w:tc>
          <w:tcPr>
            <w:tcW w:w="1320" w:type="dxa"/>
            <w:tcBorders>
              <w:top w:val="nil"/>
              <w:left w:val="nil"/>
              <w:bottom w:val="nil"/>
              <w:right w:val="nil"/>
            </w:tcBorders>
            <w:vAlign w:val="bottom"/>
          </w:tcPr>
          <w:p w:rsidR="004C3B79" w:rsidRDefault="004C3B79" w:rsidP="00721530">
            <w:pPr>
              <w:jc w:val="right"/>
              <w:rPr>
                <w:rFonts w:ascii="Arial" w:hAnsi="Arial" w:cs="Arial"/>
                <w:color w:val="000000"/>
                <w:sz w:val="20"/>
              </w:rPr>
            </w:pPr>
            <w:r>
              <w:rPr>
                <w:rFonts w:ascii="Arial" w:hAnsi="Arial" w:cs="Arial"/>
                <w:color w:val="000000"/>
                <w:sz w:val="20"/>
              </w:rPr>
              <w:t>-1,800</w:t>
            </w: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rPr>
                <w:rFonts w:ascii="Arial" w:hAnsi="Arial" w:cs="Arial"/>
                <w:sz w:val="20"/>
              </w:rPr>
            </w:pPr>
            <w:r>
              <w:rPr>
                <w:rFonts w:ascii="Arial" w:hAnsi="Arial" w:cs="Arial"/>
                <w:sz w:val="20"/>
              </w:rPr>
              <w:t>Capital Receipts</w:t>
            </w:r>
          </w:p>
        </w:tc>
        <w:tc>
          <w:tcPr>
            <w:tcW w:w="1320" w:type="dxa"/>
            <w:tcBorders>
              <w:top w:val="nil"/>
              <w:left w:val="nil"/>
              <w:bottom w:val="nil"/>
              <w:right w:val="nil"/>
            </w:tcBorders>
            <w:shd w:val="clear" w:color="auto" w:fill="auto"/>
            <w:noWrap/>
            <w:vAlign w:val="bottom"/>
            <w:hideMark/>
          </w:tcPr>
          <w:p w:rsidR="004C3B79" w:rsidRDefault="004C3B79" w:rsidP="00721530">
            <w:pPr>
              <w:jc w:val="right"/>
              <w:rPr>
                <w:rFonts w:ascii="Arial" w:hAnsi="Arial" w:cs="Arial"/>
                <w:color w:val="000000"/>
                <w:sz w:val="20"/>
              </w:rPr>
            </w:pPr>
            <w:r>
              <w:rPr>
                <w:rFonts w:ascii="Arial" w:hAnsi="Arial" w:cs="Arial"/>
                <w:color w:val="000000"/>
                <w:sz w:val="20"/>
              </w:rPr>
              <w:t>-858</w:t>
            </w:r>
          </w:p>
        </w:tc>
        <w:tc>
          <w:tcPr>
            <w:tcW w:w="1320" w:type="dxa"/>
            <w:tcBorders>
              <w:top w:val="nil"/>
              <w:left w:val="nil"/>
              <w:bottom w:val="nil"/>
              <w:right w:val="nil"/>
            </w:tcBorders>
            <w:vAlign w:val="bottom"/>
          </w:tcPr>
          <w:p w:rsidR="004C3B79" w:rsidRDefault="004C3B79" w:rsidP="00721530">
            <w:pPr>
              <w:jc w:val="right"/>
              <w:rPr>
                <w:rFonts w:ascii="Arial" w:hAnsi="Arial" w:cs="Arial"/>
                <w:color w:val="000000"/>
                <w:sz w:val="20"/>
              </w:rPr>
            </w:pPr>
            <w:r>
              <w:rPr>
                <w:rFonts w:ascii="Arial" w:hAnsi="Arial" w:cs="Arial"/>
                <w:color w:val="000000"/>
                <w:sz w:val="20"/>
              </w:rPr>
              <w:t>-418</w:t>
            </w:r>
          </w:p>
        </w:tc>
        <w:tc>
          <w:tcPr>
            <w:tcW w:w="1320" w:type="dxa"/>
            <w:tcBorders>
              <w:top w:val="nil"/>
              <w:left w:val="nil"/>
              <w:bottom w:val="nil"/>
              <w:right w:val="nil"/>
            </w:tcBorders>
            <w:vAlign w:val="bottom"/>
          </w:tcPr>
          <w:p w:rsidR="004C3B79" w:rsidRDefault="004C3B79" w:rsidP="00721530">
            <w:pPr>
              <w:jc w:val="right"/>
              <w:rPr>
                <w:rFonts w:ascii="Arial" w:hAnsi="Arial" w:cs="Arial"/>
                <w:color w:val="000000"/>
                <w:sz w:val="20"/>
              </w:rPr>
            </w:pPr>
            <w:r>
              <w:rPr>
                <w:rFonts w:ascii="Arial" w:hAnsi="Arial" w:cs="Arial"/>
                <w:color w:val="000000"/>
                <w:sz w:val="20"/>
              </w:rPr>
              <w:t>-101</w:t>
            </w: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rPr>
                <w:rFonts w:ascii="Arial" w:hAnsi="Arial" w:cs="Arial"/>
                <w:sz w:val="20"/>
              </w:rPr>
            </w:pPr>
            <w:r>
              <w:rPr>
                <w:rFonts w:ascii="Arial" w:hAnsi="Arial" w:cs="Arial"/>
                <w:sz w:val="20"/>
              </w:rPr>
              <w:t xml:space="preserve">Prudential Borrowing </w:t>
            </w:r>
          </w:p>
        </w:tc>
        <w:tc>
          <w:tcPr>
            <w:tcW w:w="1320" w:type="dxa"/>
            <w:tcBorders>
              <w:top w:val="nil"/>
              <w:left w:val="nil"/>
              <w:bottom w:val="nil"/>
              <w:right w:val="nil"/>
            </w:tcBorders>
            <w:shd w:val="clear" w:color="auto" w:fill="auto"/>
            <w:noWrap/>
            <w:vAlign w:val="bottom"/>
            <w:hideMark/>
          </w:tcPr>
          <w:p w:rsidR="004C3B79" w:rsidRDefault="004C3B79" w:rsidP="00721530">
            <w:pPr>
              <w:jc w:val="right"/>
              <w:rPr>
                <w:rFonts w:ascii="Arial" w:hAnsi="Arial" w:cs="Arial"/>
                <w:color w:val="000000"/>
                <w:sz w:val="20"/>
              </w:rPr>
            </w:pPr>
            <w:r>
              <w:rPr>
                <w:rFonts w:ascii="Arial" w:hAnsi="Arial" w:cs="Arial"/>
                <w:color w:val="000000"/>
                <w:sz w:val="20"/>
              </w:rPr>
              <w:t>-14,588</w:t>
            </w:r>
          </w:p>
        </w:tc>
        <w:tc>
          <w:tcPr>
            <w:tcW w:w="1320" w:type="dxa"/>
            <w:tcBorders>
              <w:top w:val="nil"/>
              <w:left w:val="nil"/>
              <w:bottom w:val="nil"/>
              <w:right w:val="nil"/>
            </w:tcBorders>
            <w:vAlign w:val="bottom"/>
          </w:tcPr>
          <w:p w:rsidR="004C3B79" w:rsidRDefault="004C3B79" w:rsidP="00721530">
            <w:pPr>
              <w:jc w:val="right"/>
              <w:rPr>
                <w:rFonts w:ascii="Arial" w:hAnsi="Arial" w:cs="Arial"/>
                <w:color w:val="000000"/>
                <w:sz w:val="20"/>
              </w:rPr>
            </w:pPr>
            <w:r>
              <w:rPr>
                <w:rFonts w:ascii="Arial" w:hAnsi="Arial" w:cs="Arial"/>
                <w:color w:val="000000"/>
                <w:sz w:val="20"/>
              </w:rPr>
              <w:t>-22,674</w:t>
            </w:r>
          </w:p>
        </w:tc>
        <w:tc>
          <w:tcPr>
            <w:tcW w:w="1320" w:type="dxa"/>
            <w:tcBorders>
              <w:top w:val="nil"/>
              <w:left w:val="nil"/>
              <w:bottom w:val="nil"/>
              <w:right w:val="nil"/>
            </w:tcBorders>
            <w:vAlign w:val="bottom"/>
          </w:tcPr>
          <w:p w:rsidR="004C3B79" w:rsidRDefault="004C3B79" w:rsidP="00721530">
            <w:pPr>
              <w:jc w:val="right"/>
              <w:rPr>
                <w:rFonts w:ascii="Arial" w:hAnsi="Arial" w:cs="Arial"/>
                <w:color w:val="000000"/>
                <w:sz w:val="20"/>
              </w:rPr>
            </w:pPr>
            <w:r>
              <w:rPr>
                <w:rFonts w:ascii="Arial" w:hAnsi="Arial" w:cs="Arial"/>
                <w:color w:val="000000"/>
                <w:sz w:val="20"/>
              </w:rPr>
              <w:t>-27,506</w:t>
            </w:r>
          </w:p>
        </w:tc>
      </w:tr>
      <w:tr w:rsidR="004C3B79" w:rsidTr="00721530">
        <w:trPr>
          <w:trHeight w:val="292"/>
        </w:trPr>
        <w:tc>
          <w:tcPr>
            <w:tcW w:w="3560" w:type="dxa"/>
            <w:tcBorders>
              <w:top w:val="nil"/>
              <w:left w:val="nil"/>
              <w:bottom w:val="nil"/>
              <w:right w:val="nil"/>
            </w:tcBorders>
            <w:shd w:val="clear" w:color="auto" w:fill="auto"/>
            <w:noWrap/>
            <w:vAlign w:val="bottom"/>
            <w:hideMark/>
          </w:tcPr>
          <w:p w:rsidR="004C3B79" w:rsidRDefault="004C3B79" w:rsidP="00721530">
            <w:pPr>
              <w:jc w:val="right"/>
              <w:rPr>
                <w:rFonts w:ascii="Arial" w:hAnsi="Arial" w:cs="Arial"/>
                <w:color w:val="000000"/>
                <w:sz w:val="20"/>
              </w:rPr>
            </w:pPr>
          </w:p>
        </w:tc>
        <w:tc>
          <w:tcPr>
            <w:tcW w:w="1320" w:type="dxa"/>
            <w:tcBorders>
              <w:top w:val="nil"/>
              <w:left w:val="nil"/>
              <w:bottom w:val="nil"/>
              <w:right w:val="nil"/>
            </w:tcBorders>
            <w:shd w:val="clear" w:color="auto" w:fill="auto"/>
            <w:noWrap/>
            <w:vAlign w:val="bottom"/>
            <w:hideMark/>
          </w:tcPr>
          <w:p w:rsidR="004C3B79" w:rsidRDefault="004C3B79" w:rsidP="00721530">
            <w:pPr>
              <w:rPr>
                <w:sz w:val="20"/>
              </w:rPr>
            </w:pPr>
          </w:p>
        </w:tc>
        <w:tc>
          <w:tcPr>
            <w:tcW w:w="1320" w:type="dxa"/>
            <w:tcBorders>
              <w:top w:val="nil"/>
              <w:left w:val="nil"/>
              <w:bottom w:val="nil"/>
              <w:right w:val="nil"/>
            </w:tcBorders>
            <w:vAlign w:val="bottom"/>
          </w:tcPr>
          <w:p w:rsidR="004C3B79" w:rsidRDefault="004C3B79" w:rsidP="00721530">
            <w:pPr>
              <w:rPr>
                <w:sz w:val="20"/>
              </w:rPr>
            </w:pPr>
          </w:p>
        </w:tc>
        <w:tc>
          <w:tcPr>
            <w:tcW w:w="1320" w:type="dxa"/>
            <w:tcBorders>
              <w:top w:val="nil"/>
              <w:left w:val="nil"/>
              <w:bottom w:val="nil"/>
              <w:right w:val="nil"/>
            </w:tcBorders>
            <w:vAlign w:val="bottom"/>
          </w:tcPr>
          <w:p w:rsidR="004C3B79" w:rsidRDefault="004C3B79" w:rsidP="00721530">
            <w:pPr>
              <w:rPr>
                <w:sz w:val="20"/>
              </w:rPr>
            </w:pPr>
          </w:p>
        </w:tc>
      </w:tr>
      <w:tr w:rsidR="004C3B79" w:rsidTr="00721530">
        <w:trPr>
          <w:trHeight w:val="292"/>
        </w:trPr>
        <w:tc>
          <w:tcPr>
            <w:tcW w:w="3560" w:type="dxa"/>
            <w:tcBorders>
              <w:top w:val="nil"/>
              <w:left w:val="nil"/>
              <w:bottom w:val="nil"/>
              <w:right w:val="nil"/>
            </w:tcBorders>
            <w:shd w:val="clear" w:color="auto" w:fill="DEEAF6" w:themeFill="accent1" w:themeFillTint="33"/>
            <w:noWrap/>
            <w:vAlign w:val="bottom"/>
            <w:hideMark/>
          </w:tcPr>
          <w:p w:rsidR="004C3B79" w:rsidRDefault="004C3B79" w:rsidP="00721530">
            <w:pPr>
              <w:rPr>
                <w:rFonts w:ascii="Arial" w:hAnsi="Arial" w:cs="Arial"/>
                <w:b/>
                <w:bCs/>
                <w:color w:val="000000"/>
                <w:sz w:val="20"/>
              </w:rPr>
            </w:pPr>
            <w:r>
              <w:rPr>
                <w:rFonts w:ascii="Arial" w:hAnsi="Arial" w:cs="Arial"/>
                <w:b/>
                <w:bCs/>
                <w:color w:val="000000"/>
                <w:sz w:val="20"/>
              </w:rPr>
              <w:t>Total funding</w:t>
            </w:r>
          </w:p>
        </w:tc>
        <w:tc>
          <w:tcPr>
            <w:tcW w:w="1320" w:type="dxa"/>
            <w:tcBorders>
              <w:top w:val="nil"/>
              <w:left w:val="nil"/>
              <w:bottom w:val="nil"/>
              <w:right w:val="nil"/>
            </w:tcBorders>
            <w:shd w:val="clear" w:color="auto" w:fill="DEEAF6" w:themeFill="accent1" w:themeFillTint="33"/>
            <w:noWrap/>
            <w:vAlign w:val="bottom"/>
            <w:hideMark/>
          </w:tcPr>
          <w:p w:rsidR="004C3B79" w:rsidRDefault="004C3B79" w:rsidP="00721530">
            <w:pPr>
              <w:jc w:val="right"/>
              <w:rPr>
                <w:rFonts w:ascii="Arial" w:hAnsi="Arial" w:cs="Arial"/>
                <w:b/>
                <w:bCs/>
                <w:color w:val="000000"/>
                <w:sz w:val="20"/>
              </w:rPr>
            </w:pPr>
            <w:r>
              <w:rPr>
                <w:rFonts w:ascii="Arial" w:hAnsi="Arial" w:cs="Arial"/>
                <w:b/>
                <w:bCs/>
                <w:color w:val="000000"/>
                <w:sz w:val="20"/>
              </w:rPr>
              <w:t>-38,898</w:t>
            </w:r>
          </w:p>
        </w:tc>
        <w:tc>
          <w:tcPr>
            <w:tcW w:w="1320" w:type="dxa"/>
            <w:tcBorders>
              <w:top w:val="nil"/>
              <w:left w:val="nil"/>
              <w:bottom w:val="nil"/>
              <w:right w:val="nil"/>
            </w:tcBorders>
            <w:shd w:val="clear" w:color="auto" w:fill="DEEAF6" w:themeFill="accent1" w:themeFillTint="33"/>
            <w:vAlign w:val="bottom"/>
          </w:tcPr>
          <w:p w:rsidR="004C3B79" w:rsidRDefault="004C3B79" w:rsidP="00721530">
            <w:pPr>
              <w:jc w:val="right"/>
              <w:rPr>
                <w:rFonts w:ascii="Arial" w:hAnsi="Arial" w:cs="Arial"/>
                <w:b/>
                <w:bCs/>
                <w:color w:val="000000"/>
                <w:sz w:val="20"/>
              </w:rPr>
            </w:pPr>
            <w:r>
              <w:rPr>
                <w:rFonts w:ascii="Arial" w:hAnsi="Arial" w:cs="Arial"/>
                <w:b/>
                <w:bCs/>
                <w:color w:val="000000"/>
                <w:sz w:val="20"/>
              </w:rPr>
              <w:t>-33,093</w:t>
            </w:r>
          </w:p>
        </w:tc>
        <w:tc>
          <w:tcPr>
            <w:tcW w:w="1320" w:type="dxa"/>
            <w:tcBorders>
              <w:top w:val="nil"/>
              <w:left w:val="nil"/>
              <w:bottom w:val="nil"/>
              <w:right w:val="nil"/>
            </w:tcBorders>
            <w:shd w:val="clear" w:color="auto" w:fill="DEEAF6" w:themeFill="accent1" w:themeFillTint="33"/>
            <w:vAlign w:val="bottom"/>
          </w:tcPr>
          <w:p w:rsidR="004C3B79" w:rsidRDefault="004C3B79" w:rsidP="00721530">
            <w:pPr>
              <w:jc w:val="right"/>
              <w:rPr>
                <w:rFonts w:ascii="Arial" w:hAnsi="Arial" w:cs="Arial"/>
                <w:b/>
                <w:bCs/>
                <w:color w:val="000000"/>
                <w:sz w:val="20"/>
              </w:rPr>
            </w:pPr>
            <w:r>
              <w:rPr>
                <w:rFonts w:ascii="Arial" w:hAnsi="Arial" w:cs="Arial"/>
                <w:b/>
                <w:bCs/>
                <w:color w:val="000000"/>
                <w:sz w:val="20"/>
              </w:rPr>
              <w:t>-33,448</w:t>
            </w:r>
          </w:p>
        </w:tc>
      </w:tr>
    </w:tbl>
    <w:p w:rsidR="004C3B79" w:rsidRPr="00044931" w:rsidRDefault="004C3B79" w:rsidP="004C3B79">
      <w:pPr>
        <w:tabs>
          <w:tab w:val="left" w:pos="709"/>
          <w:tab w:val="left" w:pos="1418"/>
        </w:tabs>
        <w:ind w:left="1065"/>
        <w:jc w:val="both"/>
        <w:rPr>
          <w:rFonts w:ascii="Century Gothic" w:hAnsi="Century Gothic" w:cs="Arial"/>
          <w:sz w:val="22"/>
          <w:highlight w:val="yellow"/>
        </w:rPr>
      </w:pPr>
    </w:p>
    <w:p w:rsidR="004C3B79" w:rsidRPr="00044931" w:rsidRDefault="004C3B79" w:rsidP="004C3B79">
      <w:pPr>
        <w:tabs>
          <w:tab w:val="left" w:pos="709"/>
        </w:tabs>
        <w:ind w:left="709" w:hanging="709"/>
        <w:jc w:val="both"/>
        <w:rPr>
          <w:rFonts w:ascii="Century Gothic" w:hAnsi="Century Gothic" w:cs="Arial"/>
          <w:sz w:val="22"/>
          <w:highlight w:val="yellow"/>
        </w:rPr>
      </w:pPr>
    </w:p>
    <w:p w:rsidR="004C3B79" w:rsidRPr="007565D3" w:rsidRDefault="004C3B79" w:rsidP="004C3B79">
      <w:pPr>
        <w:tabs>
          <w:tab w:val="left" w:pos="709"/>
        </w:tabs>
        <w:ind w:left="709"/>
        <w:jc w:val="both"/>
        <w:rPr>
          <w:rFonts w:ascii="Arial" w:hAnsi="Arial" w:cs="Arial"/>
          <w:sz w:val="22"/>
        </w:rPr>
      </w:pPr>
      <w:r w:rsidRPr="007565D3">
        <w:rPr>
          <w:rFonts w:ascii="Arial" w:hAnsi="Arial" w:cs="Arial"/>
          <w:sz w:val="22"/>
        </w:rPr>
        <w:tab/>
        <w:t>The programme excludes any carry forward of budgets that may be approved at a later date.</w:t>
      </w:r>
    </w:p>
    <w:p w:rsidR="004C3B79" w:rsidRPr="007565D3" w:rsidRDefault="004C3B79" w:rsidP="004C3B79">
      <w:pPr>
        <w:tabs>
          <w:tab w:val="left" w:pos="709"/>
        </w:tabs>
        <w:jc w:val="both"/>
        <w:rPr>
          <w:rFonts w:ascii="Arial" w:hAnsi="Arial" w:cs="Arial"/>
          <w:sz w:val="22"/>
        </w:rPr>
      </w:pPr>
    </w:p>
    <w:p w:rsidR="004C3B79" w:rsidRPr="007565D3" w:rsidRDefault="004C3B79" w:rsidP="004C3B79">
      <w:pPr>
        <w:ind w:left="720" w:hanging="720"/>
        <w:jc w:val="both"/>
        <w:rPr>
          <w:rFonts w:ascii="Arial" w:hAnsi="Arial" w:cs="Arial"/>
          <w:b/>
          <w:sz w:val="22"/>
          <w:szCs w:val="22"/>
        </w:rPr>
      </w:pPr>
      <w:r w:rsidRPr="007565D3">
        <w:rPr>
          <w:rFonts w:ascii="Arial" w:hAnsi="Arial" w:cs="Arial"/>
          <w:b/>
          <w:sz w:val="22"/>
          <w:szCs w:val="22"/>
        </w:rPr>
        <w:t>7.</w:t>
      </w:r>
      <w:r w:rsidRPr="007565D3">
        <w:rPr>
          <w:rFonts w:ascii="Arial" w:hAnsi="Arial" w:cs="Arial"/>
          <w:b/>
          <w:sz w:val="22"/>
          <w:szCs w:val="22"/>
        </w:rPr>
        <w:tab/>
        <w:t>‘STANDING TOGETHER’ POLICE AND CRIME PLAN</w:t>
      </w:r>
    </w:p>
    <w:p w:rsidR="004C3B79" w:rsidRPr="007565D3" w:rsidRDefault="004C3B79" w:rsidP="004C3B79">
      <w:pPr>
        <w:jc w:val="both"/>
        <w:rPr>
          <w:rFonts w:ascii="Arial" w:hAnsi="Arial" w:cs="Arial"/>
          <w:sz w:val="22"/>
          <w:szCs w:val="22"/>
        </w:rPr>
      </w:pPr>
      <w:r w:rsidRPr="007565D3">
        <w:rPr>
          <w:rFonts w:ascii="Arial" w:hAnsi="Arial" w:cs="Arial"/>
          <w:sz w:val="22"/>
          <w:szCs w:val="22"/>
        </w:rPr>
        <w:tab/>
      </w:r>
    </w:p>
    <w:p w:rsidR="004C3B79" w:rsidRPr="007565D3" w:rsidRDefault="004C3B79" w:rsidP="004C3B79">
      <w:pPr>
        <w:ind w:left="720" w:hanging="720"/>
        <w:jc w:val="both"/>
        <w:rPr>
          <w:rFonts w:ascii="Arial" w:hAnsi="Arial" w:cs="Arial"/>
          <w:sz w:val="22"/>
          <w:szCs w:val="22"/>
        </w:rPr>
      </w:pPr>
      <w:r w:rsidRPr="007565D3">
        <w:rPr>
          <w:rFonts w:ascii="Arial" w:hAnsi="Arial" w:cs="Arial"/>
          <w:sz w:val="22"/>
          <w:szCs w:val="22"/>
        </w:rPr>
        <w:t>7.1</w:t>
      </w:r>
      <w:r w:rsidRPr="007565D3">
        <w:rPr>
          <w:rFonts w:ascii="Arial" w:hAnsi="Arial" w:cs="Arial"/>
          <w:sz w:val="22"/>
          <w:szCs w:val="22"/>
        </w:rPr>
        <w:tab/>
        <w:t xml:space="preserve">This is the first Police and Crime Plan prepared by the Deputy Mayor for Policing and Crime and in preparing plan users of services and a wide range of partners have been extensively consulted to create a plan which works for everybody. </w:t>
      </w:r>
    </w:p>
    <w:p w:rsidR="004C3B79" w:rsidRPr="007565D3" w:rsidRDefault="004C3B79" w:rsidP="004C3B79">
      <w:pPr>
        <w:ind w:left="720" w:hanging="720"/>
        <w:jc w:val="both"/>
        <w:rPr>
          <w:rFonts w:ascii="Arial" w:hAnsi="Arial" w:cs="Arial"/>
          <w:sz w:val="22"/>
          <w:szCs w:val="22"/>
        </w:rPr>
      </w:pPr>
    </w:p>
    <w:p w:rsidR="004C3B79" w:rsidRPr="007565D3" w:rsidRDefault="004C3B79" w:rsidP="004C3B79">
      <w:pPr>
        <w:ind w:left="720"/>
        <w:jc w:val="both"/>
        <w:rPr>
          <w:rFonts w:ascii="Arial" w:hAnsi="Arial" w:cs="Arial"/>
          <w:sz w:val="22"/>
          <w:szCs w:val="22"/>
        </w:rPr>
      </w:pPr>
      <w:r w:rsidRPr="007565D3">
        <w:rPr>
          <w:rFonts w:ascii="Arial" w:hAnsi="Arial" w:cs="Arial"/>
          <w:sz w:val="22"/>
          <w:szCs w:val="22"/>
        </w:rPr>
        <w:t>There are three priorities within the plan:</w:t>
      </w:r>
    </w:p>
    <w:p w:rsidR="004C3B79" w:rsidRPr="007565D3" w:rsidRDefault="004C3B79" w:rsidP="004C3B79">
      <w:pPr>
        <w:ind w:left="567"/>
        <w:jc w:val="both"/>
        <w:rPr>
          <w:rFonts w:ascii="Arial" w:hAnsi="Arial" w:cs="Arial"/>
          <w:sz w:val="22"/>
          <w:szCs w:val="22"/>
        </w:rPr>
      </w:pPr>
    </w:p>
    <w:p w:rsidR="004C3B79" w:rsidRDefault="004C3B79" w:rsidP="004C3B79">
      <w:pPr>
        <w:ind w:left="567"/>
        <w:jc w:val="both"/>
        <w:rPr>
          <w:rFonts w:ascii="Century Gothic" w:hAnsi="Century Gothic" w:cs="Arial"/>
          <w:sz w:val="22"/>
          <w:szCs w:val="22"/>
          <w:highlight w:val="yellow"/>
        </w:rPr>
      </w:pPr>
    </w:p>
    <w:p w:rsidR="004C3B79" w:rsidRPr="0030659F" w:rsidRDefault="004C3B79" w:rsidP="004C3B79">
      <w:pPr>
        <w:ind w:left="567"/>
        <w:jc w:val="both"/>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noProof/>
          <w:lang w:val="en-US"/>
        </w:rPr>
        <w:drawing>
          <wp:inline distT="0" distB="0" distL="0" distR="0" wp14:anchorId="23FA8EFA" wp14:editId="5E4BCB4F">
            <wp:extent cx="5486400" cy="3200400"/>
            <wp:effectExtent l="0" t="1905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C3B79" w:rsidRDefault="004C3B79" w:rsidP="004C3B79">
      <w:pPr>
        <w:ind w:left="567"/>
        <w:jc w:val="both"/>
        <w:rPr>
          <w:rFonts w:ascii="Century Gothic" w:hAnsi="Century Gothic" w:cs="Arial"/>
          <w:sz w:val="22"/>
          <w:szCs w:val="22"/>
          <w:highlight w:val="yellow"/>
        </w:rPr>
      </w:pPr>
      <w:r w:rsidRPr="0030659F">
        <w:rPr>
          <w:rFonts w:ascii="Century Gothic" w:hAnsi="Century Gothic" w:cs="Arial"/>
          <w:sz w:val="22"/>
          <w:szCs w:val="22"/>
        </w:rPr>
        <w:tab/>
      </w:r>
      <w:r w:rsidRPr="0030659F">
        <w:rPr>
          <w:rFonts w:ascii="Century Gothic" w:hAnsi="Century Gothic" w:cs="Arial"/>
          <w:sz w:val="22"/>
          <w:szCs w:val="22"/>
        </w:rPr>
        <w:tab/>
      </w:r>
      <w:r w:rsidRPr="0030659F">
        <w:rPr>
          <w:rFonts w:ascii="Century Gothic" w:hAnsi="Century Gothic" w:cs="Arial"/>
          <w:sz w:val="22"/>
          <w:szCs w:val="22"/>
        </w:rPr>
        <w:tab/>
      </w: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Default="004C3B79" w:rsidP="004C3B79">
      <w:pPr>
        <w:ind w:left="567"/>
        <w:jc w:val="both"/>
        <w:rPr>
          <w:rFonts w:ascii="Century Gothic" w:hAnsi="Century Gothic" w:cs="Arial"/>
          <w:sz w:val="22"/>
          <w:szCs w:val="22"/>
          <w:highlight w:val="yellow"/>
        </w:rPr>
      </w:pPr>
    </w:p>
    <w:p w:rsidR="004C3B79" w:rsidRPr="009D667E" w:rsidRDefault="004C3B79" w:rsidP="004C3B79">
      <w:pPr>
        <w:jc w:val="both"/>
        <w:rPr>
          <w:rFonts w:ascii="Arial" w:hAnsi="Arial" w:cs="Arial"/>
          <w:b/>
          <w:sz w:val="22"/>
          <w:szCs w:val="22"/>
        </w:rPr>
      </w:pPr>
      <w:r>
        <w:rPr>
          <w:rFonts w:ascii="Arial" w:hAnsi="Arial" w:cs="Arial"/>
          <w:b/>
          <w:sz w:val="22"/>
          <w:szCs w:val="22"/>
        </w:rPr>
        <w:t>7.2</w:t>
      </w:r>
      <w:r>
        <w:rPr>
          <w:rFonts w:ascii="Arial" w:hAnsi="Arial" w:cs="Arial"/>
          <w:b/>
          <w:sz w:val="22"/>
          <w:szCs w:val="22"/>
        </w:rPr>
        <w:tab/>
      </w:r>
      <w:r w:rsidRPr="009D667E">
        <w:rPr>
          <w:rFonts w:ascii="Arial" w:hAnsi="Arial" w:cs="Arial"/>
          <w:b/>
          <w:sz w:val="22"/>
          <w:szCs w:val="22"/>
        </w:rPr>
        <w:t>Keeping people safe</w:t>
      </w:r>
    </w:p>
    <w:p w:rsidR="004C3B79" w:rsidRPr="009D667E" w:rsidRDefault="004C3B79" w:rsidP="004C3B79">
      <w:pPr>
        <w:ind w:left="567"/>
        <w:jc w:val="both"/>
        <w:rPr>
          <w:rFonts w:ascii="Arial" w:hAnsi="Arial" w:cs="Arial"/>
          <w:sz w:val="22"/>
          <w:szCs w:val="22"/>
          <w:highlight w:val="yellow"/>
        </w:rPr>
      </w:pPr>
    </w:p>
    <w:p w:rsidR="004C3B79" w:rsidRPr="009D667E" w:rsidRDefault="004C3B79" w:rsidP="004C3B79">
      <w:pPr>
        <w:ind w:left="720"/>
        <w:jc w:val="both"/>
        <w:rPr>
          <w:rFonts w:ascii="Arial" w:hAnsi="Arial" w:cs="Arial"/>
          <w:sz w:val="22"/>
          <w:szCs w:val="22"/>
        </w:rPr>
      </w:pPr>
      <w:r w:rsidRPr="009D667E">
        <w:rPr>
          <w:rFonts w:ascii="Arial" w:hAnsi="Arial" w:cs="Arial"/>
          <w:sz w:val="22"/>
          <w:szCs w:val="22"/>
        </w:rPr>
        <w:t>Protecting and caring for people who live, work, socialise and travel in Greater Manchester. Protecting those who are vulnerable and those who are victims of crime or at risk of being victimised. Building resilience, feelings of safety and confidence in policing and community safety.</w:t>
      </w:r>
    </w:p>
    <w:p w:rsidR="004C3B79" w:rsidRDefault="004C3B79" w:rsidP="004C3B79">
      <w:pPr>
        <w:ind w:left="567"/>
        <w:jc w:val="both"/>
        <w:rPr>
          <w:rFonts w:ascii="Century Gothic" w:hAnsi="Century Gothic" w:cs="Arial"/>
          <w:sz w:val="22"/>
          <w:szCs w:val="22"/>
        </w:rPr>
      </w:pPr>
      <w:r w:rsidRPr="009D667E">
        <w:rPr>
          <w:rFonts w:ascii="Arial" w:hAnsi="Arial" w:cs="Arial"/>
          <w:noProof/>
          <w:lang w:val="en-US"/>
        </w:rPr>
        <mc:AlternateContent>
          <mc:Choice Requires="wps">
            <w:drawing>
              <wp:anchor distT="91440" distB="91440" distL="114300" distR="114300" simplePos="0" relativeHeight="251659264" behindDoc="0" locked="0" layoutInCell="1" allowOverlap="1" wp14:anchorId="1CC38246" wp14:editId="1369727A">
                <wp:simplePos x="0" y="0"/>
                <wp:positionH relativeFrom="page">
                  <wp:posOffset>1333500</wp:posOffset>
                </wp:positionH>
                <wp:positionV relativeFrom="paragraph">
                  <wp:posOffset>281940</wp:posOffset>
                </wp:positionV>
                <wp:extent cx="3474720" cy="378269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3782695"/>
                        </a:xfrm>
                        <a:prstGeom prst="rect">
                          <a:avLst/>
                        </a:prstGeom>
                        <a:noFill/>
                        <a:ln w="9525">
                          <a:noFill/>
                          <a:miter lim="800000"/>
                          <a:headEnd/>
                          <a:tailEnd/>
                        </a:ln>
                      </wps:spPr>
                      <wps:txbx>
                        <w:txbxContent>
                          <w:p w:rsidR="00721530" w:rsidRPr="009D667E" w:rsidRDefault="00721530" w:rsidP="004C3B79">
                            <w:pPr>
                              <w:pBdr>
                                <w:top w:val="single" w:sz="24" w:space="8" w:color="5B9BD5" w:themeColor="accent1"/>
                                <w:bottom w:val="single" w:sz="24" w:space="8" w:color="5B9BD5" w:themeColor="accent1"/>
                              </w:pBdr>
                              <w:rPr>
                                <w:rFonts w:ascii="Arial" w:hAnsi="Arial" w:cs="Arial"/>
                                <w:b/>
                                <w:iCs/>
                                <w:color w:val="0070C0"/>
                                <w:sz w:val="22"/>
                                <w:szCs w:val="22"/>
                              </w:rPr>
                            </w:pPr>
                            <w:r w:rsidRPr="009D667E">
                              <w:rPr>
                                <w:rFonts w:ascii="Arial" w:hAnsi="Arial" w:cs="Arial"/>
                                <w:b/>
                                <w:iCs/>
                                <w:color w:val="0070C0"/>
                                <w:sz w:val="22"/>
                                <w:szCs w:val="22"/>
                              </w:rPr>
                              <w:t>Key themes for this priority:</w:t>
                            </w:r>
                          </w:p>
                          <w:p w:rsidR="00721530"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Social Cohesion Commission</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Anti-social behaviour</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Fraud prevention and investigation</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Domestic Abuse</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Mental Ill-health</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Children and young people’s safeguarding</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Missing Children</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Female Genital Mutilation</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Modern Slavery</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So called honour-based abuse</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Drugs early warning system</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Victim services</w:t>
                            </w:r>
                          </w:p>
                          <w:p w:rsidR="00721530" w:rsidRDefault="00721530" w:rsidP="004C3B79"/>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w14:anchorId="1CC38246" id="_x0000_t202" coordsize="21600,21600" o:spt="202" path="m,l,21600r21600,l21600,xe">
                <v:stroke joinstyle="miter"/>
                <v:path gradientshapeok="t" o:connecttype="rect"/>
              </v:shapetype>
              <v:shape id="Text Box 2" o:spid="_x0000_s1026" type="#_x0000_t202" style="position:absolute;left:0;text-align:left;margin-left:105pt;margin-top:22.2pt;width:273.6pt;height:297.85pt;z-index:251659264;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" filled="f" stroked="f">
                <v:textbox>
                  <w:txbxContent>
                    <w:p w:rsidR="00721530" w:rsidRPr="009D667E" w:rsidRDefault="00721530" w:rsidP="004C3B79">
                      <w:pPr>
                        <w:pBdr>
                          <w:top w:val="single" w:sz="24" w:space="8" w:color="5B9BD5" w:themeColor="accent1"/>
                          <w:bottom w:val="single" w:sz="24" w:space="8" w:color="5B9BD5" w:themeColor="accent1"/>
                        </w:pBdr>
                        <w:rPr>
                          <w:rFonts w:ascii="Arial" w:hAnsi="Arial" w:cs="Arial"/>
                          <w:b/>
                          <w:iCs/>
                          <w:color w:val="0070C0"/>
                          <w:sz w:val="22"/>
                          <w:szCs w:val="22"/>
                        </w:rPr>
                      </w:pPr>
                      <w:r w:rsidRPr="009D667E">
                        <w:rPr>
                          <w:rFonts w:ascii="Arial" w:hAnsi="Arial" w:cs="Arial"/>
                          <w:b/>
                          <w:iCs/>
                          <w:color w:val="0070C0"/>
                          <w:sz w:val="22"/>
                          <w:szCs w:val="22"/>
                        </w:rPr>
                        <w:t>Key themes for this priority:</w:t>
                      </w:r>
                    </w:p>
                    <w:p w:rsidR="00721530"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Social Cohesion Commission</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Anti-social behaviour</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Fraud prevention and investigation</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Domestic Abuse</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Mental Ill-health</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Children and young people’s safeguarding</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Missing Children</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Female Genital Mutilation</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Modern Slavery</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So called honour-based abuse</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Drugs early warning system</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Victim services</w:t>
                      </w:r>
                    </w:p>
                    <w:p w:rsidR="00721530" w:rsidRDefault="00721530" w:rsidP="004C3B79"/>
                  </w:txbxContent>
                </v:textbox>
                <w10:wrap type="topAndBottom" anchorx="page"/>
              </v:shape>
            </w:pict>
          </mc:Fallback>
        </mc:AlternateContent>
      </w: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Default="004C3B79" w:rsidP="004C3B79">
      <w:pPr>
        <w:jc w:val="both"/>
        <w:rPr>
          <w:rFonts w:ascii="Century Gothic" w:hAnsi="Century Gothic" w:cs="Arial"/>
          <w:sz w:val="22"/>
          <w:szCs w:val="22"/>
        </w:rPr>
      </w:pPr>
    </w:p>
    <w:p w:rsidR="004C3B79" w:rsidRPr="001940BB" w:rsidRDefault="004C3B79" w:rsidP="004C3B79">
      <w:pPr>
        <w:jc w:val="both"/>
        <w:rPr>
          <w:rFonts w:ascii="Century Gothic" w:hAnsi="Century Gothic" w:cs="Arial"/>
          <w:sz w:val="22"/>
          <w:szCs w:val="22"/>
        </w:rPr>
      </w:pPr>
    </w:p>
    <w:p w:rsidR="004C3B79" w:rsidRPr="009D667E" w:rsidRDefault="004C3B79" w:rsidP="004C3B79">
      <w:pPr>
        <w:jc w:val="both"/>
        <w:rPr>
          <w:rFonts w:ascii="Arial" w:hAnsi="Arial" w:cs="Arial"/>
          <w:b/>
          <w:sz w:val="22"/>
          <w:szCs w:val="22"/>
        </w:rPr>
      </w:pPr>
      <w:r>
        <w:rPr>
          <w:rFonts w:ascii="Arial" w:hAnsi="Arial" w:cs="Arial"/>
          <w:b/>
          <w:sz w:val="22"/>
          <w:szCs w:val="22"/>
        </w:rPr>
        <w:t>7.3</w:t>
      </w:r>
      <w:r>
        <w:rPr>
          <w:rFonts w:ascii="Arial" w:hAnsi="Arial" w:cs="Arial"/>
          <w:b/>
          <w:sz w:val="22"/>
          <w:szCs w:val="22"/>
        </w:rPr>
        <w:tab/>
      </w:r>
      <w:r w:rsidRPr="009D667E">
        <w:rPr>
          <w:rFonts w:ascii="Arial" w:hAnsi="Arial" w:cs="Arial"/>
          <w:b/>
          <w:sz w:val="22"/>
          <w:szCs w:val="22"/>
        </w:rPr>
        <w:t>Reducing harm and offending</w:t>
      </w:r>
    </w:p>
    <w:p w:rsidR="004C3B79" w:rsidRPr="009D667E" w:rsidRDefault="004C3B79" w:rsidP="004C3B79">
      <w:pPr>
        <w:ind w:left="567"/>
        <w:jc w:val="both"/>
        <w:rPr>
          <w:rFonts w:ascii="Arial" w:hAnsi="Arial" w:cs="Arial"/>
          <w:sz w:val="22"/>
          <w:szCs w:val="22"/>
        </w:rPr>
      </w:pPr>
    </w:p>
    <w:p w:rsidR="004C3B79" w:rsidRDefault="004C3B79" w:rsidP="004C3B79">
      <w:pPr>
        <w:ind w:left="720"/>
        <w:jc w:val="both"/>
        <w:rPr>
          <w:rFonts w:ascii="Arial" w:hAnsi="Arial" w:cs="Arial"/>
          <w:sz w:val="22"/>
          <w:szCs w:val="22"/>
        </w:rPr>
      </w:pPr>
      <w:r>
        <w:rPr>
          <w:noProof/>
          <w:lang w:val="en-US"/>
        </w:rPr>
        <mc:AlternateContent>
          <mc:Choice Requires="wps">
            <w:drawing>
              <wp:anchor distT="91440" distB="91440" distL="114300" distR="114300" simplePos="0" relativeHeight="251660288" behindDoc="0" locked="0" layoutInCell="1" allowOverlap="1" wp14:anchorId="4F596AE4" wp14:editId="34668BFD">
                <wp:simplePos x="0" y="0"/>
                <wp:positionH relativeFrom="page">
                  <wp:posOffset>1382395</wp:posOffset>
                </wp:positionH>
                <wp:positionV relativeFrom="paragraph">
                  <wp:posOffset>740410</wp:posOffset>
                </wp:positionV>
                <wp:extent cx="3474720" cy="37388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3738880"/>
                        </a:xfrm>
                        <a:prstGeom prst="rect">
                          <a:avLst/>
                        </a:prstGeom>
                        <a:noFill/>
                        <a:ln w="9525">
                          <a:noFill/>
                          <a:miter lim="800000"/>
                          <a:headEnd/>
                          <a:tailEnd/>
                        </a:ln>
                      </wps:spPr>
                      <wps:txbx>
                        <w:txbxContent>
                          <w:p w:rsidR="00721530" w:rsidRPr="009D667E" w:rsidRDefault="00721530" w:rsidP="004C3B79">
                            <w:pPr>
                              <w:pBdr>
                                <w:top w:val="single" w:sz="24" w:space="8" w:color="5B9BD5" w:themeColor="accent1"/>
                                <w:bottom w:val="single" w:sz="24" w:space="8" w:color="5B9BD5" w:themeColor="accent1"/>
                              </w:pBdr>
                              <w:rPr>
                                <w:rFonts w:ascii="Arial" w:hAnsi="Arial" w:cs="Arial"/>
                                <w:b/>
                                <w:iCs/>
                                <w:color w:val="0070C0"/>
                                <w:sz w:val="22"/>
                                <w:szCs w:val="22"/>
                              </w:rPr>
                            </w:pPr>
                            <w:r w:rsidRPr="009D667E">
                              <w:rPr>
                                <w:rFonts w:ascii="Arial" w:hAnsi="Arial" w:cs="Arial"/>
                                <w:b/>
                                <w:iCs/>
                                <w:color w:val="0070C0"/>
                                <w:sz w:val="22"/>
                                <w:szCs w:val="22"/>
                              </w:rPr>
                              <w:t>Key themes for this priority:</w:t>
                            </w:r>
                          </w:p>
                          <w:p w:rsidR="00721530"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Family Support – both in custody and on release</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Counter Terrorism prevent team</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Problem solving justice</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Care in Custody</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Early Intervention and prevention</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Intensive Community Orders</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Programme Challenger</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Integrated Offender Management</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Sex offender management</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Employment, learning and skills - both in custody and on release</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Restorative Justice</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4F596AE4" id="_x0000_s1027" type="#_x0000_t202" style="position:absolute;left:0;text-align:left;margin-left:108.85pt;margin-top:58.3pt;width:273.6pt;height:294.4pt;z-index:251660288;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" filled="f" stroked="f">
                <v:textbox>
                  <w:txbxContent>
                    <w:p w:rsidR="00721530" w:rsidRPr="009D667E" w:rsidRDefault="00721530" w:rsidP="004C3B79">
                      <w:pPr>
                        <w:pBdr>
                          <w:top w:val="single" w:sz="24" w:space="8" w:color="5B9BD5" w:themeColor="accent1"/>
                          <w:bottom w:val="single" w:sz="24" w:space="8" w:color="5B9BD5" w:themeColor="accent1"/>
                        </w:pBdr>
                        <w:rPr>
                          <w:rFonts w:ascii="Arial" w:hAnsi="Arial" w:cs="Arial"/>
                          <w:b/>
                          <w:iCs/>
                          <w:color w:val="0070C0"/>
                          <w:sz w:val="22"/>
                          <w:szCs w:val="22"/>
                        </w:rPr>
                      </w:pPr>
                      <w:r w:rsidRPr="009D667E">
                        <w:rPr>
                          <w:rFonts w:ascii="Arial" w:hAnsi="Arial" w:cs="Arial"/>
                          <w:b/>
                          <w:iCs/>
                          <w:color w:val="0070C0"/>
                          <w:sz w:val="22"/>
                          <w:szCs w:val="22"/>
                        </w:rPr>
                        <w:t>Key themes for this priority:</w:t>
                      </w:r>
                    </w:p>
                    <w:p w:rsidR="00721530"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Family Support – both in custody and on release</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Counter Terrorism prevent team</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Problem solving justice</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Care in Custody</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Early Intervention and prevention</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Intensive Community Orders</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Programme Challenger</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Integrated Offender Management</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Sex offender management</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Employment, learning and skills - both in custody and on release</w:t>
                      </w:r>
                    </w:p>
                    <w:p w:rsidR="00721530" w:rsidRPr="009D667E"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9D667E">
                        <w:rPr>
                          <w:rFonts w:ascii="Arial" w:hAnsi="Arial" w:cs="Arial"/>
                          <w:iCs/>
                          <w:color w:val="0070C0"/>
                          <w:sz w:val="22"/>
                          <w:szCs w:val="22"/>
                        </w:rPr>
                        <w:t>Restorative Justice</w:t>
                      </w:r>
                    </w:p>
                  </w:txbxContent>
                </v:textbox>
                <w10:wrap type="topAndBottom" anchorx="page"/>
              </v:shape>
            </w:pict>
          </mc:Fallback>
        </mc:AlternateContent>
      </w:r>
      <w:r w:rsidRPr="009D667E">
        <w:rPr>
          <w:rFonts w:ascii="Arial" w:hAnsi="Arial" w:cs="Arial"/>
          <w:sz w:val="22"/>
          <w:szCs w:val="22"/>
        </w:rPr>
        <w:t>Preventing anti-social and criminal behaviour including the most serious offending by solving problems, intervening early and rehabilitating offenders to build confidence in criminal justice.</w:t>
      </w:r>
    </w:p>
    <w:p w:rsidR="004C3B79" w:rsidRDefault="004C3B79" w:rsidP="004C3B79">
      <w:pPr>
        <w:ind w:left="567"/>
        <w:jc w:val="both"/>
        <w:rPr>
          <w:rFonts w:ascii="Century Gothic" w:hAnsi="Century Gothic" w:cs="Arial"/>
          <w:sz w:val="22"/>
          <w:szCs w:val="22"/>
          <w:highlight w:val="yellow"/>
        </w:rPr>
      </w:pPr>
      <w:r>
        <w:rPr>
          <w:rFonts w:ascii="Century Gothic" w:hAnsi="Century Gothic" w:cs="Arial"/>
          <w:b/>
          <w:sz w:val="22"/>
          <w:szCs w:val="22"/>
        </w:rPr>
        <w:tab/>
      </w:r>
    </w:p>
    <w:p w:rsidR="004C3B79" w:rsidRDefault="004C3B79" w:rsidP="004C3B79">
      <w:pPr>
        <w:spacing w:after="160" w:line="259" w:lineRule="auto"/>
        <w:rPr>
          <w:rFonts w:ascii="Century Gothic" w:hAnsi="Century Gothic" w:cs="Arial"/>
          <w:sz w:val="22"/>
          <w:szCs w:val="22"/>
          <w:highlight w:val="yellow"/>
        </w:rPr>
      </w:pPr>
      <w:r>
        <w:rPr>
          <w:rFonts w:ascii="Century Gothic" w:hAnsi="Century Gothic" w:cs="Arial"/>
          <w:sz w:val="22"/>
          <w:szCs w:val="22"/>
          <w:highlight w:val="yellow"/>
        </w:rPr>
        <w:br w:type="page"/>
      </w:r>
    </w:p>
    <w:p w:rsidR="004C3B79" w:rsidRDefault="004C3B79" w:rsidP="004C3B79">
      <w:pPr>
        <w:ind w:left="567"/>
        <w:jc w:val="both"/>
        <w:rPr>
          <w:rFonts w:ascii="Century Gothic" w:hAnsi="Century Gothic" w:cs="Arial"/>
          <w:sz w:val="22"/>
          <w:szCs w:val="22"/>
          <w:highlight w:val="yellow"/>
        </w:rPr>
      </w:pPr>
    </w:p>
    <w:p w:rsidR="004C3B79" w:rsidRPr="00541F27" w:rsidRDefault="004C3B79" w:rsidP="004C3B79">
      <w:pPr>
        <w:jc w:val="both"/>
        <w:rPr>
          <w:rFonts w:ascii="Arial" w:hAnsi="Arial" w:cs="Arial"/>
          <w:b/>
          <w:sz w:val="22"/>
          <w:szCs w:val="22"/>
        </w:rPr>
      </w:pPr>
      <w:r>
        <w:rPr>
          <w:rFonts w:ascii="Arial" w:hAnsi="Arial" w:cs="Arial"/>
          <w:b/>
          <w:sz w:val="22"/>
          <w:szCs w:val="22"/>
        </w:rPr>
        <w:t>7.4</w:t>
      </w:r>
      <w:r>
        <w:rPr>
          <w:rFonts w:ascii="Arial" w:hAnsi="Arial" w:cs="Arial"/>
          <w:b/>
          <w:sz w:val="22"/>
          <w:szCs w:val="22"/>
        </w:rPr>
        <w:tab/>
      </w:r>
      <w:r w:rsidRPr="00541F27">
        <w:rPr>
          <w:rFonts w:ascii="Arial" w:hAnsi="Arial" w:cs="Arial"/>
          <w:b/>
          <w:sz w:val="22"/>
          <w:szCs w:val="22"/>
        </w:rPr>
        <w:t>Strengthening communities and places</w:t>
      </w:r>
    </w:p>
    <w:p w:rsidR="004C3B79" w:rsidRPr="00541F27" w:rsidRDefault="004C3B79" w:rsidP="004C3B79">
      <w:pPr>
        <w:ind w:left="567"/>
        <w:jc w:val="both"/>
        <w:rPr>
          <w:rFonts w:ascii="Arial" w:hAnsi="Arial" w:cs="Arial"/>
          <w:b/>
          <w:sz w:val="22"/>
          <w:szCs w:val="22"/>
        </w:rPr>
      </w:pPr>
    </w:p>
    <w:p w:rsidR="004C3B79" w:rsidRPr="00541F27" w:rsidRDefault="004C3B79" w:rsidP="004C3B79">
      <w:pPr>
        <w:ind w:left="720"/>
        <w:jc w:val="both"/>
        <w:rPr>
          <w:rFonts w:ascii="Arial" w:hAnsi="Arial" w:cs="Arial"/>
          <w:sz w:val="22"/>
          <w:szCs w:val="22"/>
        </w:rPr>
      </w:pPr>
      <w:r w:rsidRPr="00541F27">
        <w:rPr>
          <w:rFonts w:ascii="Arial" w:hAnsi="Arial" w:cs="Arial"/>
          <w:sz w:val="22"/>
          <w:szCs w:val="22"/>
        </w:rPr>
        <w:t>Helping to build resilient and resourceful communities including online communities and protecting the places where people live, work, socialise or travel. Supporting the delivery of the IT systems, buildings, roads, street lighting and other public assets needed to solve problems in a 21st century society.</w:t>
      </w:r>
    </w:p>
    <w:p w:rsidR="004C3B79" w:rsidRPr="00541F27" w:rsidRDefault="004C3B79" w:rsidP="004C3B79">
      <w:pPr>
        <w:ind w:left="567"/>
        <w:jc w:val="both"/>
        <w:rPr>
          <w:rFonts w:ascii="Arial" w:hAnsi="Arial" w:cs="Arial"/>
          <w:sz w:val="22"/>
          <w:szCs w:val="22"/>
          <w:highlight w:val="yellow"/>
        </w:rPr>
      </w:pPr>
    </w:p>
    <w:p w:rsidR="004C3B79" w:rsidRPr="00541F27" w:rsidRDefault="004C3B79" w:rsidP="004C3B79">
      <w:pPr>
        <w:ind w:left="567"/>
        <w:jc w:val="both"/>
        <w:rPr>
          <w:rFonts w:ascii="Arial" w:hAnsi="Arial" w:cs="Arial"/>
          <w:sz w:val="22"/>
          <w:szCs w:val="22"/>
          <w:highlight w:val="yellow"/>
        </w:rPr>
      </w:pPr>
      <w:r>
        <w:rPr>
          <w:noProof/>
          <w:lang w:val="en-US"/>
        </w:rPr>
        <mc:AlternateContent>
          <mc:Choice Requires="wps">
            <w:drawing>
              <wp:anchor distT="91440" distB="91440" distL="114300" distR="114300" simplePos="0" relativeHeight="251661312" behindDoc="0" locked="0" layoutInCell="1" allowOverlap="1" wp14:anchorId="5D15369C" wp14:editId="11DCE660">
                <wp:simplePos x="0" y="0"/>
                <wp:positionH relativeFrom="page">
                  <wp:posOffset>1371600</wp:posOffset>
                </wp:positionH>
                <wp:positionV relativeFrom="paragraph">
                  <wp:posOffset>260350</wp:posOffset>
                </wp:positionV>
                <wp:extent cx="3474720" cy="255270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552700"/>
                        </a:xfrm>
                        <a:prstGeom prst="rect">
                          <a:avLst/>
                        </a:prstGeom>
                        <a:noFill/>
                        <a:ln w="9525">
                          <a:noFill/>
                          <a:miter lim="800000"/>
                          <a:headEnd/>
                          <a:tailEnd/>
                        </a:ln>
                      </wps:spPr>
                      <wps:txbx>
                        <w:txbxContent>
                          <w:p w:rsidR="00721530" w:rsidRPr="00541F27" w:rsidRDefault="00721530" w:rsidP="004C3B79">
                            <w:pPr>
                              <w:pBdr>
                                <w:top w:val="single" w:sz="24" w:space="8" w:color="5B9BD5" w:themeColor="accent1"/>
                                <w:bottom w:val="single" w:sz="24" w:space="8" w:color="5B9BD5" w:themeColor="accent1"/>
                              </w:pBdr>
                              <w:rPr>
                                <w:rFonts w:ascii="Arial" w:hAnsi="Arial" w:cs="Arial"/>
                                <w:b/>
                                <w:iCs/>
                                <w:color w:val="0070C0"/>
                                <w:sz w:val="22"/>
                                <w:szCs w:val="22"/>
                              </w:rPr>
                            </w:pPr>
                            <w:r w:rsidRPr="00541F27">
                              <w:rPr>
                                <w:rFonts w:ascii="Arial" w:hAnsi="Arial" w:cs="Arial"/>
                                <w:b/>
                                <w:iCs/>
                                <w:color w:val="0070C0"/>
                                <w:sz w:val="22"/>
                                <w:szCs w:val="22"/>
                              </w:rPr>
                              <w:t>Key themes for this priority:</w:t>
                            </w:r>
                          </w:p>
                          <w:p w:rsidR="00721530"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p>
                          <w:p w:rsidR="00721530" w:rsidRPr="00541F27"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541F27">
                              <w:rPr>
                                <w:rFonts w:ascii="Arial" w:hAnsi="Arial" w:cs="Arial"/>
                                <w:iCs/>
                                <w:color w:val="0070C0"/>
                                <w:sz w:val="22"/>
                                <w:szCs w:val="22"/>
                              </w:rPr>
                              <w:t>Safer Travel</w:t>
                            </w:r>
                          </w:p>
                          <w:p w:rsidR="00721530" w:rsidRPr="00541F27"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541F27">
                              <w:rPr>
                                <w:rFonts w:ascii="Arial" w:hAnsi="Arial" w:cs="Arial"/>
                                <w:iCs/>
                                <w:color w:val="0070C0"/>
                                <w:sz w:val="22"/>
                                <w:szCs w:val="22"/>
                              </w:rPr>
                              <w:t>Place Based integration</w:t>
                            </w:r>
                          </w:p>
                          <w:p w:rsidR="00721530" w:rsidRPr="00541F27"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541F27">
                              <w:rPr>
                                <w:rFonts w:ascii="Arial" w:hAnsi="Arial" w:cs="Arial"/>
                                <w:iCs/>
                                <w:color w:val="0070C0"/>
                                <w:sz w:val="22"/>
                                <w:szCs w:val="22"/>
                              </w:rPr>
                              <w:t>Counter Terrorism</w:t>
                            </w:r>
                          </w:p>
                          <w:p w:rsidR="00721530" w:rsidRPr="00541F27"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541F27">
                              <w:rPr>
                                <w:rFonts w:ascii="Arial" w:hAnsi="Arial" w:cs="Arial"/>
                                <w:iCs/>
                                <w:color w:val="0070C0"/>
                                <w:sz w:val="22"/>
                                <w:szCs w:val="22"/>
                              </w:rPr>
                              <w:t>Target Hardening and designing out crime</w:t>
                            </w:r>
                          </w:p>
                          <w:p w:rsidR="00721530" w:rsidRPr="00541F27"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541F27">
                              <w:rPr>
                                <w:rFonts w:ascii="Arial" w:hAnsi="Arial" w:cs="Arial"/>
                                <w:iCs/>
                                <w:color w:val="0070C0"/>
                                <w:sz w:val="22"/>
                                <w:szCs w:val="22"/>
                              </w:rPr>
                              <w:t>CCTV</w:t>
                            </w:r>
                          </w:p>
                          <w:p w:rsidR="00721530" w:rsidRPr="00541F27"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541F27">
                              <w:rPr>
                                <w:rFonts w:ascii="Arial" w:hAnsi="Arial" w:cs="Arial"/>
                                <w:iCs/>
                                <w:color w:val="0070C0"/>
                                <w:sz w:val="22"/>
                                <w:szCs w:val="22"/>
                              </w:rPr>
                              <w:t>Civil Contingencies</w:t>
                            </w:r>
                          </w:p>
                          <w:p w:rsidR="00721530" w:rsidRPr="00541F27" w:rsidRDefault="00721530" w:rsidP="004C3B79">
                            <w:pPr>
                              <w:pBdr>
                                <w:top w:val="single" w:sz="24" w:space="8" w:color="5B9BD5" w:themeColor="accent1"/>
                                <w:bottom w:val="single" w:sz="24" w:space="8" w:color="5B9BD5" w:themeColor="accent1"/>
                              </w:pBdr>
                              <w:rPr>
                                <w:rFonts w:ascii="Arial" w:hAnsi="Arial" w:cs="Arial"/>
                                <w:iCs/>
                                <w:color w:val="0070C0"/>
                                <w:sz w:val="22"/>
                                <w:szCs w:val="22"/>
                              </w:rPr>
                            </w:pP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5D15369C" id="_x0000_s1028" type="#_x0000_t202" style="position:absolute;left:0;text-align:left;margin-left:108pt;margin-top:20.5pt;width:273.6pt;height:201pt;z-index:251661312;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" filled="f" stroked="f">
                <v:textbox>
                  <w:txbxContent>
                    <w:p w:rsidR="00721530" w:rsidRPr="00541F27" w:rsidRDefault="00721530" w:rsidP="004C3B79">
                      <w:pPr>
                        <w:pBdr>
                          <w:top w:val="single" w:sz="24" w:space="8" w:color="5B9BD5" w:themeColor="accent1"/>
                          <w:bottom w:val="single" w:sz="24" w:space="8" w:color="5B9BD5" w:themeColor="accent1"/>
                        </w:pBdr>
                        <w:rPr>
                          <w:rFonts w:ascii="Arial" w:hAnsi="Arial" w:cs="Arial"/>
                          <w:b/>
                          <w:iCs/>
                          <w:color w:val="0070C0"/>
                          <w:sz w:val="22"/>
                          <w:szCs w:val="22"/>
                        </w:rPr>
                      </w:pPr>
                      <w:r w:rsidRPr="00541F27">
                        <w:rPr>
                          <w:rFonts w:ascii="Arial" w:hAnsi="Arial" w:cs="Arial"/>
                          <w:b/>
                          <w:iCs/>
                          <w:color w:val="0070C0"/>
                          <w:sz w:val="22"/>
                          <w:szCs w:val="22"/>
                        </w:rPr>
                        <w:t>Key themes for this priority:</w:t>
                      </w:r>
                    </w:p>
                    <w:p w:rsidR="00721530"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p>
                    <w:p w:rsidR="00721530" w:rsidRPr="00541F27"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541F27">
                        <w:rPr>
                          <w:rFonts w:ascii="Arial" w:hAnsi="Arial" w:cs="Arial"/>
                          <w:iCs/>
                          <w:color w:val="0070C0"/>
                          <w:sz w:val="22"/>
                          <w:szCs w:val="22"/>
                        </w:rPr>
                        <w:t>Safer Travel</w:t>
                      </w:r>
                    </w:p>
                    <w:p w:rsidR="00721530" w:rsidRPr="00541F27"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541F27">
                        <w:rPr>
                          <w:rFonts w:ascii="Arial" w:hAnsi="Arial" w:cs="Arial"/>
                          <w:iCs/>
                          <w:color w:val="0070C0"/>
                          <w:sz w:val="22"/>
                          <w:szCs w:val="22"/>
                        </w:rPr>
                        <w:t>Place Based integration</w:t>
                      </w:r>
                    </w:p>
                    <w:p w:rsidR="00721530" w:rsidRPr="00541F27"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541F27">
                        <w:rPr>
                          <w:rFonts w:ascii="Arial" w:hAnsi="Arial" w:cs="Arial"/>
                          <w:iCs/>
                          <w:color w:val="0070C0"/>
                          <w:sz w:val="22"/>
                          <w:szCs w:val="22"/>
                        </w:rPr>
                        <w:t>Counter Terrorism</w:t>
                      </w:r>
                    </w:p>
                    <w:p w:rsidR="00721530" w:rsidRPr="00541F27"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541F27">
                        <w:rPr>
                          <w:rFonts w:ascii="Arial" w:hAnsi="Arial" w:cs="Arial"/>
                          <w:iCs/>
                          <w:color w:val="0070C0"/>
                          <w:sz w:val="22"/>
                          <w:szCs w:val="22"/>
                        </w:rPr>
                        <w:t>Target Hardening and designing out crime</w:t>
                      </w:r>
                    </w:p>
                    <w:p w:rsidR="00721530" w:rsidRPr="00541F27"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541F27">
                        <w:rPr>
                          <w:rFonts w:ascii="Arial" w:hAnsi="Arial" w:cs="Arial"/>
                          <w:iCs/>
                          <w:color w:val="0070C0"/>
                          <w:sz w:val="22"/>
                          <w:szCs w:val="22"/>
                        </w:rPr>
                        <w:t>CCTV</w:t>
                      </w:r>
                    </w:p>
                    <w:p w:rsidR="00721530" w:rsidRPr="00541F27" w:rsidRDefault="00721530" w:rsidP="004C3B79">
                      <w:pPr>
                        <w:pBdr>
                          <w:top w:val="single" w:sz="24" w:space="8" w:color="5B9BD5" w:themeColor="accent1"/>
                          <w:bottom w:val="single" w:sz="24" w:space="8" w:color="5B9BD5" w:themeColor="accent1"/>
                        </w:pBdr>
                        <w:spacing w:line="360" w:lineRule="auto"/>
                        <w:rPr>
                          <w:rFonts w:ascii="Arial" w:hAnsi="Arial" w:cs="Arial"/>
                          <w:iCs/>
                          <w:color w:val="0070C0"/>
                          <w:sz w:val="22"/>
                          <w:szCs w:val="22"/>
                        </w:rPr>
                      </w:pPr>
                      <w:r w:rsidRPr="00541F27">
                        <w:rPr>
                          <w:rFonts w:ascii="Arial" w:hAnsi="Arial" w:cs="Arial"/>
                          <w:iCs/>
                          <w:color w:val="0070C0"/>
                          <w:sz w:val="22"/>
                          <w:szCs w:val="22"/>
                        </w:rPr>
                        <w:t>Civil Contingencies</w:t>
                      </w:r>
                    </w:p>
                    <w:p w:rsidR="00721530" w:rsidRPr="00541F27" w:rsidRDefault="00721530" w:rsidP="004C3B79">
                      <w:pPr>
                        <w:pBdr>
                          <w:top w:val="single" w:sz="24" w:space="8" w:color="5B9BD5" w:themeColor="accent1"/>
                          <w:bottom w:val="single" w:sz="24" w:space="8" w:color="5B9BD5" w:themeColor="accent1"/>
                        </w:pBdr>
                        <w:rPr>
                          <w:rFonts w:ascii="Arial" w:hAnsi="Arial" w:cs="Arial"/>
                          <w:iCs/>
                          <w:color w:val="0070C0"/>
                          <w:sz w:val="22"/>
                          <w:szCs w:val="22"/>
                        </w:rPr>
                      </w:pPr>
                    </w:p>
                  </w:txbxContent>
                </v:textbox>
                <w10:wrap type="topAndBottom" anchorx="page"/>
              </v:shape>
            </w:pict>
          </mc:Fallback>
        </mc:AlternateContent>
      </w:r>
    </w:p>
    <w:p w:rsidR="004C3B79" w:rsidRDefault="004C3B79" w:rsidP="004C3B79">
      <w:pPr>
        <w:spacing w:after="160" w:line="259" w:lineRule="auto"/>
        <w:rPr>
          <w:rFonts w:ascii="Arial" w:hAnsi="Arial" w:cs="Arial"/>
          <w:sz w:val="22"/>
          <w:szCs w:val="22"/>
          <w:highlight w:val="yellow"/>
        </w:rPr>
      </w:pPr>
    </w:p>
    <w:p w:rsidR="004C3B79" w:rsidRPr="00037247" w:rsidRDefault="004C3B79" w:rsidP="004C3B79">
      <w:pPr>
        <w:ind w:left="720" w:hanging="720"/>
        <w:jc w:val="both"/>
        <w:rPr>
          <w:rFonts w:ascii="Arial" w:hAnsi="Arial" w:cs="Arial"/>
          <w:b/>
          <w:sz w:val="22"/>
          <w:szCs w:val="22"/>
        </w:rPr>
      </w:pPr>
      <w:r w:rsidRPr="00037247">
        <w:rPr>
          <w:rFonts w:ascii="Arial" w:hAnsi="Arial" w:cs="Arial"/>
          <w:b/>
          <w:sz w:val="22"/>
          <w:szCs w:val="22"/>
        </w:rPr>
        <w:t>7.5</w:t>
      </w:r>
      <w:r w:rsidRPr="00037247">
        <w:rPr>
          <w:rFonts w:ascii="Arial" w:hAnsi="Arial" w:cs="Arial"/>
          <w:b/>
          <w:sz w:val="22"/>
          <w:szCs w:val="22"/>
        </w:rPr>
        <w:tab/>
        <w:t>COMMUNITY SAFETY BUDGET</w:t>
      </w:r>
    </w:p>
    <w:p w:rsidR="004C3B79" w:rsidRPr="00037247" w:rsidRDefault="004C3B79" w:rsidP="004C3B79">
      <w:pPr>
        <w:ind w:left="720" w:hanging="720"/>
        <w:jc w:val="both"/>
        <w:rPr>
          <w:rFonts w:ascii="Arial" w:hAnsi="Arial" w:cs="Arial"/>
          <w:sz w:val="22"/>
          <w:szCs w:val="22"/>
        </w:rPr>
      </w:pPr>
    </w:p>
    <w:p w:rsidR="004C3B79" w:rsidRPr="008824B5" w:rsidRDefault="004C3B79" w:rsidP="004C3B79">
      <w:pPr>
        <w:pStyle w:val="Body1"/>
        <w:spacing w:after="0" w:line="240" w:lineRule="auto"/>
        <w:ind w:left="720"/>
        <w:jc w:val="both"/>
        <w:outlineLvl w:val="9"/>
        <w:rPr>
          <w:rFonts w:ascii="Arial" w:eastAsia="Times New Roman" w:hAnsi="Arial" w:cs="Arial"/>
          <w:color w:val="auto"/>
          <w:szCs w:val="22"/>
        </w:rPr>
      </w:pPr>
      <w:r w:rsidRPr="00885906">
        <w:rPr>
          <w:rFonts w:ascii="Arial" w:eastAsia="Times New Roman" w:hAnsi="Arial" w:cs="Arial"/>
          <w:color w:val="auto"/>
          <w:szCs w:val="22"/>
        </w:rPr>
        <w:t>In relation to the Community Safety Fu</w:t>
      </w:r>
      <w:r>
        <w:rPr>
          <w:rFonts w:ascii="Arial" w:eastAsia="Times New Roman" w:hAnsi="Arial" w:cs="Arial"/>
          <w:color w:val="auto"/>
          <w:szCs w:val="22"/>
        </w:rPr>
        <w:t>nd, it is the</w:t>
      </w:r>
      <w:r w:rsidRPr="00885906">
        <w:rPr>
          <w:rFonts w:ascii="Arial" w:eastAsia="Times New Roman" w:hAnsi="Arial" w:cs="Arial"/>
          <w:color w:val="auto"/>
          <w:szCs w:val="22"/>
        </w:rPr>
        <w:t xml:space="preserve"> clear expectation that this fund is used to </w:t>
      </w:r>
      <w:r w:rsidRPr="008824B5">
        <w:rPr>
          <w:rFonts w:ascii="Arial" w:eastAsia="Times New Roman" w:hAnsi="Arial" w:cs="Arial"/>
          <w:color w:val="auto"/>
          <w:szCs w:val="22"/>
        </w:rPr>
        <w:t xml:space="preserve">support the delivery of the Police and Crime Plan ‘Standing Together’. The plan cannot be delivered solely through policing, to acknowledge this the Community Safety Fund will be continue to be </w:t>
      </w:r>
      <w:r>
        <w:rPr>
          <w:rFonts w:ascii="Arial" w:eastAsia="Times New Roman" w:hAnsi="Arial" w:cs="Arial"/>
          <w:color w:val="auto"/>
          <w:szCs w:val="22"/>
        </w:rPr>
        <w:t xml:space="preserve">earmarked to </w:t>
      </w:r>
      <w:r w:rsidRPr="008824B5">
        <w:rPr>
          <w:rFonts w:ascii="Arial" w:eastAsia="Times New Roman" w:hAnsi="Arial" w:cs="Arial"/>
          <w:color w:val="auto"/>
          <w:szCs w:val="22"/>
        </w:rPr>
        <w:t xml:space="preserve">fund the work of Community Safety Partnerships across Greater Manchester and for 2018/19 to maintain the funding at 2017/18 levels, with a commitment </w:t>
      </w:r>
      <w:r>
        <w:rPr>
          <w:rFonts w:ascii="Arial" w:eastAsia="Times New Roman" w:hAnsi="Arial" w:cs="Arial"/>
          <w:color w:val="auto"/>
          <w:szCs w:val="22"/>
        </w:rPr>
        <w:t xml:space="preserve">to identify further </w:t>
      </w:r>
      <w:r w:rsidRPr="008824B5">
        <w:rPr>
          <w:rFonts w:ascii="Arial" w:eastAsia="Times New Roman" w:hAnsi="Arial" w:cs="Arial"/>
          <w:color w:val="auto"/>
          <w:szCs w:val="22"/>
        </w:rPr>
        <w:t xml:space="preserve">funds </w:t>
      </w:r>
      <w:r>
        <w:rPr>
          <w:rFonts w:ascii="Arial" w:eastAsia="Times New Roman" w:hAnsi="Arial" w:cs="Arial"/>
          <w:color w:val="auto"/>
          <w:szCs w:val="22"/>
        </w:rPr>
        <w:t>which could</w:t>
      </w:r>
      <w:r w:rsidRPr="008824B5">
        <w:rPr>
          <w:rFonts w:ascii="Arial" w:eastAsia="Times New Roman" w:hAnsi="Arial" w:cs="Arial"/>
          <w:color w:val="auto"/>
          <w:szCs w:val="22"/>
        </w:rPr>
        <w:t xml:space="preserve"> be passported to the Partnerships.</w:t>
      </w:r>
    </w:p>
    <w:p w:rsidR="004C3B79" w:rsidRDefault="004C3B79" w:rsidP="004C3B79">
      <w:pPr>
        <w:spacing w:after="160" w:line="259" w:lineRule="auto"/>
        <w:ind w:left="720" w:hanging="720"/>
        <w:rPr>
          <w:rFonts w:ascii="Arial" w:hAnsi="Arial" w:cs="Arial"/>
          <w:sz w:val="22"/>
          <w:szCs w:val="22"/>
        </w:rPr>
      </w:pPr>
    </w:p>
    <w:p w:rsidR="004C3B79" w:rsidRDefault="004C3B79" w:rsidP="004C3B79">
      <w:pPr>
        <w:spacing w:after="160" w:line="259" w:lineRule="auto"/>
        <w:ind w:left="720"/>
        <w:rPr>
          <w:rFonts w:ascii="Arial" w:hAnsi="Arial" w:cs="Arial"/>
          <w:sz w:val="22"/>
          <w:szCs w:val="22"/>
          <w:highlight w:val="yellow"/>
        </w:rPr>
      </w:pPr>
      <w:r>
        <w:rPr>
          <w:rFonts w:ascii="Arial" w:hAnsi="Arial" w:cs="Arial"/>
          <w:sz w:val="22"/>
          <w:szCs w:val="22"/>
        </w:rPr>
        <w:t>In addition t</w:t>
      </w:r>
      <w:r w:rsidRPr="00CF6E3E">
        <w:rPr>
          <w:rFonts w:ascii="Arial" w:hAnsi="Arial" w:cs="Arial"/>
          <w:sz w:val="22"/>
          <w:szCs w:val="22"/>
        </w:rPr>
        <w:t>he development of an outcomes framework to measure the achievements of the plan is underway, in parallel an investment strategy is i</w:t>
      </w:r>
      <w:r>
        <w:rPr>
          <w:rFonts w:ascii="Arial" w:hAnsi="Arial" w:cs="Arial"/>
          <w:sz w:val="22"/>
          <w:szCs w:val="22"/>
        </w:rPr>
        <w:t>n the process of being drafted to support the delivery of the plan.</w:t>
      </w:r>
      <w:r>
        <w:rPr>
          <w:rFonts w:ascii="Arial" w:hAnsi="Arial" w:cs="Arial"/>
          <w:sz w:val="22"/>
          <w:szCs w:val="22"/>
          <w:highlight w:val="yellow"/>
        </w:rPr>
        <w:br w:type="page"/>
      </w:r>
    </w:p>
    <w:p w:rsidR="004C3B79" w:rsidRPr="00044931" w:rsidRDefault="004C3B79" w:rsidP="004C3B79">
      <w:pPr>
        <w:ind w:left="567"/>
        <w:jc w:val="both"/>
        <w:rPr>
          <w:rFonts w:ascii="Century Gothic" w:hAnsi="Century Gothic" w:cs="Arial"/>
          <w:sz w:val="22"/>
          <w:szCs w:val="22"/>
          <w:highlight w:val="yellow"/>
        </w:rPr>
      </w:pPr>
    </w:p>
    <w:p w:rsidR="004C3B79" w:rsidRPr="00037247" w:rsidRDefault="004C3B79" w:rsidP="004C3B79">
      <w:pPr>
        <w:autoSpaceDE w:val="0"/>
        <w:autoSpaceDN w:val="0"/>
        <w:adjustRightInd w:val="0"/>
        <w:jc w:val="both"/>
        <w:rPr>
          <w:rFonts w:ascii="Arial" w:hAnsi="Arial" w:cs="Arial"/>
          <w:b/>
          <w:sz w:val="22"/>
          <w:u w:val="single"/>
        </w:rPr>
      </w:pPr>
      <w:r w:rsidRPr="00037247">
        <w:rPr>
          <w:rFonts w:ascii="Arial" w:hAnsi="Arial" w:cs="Arial"/>
          <w:color w:val="000000"/>
          <w:sz w:val="22"/>
          <w:szCs w:val="22"/>
        </w:rPr>
        <w:t>8.</w:t>
      </w:r>
      <w:r w:rsidRPr="00037247">
        <w:rPr>
          <w:rFonts w:ascii="Arial" w:hAnsi="Arial" w:cs="Arial"/>
          <w:color w:val="000000"/>
          <w:sz w:val="22"/>
          <w:szCs w:val="22"/>
        </w:rPr>
        <w:tab/>
      </w:r>
      <w:r w:rsidRPr="00037247">
        <w:rPr>
          <w:rFonts w:ascii="Arial" w:hAnsi="Arial" w:cs="Arial"/>
          <w:b/>
          <w:sz w:val="22"/>
          <w:u w:val="single"/>
        </w:rPr>
        <w:t>RISK ASSESSMENT</w:t>
      </w:r>
    </w:p>
    <w:p w:rsidR="004C3B79" w:rsidRPr="00037247" w:rsidRDefault="004C3B79" w:rsidP="004C3B79">
      <w:pPr>
        <w:autoSpaceDE w:val="0"/>
        <w:autoSpaceDN w:val="0"/>
        <w:adjustRightInd w:val="0"/>
        <w:jc w:val="both"/>
        <w:rPr>
          <w:rFonts w:ascii="Arial" w:hAnsi="Arial" w:cs="Arial"/>
          <w:sz w:val="22"/>
          <w:szCs w:val="22"/>
        </w:rPr>
      </w:pPr>
    </w:p>
    <w:p w:rsidR="004C3B79" w:rsidRPr="00037247" w:rsidRDefault="004C3B79" w:rsidP="004C3B79">
      <w:pPr>
        <w:tabs>
          <w:tab w:val="left" w:pos="567"/>
          <w:tab w:val="left" w:pos="1418"/>
        </w:tabs>
        <w:ind w:left="567" w:hanging="567"/>
        <w:jc w:val="both"/>
        <w:rPr>
          <w:rFonts w:ascii="Arial" w:hAnsi="Arial" w:cs="Arial"/>
          <w:sz w:val="22"/>
        </w:rPr>
      </w:pPr>
      <w:r>
        <w:rPr>
          <w:rFonts w:ascii="Arial" w:hAnsi="Arial" w:cs="Arial"/>
          <w:sz w:val="22"/>
        </w:rPr>
        <w:t>8.1</w:t>
      </w:r>
      <w:r w:rsidRPr="00037247">
        <w:rPr>
          <w:rFonts w:ascii="Arial" w:hAnsi="Arial" w:cs="Arial"/>
          <w:sz w:val="22"/>
        </w:rPr>
        <w:tab/>
        <w:t>A key requirement of any budget setting process is the assessment of risk and how this is reflected in the financial strategy. An assessment of the major financial risks associated with the 2018-19 budget has been undertaken.  These are highlighted below:</w:t>
      </w:r>
    </w:p>
    <w:p w:rsidR="004C3B79" w:rsidRPr="00037247" w:rsidRDefault="004C3B79" w:rsidP="004C3B79">
      <w:pPr>
        <w:tabs>
          <w:tab w:val="left" w:pos="709"/>
          <w:tab w:val="left" w:pos="1418"/>
        </w:tabs>
        <w:ind w:left="709" w:hanging="709"/>
        <w:jc w:val="both"/>
        <w:rPr>
          <w:rFonts w:ascii="Arial" w:hAnsi="Arial" w:cs="Arial"/>
          <w:sz w:val="22"/>
        </w:rPr>
      </w:pPr>
    </w:p>
    <w:p w:rsidR="004C3B79" w:rsidRPr="00037247" w:rsidRDefault="004C3B79" w:rsidP="004C3B79">
      <w:pPr>
        <w:tabs>
          <w:tab w:val="left" w:pos="709"/>
          <w:tab w:val="left" w:pos="1418"/>
        </w:tabs>
        <w:ind w:left="1418" w:hanging="1418"/>
        <w:jc w:val="both"/>
        <w:rPr>
          <w:rFonts w:ascii="Arial" w:hAnsi="Arial" w:cs="Arial"/>
          <w:sz w:val="22"/>
          <w:lang w:val="en-US"/>
        </w:rPr>
      </w:pPr>
      <w:r w:rsidRPr="00037247">
        <w:rPr>
          <w:rFonts w:ascii="Arial" w:hAnsi="Arial" w:cs="Arial"/>
          <w:sz w:val="22"/>
        </w:rPr>
        <w:tab/>
      </w:r>
      <w:r>
        <w:rPr>
          <w:rFonts w:ascii="Arial" w:hAnsi="Arial" w:cs="Arial"/>
          <w:sz w:val="22"/>
        </w:rPr>
        <w:t>8.1.1</w:t>
      </w:r>
      <w:r w:rsidRPr="00037247">
        <w:rPr>
          <w:rFonts w:ascii="Arial" w:hAnsi="Arial" w:cs="Arial"/>
          <w:sz w:val="22"/>
        </w:rPr>
        <w:t xml:space="preserve"> </w:t>
      </w:r>
      <w:r w:rsidRPr="00037247">
        <w:rPr>
          <w:rFonts w:ascii="Arial" w:hAnsi="Arial" w:cs="Arial"/>
          <w:sz w:val="22"/>
        </w:rPr>
        <w:tab/>
        <w:t xml:space="preserve">Additional grant receipts above those included in the budget, which require additional expenditure to secure the funding.  </w:t>
      </w:r>
      <w:r w:rsidRPr="00037247">
        <w:rPr>
          <w:rFonts w:ascii="Arial" w:hAnsi="Arial" w:cs="Arial"/>
          <w:sz w:val="22"/>
          <w:lang w:val="en-US"/>
        </w:rPr>
        <w:t xml:space="preserve">These would not be accepted unless budgets could be realigned elsewhere. </w:t>
      </w:r>
    </w:p>
    <w:p w:rsidR="004C3B79" w:rsidRPr="00037247" w:rsidRDefault="004C3B79" w:rsidP="004C3B79">
      <w:pPr>
        <w:tabs>
          <w:tab w:val="left" w:pos="1418"/>
        </w:tabs>
        <w:ind w:left="704"/>
        <w:jc w:val="both"/>
        <w:rPr>
          <w:rFonts w:ascii="Arial" w:hAnsi="Arial" w:cs="Arial"/>
          <w:sz w:val="22"/>
        </w:rPr>
      </w:pPr>
      <w:r w:rsidRPr="00037247">
        <w:rPr>
          <w:rFonts w:ascii="Arial" w:hAnsi="Arial" w:cs="Arial"/>
          <w:sz w:val="22"/>
        </w:rPr>
        <w:t xml:space="preserve"> </w:t>
      </w:r>
      <w:r w:rsidRPr="00037247">
        <w:rPr>
          <w:rFonts w:ascii="Arial" w:hAnsi="Arial" w:cs="Arial"/>
          <w:sz w:val="22"/>
        </w:rPr>
        <w:tab/>
      </w:r>
      <w:r w:rsidRPr="00037247">
        <w:rPr>
          <w:rFonts w:ascii="Arial" w:hAnsi="Arial" w:cs="Arial"/>
          <w:sz w:val="22"/>
        </w:rPr>
        <w:tab/>
      </w:r>
      <w:r w:rsidRPr="00037247">
        <w:rPr>
          <w:rFonts w:ascii="Arial" w:hAnsi="Arial" w:cs="Arial"/>
          <w:sz w:val="22"/>
        </w:rPr>
        <w:tab/>
      </w:r>
      <w:r w:rsidRPr="00037247">
        <w:rPr>
          <w:rFonts w:ascii="Arial" w:hAnsi="Arial" w:cs="Arial"/>
          <w:sz w:val="22"/>
        </w:rPr>
        <w:tab/>
      </w:r>
      <w:r w:rsidRPr="00037247">
        <w:rPr>
          <w:rFonts w:ascii="Arial" w:hAnsi="Arial" w:cs="Arial"/>
          <w:sz w:val="22"/>
        </w:rPr>
        <w:tab/>
      </w:r>
      <w:r w:rsidRPr="00037247">
        <w:rPr>
          <w:rFonts w:ascii="Arial" w:hAnsi="Arial" w:cs="Arial"/>
          <w:sz w:val="22"/>
        </w:rPr>
        <w:tab/>
      </w:r>
      <w:r w:rsidRPr="00037247">
        <w:rPr>
          <w:rFonts w:ascii="Arial" w:hAnsi="Arial" w:cs="Arial"/>
          <w:sz w:val="22"/>
        </w:rPr>
        <w:tab/>
      </w:r>
      <w:r w:rsidRPr="00037247">
        <w:rPr>
          <w:rFonts w:ascii="Arial" w:hAnsi="Arial" w:cs="Arial"/>
          <w:sz w:val="22"/>
        </w:rPr>
        <w:tab/>
      </w:r>
      <w:r w:rsidRPr="00037247">
        <w:rPr>
          <w:rFonts w:ascii="Arial" w:hAnsi="Arial" w:cs="Arial"/>
          <w:sz w:val="22"/>
        </w:rPr>
        <w:tab/>
      </w:r>
      <w:r w:rsidRPr="00037247">
        <w:rPr>
          <w:rFonts w:ascii="Arial" w:hAnsi="Arial" w:cs="Arial"/>
          <w:sz w:val="22"/>
        </w:rPr>
        <w:tab/>
      </w:r>
      <w:r w:rsidRPr="00037247">
        <w:rPr>
          <w:rFonts w:ascii="Arial" w:hAnsi="Arial" w:cs="Arial"/>
          <w:sz w:val="22"/>
        </w:rPr>
        <w:tab/>
      </w:r>
    </w:p>
    <w:p w:rsidR="004C3B79" w:rsidRPr="00037247" w:rsidRDefault="004C3B79" w:rsidP="004C3B79">
      <w:pPr>
        <w:tabs>
          <w:tab w:val="left" w:pos="709"/>
          <w:tab w:val="left" w:pos="1418"/>
        </w:tabs>
        <w:ind w:left="1418" w:hanging="1418"/>
        <w:jc w:val="both"/>
        <w:rPr>
          <w:rFonts w:ascii="Arial" w:hAnsi="Arial" w:cs="Arial"/>
          <w:sz w:val="22"/>
        </w:rPr>
      </w:pPr>
      <w:r w:rsidRPr="00037247">
        <w:rPr>
          <w:rFonts w:ascii="Arial" w:hAnsi="Arial" w:cs="Arial"/>
          <w:sz w:val="22"/>
        </w:rPr>
        <w:tab/>
      </w:r>
      <w:r>
        <w:rPr>
          <w:rFonts w:ascii="Arial" w:hAnsi="Arial" w:cs="Arial"/>
          <w:sz w:val="22"/>
        </w:rPr>
        <w:t>8</w:t>
      </w:r>
      <w:r w:rsidRPr="00037247">
        <w:rPr>
          <w:rFonts w:ascii="Arial" w:hAnsi="Arial" w:cs="Arial"/>
          <w:sz w:val="22"/>
        </w:rPr>
        <w:t>.1.2</w:t>
      </w:r>
      <w:r w:rsidRPr="00037247">
        <w:rPr>
          <w:rFonts w:ascii="Arial" w:hAnsi="Arial" w:cs="Arial"/>
          <w:sz w:val="22"/>
        </w:rPr>
        <w:tab/>
        <w:t>There are no contingencies in the revenue budget to meet unforeseen circumstances.</w:t>
      </w:r>
    </w:p>
    <w:p w:rsidR="004C3B79" w:rsidRPr="00037247" w:rsidRDefault="004C3B79" w:rsidP="004C3B79">
      <w:pPr>
        <w:tabs>
          <w:tab w:val="left" w:pos="709"/>
          <w:tab w:val="left" w:pos="1418"/>
        </w:tabs>
        <w:ind w:left="709" w:hanging="709"/>
        <w:jc w:val="both"/>
        <w:rPr>
          <w:rFonts w:ascii="Arial" w:hAnsi="Arial" w:cs="Arial"/>
          <w:sz w:val="22"/>
        </w:rPr>
      </w:pPr>
    </w:p>
    <w:p w:rsidR="004C3B79" w:rsidRPr="00037247" w:rsidRDefault="004C3B79" w:rsidP="004C3B79">
      <w:pPr>
        <w:tabs>
          <w:tab w:val="left" w:pos="709"/>
          <w:tab w:val="left" w:pos="1418"/>
        </w:tabs>
        <w:ind w:left="1418" w:hanging="1418"/>
        <w:jc w:val="both"/>
        <w:rPr>
          <w:rFonts w:ascii="Arial" w:hAnsi="Arial" w:cs="Arial"/>
          <w:sz w:val="22"/>
        </w:rPr>
      </w:pPr>
      <w:r>
        <w:rPr>
          <w:rFonts w:ascii="Arial" w:hAnsi="Arial" w:cs="Arial"/>
          <w:sz w:val="22"/>
        </w:rPr>
        <w:tab/>
        <w:t>8</w:t>
      </w:r>
      <w:r w:rsidRPr="00037247">
        <w:rPr>
          <w:rFonts w:ascii="Arial" w:hAnsi="Arial" w:cs="Arial"/>
          <w:sz w:val="22"/>
        </w:rPr>
        <w:t>.1.3</w:t>
      </w:r>
      <w:r w:rsidRPr="00037247">
        <w:rPr>
          <w:rFonts w:ascii="Arial" w:hAnsi="Arial" w:cs="Arial"/>
          <w:sz w:val="22"/>
        </w:rPr>
        <w:tab/>
        <w:t>There is no budget provision for a large-scale major incident.  Were such an incident to occur then possible funding would be from:</w:t>
      </w:r>
    </w:p>
    <w:p w:rsidR="004C3B79" w:rsidRPr="00037247" w:rsidRDefault="004C3B79" w:rsidP="004C3B79">
      <w:pPr>
        <w:numPr>
          <w:ilvl w:val="0"/>
          <w:numId w:val="1"/>
        </w:numPr>
        <w:tabs>
          <w:tab w:val="left" w:pos="709"/>
          <w:tab w:val="left" w:pos="1418"/>
        </w:tabs>
        <w:jc w:val="both"/>
        <w:rPr>
          <w:rFonts w:ascii="Arial" w:hAnsi="Arial" w:cs="Arial"/>
          <w:sz w:val="22"/>
        </w:rPr>
      </w:pPr>
      <w:r w:rsidRPr="00037247">
        <w:rPr>
          <w:rFonts w:ascii="Arial" w:hAnsi="Arial" w:cs="Arial"/>
          <w:sz w:val="22"/>
        </w:rPr>
        <w:t>Special grant</w:t>
      </w:r>
    </w:p>
    <w:p w:rsidR="004C3B79" w:rsidRPr="00037247" w:rsidRDefault="004C3B79" w:rsidP="004C3B79">
      <w:pPr>
        <w:numPr>
          <w:ilvl w:val="0"/>
          <w:numId w:val="1"/>
        </w:numPr>
        <w:tabs>
          <w:tab w:val="left" w:pos="709"/>
          <w:tab w:val="left" w:pos="1418"/>
        </w:tabs>
        <w:jc w:val="both"/>
        <w:rPr>
          <w:rFonts w:ascii="Arial" w:hAnsi="Arial" w:cs="Arial"/>
          <w:sz w:val="22"/>
        </w:rPr>
      </w:pPr>
      <w:r w:rsidRPr="00037247">
        <w:rPr>
          <w:rFonts w:ascii="Arial" w:hAnsi="Arial" w:cs="Arial"/>
          <w:sz w:val="22"/>
        </w:rPr>
        <w:t>Insurance</w:t>
      </w:r>
    </w:p>
    <w:p w:rsidR="004C3B79" w:rsidRPr="00037247" w:rsidRDefault="004C3B79" w:rsidP="004C3B79">
      <w:pPr>
        <w:numPr>
          <w:ilvl w:val="0"/>
          <w:numId w:val="1"/>
        </w:numPr>
        <w:tabs>
          <w:tab w:val="left" w:pos="709"/>
          <w:tab w:val="left" w:pos="1418"/>
        </w:tabs>
        <w:jc w:val="both"/>
        <w:rPr>
          <w:rFonts w:ascii="Arial" w:hAnsi="Arial" w:cs="Arial"/>
          <w:sz w:val="22"/>
        </w:rPr>
      </w:pPr>
      <w:r w:rsidRPr="00037247">
        <w:rPr>
          <w:rFonts w:ascii="Arial" w:hAnsi="Arial" w:cs="Arial"/>
          <w:sz w:val="22"/>
        </w:rPr>
        <w:t>Bellwin Scheme</w:t>
      </w:r>
    </w:p>
    <w:p w:rsidR="004C3B79" w:rsidRPr="00037247" w:rsidRDefault="004C3B79" w:rsidP="004C3B79">
      <w:pPr>
        <w:numPr>
          <w:ilvl w:val="0"/>
          <w:numId w:val="1"/>
        </w:numPr>
        <w:tabs>
          <w:tab w:val="left" w:pos="709"/>
          <w:tab w:val="left" w:pos="1418"/>
        </w:tabs>
        <w:jc w:val="both"/>
        <w:rPr>
          <w:rFonts w:ascii="Arial" w:hAnsi="Arial" w:cs="Arial"/>
          <w:sz w:val="22"/>
        </w:rPr>
      </w:pPr>
      <w:r w:rsidRPr="00037247">
        <w:rPr>
          <w:rFonts w:ascii="Arial" w:hAnsi="Arial" w:cs="Arial"/>
          <w:sz w:val="22"/>
        </w:rPr>
        <w:t>General reserves</w:t>
      </w:r>
    </w:p>
    <w:p w:rsidR="004C3B79" w:rsidRPr="00037247" w:rsidRDefault="004C3B79" w:rsidP="004C3B79">
      <w:pPr>
        <w:tabs>
          <w:tab w:val="left" w:pos="709"/>
          <w:tab w:val="left" w:pos="1418"/>
        </w:tabs>
        <w:ind w:left="1418"/>
        <w:jc w:val="both"/>
        <w:rPr>
          <w:rFonts w:ascii="Arial" w:hAnsi="Arial" w:cs="Arial"/>
          <w:sz w:val="22"/>
          <w:highlight w:val="yellow"/>
        </w:rPr>
      </w:pPr>
    </w:p>
    <w:p w:rsidR="004C3B79" w:rsidRPr="00037247" w:rsidRDefault="004C3B79" w:rsidP="004C3B79">
      <w:pPr>
        <w:tabs>
          <w:tab w:val="left" w:pos="709"/>
          <w:tab w:val="left" w:pos="1418"/>
        </w:tabs>
        <w:ind w:left="1418" w:hanging="709"/>
        <w:jc w:val="both"/>
        <w:rPr>
          <w:rFonts w:ascii="Arial" w:hAnsi="Arial" w:cs="Arial"/>
          <w:sz w:val="22"/>
        </w:rPr>
      </w:pPr>
      <w:r w:rsidRPr="00037247">
        <w:rPr>
          <w:rFonts w:ascii="Arial" w:hAnsi="Arial" w:cs="Arial"/>
          <w:sz w:val="22"/>
        </w:rPr>
        <w:tab/>
      </w:r>
      <w:r w:rsidRPr="00037247">
        <w:rPr>
          <w:rFonts w:ascii="Arial" w:hAnsi="Arial" w:cs="Arial"/>
          <w:sz w:val="22"/>
        </w:rPr>
        <w:tab/>
        <w:t xml:space="preserve">The Bellwin scheme threshold at which the scheme can be activated announced each year alongside the settlement figures.  The scheme will pay 100% grant above this level.  However, the special grant threshold remains at 1% of net budget. </w:t>
      </w:r>
    </w:p>
    <w:p w:rsidR="004C3B79" w:rsidRPr="00037247" w:rsidRDefault="004C3B79" w:rsidP="004C3B79">
      <w:pPr>
        <w:tabs>
          <w:tab w:val="left" w:pos="709"/>
          <w:tab w:val="left" w:pos="1418"/>
        </w:tabs>
        <w:ind w:left="1418" w:hanging="709"/>
        <w:jc w:val="both"/>
        <w:rPr>
          <w:rFonts w:ascii="Arial" w:hAnsi="Arial" w:cs="Arial"/>
          <w:sz w:val="22"/>
          <w:highlight w:val="yellow"/>
        </w:rPr>
      </w:pPr>
    </w:p>
    <w:p w:rsidR="004C3B79" w:rsidRPr="00037247" w:rsidRDefault="004C3B79" w:rsidP="004C3B79">
      <w:pPr>
        <w:tabs>
          <w:tab w:val="left" w:pos="709"/>
          <w:tab w:val="left" w:pos="1418"/>
        </w:tabs>
        <w:ind w:left="1418" w:hanging="709"/>
        <w:jc w:val="both"/>
        <w:rPr>
          <w:rFonts w:ascii="Arial" w:hAnsi="Arial" w:cs="Arial"/>
          <w:sz w:val="22"/>
          <w:highlight w:val="yellow"/>
        </w:rPr>
      </w:pPr>
    </w:p>
    <w:p w:rsidR="004C3B79" w:rsidRPr="00037247" w:rsidRDefault="004C3B79" w:rsidP="004C3B79">
      <w:pPr>
        <w:tabs>
          <w:tab w:val="left" w:pos="709"/>
          <w:tab w:val="left" w:pos="1418"/>
        </w:tabs>
        <w:ind w:left="1418" w:hanging="1418"/>
        <w:jc w:val="both"/>
        <w:rPr>
          <w:rFonts w:ascii="Arial" w:hAnsi="Arial" w:cs="Arial"/>
          <w:sz w:val="22"/>
        </w:rPr>
      </w:pPr>
      <w:r w:rsidRPr="00037247">
        <w:rPr>
          <w:rFonts w:ascii="Arial" w:hAnsi="Arial" w:cs="Arial"/>
          <w:sz w:val="22"/>
        </w:rPr>
        <w:tab/>
      </w:r>
      <w:r>
        <w:rPr>
          <w:rFonts w:ascii="Arial" w:hAnsi="Arial" w:cs="Arial"/>
          <w:sz w:val="22"/>
        </w:rPr>
        <w:t>8</w:t>
      </w:r>
      <w:r w:rsidRPr="00037247">
        <w:rPr>
          <w:rFonts w:ascii="Arial" w:hAnsi="Arial" w:cs="Arial"/>
          <w:sz w:val="22"/>
        </w:rPr>
        <w:t>.1.4</w:t>
      </w:r>
      <w:r w:rsidRPr="00037247">
        <w:rPr>
          <w:rFonts w:ascii="Arial" w:hAnsi="Arial" w:cs="Arial"/>
          <w:sz w:val="22"/>
        </w:rPr>
        <w:tab/>
        <w:t>Material changes to the capital programme.  The capital programme for 2018-19 is substantial and is fully funded but reduces in future years.  If major expenditure arises due to the unexpected loss of a building then the Mayor has adequate insurance cover in place.</w:t>
      </w:r>
    </w:p>
    <w:p w:rsidR="004C3B79" w:rsidRPr="00037247" w:rsidRDefault="004C3B79" w:rsidP="004C3B79">
      <w:pPr>
        <w:tabs>
          <w:tab w:val="left" w:pos="709"/>
          <w:tab w:val="left" w:pos="1418"/>
        </w:tabs>
        <w:ind w:left="1418" w:hanging="1418"/>
        <w:jc w:val="both"/>
        <w:rPr>
          <w:rFonts w:ascii="Arial" w:hAnsi="Arial" w:cs="Arial"/>
          <w:sz w:val="22"/>
        </w:rPr>
      </w:pPr>
      <w:r w:rsidRPr="00037247">
        <w:rPr>
          <w:rFonts w:ascii="Arial" w:hAnsi="Arial" w:cs="Arial"/>
          <w:sz w:val="22"/>
        </w:rPr>
        <w:tab/>
      </w:r>
    </w:p>
    <w:p w:rsidR="004C3B79" w:rsidRPr="00037247" w:rsidRDefault="004C3B79" w:rsidP="004C3B79">
      <w:pPr>
        <w:tabs>
          <w:tab w:val="left" w:pos="1418"/>
        </w:tabs>
        <w:ind w:left="1418" w:hanging="714"/>
        <w:jc w:val="both"/>
        <w:rPr>
          <w:rFonts w:ascii="Arial" w:hAnsi="Arial" w:cs="Arial"/>
          <w:sz w:val="22"/>
        </w:rPr>
      </w:pPr>
      <w:r>
        <w:rPr>
          <w:rFonts w:ascii="Arial" w:hAnsi="Arial" w:cs="Arial"/>
          <w:sz w:val="22"/>
        </w:rPr>
        <w:t>8</w:t>
      </w:r>
      <w:r w:rsidRPr="00037247">
        <w:rPr>
          <w:rFonts w:ascii="Arial" w:hAnsi="Arial" w:cs="Arial"/>
          <w:sz w:val="22"/>
        </w:rPr>
        <w:t>.1.5   The revenue budget includes interest earned on investments.  The budget for 2018-19 has already been set in line with current economic projections.</w:t>
      </w:r>
    </w:p>
    <w:p w:rsidR="004C3B79" w:rsidRPr="00037247" w:rsidRDefault="004C3B79" w:rsidP="004C3B79">
      <w:pPr>
        <w:tabs>
          <w:tab w:val="left" w:pos="1418"/>
        </w:tabs>
        <w:ind w:left="1418" w:hanging="714"/>
        <w:jc w:val="both"/>
        <w:rPr>
          <w:rFonts w:ascii="Arial" w:hAnsi="Arial" w:cs="Arial"/>
          <w:sz w:val="22"/>
        </w:rPr>
      </w:pPr>
    </w:p>
    <w:p w:rsidR="004C3B79" w:rsidRPr="00037247" w:rsidRDefault="004C3B79" w:rsidP="004C3B79">
      <w:pPr>
        <w:tabs>
          <w:tab w:val="left" w:pos="1418"/>
        </w:tabs>
        <w:ind w:left="1418" w:hanging="714"/>
        <w:jc w:val="both"/>
        <w:rPr>
          <w:rFonts w:ascii="Arial" w:hAnsi="Arial" w:cs="Arial"/>
          <w:sz w:val="22"/>
        </w:rPr>
      </w:pPr>
      <w:r>
        <w:rPr>
          <w:rFonts w:ascii="Arial" w:hAnsi="Arial" w:cs="Arial"/>
          <w:sz w:val="22"/>
        </w:rPr>
        <w:t>8</w:t>
      </w:r>
      <w:r w:rsidRPr="00037247">
        <w:rPr>
          <w:rFonts w:ascii="Arial" w:hAnsi="Arial" w:cs="Arial"/>
          <w:sz w:val="22"/>
        </w:rPr>
        <w:t>.1.6</w:t>
      </w:r>
      <w:r w:rsidRPr="00037247">
        <w:rPr>
          <w:rFonts w:ascii="Arial" w:hAnsi="Arial" w:cs="Arial"/>
          <w:sz w:val="22"/>
        </w:rPr>
        <w:tab/>
        <w:t>Failure to fully implement planned budget cuts. Previous years’ experience shows that reductions have been achieved.</w:t>
      </w:r>
    </w:p>
    <w:p w:rsidR="004C3B79" w:rsidRPr="00037247" w:rsidRDefault="004C3B79" w:rsidP="004C3B79">
      <w:pPr>
        <w:tabs>
          <w:tab w:val="left" w:pos="709"/>
          <w:tab w:val="left" w:pos="1418"/>
        </w:tabs>
        <w:jc w:val="both"/>
        <w:rPr>
          <w:rFonts w:ascii="Arial" w:hAnsi="Arial" w:cs="Arial"/>
          <w:sz w:val="22"/>
          <w:highlight w:val="yellow"/>
        </w:rPr>
      </w:pPr>
    </w:p>
    <w:p w:rsidR="004C3B79" w:rsidRPr="00037247" w:rsidRDefault="004C3B79" w:rsidP="004C3B79">
      <w:pPr>
        <w:tabs>
          <w:tab w:val="left" w:pos="1134"/>
          <w:tab w:val="left" w:pos="1985"/>
        </w:tabs>
        <w:ind w:left="567" w:hanging="567"/>
        <w:jc w:val="both"/>
        <w:rPr>
          <w:rFonts w:ascii="Arial" w:hAnsi="Arial" w:cs="Arial"/>
          <w:sz w:val="22"/>
        </w:rPr>
      </w:pPr>
    </w:p>
    <w:p w:rsidR="004C3B79" w:rsidRPr="00037247" w:rsidRDefault="004C3B79" w:rsidP="004C3B79">
      <w:pPr>
        <w:tabs>
          <w:tab w:val="left" w:pos="1134"/>
          <w:tab w:val="left" w:pos="1985"/>
        </w:tabs>
        <w:ind w:left="567" w:hanging="567"/>
        <w:jc w:val="both"/>
        <w:rPr>
          <w:rFonts w:ascii="Arial" w:hAnsi="Arial" w:cs="Arial"/>
          <w:sz w:val="22"/>
        </w:rPr>
      </w:pPr>
    </w:p>
    <w:p w:rsidR="004C3B79" w:rsidRPr="00037247" w:rsidRDefault="004C3B79" w:rsidP="004C3B79">
      <w:pPr>
        <w:tabs>
          <w:tab w:val="left" w:pos="1134"/>
          <w:tab w:val="left" w:pos="1985"/>
        </w:tabs>
        <w:ind w:left="567" w:hanging="567"/>
        <w:jc w:val="both"/>
        <w:rPr>
          <w:rFonts w:ascii="Arial" w:hAnsi="Arial" w:cs="Arial"/>
          <w:sz w:val="22"/>
        </w:rPr>
      </w:pPr>
    </w:p>
    <w:p w:rsidR="004C3B79" w:rsidRPr="00037247" w:rsidRDefault="004C3B79" w:rsidP="004C3B79">
      <w:pPr>
        <w:tabs>
          <w:tab w:val="left" w:pos="1134"/>
          <w:tab w:val="left" w:pos="1985"/>
        </w:tabs>
        <w:ind w:left="567" w:hanging="567"/>
        <w:jc w:val="both"/>
        <w:rPr>
          <w:rFonts w:ascii="Arial" w:hAnsi="Arial" w:cs="Arial"/>
          <w:sz w:val="22"/>
        </w:rPr>
      </w:pPr>
    </w:p>
    <w:p w:rsidR="004C3B79" w:rsidRPr="00037247" w:rsidRDefault="004C3B79" w:rsidP="004C3B79">
      <w:pPr>
        <w:tabs>
          <w:tab w:val="left" w:pos="1134"/>
          <w:tab w:val="left" w:pos="1985"/>
        </w:tabs>
        <w:ind w:left="567" w:hanging="567"/>
        <w:jc w:val="both"/>
        <w:rPr>
          <w:rFonts w:ascii="Arial" w:hAnsi="Arial" w:cs="Arial"/>
          <w:sz w:val="22"/>
        </w:rPr>
      </w:pPr>
    </w:p>
    <w:p w:rsidR="004C3B79" w:rsidRDefault="004C3B79" w:rsidP="004C3B79">
      <w:pPr>
        <w:tabs>
          <w:tab w:val="left" w:pos="1134"/>
          <w:tab w:val="left" w:pos="1985"/>
        </w:tabs>
        <w:ind w:left="567" w:hanging="567"/>
        <w:jc w:val="both"/>
        <w:rPr>
          <w:rFonts w:ascii="Arial" w:hAnsi="Arial" w:cs="Arial"/>
          <w:sz w:val="22"/>
        </w:rPr>
      </w:pPr>
    </w:p>
    <w:p w:rsidR="004C3B79" w:rsidRDefault="004C3B79" w:rsidP="004C3B79">
      <w:pPr>
        <w:tabs>
          <w:tab w:val="left" w:pos="1134"/>
          <w:tab w:val="left" w:pos="1985"/>
        </w:tabs>
        <w:ind w:left="567" w:hanging="567"/>
        <w:jc w:val="both"/>
        <w:rPr>
          <w:rFonts w:ascii="Arial" w:hAnsi="Arial" w:cs="Arial"/>
          <w:sz w:val="22"/>
        </w:rPr>
      </w:pPr>
    </w:p>
    <w:p w:rsidR="004C3B79" w:rsidRDefault="004C3B79" w:rsidP="004C3B79">
      <w:pPr>
        <w:tabs>
          <w:tab w:val="left" w:pos="1134"/>
          <w:tab w:val="left" w:pos="1985"/>
        </w:tabs>
        <w:ind w:left="567" w:hanging="567"/>
        <w:jc w:val="both"/>
        <w:rPr>
          <w:rFonts w:ascii="Arial" w:hAnsi="Arial" w:cs="Arial"/>
          <w:sz w:val="22"/>
        </w:rPr>
      </w:pPr>
    </w:p>
    <w:p w:rsidR="004C3B79" w:rsidRPr="00037247" w:rsidRDefault="004C3B79" w:rsidP="004C3B79">
      <w:pPr>
        <w:tabs>
          <w:tab w:val="left" w:pos="1134"/>
          <w:tab w:val="left" w:pos="1985"/>
        </w:tabs>
        <w:ind w:left="567" w:hanging="567"/>
        <w:jc w:val="both"/>
        <w:rPr>
          <w:rFonts w:ascii="Arial" w:hAnsi="Arial" w:cs="Arial"/>
          <w:sz w:val="22"/>
        </w:rPr>
      </w:pPr>
    </w:p>
    <w:p w:rsidR="004C3B79" w:rsidRPr="00037247" w:rsidRDefault="004C3B79" w:rsidP="004C3B79">
      <w:pPr>
        <w:tabs>
          <w:tab w:val="left" w:pos="1134"/>
          <w:tab w:val="left" w:pos="1985"/>
        </w:tabs>
        <w:ind w:left="567" w:hanging="567"/>
        <w:jc w:val="both"/>
        <w:rPr>
          <w:rFonts w:ascii="Arial" w:hAnsi="Arial" w:cs="Arial"/>
          <w:sz w:val="22"/>
        </w:rPr>
      </w:pPr>
    </w:p>
    <w:p w:rsidR="004C3B79" w:rsidRPr="00037247" w:rsidRDefault="004C3B79" w:rsidP="004C3B79">
      <w:pPr>
        <w:tabs>
          <w:tab w:val="left" w:pos="1134"/>
          <w:tab w:val="left" w:pos="1985"/>
        </w:tabs>
        <w:ind w:left="567" w:hanging="567"/>
        <w:jc w:val="both"/>
        <w:rPr>
          <w:rFonts w:ascii="Arial" w:hAnsi="Arial" w:cs="Arial"/>
          <w:sz w:val="22"/>
        </w:rPr>
      </w:pPr>
    </w:p>
    <w:p w:rsidR="004C3B79" w:rsidRPr="00037247" w:rsidRDefault="004C3B79" w:rsidP="004C3B79">
      <w:pPr>
        <w:tabs>
          <w:tab w:val="left" w:pos="1134"/>
          <w:tab w:val="left" w:pos="1985"/>
        </w:tabs>
        <w:ind w:left="567" w:hanging="567"/>
        <w:jc w:val="both"/>
        <w:rPr>
          <w:rFonts w:ascii="Arial" w:hAnsi="Arial" w:cs="Arial"/>
          <w:sz w:val="22"/>
          <w:highlight w:val="yellow"/>
        </w:rPr>
      </w:pPr>
    </w:p>
    <w:p w:rsidR="004C3B79" w:rsidRPr="000F3B54" w:rsidRDefault="004C3B79" w:rsidP="004C3B79">
      <w:pPr>
        <w:tabs>
          <w:tab w:val="left" w:pos="709"/>
          <w:tab w:val="left" w:pos="1418"/>
        </w:tabs>
        <w:ind w:left="709" w:hanging="709"/>
        <w:jc w:val="both"/>
        <w:rPr>
          <w:rFonts w:ascii="Century Gothic" w:hAnsi="Century Gothic" w:cs="Arial"/>
          <w:sz w:val="22"/>
        </w:rPr>
      </w:pPr>
    </w:p>
    <w:p w:rsidR="004C3B79" w:rsidRPr="00B048F8" w:rsidRDefault="004C3B79" w:rsidP="004C3B79">
      <w:pPr>
        <w:tabs>
          <w:tab w:val="left" w:pos="567"/>
          <w:tab w:val="left" w:pos="1418"/>
        </w:tabs>
        <w:jc w:val="both"/>
        <w:rPr>
          <w:rFonts w:ascii="Arial" w:hAnsi="Arial" w:cs="Arial"/>
          <w:b/>
          <w:sz w:val="22"/>
          <w:szCs w:val="22"/>
        </w:rPr>
      </w:pPr>
      <w:r w:rsidRPr="00B048F8">
        <w:rPr>
          <w:rFonts w:ascii="Arial" w:hAnsi="Arial" w:cs="Arial"/>
          <w:b/>
          <w:sz w:val="22"/>
          <w:szCs w:val="22"/>
        </w:rPr>
        <w:t>9.</w:t>
      </w:r>
      <w:r w:rsidRPr="00B048F8">
        <w:rPr>
          <w:rFonts w:ascii="Arial" w:hAnsi="Arial" w:cs="Arial"/>
          <w:b/>
          <w:sz w:val="22"/>
          <w:szCs w:val="22"/>
        </w:rPr>
        <w:tab/>
        <w:t>RESERVES</w:t>
      </w:r>
    </w:p>
    <w:p w:rsidR="004C3B79" w:rsidRDefault="004C3B79" w:rsidP="004C3B79">
      <w:pPr>
        <w:tabs>
          <w:tab w:val="left" w:pos="567"/>
          <w:tab w:val="left" w:pos="1418"/>
        </w:tabs>
        <w:jc w:val="both"/>
        <w:rPr>
          <w:rFonts w:ascii="Arial" w:hAnsi="Arial" w:cs="Arial"/>
          <w:b/>
          <w:sz w:val="22"/>
          <w:szCs w:val="22"/>
          <w:u w:val="single"/>
        </w:rPr>
      </w:pPr>
    </w:p>
    <w:p w:rsidR="004C3B79" w:rsidRPr="00AB449F" w:rsidRDefault="004C3B79" w:rsidP="004C3B79">
      <w:pPr>
        <w:pStyle w:val="ListParagraph"/>
        <w:numPr>
          <w:ilvl w:val="1"/>
          <w:numId w:val="40"/>
        </w:numPr>
        <w:tabs>
          <w:tab w:val="left" w:pos="567"/>
          <w:tab w:val="left" w:pos="1418"/>
        </w:tabs>
        <w:ind w:left="709" w:hanging="709"/>
        <w:jc w:val="both"/>
        <w:rPr>
          <w:rFonts w:cs="Arial"/>
          <w:b/>
          <w:sz w:val="22"/>
          <w:szCs w:val="22"/>
        </w:rPr>
      </w:pPr>
      <w:r w:rsidRPr="00AB449F">
        <w:rPr>
          <w:rFonts w:cs="Arial"/>
          <w:b/>
          <w:sz w:val="22"/>
          <w:szCs w:val="22"/>
        </w:rPr>
        <w:t>GENERAL FUND</w:t>
      </w:r>
    </w:p>
    <w:p w:rsidR="004C3B79" w:rsidRPr="00AB449F" w:rsidRDefault="004C3B79" w:rsidP="004C3B79">
      <w:pPr>
        <w:tabs>
          <w:tab w:val="left" w:pos="709"/>
          <w:tab w:val="left" w:pos="1418"/>
        </w:tabs>
        <w:jc w:val="both"/>
        <w:rPr>
          <w:rFonts w:ascii="Arial" w:hAnsi="Arial" w:cs="Arial"/>
          <w:sz w:val="22"/>
          <w:szCs w:val="22"/>
        </w:rPr>
      </w:pPr>
    </w:p>
    <w:p w:rsidR="004C3B79" w:rsidRPr="00AB449F" w:rsidRDefault="004C3B79" w:rsidP="004C3B79">
      <w:pPr>
        <w:tabs>
          <w:tab w:val="left" w:pos="567"/>
          <w:tab w:val="left" w:pos="1418"/>
        </w:tabs>
        <w:ind w:left="567" w:hanging="567"/>
        <w:jc w:val="both"/>
        <w:rPr>
          <w:rFonts w:ascii="Arial" w:hAnsi="Arial" w:cs="Arial"/>
          <w:color w:val="FF0000"/>
          <w:sz w:val="22"/>
          <w:szCs w:val="22"/>
        </w:rPr>
      </w:pPr>
      <w:r>
        <w:rPr>
          <w:rFonts w:ascii="Arial" w:hAnsi="Arial" w:cs="Arial"/>
          <w:sz w:val="22"/>
          <w:szCs w:val="22"/>
        </w:rPr>
        <w:t>9.1.1</w:t>
      </w:r>
      <w:r>
        <w:rPr>
          <w:rFonts w:ascii="Arial" w:hAnsi="Arial" w:cs="Arial"/>
          <w:sz w:val="22"/>
          <w:szCs w:val="22"/>
        </w:rPr>
        <w:tab/>
      </w:r>
      <w:r w:rsidRPr="00C27030">
        <w:rPr>
          <w:rFonts w:ascii="Arial" w:hAnsi="Arial" w:cs="Arial"/>
          <w:sz w:val="22"/>
          <w:szCs w:val="22"/>
        </w:rPr>
        <w:t>A General Fund level has to be set annually based on an assessment of risk.</w:t>
      </w:r>
    </w:p>
    <w:p w:rsidR="004C3B79" w:rsidRPr="00C27030" w:rsidRDefault="004C3B79" w:rsidP="004C3B79">
      <w:pPr>
        <w:tabs>
          <w:tab w:val="left" w:pos="709"/>
          <w:tab w:val="left" w:pos="1418"/>
        </w:tabs>
        <w:jc w:val="both"/>
        <w:rPr>
          <w:rFonts w:ascii="Arial" w:hAnsi="Arial" w:cs="Arial"/>
          <w:sz w:val="22"/>
          <w:szCs w:val="22"/>
        </w:rPr>
      </w:pPr>
    </w:p>
    <w:p w:rsidR="004C3B79" w:rsidRPr="00C27030" w:rsidRDefault="004C3B79" w:rsidP="004C3B79">
      <w:pPr>
        <w:tabs>
          <w:tab w:val="left" w:pos="567"/>
          <w:tab w:val="left" w:pos="1418"/>
        </w:tabs>
        <w:ind w:left="567" w:hanging="567"/>
        <w:jc w:val="both"/>
        <w:rPr>
          <w:rFonts w:ascii="Arial" w:hAnsi="Arial" w:cs="Arial"/>
          <w:sz w:val="22"/>
          <w:szCs w:val="22"/>
        </w:rPr>
      </w:pPr>
      <w:r>
        <w:rPr>
          <w:rFonts w:ascii="Arial" w:hAnsi="Arial" w:cs="Arial"/>
          <w:sz w:val="22"/>
          <w:szCs w:val="22"/>
        </w:rPr>
        <w:t>9.1.2</w:t>
      </w:r>
      <w:r>
        <w:rPr>
          <w:rFonts w:ascii="Arial" w:hAnsi="Arial" w:cs="Arial"/>
          <w:sz w:val="22"/>
          <w:szCs w:val="22"/>
        </w:rPr>
        <w:tab/>
      </w:r>
      <w:r w:rsidRPr="00C27030">
        <w:rPr>
          <w:rFonts w:ascii="Arial" w:hAnsi="Arial" w:cs="Arial"/>
          <w:sz w:val="22"/>
          <w:szCs w:val="22"/>
        </w:rPr>
        <w:t>There is no prescriptive guidance on the minimum (or maximum) level of general reserves required, either as an absolute amount or a percentage of the budget.</w:t>
      </w:r>
    </w:p>
    <w:p w:rsidR="004C3B79" w:rsidRPr="00C27030" w:rsidRDefault="004C3B79" w:rsidP="004C3B79">
      <w:pPr>
        <w:tabs>
          <w:tab w:val="left" w:pos="709"/>
          <w:tab w:val="left" w:pos="1418"/>
        </w:tabs>
        <w:ind w:left="709" w:hanging="709"/>
        <w:jc w:val="both"/>
        <w:rPr>
          <w:rFonts w:ascii="Arial" w:hAnsi="Arial" w:cs="Arial"/>
          <w:sz w:val="22"/>
          <w:szCs w:val="22"/>
        </w:rPr>
      </w:pPr>
    </w:p>
    <w:p w:rsidR="004C3B79" w:rsidRPr="00C27030" w:rsidRDefault="004C3B79" w:rsidP="004C3B79">
      <w:pPr>
        <w:tabs>
          <w:tab w:val="left" w:pos="567"/>
          <w:tab w:val="left" w:pos="1418"/>
        </w:tabs>
        <w:ind w:left="567" w:hanging="567"/>
        <w:jc w:val="both"/>
        <w:rPr>
          <w:rFonts w:ascii="Arial" w:hAnsi="Arial" w:cs="Arial"/>
          <w:sz w:val="22"/>
          <w:szCs w:val="22"/>
        </w:rPr>
      </w:pPr>
      <w:r>
        <w:rPr>
          <w:rFonts w:ascii="Arial" w:hAnsi="Arial" w:cs="Arial"/>
          <w:sz w:val="22"/>
          <w:szCs w:val="22"/>
        </w:rPr>
        <w:t>9.</w:t>
      </w:r>
      <w:r w:rsidRPr="00C27030">
        <w:rPr>
          <w:rFonts w:ascii="Arial" w:hAnsi="Arial" w:cs="Arial"/>
          <w:sz w:val="22"/>
          <w:szCs w:val="22"/>
        </w:rPr>
        <w:t>1.3</w:t>
      </w:r>
      <w:r w:rsidRPr="00C27030">
        <w:rPr>
          <w:rFonts w:ascii="Arial" w:hAnsi="Arial" w:cs="Arial"/>
          <w:sz w:val="22"/>
          <w:szCs w:val="22"/>
        </w:rPr>
        <w:tab/>
      </w:r>
      <w:r>
        <w:rPr>
          <w:rFonts w:ascii="Arial" w:hAnsi="Arial" w:cs="Arial"/>
          <w:sz w:val="22"/>
          <w:szCs w:val="22"/>
        </w:rPr>
        <w:t>W</w:t>
      </w:r>
      <w:r w:rsidRPr="00C27030">
        <w:rPr>
          <w:rFonts w:ascii="Arial" w:hAnsi="Arial" w:cs="Arial"/>
          <w:sz w:val="22"/>
          <w:szCs w:val="22"/>
        </w:rPr>
        <w:t xml:space="preserve">hen recommending a minimum level of </w:t>
      </w:r>
      <w:r>
        <w:rPr>
          <w:rFonts w:ascii="Arial" w:hAnsi="Arial" w:cs="Arial"/>
          <w:sz w:val="22"/>
          <w:szCs w:val="22"/>
        </w:rPr>
        <w:t>the General Fund level the Treasurer ta</w:t>
      </w:r>
      <w:r w:rsidRPr="00C27030">
        <w:rPr>
          <w:rFonts w:ascii="Arial" w:hAnsi="Arial" w:cs="Arial"/>
          <w:sz w:val="22"/>
          <w:szCs w:val="22"/>
        </w:rPr>
        <w:t>kes account of the strategic, operational and financial risk</w:t>
      </w:r>
      <w:r>
        <w:rPr>
          <w:rFonts w:ascii="Arial" w:hAnsi="Arial" w:cs="Arial"/>
          <w:sz w:val="22"/>
          <w:szCs w:val="22"/>
        </w:rPr>
        <w:t>s</w:t>
      </w:r>
      <w:r w:rsidRPr="00C27030">
        <w:rPr>
          <w:rFonts w:ascii="Arial" w:hAnsi="Arial" w:cs="Arial"/>
          <w:sz w:val="22"/>
          <w:szCs w:val="22"/>
        </w:rPr>
        <w:t>, and that level can be expressed in cash terms or as a percentage of the budget.</w:t>
      </w:r>
    </w:p>
    <w:p w:rsidR="004C3B79" w:rsidRPr="00C27030" w:rsidRDefault="004C3B79" w:rsidP="004C3B79">
      <w:pPr>
        <w:tabs>
          <w:tab w:val="left" w:pos="709"/>
          <w:tab w:val="left" w:pos="1418"/>
        </w:tabs>
        <w:ind w:left="709" w:hanging="709"/>
        <w:jc w:val="both"/>
        <w:rPr>
          <w:rFonts w:ascii="Arial" w:hAnsi="Arial" w:cs="Arial"/>
          <w:sz w:val="22"/>
          <w:szCs w:val="22"/>
        </w:rPr>
      </w:pPr>
    </w:p>
    <w:p w:rsidR="004C3B79" w:rsidRPr="00C27030" w:rsidRDefault="004C3B79" w:rsidP="004C3B79">
      <w:pPr>
        <w:tabs>
          <w:tab w:val="left" w:pos="567"/>
          <w:tab w:val="left" w:pos="1418"/>
        </w:tabs>
        <w:ind w:left="567" w:hanging="567"/>
        <w:jc w:val="both"/>
        <w:rPr>
          <w:rFonts w:ascii="Arial" w:hAnsi="Arial" w:cs="Arial"/>
          <w:sz w:val="22"/>
          <w:szCs w:val="22"/>
        </w:rPr>
      </w:pPr>
      <w:r>
        <w:rPr>
          <w:rFonts w:ascii="Arial" w:hAnsi="Arial" w:cs="Arial"/>
          <w:sz w:val="22"/>
          <w:szCs w:val="22"/>
        </w:rPr>
        <w:t>9.</w:t>
      </w:r>
      <w:r w:rsidRPr="00C27030">
        <w:rPr>
          <w:rFonts w:ascii="Arial" w:hAnsi="Arial" w:cs="Arial"/>
          <w:sz w:val="22"/>
          <w:szCs w:val="22"/>
        </w:rPr>
        <w:t>1.4</w:t>
      </w:r>
      <w:r w:rsidRPr="00C27030">
        <w:rPr>
          <w:rFonts w:ascii="Arial" w:hAnsi="Arial" w:cs="Arial"/>
          <w:sz w:val="22"/>
          <w:szCs w:val="22"/>
        </w:rPr>
        <w:tab/>
        <w:t>The General Fund is held to:</w:t>
      </w:r>
    </w:p>
    <w:p w:rsidR="004C3B79" w:rsidRPr="00C27030" w:rsidRDefault="004C3B79" w:rsidP="004C3B79">
      <w:pPr>
        <w:tabs>
          <w:tab w:val="left" w:pos="709"/>
          <w:tab w:val="left" w:pos="1418"/>
        </w:tabs>
        <w:ind w:left="709" w:hanging="709"/>
        <w:jc w:val="both"/>
        <w:rPr>
          <w:rFonts w:ascii="Arial" w:hAnsi="Arial" w:cs="Arial"/>
          <w:sz w:val="22"/>
          <w:szCs w:val="22"/>
        </w:rPr>
      </w:pPr>
    </w:p>
    <w:p w:rsidR="004C3B79" w:rsidRPr="00C27030" w:rsidRDefault="004C3B79" w:rsidP="004C3B79">
      <w:pPr>
        <w:numPr>
          <w:ilvl w:val="0"/>
          <w:numId w:val="10"/>
        </w:numPr>
        <w:tabs>
          <w:tab w:val="left" w:pos="709"/>
        </w:tabs>
        <w:ind w:left="709" w:hanging="283"/>
        <w:jc w:val="both"/>
        <w:rPr>
          <w:rFonts w:ascii="Arial" w:hAnsi="Arial" w:cs="Arial"/>
          <w:sz w:val="22"/>
          <w:szCs w:val="22"/>
        </w:rPr>
      </w:pPr>
      <w:r w:rsidRPr="00C27030">
        <w:rPr>
          <w:rFonts w:ascii="Arial" w:hAnsi="Arial" w:cs="Arial"/>
          <w:sz w:val="22"/>
          <w:szCs w:val="22"/>
        </w:rPr>
        <w:t>Provide a working balance to help cushion the impact of uneven cash flows and avoid unnecessary temporary borrowing</w:t>
      </w:r>
    </w:p>
    <w:p w:rsidR="004C3B79" w:rsidRPr="00C27030" w:rsidRDefault="004C3B79" w:rsidP="004C3B79">
      <w:pPr>
        <w:numPr>
          <w:ilvl w:val="0"/>
          <w:numId w:val="10"/>
        </w:numPr>
        <w:tabs>
          <w:tab w:val="left" w:pos="709"/>
        </w:tabs>
        <w:ind w:left="0" w:firstLine="426"/>
        <w:jc w:val="both"/>
        <w:rPr>
          <w:rFonts w:ascii="Arial" w:hAnsi="Arial" w:cs="Arial"/>
          <w:sz w:val="22"/>
          <w:szCs w:val="22"/>
        </w:rPr>
      </w:pPr>
      <w:r w:rsidRPr="00C27030">
        <w:rPr>
          <w:rFonts w:ascii="Arial" w:hAnsi="Arial" w:cs="Arial"/>
          <w:sz w:val="22"/>
          <w:szCs w:val="22"/>
        </w:rPr>
        <w:t>act as a contingency to cushion the impact of unexpected events or emergencies</w:t>
      </w:r>
    </w:p>
    <w:p w:rsidR="004C3B79" w:rsidRPr="00C27030" w:rsidRDefault="004C3B79" w:rsidP="004C3B79">
      <w:pPr>
        <w:tabs>
          <w:tab w:val="left" w:pos="709"/>
          <w:tab w:val="left" w:pos="1418"/>
        </w:tabs>
        <w:jc w:val="both"/>
        <w:rPr>
          <w:rFonts w:ascii="Arial" w:hAnsi="Arial" w:cs="Arial"/>
          <w:sz w:val="22"/>
          <w:szCs w:val="22"/>
        </w:rPr>
      </w:pPr>
    </w:p>
    <w:p w:rsidR="004C3B79" w:rsidRPr="00C27030" w:rsidRDefault="004C3B79" w:rsidP="004C3B79">
      <w:pPr>
        <w:tabs>
          <w:tab w:val="left" w:pos="709"/>
          <w:tab w:val="left" w:pos="1418"/>
        </w:tabs>
        <w:jc w:val="both"/>
        <w:rPr>
          <w:rFonts w:ascii="Arial" w:hAnsi="Arial" w:cs="Arial"/>
          <w:sz w:val="22"/>
          <w:szCs w:val="22"/>
        </w:rPr>
      </w:pPr>
      <w:r>
        <w:rPr>
          <w:rFonts w:ascii="Arial" w:hAnsi="Arial" w:cs="Arial"/>
          <w:sz w:val="22"/>
          <w:szCs w:val="22"/>
        </w:rPr>
        <w:t>9.</w:t>
      </w:r>
      <w:r w:rsidRPr="00C27030">
        <w:rPr>
          <w:rFonts w:ascii="Arial" w:hAnsi="Arial" w:cs="Arial"/>
          <w:sz w:val="22"/>
          <w:szCs w:val="22"/>
        </w:rPr>
        <w:t>1.5</w:t>
      </w:r>
      <w:r w:rsidRPr="00C27030">
        <w:rPr>
          <w:rFonts w:ascii="Arial" w:hAnsi="Arial" w:cs="Arial"/>
          <w:sz w:val="22"/>
          <w:szCs w:val="22"/>
        </w:rPr>
        <w:tab/>
        <w:t>Factors to be considered in setting the level of General Fund are:</w:t>
      </w:r>
      <w:r w:rsidRPr="00C27030">
        <w:rPr>
          <w:rFonts w:ascii="Arial" w:hAnsi="Arial" w:cs="Arial"/>
          <w:sz w:val="22"/>
          <w:szCs w:val="22"/>
        </w:rPr>
        <w:tab/>
      </w:r>
    </w:p>
    <w:p w:rsidR="004C3B79" w:rsidRPr="00C27030" w:rsidRDefault="004C3B79" w:rsidP="004C3B79">
      <w:pPr>
        <w:tabs>
          <w:tab w:val="left" w:pos="709"/>
          <w:tab w:val="left" w:pos="1418"/>
        </w:tabs>
        <w:jc w:val="both"/>
        <w:rPr>
          <w:rFonts w:ascii="Arial" w:hAnsi="Arial" w:cs="Arial"/>
          <w:sz w:val="22"/>
          <w:szCs w:val="22"/>
        </w:rPr>
      </w:pPr>
    </w:p>
    <w:p w:rsidR="004C3B79" w:rsidRPr="00C27030" w:rsidRDefault="004C3B79" w:rsidP="004C3B79">
      <w:pPr>
        <w:numPr>
          <w:ilvl w:val="0"/>
          <w:numId w:val="12"/>
        </w:numPr>
        <w:tabs>
          <w:tab w:val="left" w:pos="709"/>
        </w:tabs>
        <w:ind w:left="425" w:firstLine="0"/>
        <w:jc w:val="both"/>
        <w:rPr>
          <w:rFonts w:ascii="Arial" w:hAnsi="Arial" w:cs="Arial"/>
          <w:sz w:val="22"/>
          <w:szCs w:val="22"/>
        </w:rPr>
      </w:pPr>
      <w:r w:rsidRPr="00C27030">
        <w:rPr>
          <w:rFonts w:ascii="Arial" w:hAnsi="Arial" w:cs="Arial"/>
          <w:sz w:val="22"/>
          <w:szCs w:val="22"/>
        </w:rPr>
        <w:t>cash flow requirements</w:t>
      </w:r>
    </w:p>
    <w:p w:rsidR="004C3B79" w:rsidRPr="00C27030" w:rsidRDefault="004C3B79" w:rsidP="004C3B79">
      <w:pPr>
        <w:numPr>
          <w:ilvl w:val="0"/>
          <w:numId w:val="12"/>
        </w:numPr>
        <w:tabs>
          <w:tab w:val="left" w:pos="709"/>
        </w:tabs>
        <w:ind w:left="425" w:firstLine="0"/>
        <w:jc w:val="both"/>
        <w:rPr>
          <w:rFonts w:ascii="Arial" w:hAnsi="Arial" w:cs="Arial"/>
          <w:sz w:val="22"/>
          <w:szCs w:val="22"/>
        </w:rPr>
      </w:pPr>
      <w:r w:rsidRPr="00C27030">
        <w:rPr>
          <w:rFonts w:ascii="Arial" w:hAnsi="Arial" w:cs="Arial"/>
          <w:sz w:val="22"/>
          <w:szCs w:val="22"/>
        </w:rPr>
        <w:t>treatment of inflation and interest rates</w:t>
      </w:r>
    </w:p>
    <w:p w:rsidR="004C3B79" w:rsidRPr="00C27030" w:rsidRDefault="004C3B79" w:rsidP="004C3B79">
      <w:pPr>
        <w:numPr>
          <w:ilvl w:val="0"/>
          <w:numId w:val="12"/>
        </w:numPr>
        <w:tabs>
          <w:tab w:val="left" w:pos="709"/>
        </w:tabs>
        <w:ind w:left="425" w:firstLine="0"/>
        <w:jc w:val="both"/>
        <w:rPr>
          <w:rFonts w:ascii="Arial" w:hAnsi="Arial" w:cs="Arial"/>
          <w:sz w:val="22"/>
          <w:szCs w:val="22"/>
        </w:rPr>
      </w:pPr>
      <w:r w:rsidRPr="00C27030">
        <w:rPr>
          <w:rFonts w:ascii="Arial" w:hAnsi="Arial" w:cs="Arial"/>
          <w:sz w:val="22"/>
          <w:szCs w:val="22"/>
        </w:rPr>
        <w:t>estimates of the level and timing of capital receipts</w:t>
      </w:r>
    </w:p>
    <w:p w:rsidR="004C3B79" w:rsidRPr="00C27030" w:rsidRDefault="004C3B79" w:rsidP="004C3B79">
      <w:pPr>
        <w:numPr>
          <w:ilvl w:val="0"/>
          <w:numId w:val="12"/>
        </w:numPr>
        <w:tabs>
          <w:tab w:val="left" w:pos="709"/>
        </w:tabs>
        <w:ind w:left="425" w:firstLine="0"/>
        <w:jc w:val="both"/>
        <w:rPr>
          <w:rFonts w:ascii="Arial" w:hAnsi="Arial" w:cs="Arial"/>
          <w:sz w:val="22"/>
          <w:szCs w:val="22"/>
        </w:rPr>
      </w:pPr>
      <w:r w:rsidRPr="00C27030">
        <w:rPr>
          <w:rFonts w:ascii="Arial" w:hAnsi="Arial" w:cs="Arial"/>
          <w:sz w:val="22"/>
          <w:szCs w:val="22"/>
        </w:rPr>
        <w:t>the treatment of demand-led pressures</w:t>
      </w:r>
    </w:p>
    <w:p w:rsidR="004C3B79" w:rsidRPr="00C27030" w:rsidRDefault="004C3B79" w:rsidP="004C3B79">
      <w:pPr>
        <w:numPr>
          <w:ilvl w:val="0"/>
          <w:numId w:val="12"/>
        </w:numPr>
        <w:tabs>
          <w:tab w:val="left" w:pos="709"/>
        </w:tabs>
        <w:ind w:left="425" w:firstLine="0"/>
        <w:jc w:val="both"/>
        <w:rPr>
          <w:rFonts w:ascii="Arial" w:hAnsi="Arial" w:cs="Arial"/>
          <w:sz w:val="22"/>
          <w:szCs w:val="22"/>
        </w:rPr>
      </w:pPr>
      <w:r w:rsidRPr="00C27030">
        <w:rPr>
          <w:rFonts w:ascii="Arial" w:hAnsi="Arial" w:cs="Arial"/>
          <w:sz w:val="22"/>
          <w:szCs w:val="22"/>
        </w:rPr>
        <w:t>the treatment of planned savings/efficiencies</w:t>
      </w:r>
    </w:p>
    <w:p w:rsidR="004C3B79" w:rsidRPr="00C27030" w:rsidRDefault="004C3B79" w:rsidP="004C3B79">
      <w:pPr>
        <w:numPr>
          <w:ilvl w:val="0"/>
          <w:numId w:val="12"/>
        </w:numPr>
        <w:tabs>
          <w:tab w:val="left" w:pos="709"/>
        </w:tabs>
        <w:ind w:left="709" w:hanging="284"/>
        <w:jc w:val="both"/>
        <w:rPr>
          <w:rFonts w:ascii="Arial" w:hAnsi="Arial" w:cs="Arial"/>
          <w:sz w:val="22"/>
          <w:szCs w:val="22"/>
        </w:rPr>
      </w:pPr>
      <w:r w:rsidRPr="00C27030">
        <w:rPr>
          <w:rFonts w:ascii="Arial" w:hAnsi="Arial" w:cs="Arial"/>
          <w:sz w:val="22"/>
          <w:szCs w:val="22"/>
        </w:rPr>
        <w:t>financial risks inherent in any significant new funding partnership, major outsourcing arrangement or major capital development</w:t>
      </w:r>
    </w:p>
    <w:p w:rsidR="004C3B79" w:rsidRPr="00C27030" w:rsidRDefault="004C3B79" w:rsidP="004C3B79">
      <w:pPr>
        <w:numPr>
          <w:ilvl w:val="0"/>
          <w:numId w:val="12"/>
        </w:numPr>
        <w:tabs>
          <w:tab w:val="left" w:pos="709"/>
        </w:tabs>
        <w:ind w:left="425" w:firstLine="0"/>
        <w:jc w:val="both"/>
        <w:rPr>
          <w:rFonts w:ascii="Arial" w:hAnsi="Arial" w:cs="Arial"/>
          <w:sz w:val="22"/>
          <w:szCs w:val="22"/>
        </w:rPr>
      </w:pPr>
      <w:r w:rsidRPr="00C27030">
        <w:rPr>
          <w:rFonts w:ascii="Arial" w:hAnsi="Arial" w:cs="Arial"/>
          <w:sz w:val="22"/>
          <w:szCs w:val="22"/>
        </w:rPr>
        <w:t>the adequacy of other funds, e.g. insurance provision</w:t>
      </w:r>
    </w:p>
    <w:p w:rsidR="004C3B79" w:rsidRPr="00C27030" w:rsidRDefault="004C3B79" w:rsidP="004C3B79">
      <w:pPr>
        <w:tabs>
          <w:tab w:val="left" w:pos="709"/>
          <w:tab w:val="left" w:pos="1418"/>
        </w:tabs>
        <w:jc w:val="both"/>
        <w:rPr>
          <w:rFonts w:ascii="Arial" w:hAnsi="Arial" w:cs="Arial"/>
          <w:sz w:val="22"/>
          <w:szCs w:val="22"/>
        </w:rPr>
      </w:pPr>
    </w:p>
    <w:p w:rsidR="004C3B79" w:rsidRPr="00C27030" w:rsidRDefault="004C3B79" w:rsidP="004C3B79">
      <w:pPr>
        <w:tabs>
          <w:tab w:val="left" w:pos="709"/>
          <w:tab w:val="left" w:pos="1418"/>
        </w:tabs>
        <w:ind w:left="567" w:hanging="567"/>
        <w:jc w:val="both"/>
        <w:rPr>
          <w:rFonts w:ascii="Arial" w:hAnsi="Arial" w:cs="Arial"/>
          <w:sz w:val="22"/>
          <w:szCs w:val="22"/>
        </w:rPr>
      </w:pPr>
      <w:r>
        <w:rPr>
          <w:rFonts w:ascii="Arial" w:hAnsi="Arial" w:cs="Arial"/>
          <w:sz w:val="22"/>
          <w:szCs w:val="22"/>
        </w:rPr>
        <w:t>9.</w:t>
      </w:r>
      <w:r w:rsidRPr="00C27030">
        <w:rPr>
          <w:rFonts w:ascii="Arial" w:hAnsi="Arial" w:cs="Arial"/>
          <w:sz w:val="22"/>
          <w:szCs w:val="22"/>
        </w:rPr>
        <w:t>1.6</w:t>
      </w:r>
      <w:r w:rsidRPr="00C27030">
        <w:rPr>
          <w:rFonts w:ascii="Arial" w:hAnsi="Arial" w:cs="Arial"/>
          <w:sz w:val="22"/>
          <w:szCs w:val="22"/>
        </w:rPr>
        <w:tab/>
        <w:t xml:space="preserve">A risk assessment has been undertaken to establish what the minimum General Fund level should be.  The assessment is not an exact science and views may differ on what constitutes key financial risks and their evaluation.  Taking into account the factors listed in </w:t>
      </w:r>
      <w:r w:rsidRPr="001108DC">
        <w:rPr>
          <w:rFonts w:ascii="Arial" w:hAnsi="Arial" w:cs="Arial"/>
          <w:sz w:val="22"/>
          <w:szCs w:val="22"/>
        </w:rPr>
        <w:t>paragraph 9.1.5, the assessment indicates minimum and maximum levels of £11.504m and £14.516m respectively during 2018-2019.  The calculation is set out overleaf</w:t>
      </w:r>
      <w:r>
        <w:rPr>
          <w:rFonts w:ascii="Arial" w:hAnsi="Arial" w:cs="Arial"/>
          <w:sz w:val="22"/>
          <w:szCs w:val="22"/>
        </w:rPr>
        <w:t xml:space="preserve"> at section 9.1.10</w:t>
      </w:r>
      <w:r w:rsidRPr="001108DC">
        <w:rPr>
          <w:rFonts w:ascii="Arial" w:hAnsi="Arial" w:cs="Arial"/>
          <w:sz w:val="22"/>
          <w:szCs w:val="22"/>
        </w:rPr>
        <w:t>.</w:t>
      </w:r>
    </w:p>
    <w:p w:rsidR="004C3B79" w:rsidRPr="00C27030" w:rsidRDefault="004C3B79" w:rsidP="004C3B79">
      <w:pPr>
        <w:tabs>
          <w:tab w:val="left" w:pos="709"/>
          <w:tab w:val="left" w:pos="1418"/>
        </w:tabs>
        <w:ind w:left="709" w:hanging="709"/>
        <w:jc w:val="both"/>
        <w:rPr>
          <w:rFonts w:ascii="Arial" w:hAnsi="Arial" w:cs="Arial"/>
          <w:sz w:val="22"/>
          <w:szCs w:val="22"/>
        </w:rPr>
      </w:pPr>
    </w:p>
    <w:p w:rsidR="004C3B79" w:rsidRPr="00C27030" w:rsidRDefault="004C3B79" w:rsidP="004C3B79">
      <w:pPr>
        <w:tabs>
          <w:tab w:val="left" w:pos="567"/>
          <w:tab w:val="left" w:pos="1418"/>
        </w:tabs>
        <w:ind w:left="709" w:hanging="709"/>
        <w:jc w:val="both"/>
        <w:rPr>
          <w:rFonts w:ascii="Arial" w:hAnsi="Arial" w:cs="Arial"/>
          <w:sz w:val="22"/>
          <w:szCs w:val="22"/>
        </w:rPr>
      </w:pPr>
      <w:r>
        <w:rPr>
          <w:rFonts w:ascii="Arial" w:hAnsi="Arial" w:cs="Arial"/>
          <w:sz w:val="22"/>
          <w:szCs w:val="22"/>
        </w:rPr>
        <w:t>9.</w:t>
      </w:r>
      <w:r w:rsidRPr="00C27030">
        <w:rPr>
          <w:rFonts w:ascii="Arial" w:hAnsi="Arial" w:cs="Arial"/>
          <w:sz w:val="22"/>
          <w:szCs w:val="22"/>
        </w:rPr>
        <w:t>1.7</w:t>
      </w:r>
      <w:r w:rsidRPr="00C27030">
        <w:rPr>
          <w:rFonts w:ascii="Arial" w:hAnsi="Arial" w:cs="Arial"/>
          <w:sz w:val="22"/>
          <w:szCs w:val="22"/>
        </w:rPr>
        <w:tab/>
      </w:r>
      <w:r w:rsidRPr="001108DC">
        <w:rPr>
          <w:rFonts w:ascii="Arial" w:hAnsi="Arial" w:cs="Arial"/>
          <w:sz w:val="22"/>
          <w:szCs w:val="22"/>
        </w:rPr>
        <w:t>The General Fund Balance at 31st March 2018 is forecast to be £13.221m.</w:t>
      </w:r>
    </w:p>
    <w:p w:rsidR="004C3B79" w:rsidRPr="00C27030" w:rsidRDefault="004C3B79" w:rsidP="004C3B79">
      <w:pPr>
        <w:tabs>
          <w:tab w:val="left" w:pos="709"/>
          <w:tab w:val="left" w:pos="1418"/>
        </w:tabs>
        <w:ind w:left="709" w:hanging="709"/>
        <w:jc w:val="both"/>
        <w:rPr>
          <w:rFonts w:ascii="Arial" w:hAnsi="Arial" w:cs="Arial"/>
          <w:sz w:val="22"/>
          <w:szCs w:val="22"/>
          <w:highlight w:val="yellow"/>
        </w:rPr>
      </w:pPr>
    </w:p>
    <w:p w:rsidR="004C3B79" w:rsidRPr="00C27030" w:rsidRDefault="004C3B79" w:rsidP="004C3B79">
      <w:pPr>
        <w:tabs>
          <w:tab w:val="left" w:pos="567"/>
          <w:tab w:val="left" w:pos="1418"/>
          <w:tab w:val="decimal" w:pos="8505"/>
          <w:tab w:val="right" w:pos="8931"/>
        </w:tabs>
        <w:ind w:left="567" w:hanging="567"/>
        <w:jc w:val="both"/>
        <w:rPr>
          <w:rFonts w:ascii="Arial" w:hAnsi="Arial" w:cs="Arial"/>
          <w:sz w:val="22"/>
          <w:szCs w:val="22"/>
        </w:rPr>
      </w:pPr>
      <w:r>
        <w:rPr>
          <w:rFonts w:ascii="Arial" w:hAnsi="Arial" w:cs="Arial"/>
          <w:sz w:val="22"/>
          <w:szCs w:val="22"/>
        </w:rPr>
        <w:t>9.</w:t>
      </w:r>
      <w:r w:rsidRPr="00C27030">
        <w:rPr>
          <w:rFonts w:ascii="Arial" w:hAnsi="Arial" w:cs="Arial"/>
          <w:sz w:val="22"/>
          <w:szCs w:val="22"/>
        </w:rPr>
        <w:t>1.8</w:t>
      </w:r>
      <w:r w:rsidRPr="00C27030">
        <w:rPr>
          <w:rFonts w:ascii="Arial" w:hAnsi="Arial" w:cs="Arial"/>
          <w:sz w:val="22"/>
          <w:szCs w:val="22"/>
        </w:rPr>
        <w:tab/>
        <w:t>The forecast is within the assessed range.  In the past, part of the General Fund balance has been used to fund budget savings that could not be fully realised within a financial year.  Another option could be to use balances to fund investment required to deliver longer-term efficiencies.  These are legitimate short-term options, but the Chief Finance Officer’s advice would be not to finance recurrent expenditure from reserves.  The amount held in cash balances contribute to investment income received and is credited to the Income and Expenditure Account.</w:t>
      </w:r>
    </w:p>
    <w:p w:rsidR="004C3B79" w:rsidRPr="00C27030" w:rsidRDefault="004C3B79" w:rsidP="004C3B79">
      <w:pPr>
        <w:tabs>
          <w:tab w:val="left" w:pos="709"/>
          <w:tab w:val="left" w:pos="1418"/>
          <w:tab w:val="decimal" w:pos="8505"/>
          <w:tab w:val="right" w:pos="8931"/>
        </w:tabs>
        <w:ind w:left="709" w:hanging="709"/>
        <w:jc w:val="both"/>
        <w:rPr>
          <w:rFonts w:ascii="Arial" w:hAnsi="Arial" w:cs="Arial"/>
          <w:sz w:val="22"/>
          <w:szCs w:val="22"/>
        </w:rPr>
      </w:pPr>
    </w:p>
    <w:p w:rsidR="004C3B79" w:rsidRDefault="004C3B79" w:rsidP="004C3B79">
      <w:pPr>
        <w:tabs>
          <w:tab w:val="left" w:pos="567"/>
          <w:tab w:val="left" w:pos="1418"/>
          <w:tab w:val="decimal" w:pos="8505"/>
          <w:tab w:val="right" w:pos="8931"/>
        </w:tabs>
        <w:ind w:left="567" w:hanging="567"/>
        <w:jc w:val="both"/>
        <w:rPr>
          <w:rFonts w:ascii="Arial" w:hAnsi="Arial" w:cs="Arial"/>
          <w:sz w:val="22"/>
          <w:szCs w:val="22"/>
        </w:rPr>
      </w:pPr>
      <w:r>
        <w:rPr>
          <w:rFonts w:ascii="Arial" w:hAnsi="Arial" w:cs="Arial"/>
          <w:sz w:val="22"/>
          <w:szCs w:val="22"/>
        </w:rPr>
        <w:t>9.1.9</w:t>
      </w:r>
      <w:r>
        <w:rPr>
          <w:rFonts w:ascii="Arial" w:hAnsi="Arial" w:cs="Arial"/>
          <w:sz w:val="22"/>
          <w:szCs w:val="22"/>
        </w:rPr>
        <w:tab/>
        <w:t>The 2018-19</w:t>
      </w:r>
      <w:r w:rsidRPr="00C27030">
        <w:rPr>
          <w:rFonts w:ascii="Arial" w:hAnsi="Arial" w:cs="Arial"/>
          <w:sz w:val="22"/>
          <w:szCs w:val="22"/>
        </w:rPr>
        <w:t xml:space="preserve"> budget and future year’s estimates do not include any use of General Fund balances.</w:t>
      </w:r>
    </w:p>
    <w:p w:rsidR="004C3B79" w:rsidRDefault="004C3B79" w:rsidP="004C3B79">
      <w:pPr>
        <w:tabs>
          <w:tab w:val="left" w:pos="567"/>
          <w:tab w:val="left" w:pos="1418"/>
          <w:tab w:val="decimal" w:pos="8505"/>
          <w:tab w:val="right" w:pos="8931"/>
        </w:tabs>
        <w:ind w:left="567" w:hanging="567"/>
        <w:jc w:val="both"/>
        <w:rPr>
          <w:rFonts w:ascii="Arial" w:hAnsi="Arial" w:cs="Arial"/>
          <w:sz w:val="22"/>
          <w:szCs w:val="22"/>
        </w:rPr>
      </w:pPr>
    </w:p>
    <w:p w:rsidR="004C3B79" w:rsidRDefault="004C3B79" w:rsidP="004C3B79">
      <w:pPr>
        <w:tabs>
          <w:tab w:val="left" w:pos="567"/>
          <w:tab w:val="left" w:pos="1418"/>
          <w:tab w:val="decimal" w:pos="8505"/>
          <w:tab w:val="right" w:pos="8931"/>
        </w:tabs>
        <w:ind w:left="567" w:hanging="567"/>
        <w:jc w:val="both"/>
        <w:rPr>
          <w:rFonts w:ascii="Arial" w:hAnsi="Arial" w:cs="Arial"/>
          <w:sz w:val="22"/>
          <w:szCs w:val="22"/>
        </w:rPr>
      </w:pPr>
    </w:p>
    <w:p w:rsidR="004C3B79" w:rsidRPr="00B048F8" w:rsidRDefault="004C3B79" w:rsidP="004C3B79">
      <w:pPr>
        <w:pStyle w:val="Heading1"/>
        <w:tabs>
          <w:tab w:val="clear" w:pos="1134"/>
          <w:tab w:val="clear" w:pos="2977"/>
          <w:tab w:val="clear" w:pos="3261"/>
          <w:tab w:val="clear" w:pos="6237"/>
          <w:tab w:val="left" w:pos="993"/>
          <w:tab w:val="left" w:pos="1418"/>
          <w:tab w:val="left" w:pos="1843"/>
          <w:tab w:val="left" w:pos="2268"/>
          <w:tab w:val="center" w:pos="3686"/>
          <w:tab w:val="decimal" w:pos="7088"/>
          <w:tab w:val="decimal" w:pos="8364"/>
        </w:tabs>
        <w:rPr>
          <w:rFonts w:cs="Arial"/>
          <w:sz w:val="22"/>
          <w:szCs w:val="22"/>
          <w:u w:val="none"/>
        </w:rPr>
      </w:pPr>
      <w:r w:rsidRPr="00B048F8">
        <w:rPr>
          <w:rFonts w:cs="Arial"/>
          <w:sz w:val="22"/>
          <w:szCs w:val="22"/>
          <w:u w:val="none"/>
        </w:rPr>
        <w:t>9.1</w:t>
      </w:r>
      <w:r>
        <w:rPr>
          <w:rFonts w:cs="Arial"/>
          <w:sz w:val="22"/>
          <w:szCs w:val="22"/>
          <w:u w:val="none"/>
        </w:rPr>
        <w:t>.1</w:t>
      </w:r>
      <w:r w:rsidRPr="00B048F8">
        <w:rPr>
          <w:rFonts w:cs="Arial"/>
          <w:sz w:val="22"/>
          <w:szCs w:val="22"/>
          <w:u w:val="none"/>
        </w:rPr>
        <w:t>0</w:t>
      </w:r>
      <w:r w:rsidRPr="00B048F8">
        <w:rPr>
          <w:rFonts w:cs="Arial"/>
          <w:sz w:val="22"/>
          <w:szCs w:val="22"/>
          <w:u w:val="none"/>
        </w:rPr>
        <w:tab/>
        <w:t>GENERAL FUND RISK ASSESSMENT</w:t>
      </w:r>
    </w:p>
    <w:p w:rsidR="004C3B79" w:rsidRPr="00B048F8" w:rsidRDefault="004C3B79" w:rsidP="004C3B79">
      <w:pPr>
        <w:rPr>
          <w:rFonts w:ascii="Arial" w:hAnsi="Arial" w:cs="Arial"/>
          <w:sz w:val="22"/>
          <w:szCs w:val="22"/>
          <w:highlight w:val="yellow"/>
        </w:rPr>
      </w:pPr>
    </w:p>
    <w:p w:rsidR="004C3B79" w:rsidRPr="008C5ADF" w:rsidRDefault="004C3B79" w:rsidP="004C3B79">
      <w:pPr>
        <w:rPr>
          <w:rFonts w:ascii="Arial" w:hAnsi="Arial" w:cs="Arial"/>
          <w:sz w:val="22"/>
          <w:szCs w:val="22"/>
          <w:highlight w:val="yellow"/>
        </w:rPr>
      </w:pPr>
    </w:p>
    <w:p w:rsidR="004C3B79" w:rsidRPr="008C5ADF" w:rsidRDefault="004C3B79" w:rsidP="004C3B79">
      <w:pPr>
        <w:rPr>
          <w:rFonts w:ascii="Arial" w:hAnsi="Arial" w:cs="Arial"/>
          <w:sz w:val="22"/>
          <w:szCs w:val="22"/>
          <w:highlight w:val="yellow"/>
        </w:rPr>
      </w:pPr>
    </w:p>
    <w:tbl>
      <w:tblPr>
        <w:tblW w:w="10180" w:type="dxa"/>
        <w:tblInd w:w="93" w:type="dxa"/>
        <w:tblLook w:val="04A0" w:firstRow="1" w:lastRow="0" w:firstColumn="1" w:lastColumn="0" w:noHBand="0" w:noVBand="1"/>
      </w:tblPr>
      <w:tblGrid>
        <w:gridCol w:w="340"/>
        <w:gridCol w:w="6138"/>
        <w:gridCol w:w="1012"/>
        <w:gridCol w:w="1315"/>
        <w:gridCol w:w="1375"/>
      </w:tblGrid>
      <w:tr w:rsidR="004C3B79" w:rsidRPr="008C5ADF" w:rsidTr="00721530">
        <w:trPr>
          <w:trHeight w:val="1425"/>
        </w:trPr>
        <w:tc>
          <w:tcPr>
            <w:tcW w:w="34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6138"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009"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16" w:type="dxa"/>
            <w:tcBorders>
              <w:top w:val="nil"/>
              <w:left w:val="nil"/>
              <w:bottom w:val="nil"/>
              <w:right w:val="nil"/>
            </w:tcBorders>
            <w:shd w:val="clear" w:color="auto" w:fill="auto"/>
            <w:vAlign w:val="center"/>
            <w:hideMark/>
          </w:tcPr>
          <w:p w:rsidR="004C3B79" w:rsidRPr="008C5ADF" w:rsidRDefault="004C3B79" w:rsidP="00721530">
            <w:pPr>
              <w:jc w:val="center"/>
              <w:rPr>
                <w:rFonts w:ascii="Arial" w:hAnsi="Arial" w:cs="Arial"/>
                <w:b/>
                <w:bCs/>
                <w:sz w:val="22"/>
                <w:szCs w:val="22"/>
                <w:lang w:eastAsia="en-GB"/>
              </w:rPr>
            </w:pPr>
            <w:r w:rsidRPr="008C5ADF">
              <w:rPr>
                <w:rFonts w:ascii="Arial" w:hAnsi="Arial" w:cs="Arial"/>
                <w:b/>
                <w:bCs/>
                <w:sz w:val="22"/>
                <w:szCs w:val="22"/>
                <w:lang w:eastAsia="en-GB"/>
              </w:rPr>
              <w:t xml:space="preserve">General Fund </w:t>
            </w:r>
            <w:r w:rsidRPr="008C5ADF">
              <w:rPr>
                <w:rFonts w:ascii="Arial" w:hAnsi="Arial" w:cs="Arial"/>
                <w:b/>
                <w:bCs/>
                <w:sz w:val="22"/>
                <w:szCs w:val="22"/>
                <w:lang w:eastAsia="en-GB"/>
              </w:rPr>
              <w:br/>
              <w:t>Amount</w:t>
            </w:r>
            <w:r w:rsidRPr="008C5ADF">
              <w:rPr>
                <w:rFonts w:ascii="Arial" w:hAnsi="Arial" w:cs="Arial"/>
                <w:b/>
                <w:bCs/>
                <w:sz w:val="22"/>
                <w:szCs w:val="22"/>
                <w:lang w:eastAsia="en-GB"/>
              </w:rPr>
              <w:br/>
              <w:t xml:space="preserve"> Minimum </w:t>
            </w:r>
            <w:r w:rsidRPr="008C5ADF">
              <w:rPr>
                <w:rFonts w:ascii="Arial" w:hAnsi="Arial" w:cs="Arial"/>
                <w:b/>
                <w:bCs/>
                <w:sz w:val="22"/>
                <w:szCs w:val="22"/>
                <w:lang w:eastAsia="en-GB"/>
              </w:rPr>
              <w:br/>
              <w:t>£m</w:t>
            </w:r>
          </w:p>
        </w:tc>
        <w:tc>
          <w:tcPr>
            <w:tcW w:w="1377" w:type="dxa"/>
            <w:tcBorders>
              <w:top w:val="nil"/>
              <w:left w:val="nil"/>
              <w:bottom w:val="nil"/>
              <w:right w:val="nil"/>
            </w:tcBorders>
            <w:shd w:val="clear" w:color="auto" w:fill="auto"/>
            <w:vAlign w:val="center"/>
            <w:hideMark/>
          </w:tcPr>
          <w:p w:rsidR="004C3B79" w:rsidRPr="008C5ADF" w:rsidRDefault="004C3B79" w:rsidP="00721530">
            <w:pPr>
              <w:jc w:val="center"/>
              <w:rPr>
                <w:rFonts w:ascii="Arial" w:hAnsi="Arial" w:cs="Arial"/>
                <w:b/>
                <w:bCs/>
                <w:sz w:val="22"/>
                <w:szCs w:val="22"/>
                <w:lang w:eastAsia="en-GB"/>
              </w:rPr>
            </w:pPr>
            <w:r w:rsidRPr="008C5ADF">
              <w:rPr>
                <w:rFonts w:ascii="Arial" w:hAnsi="Arial" w:cs="Arial"/>
                <w:b/>
                <w:bCs/>
                <w:sz w:val="22"/>
                <w:szCs w:val="22"/>
                <w:lang w:eastAsia="en-GB"/>
              </w:rPr>
              <w:t xml:space="preserve">General Fund </w:t>
            </w:r>
            <w:r w:rsidRPr="008C5ADF">
              <w:rPr>
                <w:rFonts w:ascii="Arial" w:hAnsi="Arial" w:cs="Arial"/>
                <w:b/>
                <w:bCs/>
                <w:sz w:val="22"/>
                <w:szCs w:val="22"/>
                <w:lang w:eastAsia="en-GB"/>
              </w:rPr>
              <w:br/>
              <w:t>Amount</w:t>
            </w:r>
            <w:r w:rsidRPr="008C5ADF">
              <w:rPr>
                <w:rFonts w:ascii="Arial" w:hAnsi="Arial" w:cs="Arial"/>
                <w:b/>
                <w:bCs/>
                <w:sz w:val="22"/>
                <w:szCs w:val="22"/>
                <w:lang w:eastAsia="en-GB"/>
              </w:rPr>
              <w:br/>
              <w:t xml:space="preserve"> Maximum </w:t>
            </w:r>
            <w:r w:rsidRPr="008C5ADF">
              <w:rPr>
                <w:rFonts w:ascii="Arial" w:hAnsi="Arial" w:cs="Arial"/>
                <w:b/>
                <w:bCs/>
                <w:sz w:val="22"/>
                <w:szCs w:val="22"/>
                <w:lang w:eastAsia="en-GB"/>
              </w:rPr>
              <w:br/>
              <w:t>£m</w:t>
            </w:r>
          </w:p>
        </w:tc>
      </w:tr>
      <w:tr w:rsidR="004C3B79" w:rsidRPr="008C5ADF" w:rsidTr="00721530">
        <w:trPr>
          <w:trHeight w:val="330"/>
        </w:trPr>
        <w:tc>
          <w:tcPr>
            <w:tcW w:w="34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b/>
                <w:bCs/>
                <w:sz w:val="22"/>
                <w:szCs w:val="22"/>
                <w:lang w:eastAsia="en-GB"/>
              </w:rPr>
            </w:pPr>
            <w:r w:rsidRPr="008C5ADF">
              <w:rPr>
                <w:rFonts w:ascii="Arial" w:hAnsi="Arial" w:cs="Arial"/>
                <w:b/>
                <w:bCs/>
                <w:sz w:val="22"/>
                <w:szCs w:val="22"/>
                <w:lang w:eastAsia="en-GB"/>
              </w:rPr>
              <w:t>1</w:t>
            </w:r>
          </w:p>
        </w:tc>
        <w:tc>
          <w:tcPr>
            <w:tcW w:w="6138"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b/>
                <w:bCs/>
                <w:sz w:val="22"/>
                <w:szCs w:val="22"/>
                <w:u w:val="single"/>
                <w:lang w:eastAsia="en-GB"/>
              </w:rPr>
            </w:pPr>
            <w:r w:rsidRPr="008C5ADF">
              <w:rPr>
                <w:rFonts w:ascii="Arial" w:hAnsi="Arial" w:cs="Arial"/>
                <w:b/>
                <w:bCs/>
                <w:sz w:val="22"/>
                <w:szCs w:val="22"/>
                <w:u w:val="single"/>
                <w:lang w:eastAsia="en-GB"/>
              </w:rPr>
              <w:t>Large scale major incident</w:t>
            </w:r>
          </w:p>
        </w:tc>
        <w:tc>
          <w:tcPr>
            <w:tcW w:w="1009"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b/>
                <w:bCs/>
                <w:sz w:val="22"/>
                <w:szCs w:val="22"/>
                <w:u w:val="single"/>
                <w:lang w:eastAsia="en-GB"/>
              </w:rPr>
            </w:pPr>
          </w:p>
        </w:tc>
        <w:tc>
          <w:tcPr>
            <w:tcW w:w="1316"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77"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r>
      <w:tr w:rsidR="004C3B79" w:rsidRPr="008C5ADF" w:rsidTr="00721530">
        <w:trPr>
          <w:trHeight w:val="330"/>
        </w:trPr>
        <w:tc>
          <w:tcPr>
            <w:tcW w:w="220"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b/>
                <w:bCs/>
                <w:sz w:val="22"/>
                <w:szCs w:val="22"/>
                <w:lang w:eastAsia="en-GB"/>
              </w:rPr>
            </w:pPr>
            <w:r w:rsidRPr="008C5ADF">
              <w:rPr>
                <w:rFonts w:ascii="Arial" w:hAnsi="Arial" w:cs="Arial"/>
                <w:b/>
                <w:bCs/>
                <w:sz w:val="22"/>
                <w:szCs w:val="22"/>
                <w:lang w:eastAsia="en-GB"/>
              </w:rPr>
              <w:t> </w:t>
            </w:r>
          </w:p>
        </w:tc>
        <w:tc>
          <w:tcPr>
            <w:tcW w:w="6300"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sz w:val="22"/>
                <w:szCs w:val="22"/>
                <w:lang w:eastAsia="en-GB"/>
              </w:rPr>
            </w:pPr>
            <w:r w:rsidRPr="008C5ADF">
              <w:rPr>
                <w:rFonts w:ascii="Arial" w:hAnsi="Arial" w:cs="Arial"/>
                <w:sz w:val="22"/>
                <w:szCs w:val="22"/>
                <w:lang w:eastAsia="en-GB"/>
              </w:rPr>
              <w:t>Funding 2018-19</w:t>
            </w:r>
          </w:p>
        </w:tc>
        <w:tc>
          <w:tcPr>
            <w:tcW w:w="960" w:type="dxa"/>
            <w:tcBorders>
              <w:top w:val="nil"/>
              <w:left w:val="nil"/>
              <w:bottom w:val="nil"/>
              <w:right w:val="nil"/>
            </w:tcBorders>
            <w:shd w:val="clear" w:color="000000" w:fill="FFFFFF"/>
            <w:vAlign w:val="center"/>
            <w:hideMark/>
          </w:tcPr>
          <w:p w:rsidR="004C3B79" w:rsidRPr="008C5ADF" w:rsidRDefault="004C3B79" w:rsidP="00721530">
            <w:pPr>
              <w:jc w:val="center"/>
              <w:rPr>
                <w:rFonts w:ascii="Arial" w:hAnsi="Arial" w:cs="Arial"/>
                <w:sz w:val="22"/>
                <w:szCs w:val="22"/>
                <w:lang w:eastAsia="en-GB"/>
              </w:rPr>
            </w:pPr>
            <w:r w:rsidRPr="008C5ADF">
              <w:rPr>
                <w:rFonts w:ascii="Arial" w:hAnsi="Arial" w:cs="Arial"/>
                <w:sz w:val="22"/>
                <w:szCs w:val="22"/>
                <w:lang w:eastAsia="en-GB"/>
              </w:rPr>
              <w:t>£m</w:t>
            </w:r>
          </w:p>
        </w:tc>
        <w:tc>
          <w:tcPr>
            <w:tcW w:w="132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8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r>
      <w:tr w:rsidR="004C3B79" w:rsidRPr="008C5ADF" w:rsidTr="00721530">
        <w:trPr>
          <w:trHeight w:val="480"/>
        </w:trPr>
        <w:tc>
          <w:tcPr>
            <w:tcW w:w="220"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b/>
                <w:bCs/>
                <w:sz w:val="22"/>
                <w:szCs w:val="22"/>
                <w:lang w:eastAsia="en-GB"/>
              </w:rPr>
            </w:pPr>
            <w:r w:rsidRPr="008C5ADF">
              <w:rPr>
                <w:rFonts w:ascii="Arial" w:hAnsi="Arial" w:cs="Arial"/>
                <w:b/>
                <w:bCs/>
                <w:sz w:val="22"/>
                <w:szCs w:val="22"/>
                <w:lang w:eastAsia="en-GB"/>
              </w:rPr>
              <w:t> </w:t>
            </w:r>
          </w:p>
        </w:tc>
        <w:tc>
          <w:tcPr>
            <w:tcW w:w="6300" w:type="dxa"/>
            <w:tcBorders>
              <w:top w:val="nil"/>
              <w:left w:val="nil"/>
              <w:bottom w:val="nil"/>
              <w:right w:val="nil"/>
            </w:tcBorders>
            <w:shd w:val="clear" w:color="000000" w:fill="FFFFFF"/>
            <w:vAlign w:val="bottom"/>
            <w:hideMark/>
          </w:tcPr>
          <w:p w:rsidR="004C3B79" w:rsidRPr="008C5ADF" w:rsidRDefault="004C3B79" w:rsidP="00721530">
            <w:pPr>
              <w:rPr>
                <w:rFonts w:ascii="Arial" w:hAnsi="Arial" w:cs="Arial"/>
                <w:sz w:val="22"/>
                <w:szCs w:val="22"/>
                <w:lang w:eastAsia="en-GB"/>
              </w:rPr>
            </w:pPr>
            <w:r w:rsidRPr="008C5ADF">
              <w:rPr>
                <w:rFonts w:ascii="Arial" w:hAnsi="Arial" w:cs="Arial"/>
                <w:sz w:val="22"/>
                <w:szCs w:val="22"/>
                <w:lang w:eastAsia="en-GB"/>
              </w:rPr>
              <w:t>Police Grant</w:t>
            </w:r>
          </w:p>
        </w:tc>
        <w:tc>
          <w:tcPr>
            <w:tcW w:w="960" w:type="dxa"/>
            <w:tcBorders>
              <w:top w:val="nil"/>
              <w:left w:val="nil"/>
              <w:bottom w:val="nil"/>
              <w:right w:val="nil"/>
            </w:tcBorders>
            <w:shd w:val="clear" w:color="000000" w:fill="FFFFFF"/>
            <w:vAlign w:val="bottom"/>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428.018</w:t>
            </w:r>
          </w:p>
        </w:tc>
        <w:tc>
          <w:tcPr>
            <w:tcW w:w="132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8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r>
      <w:tr w:rsidR="004C3B79" w:rsidRPr="008C5ADF" w:rsidTr="00721530">
        <w:trPr>
          <w:trHeight w:val="330"/>
        </w:trPr>
        <w:tc>
          <w:tcPr>
            <w:tcW w:w="220"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b/>
                <w:bCs/>
                <w:sz w:val="22"/>
                <w:szCs w:val="22"/>
                <w:lang w:eastAsia="en-GB"/>
              </w:rPr>
            </w:pPr>
            <w:r w:rsidRPr="008C5ADF">
              <w:rPr>
                <w:rFonts w:ascii="Arial" w:hAnsi="Arial" w:cs="Arial"/>
                <w:b/>
                <w:bCs/>
                <w:sz w:val="22"/>
                <w:szCs w:val="22"/>
                <w:lang w:eastAsia="en-GB"/>
              </w:rPr>
              <w:t> </w:t>
            </w:r>
          </w:p>
        </w:tc>
        <w:tc>
          <w:tcPr>
            <w:tcW w:w="6300"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sz w:val="22"/>
                <w:szCs w:val="22"/>
                <w:lang w:eastAsia="en-GB"/>
              </w:rPr>
            </w:pPr>
            <w:r w:rsidRPr="008C5ADF">
              <w:rPr>
                <w:rFonts w:ascii="Arial" w:hAnsi="Arial" w:cs="Arial"/>
                <w:sz w:val="22"/>
                <w:szCs w:val="22"/>
                <w:lang w:eastAsia="en-GB"/>
              </w:rPr>
              <w:t>Precept &amp; Collection fund balance</w:t>
            </w:r>
          </w:p>
        </w:tc>
        <w:tc>
          <w:tcPr>
            <w:tcW w:w="96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130.840</w:t>
            </w:r>
          </w:p>
        </w:tc>
        <w:tc>
          <w:tcPr>
            <w:tcW w:w="132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8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r>
      <w:tr w:rsidR="004C3B79" w:rsidRPr="008C5ADF" w:rsidTr="00721530">
        <w:trPr>
          <w:trHeight w:val="330"/>
        </w:trPr>
        <w:tc>
          <w:tcPr>
            <w:tcW w:w="340"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b/>
                <w:bCs/>
                <w:sz w:val="22"/>
                <w:szCs w:val="22"/>
                <w:lang w:eastAsia="en-GB"/>
              </w:rPr>
            </w:pPr>
            <w:r w:rsidRPr="008C5ADF">
              <w:rPr>
                <w:rFonts w:ascii="Arial" w:hAnsi="Arial" w:cs="Arial"/>
                <w:b/>
                <w:bCs/>
                <w:sz w:val="22"/>
                <w:szCs w:val="22"/>
                <w:lang w:eastAsia="en-GB"/>
              </w:rPr>
              <w:t> </w:t>
            </w:r>
          </w:p>
        </w:tc>
        <w:tc>
          <w:tcPr>
            <w:tcW w:w="6138"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sz w:val="22"/>
                <w:szCs w:val="22"/>
                <w:lang w:eastAsia="en-GB"/>
              </w:rPr>
            </w:pPr>
            <w:r w:rsidRPr="008C5ADF">
              <w:rPr>
                <w:rFonts w:ascii="Arial" w:hAnsi="Arial" w:cs="Arial"/>
                <w:sz w:val="22"/>
                <w:szCs w:val="22"/>
                <w:lang w:eastAsia="en-GB"/>
              </w:rPr>
              <w:t>Funding total</w:t>
            </w:r>
          </w:p>
        </w:tc>
        <w:tc>
          <w:tcPr>
            <w:tcW w:w="1009" w:type="dxa"/>
            <w:tcBorders>
              <w:top w:val="single" w:sz="8" w:space="0" w:color="auto"/>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558.858</w:t>
            </w:r>
          </w:p>
        </w:tc>
        <w:tc>
          <w:tcPr>
            <w:tcW w:w="1316"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77"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r>
      <w:tr w:rsidR="004C3B79" w:rsidRPr="008C5ADF" w:rsidTr="00721530">
        <w:trPr>
          <w:trHeight w:val="330"/>
        </w:trPr>
        <w:tc>
          <w:tcPr>
            <w:tcW w:w="34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6138"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009"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16"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77"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r>
      <w:tr w:rsidR="004C3B79" w:rsidRPr="008C5ADF" w:rsidTr="00721530">
        <w:trPr>
          <w:trHeight w:val="330"/>
        </w:trPr>
        <w:tc>
          <w:tcPr>
            <w:tcW w:w="34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b/>
                <w:bCs/>
                <w:sz w:val="22"/>
                <w:szCs w:val="22"/>
                <w:lang w:eastAsia="en-GB"/>
              </w:rPr>
            </w:pPr>
            <w:r w:rsidRPr="008C5ADF">
              <w:rPr>
                <w:rFonts w:ascii="Arial" w:hAnsi="Arial" w:cs="Arial"/>
                <w:b/>
                <w:bCs/>
                <w:sz w:val="22"/>
                <w:szCs w:val="22"/>
                <w:lang w:eastAsia="en-GB"/>
              </w:rPr>
              <w:t> </w:t>
            </w:r>
          </w:p>
        </w:tc>
        <w:tc>
          <w:tcPr>
            <w:tcW w:w="6138"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sz w:val="22"/>
                <w:szCs w:val="22"/>
                <w:lang w:eastAsia="en-GB"/>
              </w:rPr>
            </w:pPr>
            <w:r w:rsidRPr="008C5ADF">
              <w:rPr>
                <w:rFonts w:ascii="Arial" w:hAnsi="Arial" w:cs="Arial"/>
                <w:sz w:val="22"/>
                <w:szCs w:val="22"/>
                <w:lang w:eastAsia="en-GB"/>
              </w:rPr>
              <w:t>Allow between 2% and 2.5% of funding total</w:t>
            </w:r>
          </w:p>
        </w:tc>
        <w:tc>
          <w:tcPr>
            <w:tcW w:w="1009"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sz w:val="22"/>
                <w:szCs w:val="22"/>
                <w:lang w:eastAsia="en-GB"/>
              </w:rPr>
            </w:pPr>
            <w:r w:rsidRPr="008C5ADF">
              <w:rPr>
                <w:rFonts w:ascii="Arial" w:hAnsi="Arial" w:cs="Arial"/>
                <w:sz w:val="22"/>
                <w:szCs w:val="22"/>
                <w:lang w:eastAsia="en-GB"/>
              </w:rPr>
              <w:t> </w:t>
            </w:r>
          </w:p>
        </w:tc>
        <w:tc>
          <w:tcPr>
            <w:tcW w:w="1316"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11.177</w:t>
            </w:r>
          </w:p>
        </w:tc>
        <w:tc>
          <w:tcPr>
            <w:tcW w:w="1377"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13.971</w:t>
            </w:r>
          </w:p>
        </w:tc>
      </w:tr>
      <w:tr w:rsidR="004C3B79" w:rsidRPr="008C5ADF" w:rsidTr="00721530">
        <w:trPr>
          <w:trHeight w:val="330"/>
        </w:trPr>
        <w:tc>
          <w:tcPr>
            <w:tcW w:w="34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b/>
                <w:bCs/>
                <w:sz w:val="22"/>
                <w:szCs w:val="22"/>
                <w:lang w:eastAsia="en-GB"/>
              </w:rPr>
            </w:pPr>
            <w:r w:rsidRPr="008C5ADF">
              <w:rPr>
                <w:rFonts w:ascii="Arial" w:hAnsi="Arial" w:cs="Arial"/>
                <w:b/>
                <w:bCs/>
                <w:sz w:val="22"/>
                <w:szCs w:val="22"/>
                <w:lang w:eastAsia="en-GB"/>
              </w:rPr>
              <w:t> </w:t>
            </w:r>
          </w:p>
        </w:tc>
        <w:tc>
          <w:tcPr>
            <w:tcW w:w="6138"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b/>
                <w:bCs/>
                <w:sz w:val="22"/>
                <w:szCs w:val="22"/>
                <w:lang w:eastAsia="en-GB"/>
              </w:rPr>
            </w:pPr>
            <w:r w:rsidRPr="008C5ADF">
              <w:rPr>
                <w:rFonts w:ascii="Arial" w:hAnsi="Arial" w:cs="Arial"/>
                <w:b/>
                <w:bCs/>
                <w:sz w:val="22"/>
                <w:szCs w:val="22"/>
                <w:lang w:eastAsia="en-GB"/>
              </w:rPr>
              <w:t> </w:t>
            </w:r>
          </w:p>
        </w:tc>
        <w:tc>
          <w:tcPr>
            <w:tcW w:w="1009"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b/>
                <w:bCs/>
                <w:sz w:val="22"/>
                <w:szCs w:val="22"/>
                <w:lang w:eastAsia="en-GB"/>
              </w:rPr>
            </w:pPr>
            <w:r w:rsidRPr="008C5ADF">
              <w:rPr>
                <w:rFonts w:ascii="Arial" w:hAnsi="Arial" w:cs="Arial"/>
                <w:b/>
                <w:bCs/>
                <w:sz w:val="22"/>
                <w:szCs w:val="22"/>
                <w:lang w:eastAsia="en-GB"/>
              </w:rPr>
              <w:t> </w:t>
            </w:r>
          </w:p>
        </w:tc>
        <w:tc>
          <w:tcPr>
            <w:tcW w:w="1316"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77"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r>
      <w:tr w:rsidR="004C3B79" w:rsidRPr="008C5ADF" w:rsidTr="00721530">
        <w:trPr>
          <w:trHeight w:val="330"/>
        </w:trPr>
        <w:tc>
          <w:tcPr>
            <w:tcW w:w="34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b/>
                <w:bCs/>
                <w:sz w:val="22"/>
                <w:szCs w:val="22"/>
                <w:lang w:eastAsia="en-GB"/>
              </w:rPr>
            </w:pPr>
            <w:r w:rsidRPr="008C5ADF">
              <w:rPr>
                <w:rFonts w:ascii="Arial" w:hAnsi="Arial" w:cs="Arial"/>
                <w:b/>
                <w:bCs/>
                <w:sz w:val="22"/>
                <w:szCs w:val="22"/>
                <w:lang w:eastAsia="en-GB"/>
              </w:rPr>
              <w:t>2</w:t>
            </w:r>
          </w:p>
        </w:tc>
        <w:tc>
          <w:tcPr>
            <w:tcW w:w="6138"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b/>
                <w:bCs/>
                <w:sz w:val="22"/>
                <w:szCs w:val="22"/>
                <w:u w:val="single"/>
                <w:lang w:eastAsia="en-GB"/>
              </w:rPr>
            </w:pPr>
            <w:r w:rsidRPr="008C5ADF">
              <w:rPr>
                <w:rFonts w:ascii="Arial" w:hAnsi="Arial" w:cs="Arial"/>
                <w:b/>
                <w:bCs/>
                <w:sz w:val="22"/>
                <w:szCs w:val="22"/>
                <w:u w:val="single"/>
                <w:lang w:eastAsia="en-GB"/>
              </w:rPr>
              <w:t>SFO Savings</w:t>
            </w:r>
          </w:p>
        </w:tc>
        <w:tc>
          <w:tcPr>
            <w:tcW w:w="1009"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b/>
                <w:bCs/>
                <w:sz w:val="22"/>
                <w:szCs w:val="22"/>
                <w:u w:val="single"/>
                <w:lang w:eastAsia="en-GB"/>
              </w:rPr>
            </w:pPr>
            <w:r w:rsidRPr="008C5ADF">
              <w:rPr>
                <w:rFonts w:ascii="Arial" w:hAnsi="Arial" w:cs="Arial"/>
                <w:b/>
                <w:bCs/>
                <w:sz w:val="22"/>
                <w:szCs w:val="22"/>
                <w:u w:val="single"/>
                <w:lang w:eastAsia="en-GB"/>
              </w:rPr>
              <w:t> </w:t>
            </w:r>
          </w:p>
        </w:tc>
        <w:tc>
          <w:tcPr>
            <w:tcW w:w="1316"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77"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r>
      <w:tr w:rsidR="004C3B79" w:rsidRPr="008C5ADF" w:rsidTr="00721530">
        <w:trPr>
          <w:trHeight w:val="660"/>
        </w:trPr>
        <w:tc>
          <w:tcPr>
            <w:tcW w:w="34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6138"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sz w:val="22"/>
                <w:szCs w:val="22"/>
                <w:lang w:eastAsia="en-GB"/>
              </w:rPr>
            </w:pPr>
            <w:r w:rsidRPr="008C5ADF">
              <w:rPr>
                <w:rFonts w:ascii="Arial" w:hAnsi="Arial" w:cs="Arial"/>
                <w:sz w:val="22"/>
                <w:szCs w:val="22"/>
                <w:lang w:eastAsia="en-GB"/>
              </w:rPr>
              <w:t>Assume cumulative identified savings are not achieved by between 3% and 5%.</w:t>
            </w:r>
          </w:p>
        </w:tc>
        <w:tc>
          <w:tcPr>
            <w:tcW w:w="1009"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sz w:val="22"/>
                <w:szCs w:val="22"/>
                <w:lang w:eastAsia="en-GB"/>
              </w:rPr>
            </w:pPr>
            <w:r w:rsidRPr="008C5ADF">
              <w:rPr>
                <w:rFonts w:ascii="Arial" w:hAnsi="Arial" w:cs="Arial"/>
                <w:sz w:val="22"/>
                <w:szCs w:val="22"/>
                <w:lang w:eastAsia="en-GB"/>
              </w:rPr>
              <w:t> </w:t>
            </w:r>
          </w:p>
        </w:tc>
        <w:tc>
          <w:tcPr>
            <w:tcW w:w="1316"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0.327</w:t>
            </w:r>
          </w:p>
        </w:tc>
        <w:tc>
          <w:tcPr>
            <w:tcW w:w="1377"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0.545</w:t>
            </w:r>
          </w:p>
        </w:tc>
      </w:tr>
      <w:tr w:rsidR="004C3B79" w:rsidRPr="008C5ADF" w:rsidTr="00721530">
        <w:trPr>
          <w:trHeight w:val="660"/>
        </w:trPr>
        <w:tc>
          <w:tcPr>
            <w:tcW w:w="34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6138"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sz w:val="22"/>
                <w:szCs w:val="22"/>
                <w:lang w:eastAsia="en-GB"/>
              </w:rPr>
            </w:pPr>
            <w:r w:rsidRPr="008C5ADF">
              <w:rPr>
                <w:rFonts w:ascii="Arial" w:hAnsi="Arial" w:cs="Arial"/>
                <w:sz w:val="22"/>
                <w:szCs w:val="22"/>
                <w:lang w:eastAsia="en-GB"/>
              </w:rPr>
              <w:t>Assume cumulative unidentified savings are not identified by between 5% and 10%.</w:t>
            </w:r>
          </w:p>
        </w:tc>
        <w:tc>
          <w:tcPr>
            <w:tcW w:w="1009"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sz w:val="22"/>
                <w:szCs w:val="22"/>
                <w:lang w:eastAsia="en-GB"/>
              </w:rPr>
            </w:pPr>
            <w:r w:rsidRPr="008C5ADF">
              <w:rPr>
                <w:rFonts w:ascii="Arial" w:hAnsi="Arial" w:cs="Arial"/>
                <w:sz w:val="22"/>
                <w:szCs w:val="22"/>
                <w:lang w:eastAsia="en-GB"/>
              </w:rPr>
              <w:t> </w:t>
            </w:r>
          </w:p>
        </w:tc>
        <w:tc>
          <w:tcPr>
            <w:tcW w:w="1316"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0</w:t>
            </w:r>
          </w:p>
        </w:tc>
        <w:tc>
          <w:tcPr>
            <w:tcW w:w="1377"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0</w:t>
            </w:r>
          </w:p>
        </w:tc>
      </w:tr>
      <w:tr w:rsidR="004C3B79" w:rsidRPr="008C5ADF" w:rsidTr="00721530">
        <w:trPr>
          <w:trHeight w:val="210"/>
        </w:trPr>
        <w:tc>
          <w:tcPr>
            <w:tcW w:w="34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6138"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sz w:val="22"/>
                <w:szCs w:val="22"/>
                <w:lang w:eastAsia="en-GB"/>
              </w:rPr>
            </w:pPr>
            <w:r w:rsidRPr="008C5ADF">
              <w:rPr>
                <w:rFonts w:ascii="Arial" w:hAnsi="Arial" w:cs="Arial"/>
                <w:sz w:val="22"/>
                <w:szCs w:val="22"/>
                <w:lang w:eastAsia="en-GB"/>
              </w:rPr>
              <w:t> </w:t>
            </w:r>
          </w:p>
        </w:tc>
        <w:tc>
          <w:tcPr>
            <w:tcW w:w="1009" w:type="dxa"/>
            <w:tcBorders>
              <w:top w:val="nil"/>
              <w:left w:val="nil"/>
              <w:bottom w:val="nil"/>
              <w:right w:val="nil"/>
            </w:tcBorders>
            <w:shd w:val="clear" w:color="000000" w:fill="FFFFFF"/>
            <w:vAlign w:val="center"/>
            <w:hideMark/>
          </w:tcPr>
          <w:p w:rsidR="004C3B79" w:rsidRPr="008C5ADF" w:rsidRDefault="004C3B79" w:rsidP="00721530">
            <w:pPr>
              <w:rPr>
                <w:rFonts w:ascii="Arial" w:hAnsi="Arial" w:cs="Arial"/>
                <w:sz w:val="22"/>
                <w:szCs w:val="22"/>
                <w:lang w:eastAsia="en-GB"/>
              </w:rPr>
            </w:pPr>
            <w:r w:rsidRPr="008C5ADF">
              <w:rPr>
                <w:rFonts w:ascii="Arial" w:hAnsi="Arial" w:cs="Arial"/>
                <w:sz w:val="22"/>
                <w:szCs w:val="22"/>
                <w:lang w:eastAsia="en-GB"/>
              </w:rPr>
              <w:t> </w:t>
            </w:r>
          </w:p>
        </w:tc>
        <w:tc>
          <w:tcPr>
            <w:tcW w:w="1316"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77"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r>
      <w:tr w:rsidR="004C3B79" w:rsidRPr="008C5ADF" w:rsidTr="00721530">
        <w:trPr>
          <w:trHeight w:val="330"/>
        </w:trPr>
        <w:tc>
          <w:tcPr>
            <w:tcW w:w="34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6138" w:type="dxa"/>
            <w:tcBorders>
              <w:top w:val="nil"/>
              <w:left w:val="nil"/>
              <w:bottom w:val="nil"/>
              <w:right w:val="nil"/>
            </w:tcBorders>
            <w:shd w:val="clear" w:color="000000" w:fill="FFFFFF"/>
            <w:vAlign w:val="bottom"/>
            <w:hideMark/>
          </w:tcPr>
          <w:p w:rsidR="004C3B79" w:rsidRPr="008C5ADF" w:rsidRDefault="004C3B79" w:rsidP="00721530">
            <w:pPr>
              <w:rPr>
                <w:rFonts w:ascii="Arial" w:hAnsi="Arial" w:cs="Arial"/>
                <w:b/>
                <w:bCs/>
                <w:sz w:val="22"/>
                <w:szCs w:val="22"/>
                <w:u w:val="single"/>
                <w:lang w:eastAsia="en-GB"/>
              </w:rPr>
            </w:pPr>
            <w:r w:rsidRPr="008C5ADF">
              <w:rPr>
                <w:rFonts w:ascii="Arial" w:hAnsi="Arial" w:cs="Arial"/>
                <w:b/>
                <w:bCs/>
                <w:sz w:val="22"/>
                <w:szCs w:val="22"/>
                <w:u w:val="single"/>
                <w:lang w:eastAsia="en-GB"/>
              </w:rPr>
              <w:t>SUGGESTED GENERAL FUND LEVEL AT 31/3/18</w:t>
            </w:r>
          </w:p>
        </w:tc>
        <w:tc>
          <w:tcPr>
            <w:tcW w:w="1009" w:type="dxa"/>
            <w:tcBorders>
              <w:top w:val="nil"/>
              <w:left w:val="nil"/>
              <w:bottom w:val="nil"/>
              <w:right w:val="nil"/>
            </w:tcBorders>
            <w:shd w:val="clear" w:color="000000" w:fill="FFFFFF"/>
            <w:vAlign w:val="bottom"/>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16" w:type="dxa"/>
            <w:tcBorders>
              <w:top w:val="single" w:sz="8" w:space="0" w:color="auto"/>
              <w:left w:val="nil"/>
              <w:bottom w:val="nil"/>
              <w:right w:val="nil"/>
            </w:tcBorders>
            <w:shd w:val="clear" w:color="000000" w:fill="FFFFFF"/>
            <w:vAlign w:val="bottom"/>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11.504</w:t>
            </w:r>
          </w:p>
        </w:tc>
        <w:tc>
          <w:tcPr>
            <w:tcW w:w="1377" w:type="dxa"/>
            <w:tcBorders>
              <w:top w:val="single" w:sz="8" w:space="0" w:color="auto"/>
              <w:left w:val="nil"/>
              <w:bottom w:val="nil"/>
              <w:right w:val="nil"/>
            </w:tcBorders>
            <w:shd w:val="clear" w:color="000000" w:fill="FFFFFF"/>
            <w:vAlign w:val="bottom"/>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14.516</w:t>
            </w:r>
          </w:p>
        </w:tc>
      </w:tr>
      <w:tr w:rsidR="004C3B79" w:rsidRPr="008C5ADF" w:rsidTr="00721530">
        <w:trPr>
          <w:trHeight w:val="300"/>
        </w:trPr>
        <w:tc>
          <w:tcPr>
            <w:tcW w:w="34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6138" w:type="dxa"/>
            <w:tcBorders>
              <w:top w:val="nil"/>
              <w:left w:val="nil"/>
              <w:bottom w:val="nil"/>
              <w:right w:val="nil"/>
            </w:tcBorders>
            <w:shd w:val="clear" w:color="000000" w:fill="FFFFFF"/>
            <w:vAlign w:val="bottom"/>
            <w:hideMark/>
          </w:tcPr>
          <w:p w:rsidR="004C3B79" w:rsidRPr="008C5ADF" w:rsidRDefault="004C3B79" w:rsidP="00721530">
            <w:pPr>
              <w:rPr>
                <w:rFonts w:ascii="Arial" w:hAnsi="Arial" w:cs="Arial"/>
                <w:b/>
                <w:bCs/>
                <w:sz w:val="22"/>
                <w:szCs w:val="22"/>
                <w:u w:val="single"/>
                <w:lang w:eastAsia="en-GB"/>
              </w:rPr>
            </w:pPr>
            <w:r w:rsidRPr="008C5ADF">
              <w:rPr>
                <w:rFonts w:ascii="Arial" w:hAnsi="Arial" w:cs="Arial"/>
                <w:b/>
                <w:bCs/>
                <w:sz w:val="22"/>
                <w:szCs w:val="22"/>
                <w:u w:val="single"/>
                <w:lang w:eastAsia="en-GB"/>
              </w:rPr>
              <w:t> </w:t>
            </w:r>
          </w:p>
        </w:tc>
        <w:tc>
          <w:tcPr>
            <w:tcW w:w="1009" w:type="dxa"/>
            <w:tcBorders>
              <w:top w:val="nil"/>
              <w:left w:val="nil"/>
              <w:bottom w:val="nil"/>
              <w:right w:val="nil"/>
            </w:tcBorders>
            <w:shd w:val="clear" w:color="000000" w:fill="FFFFFF"/>
            <w:vAlign w:val="bottom"/>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16" w:type="dxa"/>
            <w:tcBorders>
              <w:top w:val="nil"/>
              <w:left w:val="nil"/>
              <w:bottom w:val="nil"/>
              <w:right w:val="nil"/>
            </w:tcBorders>
            <w:shd w:val="clear" w:color="000000" w:fill="FFFFFF"/>
            <w:vAlign w:val="bottom"/>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77" w:type="dxa"/>
            <w:tcBorders>
              <w:top w:val="nil"/>
              <w:left w:val="nil"/>
              <w:bottom w:val="nil"/>
              <w:right w:val="nil"/>
            </w:tcBorders>
            <w:shd w:val="clear" w:color="000000" w:fill="FFFFFF"/>
            <w:vAlign w:val="bottom"/>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r>
      <w:tr w:rsidR="004C3B79" w:rsidRPr="008C5ADF" w:rsidTr="00721530">
        <w:trPr>
          <w:trHeight w:val="330"/>
        </w:trPr>
        <w:tc>
          <w:tcPr>
            <w:tcW w:w="34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6138" w:type="dxa"/>
            <w:tcBorders>
              <w:top w:val="nil"/>
              <w:left w:val="nil"/>
              <w:bottom w:val="nil"/>
              <w:right w:val="nil"/>
            </w:tcBorders>
            <w:shd w:val="clear" w:color="000000" w:fill="FFFFFF"/>
            <w:vAlign w:val="bottom"/>
            <w:hideMark/>
          </w:tcPr>
          <w:p w:rsidR="004C3B79" w:rsidRPr="008C5ADF" w:rsidRDefault="004C3B79" w:rsidP="00721530">
            <w:pPr>
              <w:rPr>
                <w:rFonts w:ascii="Arial" w:hAnsi="Arial" w:cs="Arial"/>
                <w:b/>
                <w:bCs/>
                <w:sz w:val="22"/>
                <w:szCs w:val="22"/>
                <w:lang w:eastAsia="en-GB"/>
              </w:rPr>
            </w:pPr>
            <w:r w:rsidRPr="008C5ADF">
              <w:rPr>
                <w:rFonts w:ascii="Arial" w:hAnsi="Arial" w:cs="Arial"/>
                <w:b/>
                <w:bCs/>
                <w:sz w:val="22"/>
                <w:szCs w:val="22"/>
                <w:lang w:eastAsia="en-GB"/>
              </w:rPr>
              <w:t>Forecast level at 31/3/18</w:t>
            </w:r>
          </w:p>
        </w:tc>
        <w:tc>
          <w:tcPr>
            <w:tcW w:w="1009" w:type="dxa"/>
            <w:tcBorders>
              <w:top w:val="nil"/>
              <w:left w:val="nil"/>
              <w:bottom w:val="nil"/>
              <w:right w:val="nil"/>
            </w:tcBorders>
            <w:shd w:val="clear" w:color="000000" w:fill="FFFFFF"/>
            <w:vAlign w:val="bottom"/>
            <w:hideMark/>
          </w:tcPr>
          <w:p w:rsidR="004C3B79" w:rsidRPr="008C5ADF" w:rsidRDefault="004C3B79" w:rsidP="00721530">
            <w:pPr>
              <w:rPr>
                <w:rFonts w:ascii="Arial" w:hAnsi="Arial" w:cs="Arial"/>
                <w:b/>
                <w:bCs/>
                <w:sz w:val="22"/>
                <w:szCs w:val="22"/>
                <w:lang w:eastAsia="en-GB"/>
              </w:rPr>
            </w:pPr>
            <w:r w:rsidRPr="008C5ADF">
              <w:rPr>
                <w:rFonts w:ascii="Arial" w:hAnsi="Arial" w:cs="Arial"/>
                <w:b/>
                <w:bCs/>
                <w:sz w:val="22"/>
                <w:szCs w:val="22"/>
                <w:lang w:eastAsia="en-GB"/>
              </w:rPr>
              <w:t> </w:t>
            </w:r>
          </w:p>
        </w:tc>
        <w:tc>
          <w:tcPr>
            <w:tcW w:w="1316" w:type="dxa"/>
            <w:tcBorders>
              <w:top w:val="nil"/>
              <w:left w:val="nil"/>
              <w:bottom w:val="nil"/>
              <w:right w:val="nil"/>
            </w:tcBorders>
            <w:shd w:val="clear" w:color="000000" w:fill="FFFFFF"/>
            <w:vAlign w:val="bottom"/>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13.221</w:t>
            </w:r>
          </w:p>
        </w:tc>
        <w:tc>
          <w:tcPr>
            <w:tcW w:w="1377" w:type="dxa"/>
            <w:tcBorders>
              <w:top w:val="nil"/>
              <w:left w:val="nil"/>
              <w:bottom w:val="nil"/>
              <w:right w:val="nil"/>
            </w:tcBorders>
            <w:shd w:val="clear" w:color="000000" w:fill="FFFFFF"/>
            <w:vAlign w:val="bottom"/>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13.221</w:t>
            </w:r>
          </w:p>
        </w:tc>
      </w:tr>
      <w:tr w:rsidR="004C3B79" w:rsidRPr="008C5ADF" w:rsidTr="00721530">
        <w:trPr>
          <w:trHeight w:val="255"/>
        </w:trPr>
        <w:tc>
          <w:tcPr>
            <w:tcW w:w="34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6138" w:type="dxa"/>
            <w:tcBorders>
              <w:top w:val="nil"/>
              <w:left w:val="nil"/>
              <w:bottom w:val="nil"/>
              <w:right w:val="nil"/>
            </w:tcBorders>
            <w:shd w:val="clear" w:color="000000" w:fill="FFFFFF"/>
            <w:vAlign w:val="bottom"/>
            <w:hideMark/>
          </w:tcPr>
          <w:p w:rsidR="004C3B79" w:rsidRPr="008C5ADF" w:rsidRDefault="004C3B79" w:rsidP="00721530">
            <w:pPr>
              <w:rPr>
                <w:rFonts w:ascii="Arial" w:hAnsi="Arial" w:cs="Arial"/>
                <w:b/>
                <w:bCs/>
                <w:sz w:val="22"/>
                <w:szCs w:val="22"/>
                <w:lang w:eastAsia="en-GB"/>
              </w:rPr>
            </w:pPr>
            <w:r w:rsidRPr="008C5ADF">
              <w:rPr>
                <w:rFonts w:ascii="Arial" w:hAnsi="Arial" w:cs="Arial"/>
                <w:b/>
                <w:bCs/>
                <w:sz w:val="22"/>
                <w:szCs w:val="22"/>
                <w:lang w:eastAsia="en-GB"/>
              </w:rPr>
              <w:t> </w:t>
            </w:r>
          </w:p>
        </w:tc>
        <w:tc>
          <w:tcPr>
            <w:tcW w:w="1009" w:type="dxa"/>
            <w:tcBorders>
              <w:top w:val="nil"/>
              <w:left w:val="nil"/>
              <w:bottom w:val="nil"/>
              <w:right w:val="nil"/>
            </w:tcBorders>
            <w:shd w:val="clear" w:color="000000" w:fill="FFFFFF"/>
            <w:vAlign w:val="bottom"/>
            <w:hideMark/>
          </w:tcPr>
          <w:p w:rsidR="004C3B79" w:rsidRPr="008C5ADF" w:rsidRDefault="004C3B79" w:rsidP="00721530">
            <w:pPr>
              <w:rPr>
                <w:rFonts w:ascii="Arial" w:hAnsi="Arial" w:cs="Arial"/>
                <w:b/>
                <w:bCs/>
                <w:sz w:val="22"/>
                <w:szCs w:val="22"/>
                <w:lang w:eastAsia="en-GB"/>
              </w:rPr>
            </w:pPr>
            <w:r w:rsidRPr="008C5ADF">
              <w:rPr>
                <w:rFonts w:ascii="Arial" w:hAnsi="Arial" w:cs="Arial"/>
                <w:b/>
                <w:bCs/>
                <w:sz w:val="22"/>
                <w:szCs w:val="22"/>
                <w:lang w:eastAsia="en-GB"/>
              </w:rPr>
              <w:t> </w:t>
            </w:r>
          </w:p>
        </w:tc>
        <w:tc>
          <w:tcPr>
            <w:tcW w:w="1316" w:type="dxa"/>
            <w:tcBorders>
              <w:top w:val="nil"/>
              <w:left w:val="nil"/>
              <w:bottom w:val="nil"/>
              <w:right w:val="nil"/>
            </w:tcBorders>
            <w:shd w:val="clear" w:color="000000" w:fill="FFFFFF"/>
            <w:vAlign w:val="bottom"/>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1377" w:type="dxa"/>
            <w:tcBorders>
              <w:top w:val="nil"/>
              <w:left w:val="nil"/>
              <w:bottom w:val="nil"/>
              <w:right w:val="nil"/>
            </w:tcBorders>
            <w:shd w:val="clear" w:color="000000" w:fill="FFFFFF"/>
            <w:vAlign w:val="bottom"/>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r>
      <w:tr w:rsidR="004C3B79" w:rsidRPr="008C5ADF" w:rsidTr="00721530">
        <w:trPr>
          <w:trHeight w:val="615"/>
        </w:trPr>
        <w:tc>
          <w:tcPr>
            <w:tcW w:w="340" w:type="dxa"/>
            <w:tcBorders>
              <w:top w:val="nil"/>
              <w:left w:val="nil"/>
              <w:bottom w:val="nil"/>
              <w:right w:val="nil"/>
            </w:tcBorders>
            <w:shd w:val="clear" w:color="000000" w:fill="FFFFFF"/>
            <w:vAlign w:val="center"/>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 </w:t>
            </w:r>
          </w:p>
        </w:tc>
        <w:tc>
          <w:tcPr>
            <w:tcW w:w="6138" w:type="dxa"/>
            <w:tcBorders>
              <w:top w:val="nil"/>
              <w:left w:val="nil"/>
              <w:bottom w:val="nil"/>
              <w:right w:val="nil"/>
            </w:tcBorders>
            <w:shd w:val="clear" w:color="000000" w:fill="FFFFFF"/>
            <w:vAlign w:val="bottom"/>
            <w:hideMark/>
          </w:tcPr>
          <w:p w:rsidR="004C3B79" w:rsidRPr="008C5ADF" w:rsidRDefault="004C3B79" w:rsidP="00721530">
            <w:pPr>
              <w:rPr>
                <w:rFonts w:ascii="Arial" w:hAnsi="Arial" w:cs="Arial"/>
                <w:b/>
                <w:bCs/>
                <w:sz w:val="22"/>
                <w:szCs w:val="22"/>
                <w:lang w:eastAsia="en-GB"/>
              </w:rPr>
            </w:pPr>
            <w:r w:rsidRPr="008C5ADF">
              <w:rPr>
                <w:rFonts w:ascii="Arial" w:hAnsi="Arial" w:cs="Arial"/>
                <w:b/>
                <w:bCs/>
                <w:sz w:val="22"/>
                <w:szCs w:val="22"/>
                <w:lang w:eastAsia="en-GB"/>
              </w:rPr>
              <w:t>Difference between suggested and forecast levels at 31/3/18</w:t>
            </w:r>
          </w:p>
        </w:tc>
        <w:tc>
          <w:tcPr>
            <w:tcW w:w="1009" w:type="dxa"/>
            <w:tcBorders>
              <w:top w:val="nil"/>
              <w:left w:val="nil"/>
              <w:bottom w:val="nil"/>
              <w:right w:val="nil"/>
            </w:tcBorders>
            <w:shd w:val="clear" w:color="000000" w:fill="FFFFFF"/>
            <w:vAlign w:val="bottom"/>
            <w:hideMark/>
          </w:tcPr>
          <w:p w:rsidR="004C3B79" w:rsidRPr="008C5ADF" w:rsidRDefault="004C3B79" w:rsidP="00721530">
            <w:pPr>
              <w:rPr>
                <w:rFonts w:ascii="Arial" w:hAnsi="Arial" w:cs="Arial"/>
                <w:b/>
                <w:bCs/>
                <w:sz w:val="22"/>
                <w:szCs w:val="22"/>
                <w:lang w:eastAsia="en-GB"/>
              </w:rPr>
            </w:pPr>
            <w:r w:rsidRPr="008C5ADF">
              <w:rPr>
                <w:rFonts w:ascii="Arial" w:hAnsi="Arial" w:cs="Arial"/>
                <w:b/>
                <w:bCs/>
                <w:sz w:val="22"/>
                <w:szCs w:val="22"/>
                <w:lang w:eastAsia="en-GB"/>
              </w:rPr>
              <w:t> </w:t>
            </w:r>
          </w:p>
        </w:tc>
        <w:tc>
          <w:tcPr>
            <w:tcW w:w="1316" w:type="dxa"/>
            <w:tcBorders>
              <w:top w:val="single" w:sz="4" w:space="0" w:color="auto"/>
              <w:left w:val="nil"/>
              <w:bottom w:val="double" w:sz="6" w:space="0" w:color="auto"/>
              <w:right w:val="nil"/>
            </w:tcBorders>
            <w:shd w:val="clear" w:color="000000" w:fill="FFFFFF"/>
            <w:vAlign w:val="bottom"/>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-1.717</w:t>
            </w:r>
          </w:p>
        </w:tc>
        <w:tc>
          <w:tcPr>
            <w:tcW w:w="1377" w:type="dxa"/>
            <w:tcBorders>
              <w:top w:val="single" w:sz="4" w:space="0" w:color="auto"/>
              <w:left w:val="nil"/>
              <w:bottom w:val="double" w:sz="6" w:space="0" w:color="auto"/>
              <w:right w:val="nil"/>
            </w:tcBorders>
            <w:shd w:val="clear" w:color="000000" w:fill="FFFFFF"/>
            <w:vAlign w:val="bottom"/>
            <w:hideMark/>
          </w:tcPr>
          <w:p w:rsidR="004C3B79" w:rsidRPr="008C5ADF" w:rsidRDefault="004C3B79" w:rsidP="00721530">
            <w:pPr>
              <w:jc w:val="right"/>
              <w:rPr>
                <w:rFonts w:ascii="Arial" w:hAnsi="Arial" w:cs="Arial"/>
                <w:sz w:val="22"/>
                <w:szCs w:val="22"/>
                <w:lang w:eastAsia="en-GB"/>
              </w:rPr>
            </w:pPr>
            <w:r w:rsidRPr="008C5ADF">
              <w:rPr>
                <w:rFonts w:ascii="Arial" w:hAnsi="Arial" w:cs="Arial"/>
                <w:sz w:val="22"/>
                <w:szCs w:val="22"/>
                <w:lang w:eastAsia="en-GB"/>
              </w:rPr>
              <w:t>1.295</w:t>
            </w:r>
          </w:p>
        </w:tc>
      </w:tr>
    </w:tbl>
    <w:p w:rsidR="004C3B79" w:rsidRPr="008C5ADF" w:rsidRDefault="004C3B79" w:rsidP="004C3B79">
      <w:pPr>
        <w:rPr>
          <w:rFonts w:ascii="Arial" w:hAnsi="Arial" w:cs="Arial"/>
          <w:sz w:val="22"/>
          <w:szCs w:val="22"/>
        </w:rPr>
      </w:pPr>
    </w:p>
    <w:p w:rsidR="004C3B79" w:rsidRPr="008C5ADF" w:rsidRDefault="004C3B79" w:rsidP="004C3B79">
      <w:pPr>
        <w:tabs>
          <w:tab w:val="left" w:pos="567"/>
          <w:tab w:val="left" w:pos="1418"/>
          <w:tab w:val="decimal" w:pos="8505"/>
          <w:tab w:val="right" w:pos="8931"/>
        </w:tabs>
        <w:ind w:left="567" w:hanging="567"/>
        <w:jc w:val="both"/>
        <w:rPr>
          <w:rFonts w:ascii="Arial" w:hAnsi="Arial" w:cs="Arial"/>
          <w:sz w:val="22"/>
          <w:szCs w:val="22"/>
        </w:rPr>
      </w:pPr>
    </w:p>
    <w:p w:rsidR="004C3B79" w:rsidRPr="00C27030" w:rsidRDefault="004C3B79" w:rsidP="004C3B79">
      <w:pPr>
        <w:tabs>
          <w:tab w:val="left" w:pos="709"/>
          <w:tab w:val="left" w:pos="1418"/>
          <w:tab w:val="decimal" w:pos="8505"/>
          <w:tab w:val="right" w:pos="8931"/>
        </w:tabs>
        <w:ind w:left="709" w:hanging="709"/>
        <w:jc w:val="both"/>
        <w:rPr>
          <w:rFonts w:ascii="Arial" w:hAnsi="Arial" w:cs="Arial"/>
          <w:sz w:val="22"/>
          <w:szCs w:val="22"/>
        </w:rPr>
      </w:pPr>
      <w:r>
        <w:rPr>
          <w:rFonts w:ascii="Arial" w:hAnsi="Arial" w:cs="Arial"/>
          <w:sz w:val="22"/>
          <w:szCs w:val="22"/>
        </w:rPr>
        <w:tab/>
      </w:r>
      <w:r w:rsidRPr="00C27030">
        <w:rPr>
          <w:rFonts w:ascii="Arial" w:hAnsi="Arial" w:cs="Arial"/>
          <w:sz w:val="22"/>
          <w:szCs w:val="22"/>
        </w:rPr>
        <w:t xml:space="preserve">As required by Section 25 of the Local Government Act 2003, </w:t>
      </w:r>
      <w:r>
        <w:rPr>
          <w:rFonts w:ascii="Arial" w:hAnsi="Arial" w:cs="Arial"/>
          <w:sz w:val="22"/>
          <w:szCs w:val="22"/>
        </w:rPr>
        <w:t>the Treasurer of the GMCA</w:t>
      </w:r>
      <w:r w:rsidRPr="00C27030">
        <w:rPr>
          <w:rFonts w:ascii="Arial" w:hAnsi="Arial" w:cs="Arial"/>
          <w:sz w:val="22"/>
          <w:szCs w:val="22"/>
        </w:rPr>
        <w:t xml:space="preserve"> is satisfied that the </w:t>
      </w:r>
      <w:r>
        <w:rPr>
          <w:rFonts w:ascii="Arial" w:hAnsi="Arial" w:cs="Arial"/>
          <w:sz w:val="22"/>
          <w:szCs w:val="22"/>
        </w:rPr>
        <w:t>l</w:t>
      </w:r>
      <w:r w:rsidRPr="00C27030">
        <w:rPr>
          <w:rFonts w:ascii="Arial" w:hAnsi="Arial" w:cs="Arial"/>
          <w:sz w:val="22"/>
          <w:szCs w:val="22"/>
        </w:rPr>
        <w:t xml:space="preserve">evel of </w:t>
      </w:r>
      <w:r>
        <w:rPr>
          <w:rFonts w:ascii="Arial" w:hAnsi="Arial" w:cs="Arial"/>
          <w:sz w:val="22"/>
          <w:szCs w:val="22"/>
        </w:rPr>
        <w:t>the general fund is</w:t>
      </w:r>
      <w:r w:rsidRPr="00C27030">
        <w:rPr>
          <w:rFonts w:ascii="Arial" w:hAnsi="Arial" w:cs="Arial"/>
          <w:sz w:val="22"/>
          <w:szCs w:val="22"/>
        </w:rPr>
        <w:t xml:space="preserve"> adequate.</w:t>
      </w:r>
    </w:p>
    <w:p w:rsidR="004C3B79" w:rsidRPr="008C5ADF" w:rsidRDefault="004C3B79" w:rsidP="004C3B79">
      <w:pPr>
        <w:tabs>
          <w:tab w:val="left" w:pos="567"/>
          <w:tab w:val="left" w:pos="1418"/>
          <w:tab w:val="decimal" w:pos="8505"/>
          <w:tab w:val="right" w:pos="8931"/>
        </w:tabs>
        <w:ind w:left="567" w:hanging="567"/>
        <w:jc w:val="both"/>
        <w:rPr>
          <w:rFonts w:ascii="Arial" w:hAnsi="Arial" w:cs="Arial"/>
          <w:sz w:val="22"/>
          <w:szCs w:val="22"/>
        </w:rPr>
      </w:pPr>
    </w:p>
    <w:p w:rsidR="004C3B79" w:rsidRPr="00C27030" w:rsidRDefault="004C3B79" w:rsidP="004C3B79">
      <w:pPr>
        <w:tabs>
          <w:tab w:val="left" w:pos="567"/>
          <w:tab w:val="left" w:pos="1418"/>
          <w:tab w:val="decimal" w:pos="8505"/>
          <w:tab w:val="right" w:pos="8931"/>
        </w:tabs>
        <w:ind w:left="567" w:hanging="567"/>
        <w:jc w:val="both"/>
        <w:rPr>
          <w:rFonts w:ascii="Arial" w:hAnsi="Arial" w:cs="Arial"/>
          <w:sz w:val="22"/>
          <w:szCs w:val="22"/>
        </w:rPr>
      </w:pPr>
    </w:p>
    <w:p w:rsidR="004C3B79" w:rsidRDefault="004C3B79" w:rsidP="004C3B79">
      <w:pPr>
        <w:tabs>
          <w:tab w:val="left" w:pos="709"/>
          <w:tab w:val="left" w:pos="1418"/>
          <w:tab w:val="decimal" w:pos="8505"/>
          <w:tab w:val="right" w:pos="8931"/>
        </w:tabs>
        <w:ind w:left="709" w:hanging="709"/>
        <w:jc w:val="both"/>
        <w:rPr>
          <w:rFonts w:ascii="Arial" w:hAnsi="Arial" w:cs="Arial"/>
          <w:sz w:val="22"/>
          <w:szCs w:val="22"/>
        </w:rPr>
      </w:pPr>
      <w:r>
        <w:rPr>
          <w:rFonts w:ascii="Arial" w:hAnsi="Arial" w:cs="Arial"/>
          <w:sz w:val="22"/>
          <w:szCs w:val="22"/>
        </w:rPr>
        <w:tab/>
        <w:t>Possible draw down required dependent in final outturn position, any drawdown will be replenished in 2018/19.</w:t>
      </w:r>
    </w:p>
    <w:p w:rsidR="004C3B79" w:rsidRDefault="004C3B79" w:rsidP="004C3B79">
      <w:pPr>
        <w:tabs>
          <w:tab w:val="left" w:pos="709"/>
          <w:tab w:val="left" w:pos="1418"/>
          <w:tab w:val="decimal" w:pos="8505"/>
          <w:tab w:val="right" w:pos="8931"/>
        </w:tabs>
        <w:ind w:left="709" w:hanging="709"/>
        <w:jc w:val="both"/>
        <w:rPr>
          <w:rFonts w:ascii="Arial" w:hAnsi="Arial" w:cs="Arial"/>
          <w:sz w:val="22"/>
          <w:szCs w:val="22"/>
        </w:rPr>
      </w:pPr>
    </w:p>
    <w:p w:rsidR="004C3B79" w:rsidRDefault="004C3B79" w:rsidP="004C3B79">
      <w:pPr>
        <w:tabs>
          <w:tab w:val="left" w:pos="709"/>
          <w:tab w:val="left" w:pos="1418"/>
          <w:tab w:val="decimal" w:pos="8505"/>
          <w:tab w:val="right" w:pos="8931"/>
        </w:tabs>
        <w:ind w:left="709" w:hanging="709"/>
        <w:jc w:val="both"/>
        <w:rPr>
          <w:rFonts w:ascii="Arial" w:hAnsi="Arial" w:cs="Arial"/>
          <w:sz w:val="22"/>
          <w:szCs w:val="22"/>
        </w:rPr>
      </w:pPr>
    </w:p>
    <w:p w:rsidR="004C3B79" w:rsidRDefault="004C3B79" w:rsidP="004C3B79">
      <w:pPr>
        <w:tabs>
          <w:tab w:val="left" w:pos="709"/>
          <w:tab w:val="left" w:pos="1418"/>
          <w:tab w:val="decimal" w:pos="8505"/>
          <w:tab w:val="right" w:pos="8931"/>
        </w:tabs>
        <w:ind w:left="709" w:hanging="709"/>
        <w:jc w:val="both"/>
        <w:rPr>
          <w:rFonts w:ascii="Arial" w:hAnsi="Arial" w:cs="Arial"/>
          <w:sz w:val="22"/>
          <w:szCs w:val="22"/>
        </w:rPr>
      </w:pPr>
    </w:p>
    <w:p w:rsidR="004C3B79" w:rsidRDefault="004C3B79" w:rsidP="004C3B79">
      <w:pPr>
        <w:tabs>
          <w:tab w:val="left" w:pos="709"/>
          <w:tab w:val="left" w:pos="1418"/>
          <w:tab w:val="decimal" w:pos="8505"/>
          <w:tab w:val="right" w:pos="8931"/>
        </w:tabs>
        <w:ind w:left="709" w:hanging="709"/>
        <w:jc w:val="both"/>
        <w:rPr>
          <w:rFonts w:ascii="Arial" w:hAnsi="Arial" w:cs="Arial"/>
          <w:sz w:val="22"/>
          <w:szCs w:val="22"/>
        </w:rPr>
      </w:pPr>
    </w:p>
    <w:p w:rsidR="004C3B79" w:rsidRDefault="004C3B79" w:rsidP="004C3B79">
      <w:pPr>
        <w:tabs>
          <w:tab w:val="left" w:pos="709"/>
          <w:tab w:val="left" w:pos="1418"/>
          <w:tab w:val="decimal" w:pos="8505"/>
          <w:tab w:val="right" w:pos="8931"/>
        </w:tabs>
        <w:ind w:left="709" w:hanging="709"/>
        <w:jc w:val="both"/>
        <w:rPr>
          <w:rFonts w:ascii="Arial" w:hAnsi="Arial" w:cs="Arial"/>
          <w:sz w:val="22"/>
          <w:szCs w:val="22"/>
        </w:rPr>
      </w:pPr>
    </w:p>
    <w:p w:rsidR="004C3B79" w:rsidRDefault="004C3B79" w:rsidP="004C3B79">
      <w:pPr>
        <w:tabs>
          <w:tab w:val="left" w:pos="709"/>
          <w:tab w:val="left" w:pos="1418"/>
          <w:tab w:val="decimal" w:pos="8505"/>
          <w:tab w:val="right" w:pos="8931"/>
        </w:tabs>
        <w:ind w:left="709" w:hanging="709"/>
        <w:jc w:val="both"/>
        <w:rPr>
          <w:rFonts w:ascii="Arial" w:hAnsi="Arial" w:cs="Arial"/>
          <w:sz w:val="22"/>
          <w:szCs w:val="22"/>
        </w:rPr>
      </w:pPr>
    </w:p>
    <w:p w:rsidR="004C3B79" w:rsidRDefault="004C3B79" w:rsidP="004C3B79">
      <w:pPr>
        <w:tabs>
          <w:tab w:val="left" w:pos="709"/>
          <w:tab w:val="left" w:pos="1418"/>
          <w:tab w:val="decimal" w:pos="8505"/>
          <w:tab w:val="right" w:pos="8931"/>
        </w:tabs>
        <w:ind w:left="709" w:hanging="709"/>
        <w:jc w:val="both"/>
        <w:rPr>
          <w:rFonts w:ascii="Arial" w:hAnsi="Arial" w:cs="Arial"/>
          <w:sz w:val="22"/>
          <w:szCs w:val="22"/>
        </w:rPr>
      </w:pPr>
    </w:p>
    <w:p w:rsidR="004C3B79" w:rsidRDefault="004C3B79" w:rsidP="004C3B79">
      <w:pPr>
        <w:tabs>
          <w:tab w:val="left" w:pos="709"/>
          <w:tab w:val="left" w:pos="1418"/>
          <w:tab w:val="decimal" w:pos="8505"/>
          <w:tab w:val="right" w:pos="8931"/>
        </w:tabs>
        <w:ind w:left="709" w:hanging="709"/>
        <w:jc w:val="both"/>
        <w:rPr>
          <w:rFonts w:ascii="Arial" w:hAnsi="Arial" w:cs="Arial"/>
          <w:sz w:val="22"/>
          <w:szCs w:val="22"/>
        </w:rPr>
      </w:pPr>
    </w:p>
    <w:p w:rsidR="004C3B79" w:rsidRDefault="004C3B79" w:rsidP="004C3B79">
      <w:pPr>
        <w:tabs>
          <w:tab w:val="left" w:pos="709"/>
          <w:tab w:val="left" w:pos="1418"/>
          <w:tab w:val="decimal" w:pos="8505"/>
          <w:tab w:val="right" w:pos="8931"/>
        </w:tabs>
        <w:ind w:left="709" w:hanging="709"/>
        <w:jc w:val="both"/>
        <w:rPr>
          <w:rFonts w:ascii="Arial" w:hAnsi="Arial" w:cs="Arial"/>
          <w:sz w:val="22"/>
          <w:szCs w:val="22"/>
        </w:rPr>
      </w:pPr>
    </w:p>
    <w:p w:rsidR="004C3B79" w:rsidRPr="00C27030" w:rsidRDefault="004C3B79" w:rsidP="004C3B79">
      <w:pPr>
        <w:tabs>
          <w:tab w:val="left" w:pos="709"/>
          <w:tab w:val="left" w:pos="1418"/>
          <w:tab w:val="decimal" w:pos="8505"/>
          <w:tab w:val="right" w:pos="8931"/>
        </w:tabs>
        <w:ind w:left="709" w:hanging="709"/>
        <w:jc w:val="both"/>
        <w:rPr>
          <w:rFonts w:ascii="Arial" w:hAnsi="Arial" w:cs="Arial"/>
          <w:sz w:val="22"/>
          <w:szCs w:val="22"/>
        </w:rPr>
      </w:pPr>
    </w:p>
    <w:p w:rsidR="004C3B79" w:rsidRPr="001108DC" w:rsidRDefault="004C3B79" w:rsidP="004C3B79">
      <w:pPr>
        <w:tabs>
          <w:tab w:val="left" w:pos="567"/>
          <w:tab w:val="left" w:pos="1418"/>
          <w:tab w:val="decimal" w:pos="8505"/>
          <w:tab w:val="right" w:pos="8931"/>
        </w:tabs>
        <w:ind w:left="567" w:hanging="567"/>
        <w:jc w:val="both"/>
        <w:rPr>
          <w:rFonts w:ascii="Arial" w:hAnsi="Arial" w:cs="Arial"/>
          <w:sz w:val="22"/>
          <w:szCs w:val="22"/>
        </w:rPr>
      </w:pPr>
      <w:r w:rsidRPr="001108DC">
        <w:rPr>
          <w:rFonts w:ascii="Arial" w:hAnsi="Arial" w:cs="Arial"/>
          <w:sz w:val="22"/>
          <w:szCs w:val="22"/>
        </w:rPr>
        <w:t>9.2</w:t>
      </w:r>
      <w:r w:rsidRPr="001108DC">
        <w:rPr>
          <w:rFonts w:ascii="Arial" w:hAnsi="Arial" w:cs="Arial"/>
          <w:sz w:val="22"/>
          <w:szCs w:val="22"/>
        </w:rPr>
        <w:tab/>
      </w:r>
      <w:r w:rsidRPr="001108DC">
        <w:rPr>
          <w:rFonts w:ascii="Arial" w:hAnsi="Arial" w:cs="Arial"/>
          <w:b/>
          <w:sz w:val="22"/>
          <w:szCs w:val="22"/>
          <w:u w:val="single"/>
        </w:rPr>
        <w:t>EARMARKED REVENUE RESERVES</w:t>
      </w:r>
    </w:p>
    <w:p w:rsidR="004C3B79" w:rsidRPr="001108DC" w:rsidRDefault="004C3B79" w:rsidP="004C3B79">
      <w:pPr>
        <w:tabs>
          <w:tab w:val="left" w:pos="709"/>
          <w:tab w:val="left" w:pos="1418"/>
          <w:tab w:val="decimal" w:pos="8505"/>
          <w:tab w:val="right" w:pos="8931"/>
        </w:tabs>
        <w:ind w:left="709" w:hanging="709"/>
        <w:jc w:val="both"/>
        <w:rPr>
          <w:rFonts w:ascii="Arial" w:hAnsi="Arial" w:cs="Arial"/>
          <w:sz w:val="22"/>
          <w:szCs w:val="22"/>
        </w:rPr>
      </w:pPr>
    </w:p>
    <w:p w:rsidR="004C3B79" w:rsidRPr="00C27030" w:rsidRDefault="004C3B79" w:rsidP="004C3B79">
      <w:pPr>
        <w:tabs>
          <w:tab w:val="left" w:pos="567"/>
          <w:tab w:val="left" w:pos="1418"/>
          <w:tab w:val="decimal" w:pos="8505"/>
          <w:tab w:val="right" w:pos="8931"/>
        </w:tabs>
        <w:ind w:left="567" w:hanging="567"/>
        <w:jc w:val="both"/>
        <w:rPr>
          <w:rFonts w:ascii="Arial" w:hAnsi="Arial" w:cs="Arial"/>
          <w:sz w:val="22"/>
          <w:szCs w:val="22"/>
        </w:rPr>
      </w:pPr>
      <w:r w:rsidRPr="001108DC">
        <w:rPr>
          <w:rFonts w:ascii="Arial" w:hAnsi="Arial" w:cs="Arial"/>
          <w:sz w:val="22"/>
          <w:szCs w:val="22"/>
        </w:rPr>
        <w:t>9.2.1</w:t>
      </w:r>
      <w:r w:rsidRPr="001108DC">
        <w:rPr>
          <w:rFonts w:ascii="Arial" w:hAnsi="Arial" w:cs="Arial"/>
          <w:sz w:val="22"/>
          <w:szCs w:val="22"/>
        </w:rPr>
        <w:tab/>
        <w:t>Reserves are created for specific purposes only and returned to</w:t>
      </w:r>
      <w:r w:rsidRPr="00C27030">
        <w:rPr>
          <w:rFonts w:ascii="Arial" w:hAnsi="Arial" w:cs="Arial"/>
          <w:sz w:val="22"/>
          <w:szCs w:val="22"/>
        </w:rPr>
        <w:t xml:space="preserve"> General Fund if no longer required.  They arise either where monies have been set aside or anticipated expenditure has been postponed.</w:t>
      </w:r>
    </w:p>
    <w:p w:rsidR="004C3B79" w:rsidRPr="00C27030" w:rsidRDefault="004C3B79" w:rsidP="004C3B79">
      <w:pPr>
        <w:tabs>
          <w:tab w:val="left" w:pos="709"/>
          <w:tab w:val="left" w:pos="1418"/>
          <w:tab w:val="decimal" w:pos="8505"/>
          <w:tab w:val="right" w:pos="8931"/>
        </w:tabs>
        <w:ind w:left="709" w:hanging="709"/>
        <w:jc w:val="both"/>
        <w:rPr>
          <w:rFonts w:ascii="Arial" w:hAnsi="Arial" w:cs="Arial"/>
          <w:sz w:val="22"/>
          <w:szCs w:val="22"/>
          <w:highlight w:val="yellow"/>
        </w:rPr>
      </w:pPr>
    </w:p>
    <w:p w:rsidR="004C3B79" w:rsidRPr="00C27030" w:rsidRDefault="004C3B79" w:rsidP="004C3B79">
      <w:pPr>
        <w:tabs>
          <w:tab w:val="left" w:pos="567"/>
          <w:tab w:val="left" w:pos="1418"/>
          <w:tab w:val="decimal" w:pos="8505"/>
          <w:tab w:val="right" w:pos="8931"/>
        </w:tabs>
        <w:ind w:left="567" w:hanging="567"/>
        <w:jc w:val="both"/>
        <w:rPr>
          <w:rFonts w:ascii="Arial" w:hAnsi="Arial" w:cs="Arial"/>
          <w:sz w:val="22"/>
          <w:szCs w:val="22"/>
        </w:rPr>
      </w:pPr>
      <w:r w:rsidRPr="00C27030">
        <w:rPr>
          <w:rFonts w:ascii="Arial" w:hAnsi="Arial" w:cs="Arial"/>
          <w:sz w:val="22"/>
          <w:szCs w:val="22"/>
        </w:rPr>
        <w:t xml:space="preserve"> </w:t>
      </w:r>
      <w:r>
        <w:rPr>
          <w:rFonts w:ascii="Arial" w:hAnsi="Arial" w:cs="Arial"/>
          <w:sz w:val="22"/>
          <w:szCs w:val="22"/>
        </w:rPr>
        <w:t>9.</w:t>
      </w:r>
      <w:r w:rsidRPr="00C27030">
        <w:rPr>
          <w:rFonts w:ascii="Arial" w:hAnsi="Arial" w:cs="Arial"/>
          <w:sz w:val="22"/>
          <w:szCs w:val="22"/>
        </w:rPr>
        <w:t>2.2</w:t>
      </w:r>
      <w:r w:rsidRPr="00C27030">
        <w:rPr>
          <w:rFonts w:ascii="Arial" w:hAnsi="Arial" w:cs="Arial"/>
          <w:sz w:val="22"/>
          <w:szCs w:val="22"/>
        </w:rPr>
        <w:tab/>
      </w:r>
      <w:r w:rsidRPr="00ED340A">
        <w:rPr>
          <w:rFonts w:ascii="Arial" w:hAnsi="Arial" w:cs="Arial"/>
          <w:sz w:val="22"/>
          <w:szCs w:val="22"/>
        </w:rPr>
        <w:t>Earmarked Revenue Reserves are forecast to be £56.336m at 31st March 2018, reducing by £21.778m (39%) to £34.558m by 31</w:t>
      </w:r>
      <w:r w:rsidRPr="00ED340A">
        <w:rPr>
          <w:rFonts w:ascii="Arial" w:hAnsi="Arial" w:cs="Arial"/>
          <w:sz w:val="22"/>
          <w:szCs w:val="22"/>
          <w:vertAlign w:val="superscript"/>
        </w:rPr>
        <w:t>st</w:t>
      </w:r>
      <w:r w:rsidRPr="00ED340A">
        <w:rPr>
          <w:rFonts w:ascii="Arial" w:hAnsi="Arial" w:cs="Arial"/>
          <w:sz w:val="22"/>
          <w:szCs w:val="22"/>
        </w:rPr>
        <w:t xml:space="preserve"> March 2019, consisting of:-</w:t>
      </w:r>
      <w:r w:rsidRPr="00C27030">
        <w:rPr>
          <w:rFonts w:ascii="Arial" w:hAnsi="Arial" w:cs="Arial"/>
          <w:sz w:val="22"/>
          <w:szCs w:val="22"/>
        </w:rPr>
        <w:t xml:space="preserve">  </w:t>
      </w:r>
    </w:p>
    <w:p w:rsidR="004C3B79" w:rsidRPr="00C27030" w:rsidRDefault="004C3B79" w:rsidP="004C3B79">
      <w:pPr>
        <w:tabs>
          <w:tab w:val="left" w:pos="567"/>
          <w:tab w:val="left" w:pos="1418"/>
          <w:tab w:val="decimal" w:pos="8505"/>
          <w:tab w:val="right" w:pos="8931"/>
        </w:tabs>
        <w:ind w:left="567" w:hanging="567"/>
        <w:jc w:val="both"/>
        <w:rPr>
          <w:rFonts w:ascii="Arial" w:hAnsi="Arial" w:cs="Arial"/>
          <w:sz w:val="22"/>
          <w:szCs w:val="22"/>
          <w:highlight w:val="yellow"/>
        </w:rPr>
      </w:pPr>
    </w:p>
    <w:p w:rsidR="004C3B79" w:rsidRPr="00C27030" w:rsidRDefault="004C3B79" w:rsidP="004C3B79">
      <w:pPr>
        <w:tabs>
          <w:tab w:val="left" w:pos="567"/>
          <w:tab w:val="left" w:pos="1418"/>
          <w:tab w:val="decimal" w:pos="8505"/>
          <w:tab w:val="right" w:pos="8931"/>
        </w:tabs>
        <w:ind w:left="1134" w:hanging="567"/>
        <w:jc w:val="both"/>
        <w:rPr>
          <w:rFonts w:ascii="Arial" w:hAnsi="Arial" w:cs="Arial"/>
          <w:sz w:val="22"/>
          <w:szCs w:val="22"/>
          <w:highlight w:val="yellow"/>
        </w:rPr>
      </w:pPr>
    </w:p>
    <w:tbl>
      <w:tblPr>
        <w:tblW w:w="3252" w:type="pct"/>
        <w:tblInd w:w="611" w:type="dxa"/>
        <w:tblLook w:val="04A0" w:firstRow="1" w:lastRow="0" w:firstColumn="1" w:lastColumn="0" w:noHBand="0" w:noVBand="1"/>
      </w:tblPr>
      <w:tblGrid>
        <w:gridCol w:w="3904"/>
        <w:gridCol w:w="1093"/>
        <w:gridCol w:w="1091"/>
      </w:tblGrid>
      <w:tr w:rsidR="004C3B79" w:rsidRPr="00C27030" w:rsidTr="00721530">
        <w:trPr>
          <w:trHeight w:val="285"/>
        </w:trPr>
        <w:tc>
          <w:tcPr>
            <w:tcW w:w="3206" w:type="pct"/>
            <w:tcBorders>
              <w:top w:val="nil"/>
              <w:left w:val="nil"/>
              <w:bottom w:val="nil"/>
              <w:right w:val="nil"/>
            </w:tcBorders>
            <w:shd w:val="clear" w:color="000000" w:fill="FFFFFF"/>
            <w:noWrap/>
            <w:vAlign w:val="center"/>
            <w:hideMark/>
          </w:tcPr>
          <w:p w:rsidR="004C3B79" w:rsidRPr="00C27030" w:rsidRDefault="004C3B79" w:rsidP="00721530">
            <w:pPr>
              <w:jc w:val="both"/>
              <w:rPr>
                <w:rFonts w:ascii="Arial" w:hAnsi="Arial" w:cs="Arial"/>
                <w:b/>
                <w:bCs/>
                <w:color w:val="000000"/>
                <w:sz w:val="22"/>
                <w:szCs w:val="22"/>
                <w:lang w:eastAsia="en-GB"/>
              </w:rPr>
            </w:pPr>
            <w:r w:rsidRPr="00C27030">
              <w:rPr>
                <w:rFonts w:ascii="Arial" w:hAnsi="Arial" w:cs="Arial"/>
                <w:b/>
                <w:bCs/>
                <w:color w:val="000000"/>
                <w:sz w:val="22"/>
                <w:szCs w:val="22"/>
                <w:lang w:eastAsia="en-GB"/>
              </w:rPr>
              <w:t>Balance at 31st March</w:t>
            </w:r>
          </w:p>
        </w:tc>
        <w:tc>
          <w:tcPr>
            <w:tcW w:w="898" w:type="pct"/>
            <w:tcBorders>
              <w:top w:val="nil"/>
              <w:left w:val="nil"/>
              <w:bottom w:val="nil"/>
              <w:right w:val="nil"/>
            </w:tcBorders>
            <w:shd w:val="clear" w:color="auto" w:fill="auto"/>
            <w:vAlign w:val="center"/>
            <w:hideMark/>
          </w:tcPr>
          <w:p w:rsidR="004C3B79" w:rsidRPr="009623BC" w:rsidRDefault="004C3B79" w:rsidP="00721530">
            <w:pPr>
              <w:jc w:val="center"/>
              <w:rPr>
                <w:rFonts w:ascii="Arial" w:hAnsi="Arial" w:cs="Arial"/>
                <w:b/>
                <w:bCs/>
                <w:sz w:val="22"/>
                <w:szCs w:val="22"/>
                <w:lang w:eastAsia="en-GB"/>
              </w:rPr>
            </w:pPr>
            <w:r w:rsidRPr="009623BC">
              <w:rPr>
                <w:rFonts w:ascii="Arial" w:hAnsi="Arial" w:cs="Arial"/>
                <w:b/>
                <w:bCs/>
                <w:sz w:val="22"/>
                <w:szCs w:val="22"/>
                <w:lang w:eastAsia="en-GB"/>
              </w:rPr>
              <w:t>£m</w:t>
            </w:r>
          </w:p>
        </w:tc>
        <w:tc>
          <w:tcPr>
            <w:tcW w:w="896" w:type="pct"/>
            <w:tcBorders>
              <w:top w:val="nil"/>
              <w:left w:val="nil"/>
              <w:bottom w:val="nil"/>
              <w:right w:val="nil"/>
            </w:tcBorders>
            <w:shd w:val="clear" w:color="auto" w:fill="auto"/>
            <w:vAlign w:val="center"/>
            <w:hideMark/>
          </w:tcPr>
          <w:p w:rsidR="004C3B79" w:rsidRPr="009623BC" w:rsidRDefault="004C3B79" w:rsidP="00721530">
            <w:pPr>
              <w:jc w:val="center"/>
              <w:rPr>
                <w:rFonts w:ascii="Arial" w:hAnsi="Arial" w:cs="Arial"/>
                <w:b/>
                <w:bCs/>
                <w:sz w:val="22"/>
                <w:szCs w:val="22"/>
                <w:lang w:eastAsia="en-GB"/>
              </w:rPr>
            </w:pPr>
            <w:r w:rsidRPr="009623BC">
              <w:rPr>
                <w:rFonts w:ascii="Arial" w:hAnsi="Arial" w:cs="Arial"/>
                <w:b/>
                <w:bCs/>
                <w:sz w:val="22"/>
                <w:szCs w:val="22"/>
                <w:lang w:eastAsia="en-GB"/>
              </w:rPr>
              <w:t>£m</w:t>
            </w:r>
          </w:p>
        </w:tc>
      </w:tr>
      <w:tr w:rsidR="004C3B79" w:rsidRPr="00C27030" w:rsidTr="00721530">
        <w:trPr>
          <w:trHeight w:val="285"/>
        </w:trPr>
        <w:tc>
          <w:tcPr>
            <w:tcW w:w="3206" w:type="pct"/>
            <w:tcBorders>
              <w:top w:val="nil"/>
              <w:left w:val="nil"/>
              <w:bottom w:val="nil"/>
              <w:right w:val="nil"/>
            </w:tcBorders>
            <w:shd w:val="clear" w:color="000000" w:fill="FFFFFF"/>
            <w:noWrap/>
            <w:vAlign w:val="center"/>
            <w:hideMark/>
          </w:tcPr>
          <w:p w:rsidR="004C3B79" w:rsidRPr="00C27030" w:rsidRDefault="004C3B79" w:rsidP="00721530">
            <w:pPr>
              <w:jc w:val="both"/>
              <w:rPr>
                <w:rFonts w:ascii="Arial" w:hAnsi="Arial" w:cs="Arial"/>
                <w:b/>
                <w:bCs/>
                <w:color w:val="000000"/>
                <w:sz w:val="22"/>
                <w:szCs w:val="22"/>
                <w:lang w:eastAsia="en-GB"/>
              </w:rPr>
            </w:pPr>
            <w:r w:rsidRPr="00C27030">
              <w:rPr>
                <w:rFonts w:ascii="Arial" w:hAnsi="Arial" w:cs="Arial"/>
                <w:b/>
                <w:bCs/>
                <w:color w:val="000000"/>
                <w:sz w:val="22"/>
                <w:szCs w:val="22"/>
                <w:lang w:eastAsia="en-GB"/>
              </w:rPr>
              <w:t> </w:t>
            </w:r>
          </w:p>
        </w:tc>
        <w:tc>
          <w:tcPr>
            <w:tcW w:w="898" w:type="pct"/>
            <w:tcBorders>
              <w:top w:val="nil"/>
              <w:left w:val="nil"/>
              <w:bottom w:val="nil"/>
              <w:right w:val="nil"/>
            </w:tcBorders>
            <w:shd w:val="clear" w:color="auto" w:fill="auto"/>
            <w:vAlign w:val="center"/>
            <w:hideMark/>
          </w:tcPr>
          <w:p w:rsidR="004C3B79" w:rsidRPr="009623BC" w:rsidRDefault="004C3B79" w:rsidP="00721530">
            <w:pPr>
              <w:jc w:val="center"/>
              <w:rPr>
                <w:rFonts w:ascii="Arial" w:hAnsi="Arial" w:cs="Arial"/>
                <w:b/>
                <w:bCs/>
                <w:sz w:val="22"/>
                <w:szCs w:val="22"/>
                <w:lang w:eastAsia="en-GB"/>
              </w:rPr>
            </w:pPr>
            <w:r w:rsidRPr="009623BC">
              <w:rPr>
                <w:rFonts w:ascii="Arial" w:hAnsi="Arial" w:cs="Arial"/>
                <w:b/>
                <w:bCs/>
                <w:sz w:val="22"/>
                <w:szCs w:val="22"/>
                <w:lang w:eastAsia="en-GB"/>
              </w:rPr>
              <w:t>201</w:t>
            </w:r>
            <w:r>
              <w:rPr>
                <w:rFonts w:ascii="Arial" w:hAnsi="Arial" w:cs="Arial"/>
                <w:b/>
                <w:bCs/>
                <w:sz w:val="22"/>
                <w:szCs w:val="22"/>
                <w:lang w:eastAsia="en-GB"/>
              </w:rPr>
              <w:t>7</w:t>
            </w:r>
            <w:r w:rsidRPr="009623BC">
              <w:rPr>
                <w:rFonts w:ascii="Arial" w:hAnsi="Arial" w:cs="Arial"/>
                <w:b/>
                <w:bCs/>
                <w:sz w:val="22"/>
                <w:szCs w:val="22"/>
                <w:lang w:eastAsia="en-GB"/>
              </w:rPr>
              <w:t>-1</w:t>
            </w:r>
            <w:r>
              <w:rPr>
                <w:rFonts w:ascii="Arial" w:hAnsi="Arial" w:cs="Arial"/>
                <w:b/>
                <w:bCs/>
                <w:sz w:val="22"/>
                <w:szCs w:val="22"/>
                <w:lang w:eastAsia="en-GB"/>
              </w:rPr>
              <w:t>8</w:t>
            </w:r>
          </w:p>
        </w:tc>
        <w:tc>
          <w:tcPr>
            <w:tcW w:w="896" w:type="pct"/>
            <w:tcBorders>
              <w:top w:val="nil"/>
              <w:left w:val="nil"/>
              <w:bottom w:val="nil"/>
              <w:right w:val="nil"/>
            </w:tcBorders>
            <w:shd w:val="clear" w:color="auto" w:fill="auto"/>
            <w:vAlign w:val="center"/>
            <w:hideMark/>
          </w:tcPr>
          <w:p w:rsidR="004C3B79" w:rsidRPr="009623BC" w:rsidRDefault="004C3B79" w:rsidP="00721530">
            <w:pPr>
              <w:jc w:val="center"/>
              <w:rPr>
                <w:rFonts w:ascii="Arial" w:hAnsi="Arial" w:cs="Arial"/>
                <w:b/>
                <w:bCs/>
                <w:sz w:val="22"/>
                <w:szCs w:val="22"/>
                <w:lang w:eastAsia="en-GB"/>
              </w:rPr>
            </w:pPr>
            <w:r w:rsidRPr="009623BC">
              <w:rPr>
                <w:rFonts w:ascii="Arial" w:hAnsi="Arial" w:cs="Arial"/>
                <w:b/>
                <w:bCs/>
                <w:sz w:val="22"/>
                <w:szCs w:val="22"/>
                <w:lang w:eastAsia="en-GB"/>
              </w:rPr>
              <w:t>201</w:t>
            </w:r>
            <w:r>
              <w:rPr>
                <w:rFonts w:ascii="Arial" w:hAnsi="Arial" w:cs="Arial"/>
                <w:b/>
                <w:bCs/>
                <w:sz w:val="22"/>
                <w:szCs w:val="22"/>
                <w:lang w:eastAsia="en-GB"/>
              </w:rPr>
              <w:t>8</w:t>
            </w:r>
            <w:r w:rsidRPr="009623BC">
              <w:rPr>
                <w:rFonts w:ascii="Arial" w:hAnsi="Arial" w:cs="Arial"/>
                <w:b/>
                <w:bCs/>
                <w:sz w:val="22"/>
                <w:szCs w:val="22"/>
                <w:lang w:eastAsia="en-GB"/>
              </w:rPr>
              <w:t>-1</w:t>
            </w:r>
            <w:r>
              <w:rPr>
                <w:rFonts w:ascii="Arial" w:hAnsi="Arial" w:cs="Arial"/>
                <w:b/>
                <w:bCs/>
                <w:sz w:val="22"/>
                <w:szCs w:val="22"/>
                <w:lang w:eastAsia="en-GB"/>
              </w:rPr>
              <w:t>9</w:t>
            </w:r>
          </w:p>
        </w:tc>
      </w:tr>
      <w:tr w:rsidR="004C3B79" w:rsidRPr="00C27030" w:rsidTr="00721530">
        <w:trPr>
          <w:trHeight w:val="330"/>
        </w:trPr>
        <w:tc>
          <w:tcPr>
            <w:tcW w:w="3206" w:type="pct"/>
            <w:tcBorders>
              <w:top w:val="nil"/>
              <w:left w:val="nil"/>
              <w:bottom w:val="nil"/>
              <w:right w:val="nil"/>
            </w:tcBorders>
            <w:shd w:val="clear" w:color="000000" w:fill="FFFFFF"/>
            <w:vAlign w:val="center"/>
            <w:hideMark/>
          </w:tcPr>
          <w:p w:rsidR="004C3B79" w:rsidRPr="00C27030" w:rsidRDefault="004C3B79" w:rsidP="00721530">
            <w:pPr>
              <w:jc w:val="both"/>
              <w:rPr>
                <w:rFonts w:ascii="Arial" w:hAnsi="Arial" w:cs="Arial"/>
                <w:color w:val="000000"/>
                <w:sz w:val="22"/>
                <w:szCs w:val="22"/>
                <w:lang w:eastAsia="en-GB"/>
              </w:rPr>
            </w:pPr>
            <w:r w:rsidRPr="00C27030">
              <w:rPr>
                <w:rFonts w:ascii="Arial" w:hAnsi="Arial" w:cs="Arial"/>
                <w:color w:val="000000"/>
                <w:sz w:val="22"/>
                <w:szCs w:val="22"/>
                <w:lang w:eastAsia="en-GB"/>
              </w:rPr>
              <w:t>PCC Transformation Reserve</w:t>
            </w:r>
          </w:p>
        </w:tc>
        <w:tc>
          <w:tcPr>
            <w:tcW w:w="898" w:type="pct"/>
            <w:tcBorders>
              <w:top w:val="nil"/>
              <w:left w:val="nil"/>
              <w:bottom w:val="nil"/>
              <w:right w:val="nil"/>
            </w:tcBorders>
            <w:shd w:val="clear" w:color="000000" w:fill="FFFFFF"/>
            <w:vAlign w:val="center"/>
            <w:hideMark/>
          </w:tcPr>
          <w:p w:rsidR="004C3B79" w:rsidRPr="00C27030" w:rsidRDefault="004C3B79" w:rsidP="00721530">
            <w:pPr>
              <w:jc w:val="right"/>
              <w:rPr>
                <w:rFonts w:ascii="Arial" w:hAnsi="Arial" w:cs="Arial"/>
                <w:color w:val="000000"/>
                <w:sz w:val="22"/>
                <w:szCs w:val="22"/>
                <w:lang w:eastAsia="en-GB"/>
              </w:rPr>
            </w:pPr>
            <w:r w:rsidRPr="00C27030">
              <w:rPr>
                <w:rFonts w:ascii="Arial" w:hAnsi="Arial" w:cs="Arial"/>
                <w:color w:val="000000"/>
                <w:sz w:val="22"/>
                <w:szCs w:val="22"/>
                <w:lang w:eastAsia="en-GB"/>
              </w:rPr>
              <w:t>1</w:t>
            </w:r>
            <w:r>
              <w:rPr>
                <w:rFonts w:ascii="Arial" w:hAnsi="Arial" w:cs="Arial"/>
                <w:color w:val="000000"/>
                <w:sz w:val="22"/>
                <w:szCs w:val="22"/>
                <w:lang w:eastAsia="en-GB"/>
              </w:rPr>
              <w:t>4</w:t>
            </w:r>
            <w:r w:rsidRPr="00C27030">
              <w:rPr>
                <w:rFonts w:ascii="Arial" w:hAnsi="Arial" w:cs="Arial"/>
                <w:color w:val="000000"/>
                <w:sz w:val="22"/>
                <w:szCs w:val="22"/>
                <w:lang w:eastAsia="en-GB"/>
              </w:rPr>
              <w:t>,</w:t>
            </w:r>
            <w:r>
              <w:rPr>
                <w:rFonts w:ascii="Arial" w:hAnsi="Arial" w:cs="Arial"/>
                <w:color w:val="000000"/>
                <w:sz w:val="22"/>
                <w:szCs w:val="22"/>
                <w:lang w:eastAsia="en-GB"/>
              </w:rPr>
              <w:t>0</w:t>
            </w:r>
            <w:r w:rsidRPr="00C27030">
              <w:rPr>
                <w:rFonts w:ascii="Arial" w:hAnsi="Arial" w:cs="Arial"/>
                <w:color w:val="000000"/>
                <w:sz w:val="22"/>
                <w:szCs w:val="22"/>
                <w:lang w:eastAsia="en-GB"/>
              </w:rPr>
              <w:t>89</w:t>
            </w:r>
          </w:p>
        </w:tc>
        <w:tc>
          <w:tcPr>
            <w:tcW w:w="896" w:type="pct"/>
            <w:tcBorders>
              <w:top w:val="nil"/>
              <w:left w:val="nil"/>
              <w:bottom w:val="nil"/>
              <w:right w:val="nil"/>
            </w:tcBorders>
            <w:shd w:val="clear" w:color="000000" w:fill="FFFFFF"/>
            <w:vAlign w:val="center"/>
            <w:hideMark/>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2</w:t>
            </w:r>
            <w:r w:rsidRPr="00C27030">
              <w:rPr>
                <w:rFonts w:ascii="Arial" w:hAnsi="Arial" w:cs="Arial"/>
                <w:color w:val="000000"/>
                <w:sz w:val="22"/>
                <w:szCs w:val="22"/>
                <w:lang w:eastAsia="en-GB"/>
              </w:rPr>
              <w:t>,</w:t>
            </w:r>
            <w:r>
              <w:rPr>
                <w:rFonts w:ascii="Arial" w:hAnsi="Arial" w:cs="Arial"/>
                <w:color w:val="000000"/>
                <w:sz w:val="22"/>
                <w:szCs w:val="22"/>
                <w:lang w:eastAsia="en-GB"/>
              </w:rPr>
              <w:t>0</w:t>
            </w:r>
            <w:r w:rsidRPr="00C27030">
              <w:rPr>
                <w:rFonts w:ascii="Arial" w:hAnsi="Arial" w:cs="Arial"/>
                <w:color w:val="000000"/>
                <w:sz w:val="22"/>
                <w:szCs w:val="22"/>
                <w:lang w:eastAsia="en-GB"/>
              </w:rPr>
              <w:t>89</w:t>
            </w:r>
          </w:p>
        </w:tc>
      </w:tr>
      <w:tr w:rsidR="004C3B79" w:rsidRPr="00C27030" w:rsidTr="00721530">
        <w:trPr>
          <w:trHeight w:val="330"/>
        </w:trPr>
        <w:tc>
          <w:tcPr>
            <w:tcW w:w="3206" w:type="pct"/>
            <w:tcBorders>
              <w:top w:val="nil"/>
              <w:left w:val="nil"/>
              <w:bottom w:val="nil"/>
              <w:right w:val="nil"/>
            </w:tcBorders>
            <w:shd w:val="clear" w:color="000000" w:fill="FFFFFF"/>
            <w:vAlign w:val="center"/>
            <w:hideMark/>
          </w:tcPr>
          <w:p w:rsidR="004C3B79" w:rsidRPr="00C27030" w:rsidRDefault="004C3B79" w:rsidP="00721530">
            <w:pPr>
              <w:jc w:val="both"/>
              <w:rPr>
                <w:rFonts w:ascii="Arial" w:hAnsi="Arial" w:cs="Arial"/>
                <w:color w:val="000000"/>
                <w:sz w:val="22"/>
                <w:szCs w:val="22"/>
                <w:lang w:eastAsia="en-GB"/>
              </w:rPr>
            </w:pPr>
            <w:r w:rsidRPr="00C27030">
              <w:rPr>
                <w:rFonts w:ascii="Arial" w:hAnsi="Arial" w:cs="Arial"/>
                <w:color w:val="000000"/>
                <w:sz w:val="22"/>
                <w:szCs w:val="22"/>
                <w:lang w:eastAsia="en-GB"/>
              </w:rPr>
              <w:t>PCC Comm</w:t>
            </w:r>
            <w:r>
              <w:rPr>
                <w:rFonts w:ascii="Arial" w:hAnsi="Arial" w:cs="Arial"/>
                <w:color w:val="000000"/>
                <w:sz w:val="22"/>
                <w:szCs w:val="22"/>
                <w:lang w:eastAsia="en-GB"/>
              </w:rPr>
              <w:t>issioning Reserve</w:t>
            </w:r>
          </w:p>
        </w:tc>
        <w:tc>
          <w:tcPr>
            <w:tcW w:w="898" w:type="pct"/>
            <w:tcBorders>
              <w:top w:val="nil"/>
              <w:left w:val="nil"/>
              <w:bottom w:val="nil"/>
              <w:right w:val="nil"/>
            </w:tcBorders>
            <w:shd w:val="clear" w:color="000000" w:fill="FFFFFF"/>
            <w:vAlign w:val="center"/>
            <w:hideMark/>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10</w:t>
            </w:r>
            <w:r w:rsidRPr="00C27030">
              <w:rPr>
                <w:rFonts w:ascii="Arial" w:hAnsi="Arial" w:cs="Arial"/>
                <w:color w:val="000000"/>
                <w:sz w:val="22"/>
                <w:szCs w:val="22"/>
                <w:lang w:eastAsia="en-GB"/>
              </w:rPr>
              <w:t>,</w:t>
            </w:r>
            <w:r>
              <w:rPr>
                <w:rFonts w:ascii="Arial" w:hAnsi="Arial" w:cs="Arial"/>
                <w:color w:val="000000"/>
                <w:sz w:val="22"/>
                <w:szCs w:val="22"/>
                <w:lang w:eastAsia="en-GB"/>
              </w:rPr>
              <w:t>184</w:t>
            </w:r>
          </w:p>
        </w:tc>
        <w:tc>
          <w:tcPr>
            <w:tcW w:w="896" w:type="pct"/>
            <w:tcBorders>
              <w:top w:val="nil"/>
              <w:left w:val="nil"/>
              <w:bottom w:val="nil"/>
              <w:right w:val="nil"/>
            </w:tcBorders>
            <w:shd w:val="clear" w:color="000000" w:fill="FFFFFF"/>
            <w:vAlign w:val="center"/>
            <w:hideMark/>
          </w:tcPr>
          <w:p w:rsidR="004C3B79" w:rsidRPr="00C27030" w:rsidRDefault="004C3B79" w:rsidP="00721530">
            <w:pPr>
              <w:jc w:val="right"/>
              <w:rPr>
                <w:rFonts w:ascii="Arial" w:hAnsi="Arial" w:cs="Arial"/>
                <w:color w:val="000000"/>
                <w:sz w:val="22"/>
                <w:szCs w:val="22"/>
                <w:lang w:eastAsia="en-GB"/>
              </w:rPr>
            </w:pPr>
            <w:r w:rsidRPr="00C27030">
              <w:rPr>
                <w:rFonts w:ascii="Arial" w:hAnsi="Arial" w:cs="Arial"/>
                <w:color w:val="000000"/>
                <w:sz w:val="22"/>
                <w:szCs w:val="22"/>
                <w:lang w:eastAsia="en-GB"/>
              </w:rPr>
              <w:t>8,</w:t>
            </w:r>
            <w:r>
              <w:rPr>
                <w:rFonts w:ascii="Arial" w:hAnsi="Arial" w:cs="Arial"/>
                <w:color w:val="000000"/>
                <w:sz w:val="22"/>
                <w:szCs w:val="22"/>
                <w:lang w:eastAsia="en-GB"/>
              </w:rPr>
              <w:t>786</w:t>
            </w:r>
          </w:p>
        </w:tc>
      </w:tr>
      <w:tr w:rsidR="004C3B79" w:rsidRPr="00C27030" w:rsidTr="00721530">
        <w:trPr>
          <w:trHeight w:val="330"/>
        </w:trPr>
        <w:tc>
          <w:tcPr>
            <w:tcW w:w="3206" w:type="pct"/>
            <w:tcBorders>
              <w:top w:val="nil"/>
              <w:left w:val="nil"/>
              <w:bottom w:val="nil"/>
              <w:right w:val="nil"/>
            </w:tcBorders>
            <w:shd w:val="clear" w:color="000000" w:fill="FFFFFF"/>
            <w:vAlign w:val="center"/>
            <w:hideMark/>
          </w:tcPr>
          <w:p w:rsidR="004C3B79" w:rsidRPr="00C27030" w:rsidRDefault="004C3B79" w:rsidP="00721530">
            <w:pPr>
              <w:jc w:val="both"/>
              <w:rPr>
                <w:rFonts w:ascii="Arial" w:hAnsi="Arial" w:cs="Arial"/>
                <w:color w:val="000000"/>
                <w:sz w:val="22"/>
                <w:szCs w:val="22"/>
                <w:lang w:eastAsia="en-GB"/>
              </w:rPr>
            </w:pPr>
            <w:r w:rsidRPr="00C27030">
              <w:rPr>
                <w:rFonts w:ascii="Arial" w:hAnsi="Arial" w:cs="Arial"/>
                <w:color w:val="000000"/>
                <w:sz w:val="22"/>
                <w:szCs w:val="22"/>
                <w:lang w:eastAsia="en-GB"/>
              </w:rPr>
              <w:t>MOJ Commissioning</w:t>
            </w:r>
          </w:p>
        </w:tc>
        <w:tc>
          <w:tcPr>
            <w:tcW w:w="898" w:type="pct"/>
            <w:tcBorders>
              <w:top w:val="nil"/>
              <w:left w:val="nil"/>
              <w:bottom w:val="nil"/>
              <w:right w:val="nil"/>
            </w:tcBorders>
            <w:shd w:val="clear" w:color="000000" w:fill="FFFFFF"/>
            <w:vAlign w:val="center"/>
            <w:hideMark/>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2,107</w:t>
            </w:r>
          </w:p>
        </w:tc>
        <w:tc>
          <w:tcPr>
            <w:tcW w:w="896" w:type="pct"/>
            <w:tcBorders>
              <w:top w:val="nil"/>
              <w:left w:val="nil"/>
              <w:bottom w:val="nil"/>
              <w:right w:val="nil"/>
            </w:tcBorders>
            <w:shd w:val="clear" w:color="000000" w:fill="FFFFFF"/>
            <w:vAlign w:val="center"/>
            <w:hideMark/>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714</w:t>
            </w:r>
          </w:p>
        </w:tc>
      </w:tr>
      <w:tr w:rsidR="004C3B79" w:rsidRPr="00C27030" w:rsidTr="00721530">
        <w:trPr>
          <w:trHeight w:val="330"/>
        </w:trPr>
        <w:tc>
          <w:tcPr>
            <w:tcW w:w="3206" w:type="pct"/>
            <w:tcBorders>
              <w:top w:val="nil"/>
              <w:left w:val="nil"/>
              <w:bottom w:val="nil"/>
              <w:right w:val="nil"/>
            </w:tcBorders>
            <w:shd w:val="clear" w:color="000000" w:fill="FFFFFF"/>
            <w:vAlign w:val="center"/>
            <w:hideMark/>
          </w:tcPr>
          <w:p w:rsidR="004C3B79" w:rsidRPr="00C27030" w:rsidRDefault="004C3B79" w:rsidP="00721530">
            <w:pPr>
              <w:jc w:val="both"/>
              <w:rPr>
                <w:rFonts w:ascii="Arial" w:hAnsi="Arial" w:cs="Arial"/>
                <w:color w:val="000000"/>
                <w:sz w:val="22"/>
                <w:szCs w:val="22"/>
                <w:lang w:eastAsia="en-GB"/>
              </w:rPr>
            </w:pPr>
            <w:r w:rsidRPr="00C27030">
              <w:rPr>
                <w:rFonts w:ascii="Arial" w:hAnsi="Arial" w:cs="Arial"/>
                <w:color w:val="000000"/>
                <w:sz w:val="22"/>
                <w:szCs w:val="22"/>
                <w:lang w:eastAsia="en-GB"/>
              </w:rPr>
              <w:t>PCC Comm</w:t>
            </w:r>
            <w:r>
              <w:rPr>
                <w:rFonts w:ascii="Arial" w:hAnsi="Arial" w:cs="Arial"/>
                <w:color w:val="000000"/>
                <w:sz w:val="22"/>
                <w:szCs w:val="22"/>
                <w:lang w:eastAsia="en-GB"/>
              </w:rPr>
              <w:t>unity Crime Fund</w:t>
            </w:r>
          </w:p>
        </w:tc>
        <w:tc>
          <w:tcPr>
            <w:tcW w:w="898" w:type="pct"/>
            <w:tcBorders>
              <w:top w:val="nil"/>
              <w:left w:val="nil"/>
              <w:bottom w:val="nil"/>
              <w:right w:val="nil"/>
            </w:tcBorders>
            <w:shd w:val="clear" w:color="000000" w:fill="FFFFFF"/>
            <w:vAlign w:val="center"/>
            <w:hideMark/>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4</w:t>
            </w:r>
            <w:r w:rsidRPr="00C27030">
              <w:rPr>
                <w:rFonts w:ascii="Arial" w:hAnsi="Arial" w:cs="Arial"/>
                <w:color w:val="000000"/>
                <w:sz w:val="22"/>
                <w:szCs w:val="22"/>
                <w:lang w:eastAsia="en-GB"/>
              </w:rPr>
              <w:t>,8</w:t>
            </w:r>
            <w:r>
              <w:rPr>
                <w:rFonts w:ascii="Arial" w:hAnsi="Arial" w:cs="Arial"/>
                <w:color w:val="000000"/>
                <w:sz w:val="22"/>
                <w:szCs w:val="22"/>
                <w:lang w:eastAsia="en-GB"/>
              </w:rPr>
              <w:t>25</w:t>
            </w:r>
          </w:p>
        </w:tc>
        <w:tc>
          <w:tcPr>
            <w:tcW w:w="896" w:type="pct"/>
            <w:tcBorders>
              <w:top w:val="nil"/>
              <w:left w:val="nil"/>
              <w:bottom w:val="nil"/>
              <w:right w:val="nil"/>
            </w:tcBorders>
            <w:shd w:val="clear" w:color="000000" w:fill="FFFFFF"/>
            <w:vAlign w:val="center"/>
            <w:hideMark/>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4</w:t>
            </w:r>
            <w:r w:rsidRPr="00C27030">
              <w:rPr>
                <w:rFonts w:ascii="Arial" w:hAnsi="Arial" w:cs="Arial"/>
                <w:color w:val="000000"/>
                <w:sz w:val="22"/>
                <w:szCs w:val="22"/>
                <w:lang w:eastAsia="en-GB"/>
              </w:rPr>
              <w:t>,</w:t>
            </w:r>
            <w:r>
              <w:rPr>
                <w:rFonts w:ascii="Arial" w:hAnsi="Arial" w:cs="Arial"/>
                <w:color w:val="000000"/>
                <w:sz w:val="22"/>
                <w:szCs w:val="22"/>
                <w:lang w:eastAsia="en-GB"/>
              </w:rPr>
              <w:t>637</w:t>
            </w:r>
          </w:p>
        </w:tc>
      </w:tr>
      <w:tr w:rsidR="004C3B79" w:rsidRPr="00C27030" w:rsidTr="00721530">
        <w:trPr>
          <w:trHeight w:val="330"/>
        </w:trPr>
        <w:tc>
          <w:tcPr>
            <w:tcW w:w="3206" w:type="pct"/>
            <w:tcBorders>
              <w:top w:val="nil"/>
              <w:left w:val="nil"/>
              <w:bottom w:val="nil"/>
              <w:right w:val="nil"/>
            </w:tcBorders>
            <w:shd w:val="clear" w:color="000000" w:fill="FFFFFF"/>
            <w:vAlign w:val="center"/>
          </w:tcPr>
          <w:p w:rsidR="004C3B79" w:rsidRPr="00C27030" w:rsidRDefault="004C3B79" w:rsidP="00721530">
            <w:pPr>
              <w:jc w:val="both"/>
              <w:rPr>
                <w:rFonts w:ascii="Arial" w:hAnsi="Arial" w:cs="Arial"/>
                <w:color w:val="000000"/>
                <w:sz w:val="22"/>
                <w:szCs w:val="22"/>
                <w:lang w:eastAsia="en-GB"/>
              </w:rPr>
            </w:pPr>
            <w:r>
              <w:rPr>
                <w:rFonts w:ascii="Arial" w:hAnsi="Arial" w:cs="Arial"/>
                <w:color w:val="000000"/>
                <w:sz w:val="22"/>
                <w:szCs w:val="22"/>
                <w:lang w:eastAsia="en-GB"/>
              </w:rPr>
              <w:t>Legal Reserve</w:t>
            </w:r>
          </w:p>
        </w:tc>
        <w:tc>
          <w:tcPr>
            <w:tcW w:w="898" w:type="pct"/>
            <w:tcBorders>
              <w:top w:val="nil"/>
              <w:left w:val="nil"/>
              <w:bottom w:val="nil"/>
              <w:right w:val="nil"/>
            </w:tcBorders>
            <w:shd w:val="clear" w:color="000000" w:fill="FFFFFF"/>
            <w:vAlign w:val="center"/>
          </w:tcPr>
          <w:p w:rsidR="004C3B79"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1,855</w:t>
            </w:r>
          </w:p>
        </w:tc>
        <w:tc>
          <w:tcPr>
            <w:tcW w:w="896" w:type="pct"/>
            <w:tcBorders>
              <w:top w:val="nil"/>
              <w:left w:val="nil"/>
              <w:bottom w:val="nil"/>
              <w:right w:val="nil"/>
            </w:tcBorders>
            <w:shd w:val="clear" w:color="000000" w:fill="FFFFFF"/>
            <w:vAlign w:val="center"/>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1,855</w:t>
            </w:r>
          </w:p>
        </w:tc>
      </w:tr>
      <w:tr w:rsidR="004C3B79" w:rsidRPr="00C27030" w:rsidTr="00721530">
        <w:trPr>
          <w:trHeight w:val="330"/>
        </w:trPr>
        <w:tc>
          <w:tcPr>
            <w:tcW w:w="3206" w:type="pct"/>
            <w:tcBorders>
              <w:top w:val="nil"/>
              <w:left w:val="nil"/>
              <w:bottom w:val="nil"/>
              <w:right w:val="nil"/>
            </w:tcBorders>
            <w:shd w:val="clear" w:color="000000" w:fill="FFFFFF"/>
            <w:vAlign w:val="center"/>
            <w:hideMark/>
          </w:tcPr>
          <w:p w:rsidR="004C3B79" w:rsidRPr="00C27030" w:rsidRDefault="004C3B79" w:rsidP="00721530">
            <w:pPr>
              <w:jc w:val="both"/>
              <w:rPr>
                <w:rFonts w:ascii="Arial" w:hAnsi="Arial" w:cs="Arial"/>
                <w:color w:val="000000"/>
                <w:sz w:val="22"/>
                <w:szCs w:val="22"/>
                <w:lang w:eastAsia="en-GB"/>
              </w:rPr>
            </w:pPr>
            <w:r>
              <w:rPr>
                <w:rFonts w:ascii="Arial" w:hAnsi="Arial" w:cs="Arial"/>
                <w:color w:val="000000"/>
                <w:sz w:val="22"/>
                <w:szCs w:val="22"/>
                <w:lang w:eastAsia="en-GB"/>
              </w:rPr>
              <w:t xml:space="preserve">ISTP Capital </w:t>
            </w:r>
            <w:r w:rsidRPr="00C27030">
              <w:rPr>
                <w:rFonts w:ascii="Arial" w:hAnsi="Arial" w:cs="Arial"/>
                <w:color w:val="000000"/>
                <w:sz w:val="22"/>
                <w:szCs w:val="22"/>
                <w:lang w:eastAsia="en-GB"/>
              </w:rPr>
              <w:t>Reserve</w:t>
            </w:r>
          </w:p>
        </w:tc>
        <w:tc>
          <w:tcPr>
            <w:tcW w:w="898" w:type="pct"/>
            <w:tcBorders>
              <w:top w:val="nil"/>
              <w:left w:val="nil"/>
              <w:bottom w:val="nil"/>
              <w:right w:val="nil"/>
            </w:tcBorders>
            <w:shd w:val="clear" w:color="000000" w:fill="FFFFFF"/>
            <w:vAlign w:val="center"/>
            <w:hideMark/>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2</w:t>
            </w:r>
            <w:r w:rsidRPr="00C27030">
              <w:rPr>
                <w:rFonts w:ascii="Arial" w:hAnsi="Arial" w:cs="Arial"/>
                <w:color w:val="000000"/>
                <w:sz w:val="22"/>
                <w:szCs w:val="22"/>
                <w:lang w:eastAsia="en-GB"/>
              </w:rPr>
              <w:t>,</w:t>
            </w:r>
            <w:r>
              <w:rPr>
                <w:rFonts w:ascii="Arial" w:hAnsi="Arial" w:cs="Arial"/>
                <w:color w:val="000000"/>
                <w:sz w:val="22"/>
                <w:szCs w:val="22"/>
                <w:lang w:eastAsia="en-GB"/>
              </w:rPr>
              <w:t>219</w:t>
            </w:r>
          </w:p>
        </w:tc>
        <w:tc>
          <w:tcPr>
            <w:tcW w:w="896" w:type="pct"/>
            <w:tcBorders>
              <w:top w:val="nil"/>
              <w:left w:val="nil"/>
              <w:bottom w:val="nil"/>
              <w:right w:val="nil"/>
            </w:tcBorders>
            <w:shd w:val="clear" w:color="000000" w:fill="FFFFFF"/>
            <w:vAlign w:val="center"/>
            <w:hideMark/>
          </w:tcPr>
          <w:p w:rsidR="004C3B79" w:rsidRPr="00C27030" w:rsidRDefault="004C3B79" w:rsidP="00721530">
            <w:pPr>
              <w:jc w:val="right"/>
              <w:rPr>
                <w:rFonts w:ascii="Arial" w:hAnsi="Arial" w:cs="Arial"/>
                <w:color w:val="000000"/>
                <w:sz w:val="22"/>
                <w:szCs w:val="22"/>
                <w:lang w:eastAsia="en-GB"/>
              </w:rPr>
            </w:pPr>
            <w:r w:rsidRPr="00C27030">
              <w:rPr>
                <w:rFonts w:ascii="Arial" w:hAnsi="Arial" w:cs="Arial"/>
                <w:color w:val="000000"/>
                <w:sz w:val="22"/>
                <w:szCs w:val="22"/>
                <w:lang w:eastAsia="en-GB"/>
              </w:rPr>
              <w:t>0</w:t>
            </w:r>
          </w:p>
        </w:tc>
      </w:tr>
      <w:tr w:rsidR="004C3B79" w:rsidRPr="00C27030" w:rsidTr="00721530">
        <w:trPr>
          <w:trHeight w:val="330"/>
        </w:trPr>
        <w:tc>
          <w:tcPr>
            <w:tcW w:w="3206" w:type="pct"/>
            <w:tcBorders>
              <w:top w:val="nil"/>
              <w:left w:val="nil"/>
              <w:bottom w:val="nil"/>
              <w:right w:val="nil"/>
            </w:tcBorders>
            <w:shd w:val="clear" w:color="000000" w:fill="FFFFFF"/>
            <w:vAlign w:val="center"/>
          </w:tcPr>
          <w:p w:rsidR="004C3B79" w:rsidRPr="00C27030" w:rsidRDefault="004C3B79" w:rsidP="00721530">
            <w:pPr>
              <w:jc w:val="both"/>
              <w:rPr>
                <w:rFonts w:ascii="Arial" w:hAnsi="Arial" w:cs="Arial"/>
                <w:color w:val="000000"/>
                <w:sz w:val="22"/>
                <w:szCs w:val="22"/>
                <w:lang w:eastAsia="en-GB"/>
              </w:rPr>
            </w:pPr>
            <w:r>
              <w:rPr>
                <w:rFonts w:ascii="Arial" w:hAnsi="Arial" w:cs="Arial"/>
                <w:color w:val="000000"/>
                <w:sz w:val="22"/>
                <w:szCs w:val="22"/>
                <w:lang w:eastAsia="en-GB"/>
              </w:rPr>
              <w:t>Operational Contingency Reserve</w:t>
            </w:r>
          </w:p>
        </w:tc>
        <w:tc>
          <w:tcPr>
            <w:tcW w:w="898" w:type="pct"/>
            <w:tcBorders>
              <w:top w:val="nil"/>
              <w:left w:val="nil"/>
              <w:bottom w:val="nil"/>
              <w:right w:val="nil"/>
            </w:tcBorders>
            <w:shd w:val="clear" w:color="000000" w:fill="FFFFFF"/>
            <w:vAlign w:val="center"/>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3,778</w:t>
            </w:r>
          </w:p>
        </w:tc>
        <w:tc>
          <w:tcPr>
            <w:tcW w:w="896" w:type="pct"/>
            <w:tcBorders>
              <w:top w:val="nil"/>
              <w:left w:val="nil"/>
              <w:bottom w:val="nil"/>
              <w:right w:val="nil"/>
            </w:tcBorders>
            <w:shd w:val="clear" w:color="000000" w:fill="FFFFFF"/>
            <w:vAlign w:val="center"/>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2,378</w:t>
            </w:r>
          </w:p>
        </w:tc>
      </w:tr>
      <w:tr w:rsidR="004C3B79" w:rsidRPr="00C27030" w:rsidTr="00721530">
        <w:trPr>
          <w:trHeight w:val="345"/>
        </w:trPr>
        <w:tc>
          <w:tcPr>
            <w:tcW w:w="3206" w:type="pct"/>
            <w:tcBorders>
              <w:top w:val="nil"/>
              <w:left w:val="nil"/>
              <w:bottom w:val="nil"/>
              <w:right w:val="nil"/>
            </w:tcBorders>
            <w:shd w:val="clear" w:color="000000" w:fill="FFFFFF"/>
            <w:vAlign w:val="center"/>
            <w:hideMark/>
          </w:tcPr>
          <w:p w:rsidR="004C3B79" w:rsidRPr="00C27030" w:rsidRDefault="004C3B79" w:rsidP="00721530">
            <w:pPr>
              <w:jc w:val="both"/>
              <w:rPr>
                <w:rFonts w:ascii="Arial" w:hAnsi="Arial" w:cs="Arial"/>
                <w:color w:val="000000"/>
                <w:sz w:val="22"/>
                <w:szCs w:val="22"/>
                <w:lang w:eastAsia="en-GB"/>
              </w:rPr>
            </w:pPr>
            <w:r w:rsidRPr="00C27030">
              <w:rPr>
                <w:rFonts w:ascii="Arial" w:hAnsi="Arial" w:cs="Arial"/>
                <w:color w:val="000000"/>
                <w:sz w:val="22"/>
                <w:szCs w:val="22"/>
                <w:lang w:eastAsia="en-GB"/>
              </w:rPr>
              <w:t>Other</w:t>
            </w:r>
          </w:p>
        </w:tc>
        <w:tc>
          <w:tcPr>
            <w:tcW w:w="898" w:type="pct"/>
            <w:tcBorders>
              <w:top w:val="nil"/>
              <w:left w:val="nil"/>
              <w:bottom w:val="nil"/>
              <w:right w:val="nil"/>
            </w:tcBorders>
            <w:shd w:val="clear" w:color="000000" w:fill="FFFFFF"/>
            <w:vAlign w:val="center"/>
            <w:hideMark/>
          </w:tcPr>
          <w:p w:rsidR="004C3B79" w:rsidRPr="00C27030" w:rsidRDefault="004C3B79" w:rsidP="00721530">
            <w:pPr>
              <w:jc w:val="right"/>
              <w:rPr>
                <w:rFonts w:ascii="Arial" w:hAnsi="Arial" w:cs="Arial"/>
                <w:color w:val="000000"/>
                <w:sz w:val="22"/>
                <w:szCs w:val="22"/>
                <w:lang w:eastAsia="en-GB"/>
              </w:rPr>
            </w:pPr>
            <w:r w:rsidRPr="00C27030">
              <w:rPr>
                <w:rFonts w:ascii="Arial" w:hAnsi="Arial" w:cs="Arial"/>
                <w:color w:val="000000"/>
                <w:sz w:val="22"/>
                <w:szCs w:val="22"/>
                <w:lang w:eastAsia="en-GB"/>
              </w:rPr>
              <w:t>4,</w:t>
            </w:r>
            <w:r>
              <w:rPr>
                <w:rFonts w:ascii="Arial" w:hAnsi="Arial" w:cs="Arial"/>
                <w:color w:val="000000"/>
                <w:sz w:val="22"/>
                <w:szCs w:val="22"/>
                <w:lang w:eastAsia="en-GB"/>
              </w:rPr>
              <w:t>97</w:t>
            </w:r>
            <w:r w:rsidRPr="00C27030">
              <w:rPr>
                <w:rFonts w:ascii="Arial" w:hAnsi="Arial" w:cs="Arial"/>
                <w:color w:val="000000"/>
                <w:sz w:val="22"/>
                <w:szCs w:val="22"/>
                <w:lang w:eastAsia="en-GB"/>
              </w:rPr>
              <w:t>7</w:t>
            </w:r>
          </w:p>
        </w:tc>
        <w:tc>
          <w:tcPr>
            <w:tcW w:w="896" w:type="pct"/>
            <w:tcBorders>
              <w:top w:val="nil"/>
              <w:left w:val="nil"/>
              <w:bottom w:val="nil"/>
              <w:right w:val="nil"/>
            </w:tcBorders>
            <w:shd w:val="clear" w:color="000000" w:fill="FFFFFF"/>
            <w:vAlign w:val="center"/>
            <w:hideMark/>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2</w:t>
            </w:r>
            <w:r w:rsidRPr="00C27030">
              <w:rPr>
                <w:rFonts w:ascii="Arial" w:hAnsi="Arial" w:cs="Arial"/>
                <w:color w:val="000000"/>
                <w:sz w:val="22"/>
                <w:szCs w:val="22"/>
                <w:lang w:eastAsia="en-GB"/>
              </w:rPr>
              <w:t>,</w:t>
            </w:r>
            <w:r>
              <w:rPr>
                <w:rFonts w:ascii="Arial" w:hAnsi="Arial" w:cs="Arial"/>
                <w:color w:val="000000"/>
                <w:sz w:val="22"/>
                <w:szCs w:val="22"/>
                <w:lang w:eastAsia="en-GB"/>
              </w:rPr>
              <w:t>597</w:t>
            </w:r>
          </w:p>
        </w:tc>
      </w:tr>
      <w:tr w:rsidR="004C3B79" w:rsidRPr="00C27030" w:rsidTr="00721530">
        <w:trPr>
          <w:trHeight w:val="345"/>
        </w:trPr>
        <w:tc>
          <w:tcPr>
            <w:tcW w:w="3206" w:type="pct"/>
            <w:tcBorders>
              <w:top w:val="nil"/>
              <w:left w:val="nil"/>
              <w:bottom w:val="nil"/>
              <w:right w:val="nil"/>
            </w:tcBorders>
            <w:shd w:val="clear" w:color="000000" w:fill="FFFFFF"/>
            <w:vAlign w:val="center"/>
          </w:tcPr>
          <w:p w:rsidR="004C3B79" w:rsidRPr="00C27030" w:rsidRDefault="004C3B79" w:rsidP="00721530">
            <w:pPr>
              <w:jc w:val="both"/>
              <w:rPr>
                <w:rFonts w:ascii="Arial" w:hAnsi="Arial" w:cs="Arial"/>
                <w:color w:val="000000"/>
                <w:sz w:val="22"/>
                <w:szCs w:val="22"/>
                <w:lang w:eastAsia="en-GB"/>
              </w:rPr>
            </w:pPr>
            <w:r>
              <w:rPr>
                <w:rFonts w:ascii="Arial" w:hAnsi="Arial" w:cs="Arial"/>
                <w:color w:val="000000"/>
                <w:sz w:val="22"/>
                <w:szCs w:val="22"/>
                <w:lang w:eastAsia="en-GB"/>
              </w:rPr>
              <w:t>PFI Reserve</w:t>
            </w:r>
          </w:p>
        </w:tc>
        <w:tc>
          <w:tcPr>
            <w:tcW w:w="898" w:type="pct"/>
            <w:tcBorders>
              <w:top w:val="nil"/>
              <w:left w:val="nil"/>
              <w:bottom w:val="nil"/>
              <w:right w:val="nil"/>
            </w:tcBorders>
            <w:shd w:val="clear" w:color="000000" w:fill="FFFFFF"/>
            <w:vAlign w:val="center"/>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12,302</w:t>
            </w:r>
          </w:p>
        </w:tc>
        <w:tc>
          <w:tcPr>
            <w:tcW w:w="896" w:type="pct"/>
            <w:tcBorders>
              <w:top w:val="nil"/>
              <w:left w:val="nil"/>
              <w:bottom w:val="nil"/>
              <w:right w:val="nil"/>
            </w:tcBorders>
            <w:shd w:val="clear" w:color="000000" w:fill="FFFFFF"/>
            <w:vAlign w:val="center"/>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11,502</w:t>
            </w:r>
          </w:p>
        </w:tc>
      </w:tr>
      <w:tr w:rsidR="004C3B79" w:rsidRPr="00C27030" w:rsidTr="00721530">
        <w:trPr>
          <w:trHeight w:val="345"/>
        </w:trPr>
        <w:tc>
          <w:tcPr>
            <w:tcW w:w="3206" w:type="pct"/>
            <w:tcBorders>
              <w:top w:val="nil"/>
              <w:left w:val="nil"/>
              <w:bottom w:val="nil"/>
              <w:right w:val="nil"/>
            </w:tcBorders>
            <w:shd w:val="clear" w:color="000000" w:fill="FFFFFF"/>
            <w:vAlign w:val="center"/>
          </w:tcPr>
          <w:p w:rsidR="004C3B79" w:rsidRPr="00C27030" w:rsidRDefault="004C3B79" w:rsidP="00721530">
            <w:pPr>
              <w:jc w:val="both"/>
              <w:rPr>
                <w:rFonts w:ascii="Arial" w:hAnsi="Arial" w:cs="Arial"/>
                <w:color w:val="000000"/>
                <w:sz w:val="22"/>
                <w:szCs w:val="22"/>
                <w:lang w:eastAsia="en-GB"/>
              </w:rPr>
            </w:pPr>
          </w:p>
        </w:tc>
        <w:tc>
          <w:tcPr>
            <w:tcW w:w="898" w:type="pct"/>
            <w:tcBorders>
              <w:top w:val="nil"/>
              <w:left w:val="nil"/>
              <w:bottom w:val="nil"/>
              <w:right w:val="nil"/>
            </w:tcBorders>
            <w:shd w:val="clear" w:color="000000" w:fill="FFFFFF"/>
            <w:vAlign w:val="center"/>
          </w:tcPr>
          <w:p w:rsidR="004C3B79" w:rsidRPr="00C27030" w:rsidRDefault="004C3B79" w:rsidP="00721530">
            <w:pPr>
              <w:jc w:val="right"/>
              <w:rPr>
                <w:rFonts w:ascii="Arial" w:hAnsi="Arial" w:cs="Arial"/>
                <w:color w:val="000000"/>
                <w:sz w:val="22"/>
                <w:szCs w:val="22"/>
                <w:lang w:eastAsia="en-GB"/>
              </w:rPr>
            </w:pPr>
          </w:p>
        </w:tc>
        <w:tc>
          <w:tcPr>
            <w:tcW w:w="896" w:type="pct"/>
            <w:tcBorders>
              <w:top w:val="nil"/>
              <w:left w:val="nil"/>
              <w:bottom w:val="nil"/>
              <w:right w:val="nil"/>
            </w:tcBorders>
            <w:shd w:val="clear" w:color="000000" w:fill="FFFFFF"/>
            <w:vAlign w:val="center"/>
          </w:tcPr>
          <w:p w:rsidR="004C3B79" w:rsidRPr="00C27030" w:rsidRDefault="004C3B79" w:rsidP="00721530">
            <w:pPr>
              <w:jc w:val="right"/>
              <w:rPr>
                <w:rFonts w:ascii="Arial" w:hAnsi="Arial" w:cs="Arial"/>
                <w:color w:val="000000"/>
                <w:sz w:val="22"/>
                <w:szCs w:val="22"/>
                <w:lang w:eastAsia="en-GB"/>
              </w:rPr>
            </w:pPr>
          </w:p>
        </w:tc>
      </w:tr>
      <w:tr w:rsidR="004C3B79" w:rsidRPr="00C27030" w:rsidTr="00721530">
        <w:trPr>
          <w:trHeight w:val="330"/>
        </w:trPr>
        <w:tc>
          <w:tcPr>
            <w:tcW w:w="3206" w:type="pct"/>
            <w:tcBorders>
              <w:top w:val="nil"/>
              <w:left w:val="nil"/>
              <w:bottom w:val="nil"/>
              <w:right w:val="nil"/>
            </w:tcBorders>
            <w:shd w:val="clear" w:color="000000" w:fill="FFFFFF"/>
            <w:vAlign w:val="center"/>
            <w:hideMark/>
          </w:tcPr>
          <w:p w:rsidR="004C3B79" w:rsidRPr="00C27030" w:rsidRDefault="004C3B79" w:rsidP="00721530">
            <w:pPr>
              <w:jc w:val="both"/>
              <w:rPr>
                <w:rFonts w:ascii="Arial" w:hAnsi="Arial" w:cs="Arial"/>
                <w:color w:val="000000"/>
                <w:sz w:val="22"/>
                <w:szCs w:val="22"/>
                <w:lang w:eastAsia="en-GB"/>
              </w:rPr>
            </w:pPr>
            <w:r w:rsidRPr="00C27030">
              <w:rPr>
                <w:rFonts w:ascii="Arial" w:hAnsi="Arial" w:cs="Arial"/>
                <w:color w:val="000000"/>
                <w:sz w:val="22"/>
                <w:szCs w:val="22"/>
                <w:lang w:eastAsia="en-GB"/>
              </w:rPr>
              <w:t> </w:t>
            </w:r>
          </w:p>
        </w:tc>
        <w:tc>
          <w:tcPr>
            <w:tcW w:w="898" w:type="pct"/>
            <w:tcBorders>
              <w:top w:val="single" w:sz="8" w:space="0" w:color="auto"/>
              <w:left w:val="nil"/>
              <w:bottom w:val="nil"/>
              <w:right w:val="nil"/>
            </w:tcBorders>
            <w:shd w:val="clear" w:color="000000" w:fill="FFFFFF"/>
            <w:vAlign w:val="center"/>
            <w:hideMark/>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56</w:t>
            </w:r>
            <w:r w:rsidRPr="00C27030">
              <w:rPr>
                <w:rFonts w:ascii="Arial" w:hAnsi="Arial" w:cs="Arial"/>
                <w:color w:val="000000"/>
                <w:sz w:val="22"/>
                <w:szCs w:val="22"/>
                <w:lang w:eastAsia="en-GB"/>
              </w:rPr>
              <w:t>,</w:t>
            </w:r>
            <w:r>
              <w:rPr>
                <w:rFonts w:ascii="Arial" w:hAnsi="Arial" w:cs="Arial"/>
                <w:color w:val="000000"/>
                <w:sz w:val="22"/>
                <w:szCs w:val="22"/>
                <w:lang w:eastAsia="en-GB"/>
              </w:rPr>
              <w:t>336</w:t>
            </w:r>
          </w:p>
        </w:tc>
        <w:tc>
          <w:tcPr>
            <w:tcW w:w="896" w:type="pct"/>
            <w:tcBorders>
              <w:top w:val="single" w:sz="8" w:space="0" w:color="auto"/>
              <w:left w:val="nil"/>
              <w:bottom w:val="nil"/>
              <w:right w:val="nil"/>
            </w:tcBorders>
            <w:shd w:val="clear" w:color="000000" w:fill="FFFFFF"/>
            <w:vAlign w:val="center"/>
            <w:hideMark/>
          </w:tcPr>
          <w:p w:rsidR="004C3B79" w:rsidRPr="00C27030" w:rsidRDefault="004C3B79" w:rsidP="00721530">
            <w:pPr>
              <w:jc w:val="right"/>
              <w:rPr>
                <w:rFonts w:ascii="Arial" w:hAnsi="Arial" w:cs="Arial"/>
                <w:color w:val="000000"/>
                <w:sz w:val="22"/>
                <w:szCs w:val="22"/>
                <w:lang w:eastAsia="en-GB"/>
              </w:rPr>
            </w:pPr>
            <w:r>
              <w:rPr>
                <w:rFonts w:ascii="Arial" w:hAnsi="Arial" w:cs="Arial"/>
                <w:color w:val="000000"/>
                <w:sz w:val="22"/>
                <w:szCs w:val="22"/>
                <w:lang w:eastAsia="en-GB"/>
              </w:rPr>
              <w:t>34</w:t>
            </w:r>
            <w:r w:rsidRPr="00C27030">
              <w:rPr>
                <w:rFonts w:ascii="Arial" w:hAnsi="Arial" w:cs="Arial"/>
                <w:color w:val="000000"/>
                <w:sz w:val="22"/>
                <w:szCs w:val="22"/>
                <w:lang w:eastAsia="en-GB"/>
              </w:rPr>
              <w:t>,</w:t>
            </w:r>
            <w:r>
              <w:rPr>
                <w:rFonts w:ascii="Arial" w:hAnsi="Arial" w:cs="Arial"/>
                <w:color w:val="000000"/>
                <w:sz w:val="22"/>
                <w:szCs w:val="22"/>
                <w:lang w:eastAsia="en-GB"/>
              </w:rPr>
              <w:t>558</w:t>
            </w:r>
          </w:p>
        </w:tc>
      </w:tr>
    </w:tbl>
    <w:p w:rsidR="004C3B79" w:rsidRDefault="004C3B79" w:rsidP="004C3B79">
      <w:pPr>
        <w:tabs>
          <w:tab w:val="left" w:pos="709"/>
          <w:tab w:val="left" w:pos="1418"/>
          <w:tab w:val="decimal" w:pos="8505"/>
          <w:tab w:val="right" w:pos="8931"/>
        </w:tabs>
        <w:jc w:val="both"/>
        <w:rPr>
          <w:rFonts w:ascii="Arial" w:hAnsi="Arial" w:cs="Arial"/>
          <w:sz w:val="22"/>
          <w:szCs w:val="22"/>
        </w:rPr>
      </w:pPr>
    </w:p>
    <w:p w:rsidR="004C3B79" w:rsidRDefault="004C3B79" w:rsidP="004C3B79">
      <w:pPr>
        <w:spacing w:after="160" w:line="259" w:lineRule="auto"/>
        <w:rPr>
          <w:rFonts w:ascii="Arial" w:hAnsi="Arial" w:cs="Arial"/>
          <w:sz w:val="22"/>
          <w:szCs w:val="22"/>
        </w:rPr>
      </w:pPr>
      <w:r>
        <w:rPr>
          <w:rFonts w:ascii="Arial" w:hAnsi="Arial" w:cs="Arial"/>
          <w:sz w:val="22"/>
          <w:szCs w:val="22"/>
        </w:rPr>
        <w:br w:type="page"/>
      </w:r>
    </w:p>
    <w:p w:rsidR="004C3B79" w:rsidRPr="00C27030" w:rsidRDefault="004C3B79" w:rsidP="004C3B79">
      <w:pPr>
        <w:tabs>
          <w:tab w:val="left" w:pos="709"/>
          <w:tab w:val="left" w:pos="1418"/>
          <w:tab w:val="decimal" w:pos="8505"/>
          <w:tab w:val="right" w:pos="8931"/>
        </w:tabs>
        <w:jc w:val="both"/>
        <w:rPr>
          <w:rFonts w:ascii="Arial" w:hAnsi="Arial" w:cs="Arial"/>
          <w:sz w:val="22"/>
          <w:szCs w:val="22"/>
        </w:rPr>
      </w:pPr>
    </w:p>
    <w:p w:rsidR="004C3B79" w:rsidRPr="00C27030" w:rsidRDefault="004C3B79" w:rsidP="004C3B79">
      <w:pPr>
        <w:tabs>
          <w:tab w:val="left" w:pos="709"/>
          <w:tab w:val="left" w:pos="1418"/>
          <w:tab w:val="decimal" w:pos="8505"/>
          <w:tab w:val="right" w:pos="8931"/>
        </w:tabs>
        <w:ind w:left="709" w:hanging="709"/>
        <w:jc w:val="both"/>
        <w:rPr>
          <w:rFonts w:ascii="Arial" w:hAnsi="Arial" w:cs="Arial"/>
          <w:sz w:val="22"/>
          <w:szCs w:val="22"/>
        </w:rPr>
      </w:pPr>
    </w:p>
    <w:p w:rsidR="004C3B79" w:rsidRPr="00923B65" w:rsidRDefault="004C3B79" w:rsidP="004C3B79">
      <w:pPr>
        <w:tabs>
          <w:tab w:val="left" w:pos="567"/>
          <w:tab w:val="left" w:pos="1418"/>
          <w:tab w:val="decimal" w:pos="8647"/>
          <w:tab w:val="right" w:pos="9072"/>
        </w:tabs>
        <w:ind w:left="567" w:hanging="567"/>
        <w:jc w:val="both"/>
        <w:rPr>
          <w:rFonts w:ascii="Arial" w:hAnsi="Arial" w:cs="Arial"/>
          <w:b/>
          <w:sz w:val="22"/>
          <w:szCs w:val="22"/>
          <w:u w:val="single"/>
        </w:rPr>
      </w:pPr>
      <w:r w:rsidRPr="00923B65">
        <w:rPr>
          <w:rFonts w:ascii="Arial" w:hAnsi="Arial" w:cs="Arial"/>
          <w:b/>
          <w:sz w:val="22"/>
          <w:szCs w:val="22"/>
        </w:rPr>
        <w:t>APPENDICES</w:t>
      </w:r>
    </w:p>
    <w:p w:rsidR="004C3B79" w:rsidRPr="00C27030" w:rsidRDefault="004C3B79" w:rsidP="004C3B79">
      <w:pPr>
        <w:tabs>
          <w:tab w:val="left" w:pos="709"/>
          <w:tab w:val="left" w:pos="1418"/>
          <w:tab w:val="decimal" w:pos="8647"/>
          <w:tab w:val="right" w:pos="9072"/>
        </w:tabs>
        <w:ind w:left="709" w:hanging="709"/>
        <w:jc w:val="both"/>
        <w:rPr>
          <w:rFonts w:ascii="Arial" w:hAnsi="Arial" w:cs="Arial"/>
          <w:b/>
          <w:sz w:val="22"/>
          <w:szCs w:val="22"/>
          <w:u w:val="single"/>
        </w:rPr>
      </w:pPr>
    </w:p>
    <w:p w:rsidR="004C3B79" w:rsidRPr="00C27030" w:rsidRDefault="004C3B79" w:rsidP="004C3B79">
      <w:pPr>
        <w:tabs>
          <w:tab w:val="left" w:pos="567"/>
          <w:tab w:val="left" w:pos="1418"/>
          <w:tab w:val="decimal" w:pos="8647"/>
          <w:tab w:val="right" w:pos="9072"/>
        </w:tabs>
        <w:ind w:left="709" w:hanging="709"/>
        <w:jc w:val="both"/>
        <w:rPr>
          <w:rFonts w:ascii="Arial" w:hAnsi="Arial" w:cs="Arial"/>
          <w:sz w:val="22"/>
          <w:szCs w:val="22"/>
        </w:rPr>
      </w:pPr>
      <w:r>
        <w:rPr>
          <w:rFonts w:ascii="Arial" w:hAnsi="Arial" w:cs="Arial"/>
          <w:sz w:val="22"/>
          <w:szCs w:val="22"/>
        </w:rPr>
        <w:t xml:space="preserve">Appendix 1 summarises 2018-19 </w:t>
      </w:r>
      <w:r w:rsidRPr="00C27030">
        <w:rPr>
          <w:rFonts w:ascii="Arial" w:hAnsi="Arial" w:cs="Arial"/>
          <w:sz w:val="22"/>
          <w:szCs w:val="22"/>
        </w:rPr>
        <w:t>National Police Settlement data.</w:t>
      </w:r>
    </w:p>
    <w:p w:rsidR="004C3B79" w:rsidRPr="00C27030" w:rsidRDefault="004C3B79" w:rsidP="004C3B79">
      <w:pPr>
        <w:tabs>
          <w:tab w:val="left" w:pos="709"/>
          <w:tab w:val="left" w:pos="1418"/>
          <w:tab w:val="decimal" w:pos="8647"/>
          <w:tab w:val="right" w:pos="9072"/>
        </w:tabs>
        <w:ind w:left="709" w:hanging="709"/>
        <w:jc w:val="both"/>
        <w:rPr>
          <w:rFonts w:ascii="Arial" w:hAnsi="Arial" w:cs="Arial"/>
          <w:sz w:val="22"/>
          <w:szCs w:val="22"/>
        </w:rPr>
      </w:pPr>
    </w:p>
    <w:p w:rsidR="004C3B79" w:rsidRDefault="004C3B79" w:rsidP="004C3B79">
      <w:pPr>
        <w:tabs>
          <w:tab w:val="left" w:pos="567"/>
          <w:tab w:val="left" w:pos="1418"/>
          <w:tab w:val="decimal" w:pos="8647"/>
          <w:tab w:val="right" w:pos="9072"/>
        </w:tabs>
        <w:ind w:left="567" w:hanging="567"/>
        <w:jc w:val="both"/>
        <w:rPr>
          <w:rFonts w:ascii="Arial" w:hAnsi="Arial" w:cs="Arial"/>
          <w:sz w:val="22"/>
          <w:szCs w:val="22"/>
        </w:rPr>
      </w:pPr>
      <w:r w:rsidRPr="00C27030">
        <w:rPr>
          <w:rFonts w:ascii="Arial" w:hAnsi="Arial" w:cs="Arial"/>
          <w:sz w:val="22"/>
          <w:szCs w:val="22"/>
        </w:rPr>
        <w:t xml:space="preserve">Appendix 2 summarises the </w:t>
      </w:r>
      <w:r>
        <w:rPr>
          <w:rFonts w:ascii="Arial" w:hAnsi="Arial" w:cs="Arial"/>
          <w:sz w:val="22"/>
          <w:szCs w:val="22"/>
        </w:rPr>
        <w:t xml:space="preserve">Strategic Financial Outlook </w:t>
      </w:r>
      <w:r w:rsidRPr="00C27030">
        <w:rPr>
          <w:rFonts w:ascii="Arial" w:hAnsi="Arial" w:cs="Arial"/>
          <w:sz w:val="22"/>
          <w:szCs w:val="22"/>
        </w:rPr>
        <w:t>2018/19 – 202</w:t>
      </w:r>
      <w:r>
        <w:rPr>
          <w:rFonts w:ascii="Arial" w:hAnsi="Arial" w:cs="Arial"/>
          <w:sz w:val="22"/>
          <w:szCs w:val="22"/>
        </w:rPr>
        <w:t>1</w:t>
      </w:r>
      <w:r w:rsidRPr="00C27030">
        <w:rPr>
          <w:rFonts w:ascii="Arial" w:hAnsi="Arial" w:cs="Arial"/>
          <w:sz w:val="22"/>
          <w:szCs w:val="22"/>
        </w:rPr>
        <w:t>/2</w:t>
      </w:r>
      <w:r>
        <w:rPr>
          <w:rFonts w:ascii="Arial" w:hAnsi="Arial" w:cs="Arial"/>
          <w:sz w:val="22"/>
          <w:szCs w:val="22"/>
        </w:rPr>
        <w:t>2</w:t>
      </w:r>
    </w:p>
    <w:p w:rsidR="004C3B79" w:rsidRDefault="004C3B79" w:rsidP="004C3B79">
      <w:pPr>
        <w:tabs>
          <w:tab w:val="left" w:pos="567"/>
          <w:tab w:val="left" w:pos="1418"/>
          <w:tab w:val="decimal" w:pos="8647"/>
          <w:tab w:val="right" w:pos="9072"/>
        </w:tabs>
        <w:ind w:left="567" w:hanging="567"/>
        <w:jc w:val="both"/>
        <w:rPr>
          <w:rFonts w:ascii="Arial" w:hAnsi="Arial" w:cs="Arial"/>
          <w:sz w:val="22"/>
          <w:szCs w:val="22"/>
        </w:rPr>
      </w:pPr>
    </w:p>
    <w:p w:rsidR="004C3B79" w:rsidRDefault="004C3B79" w:rsidP="004C3B79">
      <w:pPr>
        <w:tabs>
          <w:tab w:val="left" w:pos="567"/>
          <w:tab w:val="left" w:pos="1418"/>
          <w:tab w:val="decimal" w:pos="8647"/>
          <w:tab w:val="right" w:pos="9072"/>
        </w:tabs>
        <w:ind w:left="567" w:hanging="567"/>
        <w:jc w:val="both"/>
        <w:rPr>
          <w:rFonts w:ascii="Arial" w:hAnsi="Arial" w:cs="Arial"/>
          <w:sz w:val="22"/>
          <w:szCs w:val="22"/>
        </w:rPr>
      </w:pPr>
      <w:r>
        <w:rPr>
          <w:rFonts w:ascii="Arial" w:hAnsi="Arial" w:cs="Arial"/>
          <w:sz w:val="22"/>
          <w:szCs w:val="22"/>
        </w:rPr>
        <w:t>Appendix 3 sets out the Formula Funding and Specific Grants</w:t>
      </w:r>
    </w:p>
    <w:p w:rsidR="004C3B79" w:rsidRPr="00C27030" w:rsidRDefault="004C3B79" w:rsidP="004C3B79">
      <w:pPr>
        <w:tabs>
          <w:tab w:val="left" w:pos="567"/>
          <w:tab w:val="left" w:pos="1418"/>
          <w:tab w:val="decimal" w:pos="8647"/>
          <w:tab w:val="right" w:pos="9072"/>
        </w:tabs>
        <w:ind w:left="567" w:hanging="567"/>
        <w:jc w:val="both"/>
        <w:rPr>
          <w:rFonts w:ascii="Arial" w:hAnsi="Arial" w:cs="Arial"/>
          <w:sz w:val="22"/>
          <w:szCs w:val="22"/>
        </w:rPr>
      </w:pPr>
    </w:p>
    <w:p w:rsidR="004C3B79" w:rsidRDefault="004C3B79" w:rsidP="004C3B79">
      <w:pPr>
        <w:tabs>
          <w:tab w:val="left" w:pos="709"/>
          <w:tab w:val="left" w:pos="1418"/>
          <w:tab w:val="decimal" w:pos="8647"/>
          <w:tab w:val="right" w:pos="9072"/>
        </w:tabs>
        <w:jc w:val="both"/>
        <w:rPr>
          <w:rFonts w:ascii="Arial" w:hAnsi="Arial" w:cs="Arial"/>
          <w:sz w:val="22"/>
          <w:szCs w:val="22"/>
        </w:rPr>
      </w:pPr>
      <w:r>
        <w:rPr>
          <w:rFonts w:ascii="Arial" w:hAnsi="Arial" w:cs="Arial"/>
          <w:sz w:val="22"/>
          <w:szCs w:val="22"/>
        </w:rPr>
        <w:t xml:space="preserve">Appendix 4 </w:t>
      </w:r>
      <w:r w:rsidRPr="00ED340A">
        <w:rPr>
          <w:rFonts w:ascii="Arial" w:hAnsi="Arial" w:cs="Arial"/>
          <w:sz w:val="22"/>
          <w:szCs w:val="22"/>
        </w:rPr>
        <w:t>sets out the 2018-19 budge</w:t>
      </w:r>
      <w:r>
        <w:rPr>
          <w:rFonts w:ascii="Arial" w:hAnsi="Arial" w:cs="Arial"/>
          <w:sz w:val="22"/>
          <w:szCs w:val="22"/>
        </w:rPr>
        <w:t>t compared to the previous year</w:t>
      </w:r>
    </w:p>
    <w:p w:rsidR="004C3B79" w:rsidRPr="00ED340A" w:rsidRDefault="004C3B79" w:rsidP="004C3B79">
      <w:pPr>
        <w:tabs>
          <w:tab w:val="left" w:pos="709"/>
          <w:tab w:val="left" w:pos="1418"/>
          <w:tab w:val="decimal" w:pos="8647"/>
          <w:tab w:val="right" w:pos="9072"/>
        </w:tabs>
        <w:jc w:val="both"/>
        <w:rPr>
          <w:rFonts w:ascii="Arial" w:hAnsi="Arial" w:cs="Arial"/>
          <w:sz w:val="22"/>
          <w:szCs w:val="22"/>
        </w:rPr>
      </w:pPr>
    </w:p>
    <w:p w:rsidR="004C3B79" w:rsidRPr="00ED340A" w:rsidRDefault="004C3B79" w:rsidP="004C3B79">
      <w:pPr>
        <w:jc w:val="center"/>
        <w:rPr>
          <w:rFonts w:ascii="Arial" w:hAnsi="Arial" w:cs="Arial"/>
          <w:sz w:val="22"/>
          <w:szCs w:val="22"/>
        </w:rPr>
      </w:pPr>
      <w:r w:rsidRPr="00ED340A">
        <w:rPr>
          <w:rFonts w:ascii="Arial" w:hAnsi="Arial" w:cs="Arial"/>
          <w:sz w:val="22"/>
          <w:szCs w:val="22"/>
        </w:rPr>
        <w:br w:type="page"/>
      </w:r>
      <w:bookmarkStart w:id="2" w:name="Section4"/>
    </w:p>
    <w:p w:rsidR="004C3B79" w:rsidRPr="007565D3" w:rsidRDefault="004C3B79" w:rsidP="004C3B79">
      <w:pPr>
        <w:tabs>
          <w:tab w:val="right" w:pos="9498"/>
        </w:tabs>
        <w:jc w:val="right"/>
        <w:rPr>
          <w:rFonts w:ascii="Arial" w:hAnsi="Arial" w:cs="Arial"/>
          <w:b/>
          <w:sz w:val="22"/>
          <w:szCs w:val="22"/>
        </w:rPr>
      </w:pPr>
      <w:bookmarkStart w:id="3" w:name="Appendix1"/>
      <w:bookmarkEnd w:id="2"/>
      <w:r w:rsidRPr="007565D3">
        <w:rPr>
          <w:rFonts w:ascii="Arial" w:hAnsi="Arial" w:cs="Arial"/>
          <w:b/>
          <w:sz w:val="22"/>
          <w:szCs w:val="22"/>
        </w:rPr>
        <w:t>Appendix 1</w:t>
      </w:r>
    </w:p>
    <w:bookmarkEnd w:id="3"/>
    <w:p w:rsidR="004C3B79" w:rsidRPr="007565D3" w:rsidRDefault="004C3B79" w:rsidP="004C3B79">
      <w:pPr>
        <w:tabs>
          <w:tab w:val="right" w:pos="9498"/>
        </w:tabs>
        <w:jc w:val="right"/>
        <w:rPr>
          <w:rFonts w:ascii="Arial" w:hAnsi="Arial" w:cs="Arial"/>
          <w:b/>
          <w:sz w:val="22"/>
          <w:szCs w:val="22"/>
          <w:highlight w:val="yellow"/>
        </w:rPr>
      </w:pPr>
    </w:p>
    <w:tbl>
      <w:tblPr>
        <w:tblW w:w="7300" w:type="dxa"/>
        <w:tblInd w:w="93" w:type="dxa"/>
        <w:tblLook w:val="04A0" w:firstRow="1" w:lastRow="0" w:firstColumn="1" w:lastColumn="0" w:noHBand="0" w:noVBand="1"/>
      </w:tblPr>
      <w:tblGrid>
        <w:gridCol w:w="5680"/>
        <w:gridCol w:w="1620"/>
      </w:tblGrid>
      <w:tr w:rsidR="004C3B79" w:rsidRPr="007565D3" w:rsidTr="00721530">
        <w:trPr>
          <w:trHeight w:val="570"/>
        </w:trPr>
        <w:tc>
          <w:tcPr>
            <w:tcW w:w="5680" w:type="dxa"/>
            <w:tcBorders>
              <w:top w:val="nil"/>
              <w:left w:val="nil"/>
              <w:bottom w:val="nil"/>
              <w:right w:val="nil"/>
            </w:tcBorders>
            <w:shd w:val="clear" w:color="000000" w:fill="FFFFFF"/>
            <w:noWrap/>
            <w:vAlign w:val="center"/>
            <w:hideMark/>
          </w:tcPr>
          <w:p w:rsidR="004C3B79" w:rsidRPr="007565D3" w:rsidRDefault="004C3B79" w:rsidP="00721530">
            <w:pPr>
              <w:rPr>
                <w:rFonts w:ascii="Arial" w:hAnsi="Arial" w:cs="Arial"/>
                <w:b/>
                <w:bCs/>
                <w:color w:val="000000"/>
                <w:sz w:val="22"/>
                <w:szCs w:val="22"/>
                <w:lang w:eastAsia="en-GB"/>
              </w:rPr>
            </w:pPr>
            <w:r w:rsidRPr="007565D3">
              <w:rPr>
                <w:rFonts w:ascii="Arial" w:hAnsi="Arial" w:cs="Arial"/>
                <w:b/>
                <w:bCs/>
                <w:color w:val="000000"/>
                <w:sz w:val="22"/>
                <w:szCs w:val="22"/>
                <w:lang w:eastAsia="en-GB"/>
              </w:rPr>
              <w:t>NATIONAL DATA</w:t>
            </w:r>
          </w:p>
        </w:tc>
        <w:tc>
          <w:tcPr>
            <w:tcW w:w="162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2018-19</w:t>
            </w:r>
            <w:r w:rsidRPr="007565D3">
              <w:rPr>
                <w:rFonts w:ascii="Arial" w:hAnsi="Arial" w:cs="Arial"/>
                <w:b/>
                <w:bCs/>
                <w:sz w:val="22"/>
                <w:szCs w:val="22"/>
                <w:lang w:eastAsia="en-GB"/>
              </w:rPr>
              <w:br/>
              <w:t>£m</w:t>
            </w:r>
          </w:p>
        </w:tc>
      </w:tr>
      <w:tr w:rsidR="004C3B79" w:rsidRPr="007565D3" w:rsidTr="00721530">
        <w:trPr>
          <w:trHeight w:val="330"/>
        </w:trPr>
        <w:tc>
          <w:tcPr>
            <w:tcW w:w="5680" w:type="dxa"/>
            <w:tcBorders>
              <w:top w:val="nil"/>
              <w:left w:val="nil"/>
              <w:bottom w:val="nil"/>
              <w:right w:val="nil"/>
            </w:tcBorders>
            <w:shd w:val="clear" w:color="000000" w:fill="FFFFFF"/>
            <w:vAlign w:val="center"/>
            <w:hideMark/>
          </w:tcPr>
          <w:p w:rsidR="004C3B79" w:rsidRPr="007565D3" w:rsidRDefault="004C3B79" w:rsidP="00721530">
            <w:pPr>
              <w:jc w:val="both"/>
              <w:rPr>
                <w:rFonts w:ascii="Arial" w:hAnsi="Arial" w:cs="Arial"/>
                <w:b/>
                <w:bCs/>
                <w:color w:val="000000"/>
                <w:sz w:val="22"/>
                <w:szCs w:val="22"/>
                <w:lang w:eastAsia="en-GB"/>
              </w:rPr>
            </w:pPr>
            <w:r w:rsidRPr="007565D3">
              <w:rPr>
                <w:rFonts w:ascii="Arial" w:hAnsi="Arial" w:cs="Arial"/>
                <w:b/>
                <w:bCs/>
                <w:color w:val="000000"/>
                <w:sz w:val="22"/>
                <w:szCs w:val="22"/>
                <w:lang w:eastAsia="en-GB"/>
              </w:rPr>
              <w:t>Total Police Funding</w:t>
            </w:r>
          </w:p>
        </w:tc>
        <w:tc>
          <w:tcPr>
            <w:tcW w:w="16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sz w:val="22"/>
                <w:szCs w:val="22"/>
                <w:lang w:eastAsia="en-GB"/>
              </w:rPr>
            </w:pPr>
            <w:r w:rsidRPr="007565D3">
              <w:rPr>
                <w:rFonts w:ascii="Arial" w:hAnsi="Arial" w:cs="Arial"/>
                <w:sz w:val="22"/>
                <w:szCs w:val="22"/>
                <w:lang w:eastAsia="en-GB"/>
              </w:rPr>
              <w:t> </w:t>
            </w:r>
          </w:p>
        </w:tc>
      </w:tr>
      <w:tr w:rsidR="004C3B79" w:rsidRPr="007565D3" w:rsidTr="00721530">
        <w:trPr>
          <w:trHeight w:val="330"/>
        </w:trPr>
        <w:tc>
          <w:tcPr>
            <w:tcW w:w="5680" w:type="dxa"/>
            <w:tcBorders>
              <w:top w:val="nil"/>
              <w:left w:val="nil"/>
              <w:bottom w:val="nil"/>
              <w:right w:val="nil"/>
            </w:tcBorders>
            <w:shd w:val="clear" w:color="000000" w:fill="FFFFFF"/>
            <w:vAlign w:val="center"/>
            <w:hideMark/>
          </w:tcPr>
          <w:p w:rsidR="004C3B79" w:rsidRPr="007565D3" w:rsidRDefault="004C3B79" w:rsidP="00721530">
            <w:pPr>
              <w:jc w:val="both"/>
              <w:rPr>
                <w:rFonts w:ascii="Arial" w:hAnsi="Arial" w:cs="Arial"/>
                <w:sz w:val="22"/>
                <w:szCs w:val="22"/>
                <w:lang w:eastAsia="en-GB"/>
              </w:rPr>
            </w:pPr>
            <w:r w:rsidRPr="007565D3">
              <w:rPr>
                <w:rFonts w:ascii="Arial" w:hAnsi="Arial" w:cs="Arial"/>
                <w:sz w:val="22"/>
                <w:szCs w:val="22"/>
                <w:lang w:eastAsia="en-GB"/>
              </w:rPr>
              <w:t>Central Government funding</w:t>
            </w:r>
          </w:p>
        </w:tc>
        <w:tc>
          <w:tcPr>
            <w:tcW w:w="16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b/>
                <w:bCs/>
                <w:sz w:val="22"/>
                <w:szCs w:val="22"/>
                <w:lang w:eastAsia="en-GB"/>
              </w:rPr>
            </w:pPr>
            <w:r w:rsidRPr="007565D3">
              <w:rPr>
                <w:rFonts w:ascii="Arial" w:hAnsi="Arial" w:cs="Arial"/>
                <w:b/>
                <w:bCs/>
                <w:sz w:val="22"/>
                <w:szCs w:val="22"/>
                <w:lang w:eastAsia="en-GB"/>
              </w:rPr>
              <w:t xml:space="preserve">               8,630 </w:t>
            </w:r>
          </w:p>
        </w:tc>
      </w:tr>
      <w:tr w:rsidR="004C3B79" w:rsidRPr="007565D3" w:rsidTr="00721530">
        <w:trPr>
          <w:trHeight w:val="330"/>
        </w:trPr>
        <w:tc>
          <w:tcPr>
            <w:tcW w:w="5680" w:type="dxa"/>
            <w:tcBorders>
              <w:top w:val="nil"/>
              <w:left w:val="nil"/>
              <w:bottom w:val="nil"/>
              <w:right w:val="nil"/>
            </w:tcBorders>
            <w:shd w:val="clear" w:color="000000" w:fill="FFFFFF"/>
            <w:vAlign w:val="bottom"/>
            <w:hideMark/>
          </w:tcPr>
          <w:p w:rsidR="004C3B79" w:rsidRPr="007565D3" w:rsidRDefault="004C3B79" w:rsidP="00721530">
            <w:pPr>
              <w:jc w:val="both"/>
              <w:rPr>
                <w:rFonts w:ascii="Arial" w:hAnsi="Arial" w:cs="Arial"/>
                <w:sz w:val="22"/>
                <w:szCs w:val="22"/>
                <w:lang w:eastAsia="en-GB"/>
              </w:rPr>
            </w:pPr>
            <w:r w:rsidRPr="007565D3">
              <w:rPr>
                <w:rFonts w:ascii="Arial" w:hAnsi="Arial" w:cs="Arial"/>
                <w:sz w:val="22"/>
                <w:szCs w:val="22"/>
                <w:lang w:eastAsia="en-GB"/>
              </w:rPr>
              <w:t>Less Private Finance Initiatives</w:t>
            </w:r>
          </w:p>
        </w:tc>
        <w:tc>
          <w:tcPr>
            <w:tcW w:w="16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sz w:val="22"/>
                <w:szCs w:val="22"/>
                <w:lang w:eastAsia="en-GB"/>
              </w:rPr>
            </w:pPr>
            <w:r w:rsidRPr="007565D3">
              <w:rPr>
                <w:rFonts w:ascii="Arial" w:hAnsi="Arial" w:cs="Arial"/>
                <w:sz w:val="22"/>
                <w:szCs w:val="22"/>
                <w:lang w:eastAsia="en-GB"/>
              </w:rPr>
              <w:t>-73</w:t>
            </w:r>
          </w:p>
        </w:tc>
      </w:tr>
      <w:tr w:rsidR="004C3B79" w:rsidRPr="007565D3" w:rsidTr="00721530">
        <w:trPr>
          <w:trHeight w:val="330"/>
        </w:trPr>
        <w:tc>
          <w:tcPr>
            <w:tcW w:w="5680" w:type="dxa"/>
            <w:tcBorders>
              <w:top w:val="nil"/>
              <w:left w:val="nil"/>
              <w:bottom w:val="nil"/>
              <w:right w:val="nil"/>
            </w:tcBorders>
            <w:shd w:val="clear" w:color="000000" w:fill="FFFFFF"/>
            <w:vAlign w:val="center"/>
            <w:hideMark/>
          </w:tcPr>
          <w:p w:rsidR="004C3B79" w:rsidRPr="007565D3" w:rsidRDefault="004C3B79" w:rsidP="00721530">
            <w:pPr>
              <w:jc w:val="both"/>
              <w:rPr>
                <w:rFonts w:ascii="Arial" w:hAnsi="Arial" w:cs="Arial"/>
                <w:sz w:val="22"/>
                <w:szCs w:val="22"/>
                <w:lang w:eastAsia="en-GB"/>
              </w:rPr>
            </w:pPr>
            <w:r w:rsidRPr="007565D3">
              <w:rPr>
                <w:rFonts w:ascii="Arial" w:hAnsi="Arial" w:cs="Arial"/>
                <w:sz w:val="22"/>
                <w:szCs w:val="22"/>
                <w:lang w:eastAsia="en-GB"/>
              </w:rPr>
              <w:t xml:space="preserve">Less Police Technology programmes </w:t>
            </w:r>
          </w:p>
        </w:tc>
        <w:tc>
          <w:tcPr>
            <w:tcW w:w="16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sz w:val="22"/>
                <w:szCs w:val="22"/>
                <w:lang w:eastAsia="en-GB"/>
              </w:rPr>
            </w:pPr>
            <w:r w:rsidRPr="007565D3">
              <w:rPr>
                <w:rFonts w:ascii="Arial" w:hAnsi="Arial" w:cs="Arial"/>
                <w:sz w:val="22"/>
                <w:szCs w:val="22"/>
                <w:lang w:eastAsia="en-GB"/>
              </w:rPr>
              <w:t>-495</w:t>
            </w:r>
          </w:p>
        </w:tc>
      </w:tr>
      <w:tr w:rsidR="004C3B79" w:rsidRPr="007565D3" w:rsidTr="00721530">
        <w:trPr>
          <w:trHeight w:val="330"/>
        </w:trPr>
        <w:tc>
          <w:tcPr>
            <w:tcW w:w="5680" w:type="dxa"/>
            <w:tcBorders>
              <w:top w:val="nil"/>
              <w:left w:val="nil"/>
              <w:bottom w:val="nil"/>
              <w:right w:val="nil"/>
            </w:tcBorders>
            <w:shd w:val="clear" w:color="000000" w:fill="FFFFFF"/>
            <w:vAlign w:val="center"/>
            <w:hideMark/>
          </w:tcPr>
          <w:p w:rsidR="004C3B79" w:rsidRPr="007565D3" w:rsidRDefault="004C3B79" w:rsidP="00721530">
            <w:pPr>
              <w:jc w:val="both"/>
              <w:rPr>
                <w:rFonts w:ascii="Arial" w:hAnsi="Arial" w:cs="Arial"/>
                <w:sz w:val="22"/>
                <w:szCs w:val="22"/>
                <w:lang w:eastAsia="en-GB"/>
              </w:rPr>
            </w:pPr>
            <w:r w:rsidRPr="007565D3">
              <w:rPr>
                <w:rFonts w:ascii="Arial" w:hAnsi="Arial" w:cs="Arial"/>
                <w:sz w:val="22"/>
                <w:szCs w:val="22"/>
                <w:lang w:eastAsia="en-GB"/>
              </w:rPr>
              <w:t>Less Arms Length Bodies</w:t>
            </w:r>
          </w:p>
        </w:tc>
        <w:tc>
          <w:tcPr>
            <w:tcW w:w="16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sz w:val="22"/>
                <w:szCs w:val="22"/>
                <w:lang w:eastAsia="en-GB"/>
              </w:rPr>
            </w:pPr>
            <w:r w:rsidRPr="007565D3">
              <w:rPr>
                <w:rFonts w:ascii="Arial" w:hAnsi="Arial" w:cs="Arial"/>
                <w:sz w:val="22"/>
                <w:szCs w:val="22"/>
                <w:lang w:eastAsia="en-GB"/>
              </w:rPr>
              <w:t>-63</w:t>
            </w:r>
          </w:p>
        </w:tc>
      </w:tr>
      <w:tr w:rsidR="004C3B79" w:rsidRPr="007565D3" w:rsidTr="00721530">
        <w:trPr>
          <w:trHeight w:val="660"/>
        </w:trPr>
        <w:tc>
          <w:tcPr>
            <w:tcW w:w="5680" w:type="dxa"/>
            <w:tcBorders>
              <w:top w:val="nil"/>
              <w:left w:val="nil"/>
              <w:bottom w:val="nil"/>
              <w:right w:val="nil"/>
            </w:tcBorders>
            <w:shd w:val="clear" w:color="000000" w:fill="FFFFFF"/>
            <w:vAlign w:val="center"/>
            <w:hideMark/>
          </w:tcPr>
          <w:p w:rsidR="004C3B79" w:rsidRPr="007565D3" w:rsidRDefault="004C3B79" w:rsidP="00721530">
            <w:pPr>
              <w:jc w:val="both"/>
              <w:rPr>
                <w:rFonts w:ascii="Arial" w:hAnsi="Arial" w:cs="Arial"/>
                <w:sz w:val="22"/>
                <w:szCs w:val="22"/>
                <w:lang w:eastAsia="en-GB"/>
              </w:rPr>
            </w:pPr>
            <w:r w:rsidRPr="007565D3">
              <w:rPr>
                <w:rFonts w:ascii="Arial" w:hAnsi="Arial" w:cs="Arial"/>
                <w:sz w:val="22"/>
                <w:szCs w:val="22"/>
                <w:lang w:eastAsia="en-GB"/>
              </w:rPr>
              <w:t xml:space="preserve">Less Strengthening the response to organised crime </w:t>
            </w:r>
          </w:p>
        </w:tc>
        <w:tc>
          <w:tcPr>
            <w:tcW w:w="16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sz w:val="22"/>
                <w:szCs w:val="22"/>
                <w:lang w:eastAsia="en-GB"/>
              </w:rPr>
            </w:pPr>
            <w:r w:rsidRPr="007565D3">
              <w:rPr>
                <w:rFonts w:ascii="Arial" w:hAnsi="Arial" w:cs="Arial"/>
                <w:sz w:val="22"/>
                <w:szCs w:val="22"/>
                <w:lang w:eastAsia="en-GB"/>
              </w:rPr>
              <w:t>-42</w:t>
            </w:r>
          </w:p>
        </w:tc>
      </w:tr>
      <w:tr w:rsidR="004C3B79" w:rsidRPr="007565D3" w:rsidTr="00721530">
        <w:trPr>
          <w:trHeight w:val="330"/>
        </w:trPr>
        <w:tc>
          <w:tcPr>
            <w:tcW w:w="5680" w:type="dxa"/>
            <w:tcBorders>
              <w:top w:val="nil"/>
              <w:left w:val="nil"/>
              <w:bottom w:val="nil"/>
              <w:right w:val="nil"/>
            </w:tcBorders>
            <w:shd w:val="clear" w:color="000000" w:fill="FFFFFF"/>
            <w:vAlign w:val="center"/>
            <w:hideMark/>
          </w:tcPr>
          <w:p w:rsidR="004C3B79" w:rsidRPr="007565D3" w:rsidRDefault="004C3B79" w:rsidP="00721530">
            <w:pPr>
              <w:jc w:val="both"/>
              <w:rPr>
                <w:rFonts w:ascii="Arial" w:hAnsi="Arial" w:cs="Arial"/>
                <w:sz w:val="22"/>
                <w:szCs w:val="22"/>
                <w:lang w:eastAsia="en-GB"/>
              </w:rPr>
            </w:pPr>
            <w:r w:rsidRPr="007565D3">
              <w:rPr>
                <w:rFonts w:ascii="Arial" w:hAnsi="Arial" w:cs="Arial"/>
                <w:sz w:val="22"/>
                <w:szCs w:val="22"/>
                <w:lang w:eastAsia="en-GB"/>
              </w:rPr>
              <w:t xml:space="preserve">Less Transformation Fund </w:t>
            </w:r>
          </w:p>
        </w:tc>
        <w:tc>
          <w:tcPr>
            <w:tcW w:w="16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sz w:val="22"/>
                <w:szCs w:val="22"/>
                <w:lang w:eastAsia="en-GB"/>
              </w:rPr>
            </w:pPr>
            <w:r w:rsidRPr="007565D3">
              <w:rPr>
                <w:rFonts w:ascii="Arial" w:hAnsi="Arial" w:cs="Arial"/>
                <w:sz w:val="22"/>
                <w:szCs w:val="22"/>
                <w:lang w:eastAsia="en-GB"/>
              </w:rPr>
              <w:t>-175</w:t>
            </w:r>
          </w:p>
        </w:tc>
      </w:tr>
      <w:tr w:rsidR="004C3B79" w:rsidRPr="007565D3" w:rsidTr="00721530">
        <w:trPr>
          <w:trHeight w:val="330"/>
        </w:trPr>
        <w:tc>
          <w:tcPr>
            <w:tcW w:w="5680" w:type="dxa"/>
            <w:tcBorders>
              <w:top w:val="nil"/>
              <w:left w:val="nil"/>
              <w:bottom w:val="nil"/>
              <w:right w:val="nil"/>
            </w:tcBorders>
            <w:shd w:val="clear" w:color="000000" w:fill="FFFFFF"/>
            <w:vAlign w:val="center"/>
            <w:hideMark/>
          </w:tcPr>
          <w:p w:rsidR="004C3B79" w:rsidRPr="007565D3" w:rsidRDefault="004C3B79" w:rsidP="00721530">
            <w:pPr>
              <w:jc w:val="both"/>
              <w:rPr>
                <w:rFonts w:ascii="Arial" w:hAnsi="Arial" w:cs="Arial"/>
                <w:sz w:val="22"/>
                <w:szCs w:val="22"/>
                <w:lang w:eastAsia="en-GB"/>
              </w:rPr>
            </w:pPr>
            <w:r w:rsidRPr="007565D3">
              <w:rPr>
                <w:rFonts w:ascii="Arial" w:hAnsi="Arial" w:cs="Arial"/>
                <w:sz w:val="22"/>
                <w:szCs w:val="22"/>
                <w:lang w:eastAsia="en-GB"/>
              </w:rPr>
              <w:t>Less Special Grant</w:t>
            </w:r>
          </w:p>
        </w:tc>
        <w:tc>
          <w:tcPr>
            <w:tcW w:w="16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sz w:val="22"/>
                <w:szCs w:val="22"/>
                <w:lang w:eastAsia="en-GB"/>
              </w:rPr>
            </w:pPr>
            <w:r w:rsidRPr="007565D3">
              <w:rPr>
                <w:rFonts w:ascii="Arial" w:hAnsi="Arial" w:cs="Arial"/>
                <w:sz w:val="22"/>
                <w:szCs w:val="22"/>
                <w:lang w:eastAsia="en-GB"/>
              </w:rPr>
              <w:t>-93</w:t>
            </w:r>
          </w:p>
        </w:tc>
      </w:tr>
      <w:tr w:rsidR="004C3B79" w:rsidRPr="007565D3" w:rsidTr="00721530">
        <w:trPr>
          <w:trHeight w:val="330"/>
        </w:trPr>
        <w:tc>
          <w:tcPr>
            <w:tcW w:w="5680" w:type="dxa"/>
            <w:tcBorders>
              <w:top w:val="nil"/>
              <w:left w:val="nil"/>
              <w:bottom w:val="nil"/>
              <w:right w:val="nil"/>
            </w:tcBorders>
            <w:shd w:val="clear" w:color="000000" w:fill="FFFFFF"/>
            <w:vAlign w:val="center"/>
            <w:hideMark/>
          </w:tcPr>
          <w:p w:rsidR="004C3B79" w:rsidRPr="007565D3" w:rsidRDefault="004C3B79" w:rsidP="00721530">
            <w:pPr>
              <w:jc w:val="both"/>
              <w:rPr>
                <w:rFonts w:ascii="Arial" w:hAnsi="Arial" w:cs="Arial"/>
                <w:sz w:val="22"/>
                <w:szCs w:val="22"/>
                <w:lang w:eastAsia="en-GB"/>
              </w:rPr>
            </w:pPr>
            <w:r w:rsidRPr="007565D3">
              <w:rPr>
                <w:rFonts w:ascii="Arial" w:hAnsi="Arial" w:cs="Arial"/>
                <w:sz w:val="22"/>
                <w:szCs w:val="22"/>
                <w:lang w:eastAsia="en-GB"/>
              </w:rPr>
              <w:t>Less Pre-charge bail</w:t>
            </w:r>
          </w:p>
        </w:tc>
        <w:tc>
          <w:tcPr>
            <w:tcW w:w="16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sz w:val="22"/>
                <w:szCs w:val="22"/>
                <w:lang w:eastAsia="en-GB"/>
              </w:rPr>
            </w:pPr>
            <w:r w:rsidRPr="007565D3">
              <w:rPr>
                <w:rFonts w:ascii="Arial" w:hAnsi="Arial" w:cs="Arial"/>
                <w:sz w:val="22"/>
                <w:szCs w:val="22"/>
                <w:lang w:eastAsia="en-GB"/>
              </w:rPr>
              <w:t>-4</w:t>
            </w:r>
          </w:p>
        </w:tc>
      </w:tr>
      <w:tr w:rsidR="004C3B79" w:rsidRPr="007565D3" w:rsidTr="00721530">
        <w:trPr>
          <w:trHeight w:val="420"/>
        </w:trPr>
        <w:tc>
          <w:tcPr>
            <w:tcW w:w="5680" w:type="dxa"/>
            <w:tcBorders>
              <w:top w:val="nil"/>
              <w:left w:val="nil"/>
              <w:bottom w:val="nil"/>
              <w:right w:val="nil"/>
            </w:tcBorders>
            <w:shd w:val="clear" w:color="000000" w:fill="FFFFFF"/>
            <w:vAlign w:val="center"/>
            <w:hideMark/>
          </w:tcPr>
          <w:p w:rsidR="004C3B79" w:rsidRPr="007565D3" w:rsidRDefault="004C3B79" w:rsidP="00721530">
            <w:pPr>
              <w:jc w:val="both"/>
              <w:rPr>
                <w:rFonts w:ascii="Arial" w:hAnsi="Arial" w:cs="Arial"/>
                <w:sz w:val="22"/>
                <w:szCs w:val="22"/>
                <w:lang w:eastAsia="en-GB"/>
              </w:rPr>
            </w:pPr>
            <w:r w:rsidRPr="007565D3">
              <w:rPr>
                <w:rFonts w:ascii="Arial" w:hAnsi="Arial" w:cs="Arial"/>
                <w:sz w:val="22"/>
                <w:szCs w:val="22"/>
                <w:lang w:eastAsia="en-GB"/>
              </w:rPr>
              <w:t>National &amp; International Capital City Grants</w:t>
            </w:r>
          </w:p>
        </w:tc>
        <w:tc>
          <w:tcPr>
            <w:tcW w:w="16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sz w:val="22"/>
                <w:szCs w:val="22"/>
                <w:lang w:eastAsia="en-GB"/>
              </w:rPr>
            </w:pPr>
            <w:r w:rsidRPr="007565D3">
              <w:rPr>
                <w:rFonts w:ascii="Arial" w:hAnsi="Arial" w:cs="Arial"/>
                <w:sz w:val="22"/>
                <w:szCs w:val="22"/>
                <w:lang w:eastAsia="en-GB"/>
              </w:rPr>
              <w:t>-178</w:t>
            </w:r>
          </w:p>
        </w:tc>
      </w:tr>
      <w:tr w:rsidR="004C3B79" w:rsidRPr="007565D3" w:rsidTr="00721530">
        <w:trPr>
          <w:trHeight w:val="540"/>
        </w:trPr>
        <w:tc>
          <w:tcPr>
            <w:tcW w:w="5680" w:type="dxa"/>
            <w:tcBorders>
              <w:top w:val="nil"/>
              <w:left w:val="nil"/>
              <w:bottom w:val="nil"/>
              <w:right w:val="nil"/>
            </w:tcBorders>
            <w:shd w:val="clear" w:color="000000" w:fill="FFFFFF"/>
            <w:vAlign w:val="bottom"/>
            <w:hideMark/>
          </w:tcPr>
          <w:p w:rsidR="004C3B79" w:rsidRPr="007565D3" w:rsidRDefault="004C3B79" w:rsidP="00721530">
            <w:pPr>
              <w:jc w:val="both"/>
              <w:rPr>
                <w:rFonts w:ascii="Arial" w:hAnsi="Arial" w:cs="Arial"/>
                <w:b/>
                <w:bCs/>
                <w:sz w:val="22"/>
                <w:szCs w:val="22"/>
                <w:lang w:eastAsia="en-GB"/>
              </w:rPr>
            </w:pPr>
            <w:r w:rsidRPr="007565D3">
              <w:rPr>
                <w:rFonts w:ascii="Arial" w:hAnsi="Arial" w:cs="Arial"/>
                <w:b/>
                <w:bCs/>
                <w:sz w:val="22"/>
                <w:szCs w:val="22"/>
                <w:lang w:eastAsia="en-GB"/>
              </w:rPr>
              <w:t>Total Direct Funding</w:t>
            </w:r>
          </w:p>
        </w:tc>
        <w:tc>
          <w:tcPr>
            <w:tcW w:w="1620" w:type="dxa"/>
            <w:tcBorders>
              <w:top w:val="single" w:sz="4" w:space="0" w:color="auto"/>
              <w:left w:val="nil"/>
              <w:bottom w:val="double" w:sz="6" w:space="0" w:color="auto"/>
              <w:right w:val="single" w:sz="8" w:space="0" w:color="CCCCCC"/>
            </w:tcBorders>
            <w:shd w:val="clear" w:color="000000" w:fill="FFFFFF"/>
            <w:vAlign w:val="center"/>
            <w:hideMark/>
          </w:tcPr>
          <w:p w:rsidR="004C3B79" w:rsidRPr="007565D3" w:rsidRDefault="004C3B79" w:rsidP="00721530">
            <w:pPr>
              <w:jc w:val="right"/>
              <w:rPr>
                <w:rFonts w:ascii="Arial" w:hAnsi="Arial" w:cs="Arial"/>
                <w:b/>
                <w:bCs/>
                <w:sz w:val="22"/>
                <w:szCs w:val="22"/>
                <w:lang w:eastAsia="en-GB"/>
              </w:rPr>
            </w:pPr>
            <w:r w:rsidRPr="007565D3">
              <w:rPr>
                <w:rFonts w:ascii="Arial" w:hAnsi="Arial" w:cs="Arial"/>
                <w:b/>
                <w:bCs/>
                <w:sz w:val="22"/>
                <w:szCs w:val="22"/>
                <w:lang w:eastAsia="en-GB"/>
              </w:rPr>
              <w:t xml:space="preserve">               7,507 </w:t>
            </w:r>
          </w:p>
        </w:tc>
      </w:tr>
      <w:tr w:rsidR="004C3B79" w:rsidRPr="007565D3" w:rsidTr="00721530">
        <w:trPr>
          <w:trHeight w:val="300"/>
        </w:trPr>
        <w:tc>
          <w:tcPr>
            <w:tcW w:w="5680" w:type="dxa"/>
            <w:tcBorders>
              <w:top w:val="nil"/>
              <w:left w:val="nil"/>
              <w:bottom w:val="nil"/>
              <w:right w:val="nil"/>
            </w:tcBorders>
            <w:shd w:val="clear" w:color="000000" w:fill="FFFFFF"/>
            <w:vAlign w:val="bottom"/>
          </w:tcPr>
          <w:p w:rsidR="004C3B79" w:rsidRPr="007565D3" w:rsidRDefault="004C3B79" w:rsidP="00721530">
            <w:pPr>
              <w:jc w:val="both"/>
              <w:rPr>
                <w:rFonts w:ascii="Arial" w:hAnsi="Arial" w:cs="Arial"/>
                <w:b/>
                <w:bCs/>
                <w:sz w:val="22"/>
                <w:szCs w:val="22"/>
                <w:lang w:eastAsia="en-GB"/>
              </w:rPr>
            </w:pPr>
          </w:p>
        </w:tc>
        <w:tc>
          <w:tcPr>
            <w:tcW w:w="1620" w:type="dxa"/>
            <w:tcBorders>
              <w:top w:val="nil"/>
              <w:left w:val="nil"/>
              <w:bottom w:val="nil"/>
              <w:right w:val="nil"/>
            </w:tcBorders>
            <w:shd w:val="clear" w:color="000000" w:fill="FFFFFF"/>
            <w:noWrap/>
            <w:vAlign w:val="bottom"/>
          </w:tcPr>
          <w:p w:rsidR="004C3B79" w:rsidRPr="007565D3" w:rsidRDefault="004C3B79" w:rsidP="00721530">
            <w:pPr>
              <w:rPr>
                <w:rFonts w:ascii="Arial" w:hAnsi="Arial" w:cs="Arial"/>
                <w:color w:val="000000"/>
                <w:sz w:val="22"/>
                <w:szCs w:val="22"/>
                <w:lang w:eastAsia="en-GB"/>
              </w:rPr>
            </w:pPr>
          </w:p>
        </w:tc>
      </w:tr>
      <w:tr w:rsidR="004C3B79" w:rsidRPr="007565D3" w:rsidTr="00721530">
        <w:trPr>
          <w:trHeight w:val="432"/>
        </w:trPr>
        <w:tc>
          <w:tcPr>
            <w:tcW w:w="5680" w:type="dxa"/>
            <w:tcBorders>
              <w:top w:val="nil"/>
              <w:left w:val="nil"/>
              <w:bottom w:val="nil"/>
              <w:right w:val="nil"/>
            </w:tcBorders>
            <w:shd w:val="clear" w:color="000000" w:fill="FFFFFF"/>
            <w:vAlign w:val="center"/>
          </w:tcPr>
          <w:p w:rsidR="004C3B79" w:rsidRPr="007565D3" w:rsidRDefault="004C3B79" w:rsidP="00721530">
            <w:pPr>
              <w:rPr>
                <w:rFonts w:ascii="Arial" w:hAnsi="Arial" w:cs="Arial"/>
                <w:sz w:val="22"/>
                <w:szCs w:val="22"/>
                <w:lang w:eastAsia="en-GB"/>
              </w:rPr>
            </w:pPr>
          </w:p>
        </w:tc>
        <w:tc>
          <w:tcPr>
            <w:tcW w:w="1620" w:type="dxa"/>
            <w:tcBorders>
              <w:top w:val="nil"/>
              <w:left w:val="nil"/>
              <w:bottom w:val="nil"/>
              <w:right w:val="nil"/>
            </w:tcBorders>
            <w:shd w:val="clear" w:color="000000" w:fill="FFFFFF"/>
            <w:vAlign w:val="center"/>
          </w:tcPr>
          <w:p w:rsidR="004C3B79" w:rsidRPr="007565D3" w:rsidRDefault="004C3B79" w:rsidP="00721530">
            <w:pPr>
              <w:jc w:val="right"/>
              <w:rPr>
                <w:rFonts w:ascii="Arial" w:hAnsi="Arial" w:cs="Arial"/>
                <w:sz w:val="22"/>
                <w:szCs w:val="22"/>
                <w:lang w:eastAsia="en-GB"/>
              </w:rPr>
            </w:pPr>
          </w:p>
        </w:tc>
      </w:tr>
      <w:tr w:rsidR="004C3B79" w:rsidRPr="007565D3" w:rsidTr="00721530">
        <w:trPr>
          <w:trHeight w:val="330"/>
        </w:trPr>
        <w:tc>
          <w:tcPr>
            <w:tcW w:w="5680" w:type="dxa"/>
            <w:tcBorders>
              <w:top w:val="nil"/>
              <w:left w:val="nil"/>
              <w:bottom w:val="nil"/>
              <w:right w:val="nil"/>
            </w:tcBorders>
            <w:shd w:val="clear" w:color="000000" w:fill="FFFFFF"/>
            <w:vAlign w:val="bottom"/>
            <w:hideMark/>
          </w:tcPr>
          <w:p w:rsidR="004C3B79" w:rsidRPr="007565D3" w:rsidRDefault="004C3B79" w:rsidP="00721530">
            <w:pPr>
              <w:jc w:val="both"/>
              <w:rPr>
                <w:rFonts w:ascii="Arial" w:hAnsi="Arial" w:cs="Arial"/>
                <w:b/>
                <w:bCs/>
                <w:sz w:val="22"/>
                <w:szCs w:val="22"/>
                <w:lang w:eastAsia="en-GB"/>
              </w:rPr>
            </w:pPr>
            <w:r w:rsidRPr="007565D3">
              <w:rPr>
                <w:rFonts w:ascii="Arial" w:hAnsi="Arial" w:cs="Arial"/>
                <w:b/>
                <w:bCs/>
                <w:sz w:val="22"/>
                <w:szCs w:val="22"/>
                <w:lang w:eastAsia="en-GB"/>
              </w:rPr>
              <w:t>Direct Funding Allocations</w:t>
            </w:r>
          </w:p>
        </w:tc>
        <w:tc>
          <w:tcPr>
            <w:tcW w:w="16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sz w:val="22"/>
                <w:szCs w:val="22"/>
                <w:lang w:eastAsia="en-GB"/>
              </w:rPr>
            </w:pPr>
            <w:r w:rsidRPr="007565D3">
              <w:rPr>
                <w:rFonts w:ascii="Arial" w:hAnsi="Arial" w:cs="Arial"/>
                <w:sz w:val="22"/>
                <w:szCs w:val="22"/>
                <w:lang w:eastAsia="en-GB"/>
              </w:rPr>
              <w:t> </w:t>
            </w:r>
          </w:p>
        </w:tc>
      </w:tr>
      <w:tr w:rsidR="004C3B79" w:rsidRPr="007565D3" w:rsidTr="00721530">
        <w:trPr>
          <w:trHeight w:val="330"/>
        </w:trPr>
        <w:tc>
          <w:tcPr>
            <w:tcW w:w="5680" w:type="dxa"/>
            <w:tcBorders>
              <w:top w:val="nil"/>
              <w:left w:val="nil"/>
              <w:bottom w:val="nil"/>
              <w:right w:val="nil"/>
            </w:tcBorders>
            <w:shd w:val="clear" w:color="000000" w:fill="FFFFFF"/>
            <w:vAlign w:val="center"/>
            <w:hideMark/>
          </w:tcPr>
          <w:p w:rsidR="004C3B79" w:rsidRPr="007565D3" w:rsidRDefault="004C3B79" w:rsidP="00721530">
            <w:pPr>
              <w:jc w:val="both"/>
              <w:rPr>
                <w:rFonts w:ascii="Arial" w:hAnsi="Arial" w:cs="Arial"/>
                <w:sz w:val="22"/>
                <w:szCs w:val="22"/>
                <w:lang w:eastAsia="en-GB"/>
              </w:rPr>
            </w:pPr>
            <w:r w:rsidRPr="007565D3">
              <w:rPr>
                <w:rFonts w:ascii="Arial" w:hAnsi="Arial" w:cs="Arial"/>
                <w:sz w:val="22"/>
                <w:szCs w:val="22"/>
                <w:lang w:eastAsia="en-GB"/>
              </w:rPr>
              <w:t>Core Grant Funding</w:t>
            </w:r>
          </w:p>
        </w:tc>
        <w:tc>
          <w:tcPr>
            <w:tcW w:w="16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sz w:val="22"/>
                <w:szCs w:val="22"/>
                <w:lang w:eastAsia="en-GB"/>
              </w:rPr>
            </w:pPr>
            <w:r w:rsidRPr="007565D3">
              <w:rPr>
                <w:rFonts w:ascii="Arial" w:hAnsi="Arial" w:cs="Arial"/>
                <w:sz w:val="22"/>
                <w:szCs w:val="22"/>
                <w:lang w:eastAsia="en-GB"/>
              </w:rPr>
              <w:t>6,962</w:t>
            </w:r>
          </w:p>
        </w:tc>
      </w:tr>
      <w:tr w:rsidR="004C3B79" w:rsidRPr="007565D3" w:rsidTr="00721530">
        <w:trPr>
          <w:trHeight w:val="330"/>
        </w:trPr>
        <w:tc>
          <w:tcPr>
            <w:tcW w:w="5680" w:type="dxa"/>
            <w:tcBorders>
              <w:top w:val="nil"/>
              <w:left w:val="nil"/>
              <w:bottom w:val="nil"/>
              <w:right w:val="nil"/>
            </w:tcBorders>
            <w:shd w:val="clear" w:color="000000" w:fill="FFFFFF"/>
            <w:vAlign w:val="center"/>
            <w:hideMark/>
          </w:tcPr>
          <w:p w:rsidR="004C3B79" w:rsidRPr="007565D3" w:rsidRDefault="004C3B79" w:rsidP="00721530">
            <w:pPr>
              <w:jc w:val="both"/>
              <w:rPr>
                <w:rFonts w:ascii="Arial" w:hAnsi="Arial" w:cs="Arial"/>
                <w:sz w:val="22"/>
                <w:szCs w:val="22"/>
                <w:lang w:eastAsia="en-GB"/>
              </w:rPr>
            </w:pPr>
            <w:r w:rsidRPr="007565D3">
              <w:rPr>
                <w:rFonts w:ascii="Arial" w:hAnsi="Arial" w:cs="Arial"/>
                <w:sz w:val="22"/>
                <w:szCs w:val="22"/>
                <w:lang w:eastAsia="en-GB"/>
              </w:rPr>
              <w:t>Legacy Council Tax Grants</w:t>
            </w:r>
          </w:p>
        </w:tc>
        <w:tc>
          <w:tcPr>
            <w:tcW w:w="16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sz w:val="22"/>
                <w:szCs w:val="22"/>
                <w:lang w:eastAsia="en-GB"/>
              </w:rPr>
            </w:pPr>
            <w:r w:rsidRPr="007565D3">
              <w:rPr>
                <w:rFonts w:ascii="Arial" w:hAnsi="Arial" w:cs="Arial"/>
                <w:sz w:val="22"/>
                <w:szCs w:val="22"/>
                <w:lang w:eastAsia="en-GB"/>
              </w:rPr>
              <w:t>545</w:t>
            </w:r>
          </w:p>
        </w:tc>
      </w:tr>
      <w:tr w:rsidR="004C3B79" w:rsidRPr="007565D3" w:rsidTr="00721530">
        <w:trPr>
          <w:trHeight w:val="300"/>
        </w:trPr>
        <w:tc>
          <w:tcPr>
            <w:tcW w:w="5680" w:type="dxa"/>
            <w:tcBorders>
              <w:top w:val="nil"/>
              <w:left w:val="nil"/>
              <w:bottom w:val="nil"/>
              <w:right w:val="nil"/>
            </w:tcBorders>
            <w:shd w:val="clear" w:color="000000" w:fill="FFFFFF"/>
            <w:vAlign w:val="center"/>
            <w:hideMark/>
          </w:tcPr>
          <w:p w:rsidR="004C3B79" w:rsidRPr="007565D3" w:rsidRDefault="004C3B79" w:rsidP="00721530">
            <w:pPr>
              <w:jc w:val="both"/>
              <w:rPr>
                <w:rFonts w:ascii="Arial" w:hAnsi="Arial" w:cs="Arial"/>
                <w:b/>
                <w:bCs/>
                <w:sz w:val="22"/>
                <w:szCs w:val="22"/>
                <w:lang w:eastAsia="en-GB"/>
              </w:rPr>
            </w:pPr>
            <w:r w:rsidRPr="007565D3">
              <w:rPr>
                <w:rFonts w:ascii="Arial" w:hAnsi="Arial" w:cs="Arial"/>
                <w:b/>
                <w:bCs/>
                <w:sz w:val="22"/>
                <w:szCs w:val="22"/>
                <w:lang w:eastAsia="en-GB"/>
              </w:rPr>
              <w:t>Total Direct Funding Split</w:t>
            </w:r>
          </w:p>
        </w:tc>
        <w:tc>
          <w:tcPr>
            <w:tcW w:w="1620" w:type="dxa"/>
            <w:tcBorders>
              <w:top w:val="single" w:sz="4" w:space="0" w:color="auto"/>
              <w:left w:val="nil"/>
              <w:bottom w:val="double" w:sz="6" w:space="0" w:color="auto"/>
              <w:right w:val="nil"/>
            </w:tcBorders>
            <w:shd w:val="clear" w:color="000000" w:fill="FFFFFF"/>
            <w:vAlign w:val="center"/>
            <w:hideMark/>
          </w:tcPr>
          <w:p w:rsidR="004C3B79" w:rsidRPr="007565D3" w:rsidRDefault="004C3B79" w:rsidP="00721530">
            <w:pPr>
              <w:jc w:val="right"/>
              <w:rPr>
                <w:rFonts w:ascii="Arial" w:hAnsi="Arial" w:cs="Arial"/>
                <w:b/>
                <w:bCs/>
                <w:sz w:val="22"/>
                <w:szCs w:val="22"/>
                <w:lang w:eastAsia="en-GB"/>
              </w:rPr>
            </w:pPr>
            <w:r w:rsidRPr="007565D3">
              <w:rPr>
                <w:rFonts w:ascii="Arial" w:hAnsi="Arial" w:cs="Arial"/>
                <w:b/>
                <w:bCs/>
                <w:sz w:val="22"/>
                <w:szCs w:val="22"/>
                <w:lang w:eastAsia="en-GB"/>
              </w:rPr>
              <w:t>7,507</w:t>
            </w:r>
          </w:p>
        </w:tc>
      </w:tr>
    </w:tbl>
    <w:p w:rsidR="004C3B79" w:rsidRPr="007565D3" w:rsidRDefault="004C3B79" w:rsidP="004C3B79">
      <w:pPr>
        <w:tabs>
          <w:tab w:val="right" w:pos="9498"/>
        </w:tabs>
        <w:jc w:val="right"/>
        <w:rPr>
          <w:rFonts w:ascii="Arial" w:hAnsi="Arial" w:cs="Arial"/>
          <w:b/>
          <w:sz w:val="22"/>
          <w:szCs w:val="22"/>
          <w:highlight w:val="yellow"/>
        </w:rPr>
      </w:pPr>
    </w:p>
    <w:p w:rsidR="004C3B79" w:rsidRPr="007565D3" w:rsidRDefault="004C3B79" w:rsidP="004C3B79">
      <w:pPr>
        <w:tabs>
          <w:tab w:val="right" w:pos="9498"/>
        </w:tabs>
        <w:jc w:val="right"/>
        <w:rPr>
          <w:rFonts w:ascii="Arial" w:hAnsi="Arial" w:cs="Arial"/>
          <w:b/>
          <w:sz w:val="22"/>
          <w:szCs w:val="22"/>
          <w:highlight w:val="yellow"/>
        </w:rPr>
      </w:pPr>
    </w:p>
    <w:p w:rsidR="004C3B79" w:rsidRDefault="004C3B79" w:rsidP="004C3B79">
      <w:pPr>
        <w:spacing w:after="160" w:line="259" w:lineRule="auto"/>
        <w:rPr>
          <w:rFonts w:ascii="Century Gothic" w:hAnsi="Century Gothic" w:cs="Arial"/>
          <w:b/>
          <w:sz w:val="22"/>
        </w:rPr>
      </w:pPr>
      <w:bookmarkStart w:id="4" w:name="Appendix2"/>
      <w:r w:rsidRPr="007565D3">
        <w:rPr>
          <w:rFonts w:ascii="Arial" w:hAnsi="Arial" w:cs="Arial"/>
          <w:b/>
          <w:sz w:val="22"/>
          <w:szCs w:val="22"/>
        </w:rPr>
        <w:br w:type="page"/>
      </w:r>
    </w:p>
    <w:p w:rsidR="004C3B79" w:rsidRPr="00155758" w:rsidRDefault="004C3B79" w:rsidP="004C3B79">
      <w:pPr>
        <w:tabs>
          <w:tab w:val="right" w:pos="9498"/>
        </w:tabs>
        <w:jc w:val="right"/>
        <w:rPr>
          <w:rFonts w:ascii="Century Gothic" w:hAnsi="Century Gothic" w:cs="Arial"/>
          <w:b/>
          <w:sz w:val="22"/>
        </w:rPr>
      </w:pPr>
      <w:r w:rsidRPr="00155758">
        <w:rPr>
          <w:rFonts w:ascii="Century Gothic" w:hAnsi="Century Gothic" w:cs="Arial"/>
          <w:b/>
          <w:sz w:val="22"/>
        </w:rPr>
        <w:t>Appendix 2</w:t>
      </w:r>
      <w:bookmarkEnd w:id="4"/>
    </w:p>
    <w:tbl>
      <w:tblPr>
        <w:tblW w:w="9244" w:type="dxa"/>
        <w:tblInd w:w="-30" w:type="dxa"/>
        <w:tblLayout w:type="fixed"/>
        <w:tblCellMar>
          <w:left w:w="30" w:type="dxa"/>
          <w:right w:w="30" w:type="dxa"/>
        </w:tblCellMar>
        <w:tblLook w:val="0000" w:firstRow="0" w:lastRow="0" w:firstColumn="0" w:lastColumn="0" w:noHBand="0" w:noVBand="0"/>
      </w:tblPr>
      <w:tblGrid>
        <w:gridCol w:w="5057"/>
        <w:gridCol w:w="172"/>
        <w:gridCol w:w="1038"/>
        <w:gridCol w:w="993"/>
        <w:gridCol w:w="992"/>
        <w:gridCol w:w="992"/>
      </w:tblGrid>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b/>
                <w:color w:val="000000"/>
                <w:sz w:val="22"/>
                <w:szCs w:val="22"/>
                <w:lang w:val="en-US"/>
              </w:rPr>
            </w:pPr>
            <w:r w:rsidRPr="00562300">
              <w:rPr>
                <w:rFonts w:ascii="Arial" w:eastAsiaTheme="minorHAnsi" w:hAnsi="Arial" w:cs="Arial"/>
                <w:b/>
                <w:color w:val="000000"/>
                <w:sz w:val="22"/>
                <w:szCs w:val="22"/>
                <w:lang w:val="en-US"/>
              </w:rPr>
              <w:t>STRATEGIC FINANCIAL OUTLOOK 2018 –</w:t>
            </w:r>
            <w:r>
              <w:rPr>
                <w:rFonts w:ascii="Arial" w:eastAsiaTheme="minorHAnsi" w:hAnsi="Arial" w:cs="Arial"/>
                <w:b/>
                <w:color w:val="000000"/>
                <w:sz w:val="22"/>
                <w:szCs w:val="22"/>
                <w:lang w:val="en-US"/>
              </w:rPr>
              <w:t xml:space="preserve"> 2022</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b/>
                <w:color w:val="000000"/>
                <w:sz w:val="22"/>
                <w:szCs w:val="22"/>
                <w:lang w:val="en-US"/>
              </w:rPr>
            </w:pPr>
          </w:p>
        </w:tc>
        <w:tc>
          <w:tcPr>
            <w:tcW w:w="1038"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single" w:sz="6" w:space="0" w:color="auto"/>
              <w:left w:val="single" w:sz="6" w:space="0" w:color="auto"/>
              <w:bottom w:val="single" w:sz="6" w:space="0" w:color="auto"/>
              <w:right w:val="single" w:sz="6" w:space="0" w:color="auto"/>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18/19</w:t>
            </w:r>
          </w:p>
        </w:tc>
        <w:tc>
          <w:tcPr>
            <w:tcW w:w="993" w:type="dxa"/>
            <w:tcBorders>
              <w:top w:val="single" w:sz="6" w:space="0" w:color="auto"/>
              <w:left w:val="single" w:sz="6" w:space="0" w:color="auto"/>
              <w:bottom w:val="single" w:sz="6" w:space="0" w:color="auto"/>
              <w:right w:val="single" w:sz="6" w:space="0" w:color="auto"/>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19/20</w:t>
            </w:r>
          </w:p>
        </w:tc>
        <w:tc>
          <w:tcPr>
            <w:tcW w:w="992" w:type="dxa"/>
            <w:tcBorders>
              <w:top w:val="single" w:sz="6" w:space="0" w:color="auto"/>
              <w:left w:val="single" w:sz="6" w:space="0" w:color="auto"/>
              <w:bottom w:val="single" w:sz="6" w:space="0" w:color="auto"/>
              <w:right w:val="single" w:sz="6" w:space="0" w:color="auto"/>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20/21</w:t>
            </w:r>
          </w:p>
        </w:tc>
        <w:tc>
          <w:tcPr>
            <w:tcW w:w="992" w:type="dxa"/>
            <w:tcBorders>
              <w:top w:val="single" w:sz="6" w:space="0" w:color="auto"/>
              <w:left w:val="single" w:sz="6" w:space="0" w:color="auto"/>
              <w:bottom w:val="single" w:sz="6" w:space="0" w:color="auto"/>
              <w:right w:val="single" w:sz="6" w:space="0" w:color="auto"/>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21/22</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£m</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£m</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£m</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£m</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 xml:space="preserve"> 2017/18 Budget Requirement</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£548.2</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£548.2</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£548.2</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£548.2</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b/>
                <w:bCs/>
                <w:color w:val="000000"/>
                <w:sz w:val="22"/>
                <w:szCs w:val="22"/>
                <w:u w:val="single"/>
                <w:lang w:val="en-US"/>
              </w:rPr>
            </w:pPr>
            <w:r w:rsidRPr="00562300">
              <w:rPr>
                <w:rFonts w:ascii="Arial" w:eastAsiaTheme="minorHAnsi" w:hAnsi="Arial" w:cs="Arial"/>
                <w:b/>
                <w:bCs/>
                <w:color w:val="000000"/>
                <w:sz w:val="22"/>
                <w:szCs w:val="22"/>
                <w:u w:val="single"/>
                <w:lang w:val="en-US"/>
              </w:rPr>
              <w:t>Commitments &amp; Cost Pressures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Police Officer Pay</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£5.2</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£8.8</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£14.0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£20.0</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PCSO Pay</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-£0.1</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£0.8</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£1.1</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Police Staff Pay</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£0.3</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£5.8</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£7.7</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Police Pensions - GMP Funded</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£0.3</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£0.7</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£0.9</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Police Pay Award - additional 1% allowance from Sep 2017</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£1.0</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Police Staff &amp; PCSO - additional 1% allowance from Sep 2017</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£0.4</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Contingency for Additional 1% Pay Award</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£2.5</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£6.8</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£11.1</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£15.5</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IT Related</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£0.2</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£0.3</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£0.3</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£0.4</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IT Contracts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£1.7</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£1.8</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£1.9</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£2.1</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Microsoft Licensing Audit</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Data Centre Stream 3</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£0.1</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£1.1</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£1.1</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£1.1</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Emergency Services Network / Airwave</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£0.1</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£0.9</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£1.9</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£1.8</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Emergency Services Network (impact of Capital)</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£0.1</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£1.7</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£2.8</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£2.8</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Digital Evidence Transfer Service (running costs)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National ANPR Service (running costs)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£0.1</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£0.2</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£0.2</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£0.2</w:t>
            </w:r>
          </w:p>
        </w:tc>
      </w:tr>
      <w:tr w:rsidR="004C3B79" w:rsidRPr="00562300" w:rsidTr="00721530">
        <w:trPr>
          <w:trHeight w:val="163"/>
        </w:trPr>
        <w:tc>
          <w:tcPr>
            <w:tcW w:w="5229" w:type="dxa"/>
            <w:gridSpan w:val="2"/>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Prudential Borrowing Associated with Committed Capital Expenditure</w:t>
            </w: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£1.4</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£0.8</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Removal of Qatar Training (Net Income)</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Other Commitments &amp; Cost Pressures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-£21.9</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-£9.2</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-£8.4</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-£8.1</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Total Budget Requirement (excluding new investments)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£540.6</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£565.4</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£582.6</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£595.7</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b/>
                <w:bCs/>
                <w:color w:val="000000"/>
                <w:sz w:val="22"/>
                <w:szCs w:val="22"/>
                <w:u w:val="single"/>
                <w:lang w:val="en-US"/>
              </w:rPr>
            </w:pPr>
            <w:r w:rsidRPr="00562300">
              <w:rPr>
                <w:rFonts w:ascii="Arial" w:eastAsiaTheme="minorHAnsi" w:hAnsi="Arial" w:cs="Arial"/>
                <w:b/>
                <w:bCs/>
                <w:color w:val="000000"/>
                <w:sz w:val="22"/>
                <w:szCs w:val="22"/>
                <w:u w:val="single"/>
                <w:lang w:val="en-US"/>
              </w:rPr>
              <w:t xml:space="preserve">New Investment </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229" w:type="dxa"/>
            <w:gridSpan w:val="2"/>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Transfer to General Reserve - repayment of projected 2017/18 overspend</w:t>
            </w: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£2.0</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Mayoral Investment Fund</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£1.0</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Additional 50 Officers 18/19</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£1.3</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£1.8</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£1.9</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£2.0</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Additional 50 Officers 19/20</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£0.1</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£1.8</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£1.9</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Force TOM (Revenue Investment)</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£2.8</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£7.6</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£3.9</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Force TOM (Recurrent Revenue)</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£0.2</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£0.9</w:t>
            </w:r>
          </w:p>
        </w:tc>
      </w:tr>
      <w:tr w:rsidR="004C3B79" w:rsidRPr="00562300" w:rsidTr="00721530">
        <w:trPr>
          <w:trHeight w:val="163"/>
        </w:trPr>
        <w:tc>
          <w:tcPr>
            <w:tcW w:w="5229" w:type="dxa"/>
            <w:gridSpan w:val="2"/>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Prudential Borrowing associated with future year Capital Programmes</w:t>
            </w: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£0.1</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£0.1</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£3.6</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£9.5</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Direct Revenue Funding of Capital</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£17.1</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£6.0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£1.8</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Digital Intelligence Unit Review</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£1.1</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£1.8</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£1.9</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£1.9</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Investigation &amp; Safeguarding Review Ph2</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£0.8</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£0.8</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£0.8</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£0.8</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Additional Force Tasking</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£1.1</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£1.1</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£1.1</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£1.1</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Other New Investments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£1.9</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£1.3</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£1.3</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£1.4</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Total New Investments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single" w:sz="6" w:space="0" w:color="auto"/>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£29.2</w:t>
            </w:r>
          </w:p>
        </w:tc>
        <w:tc>
          <w:tcPr>
            <w:tcW w:w="993" w:type="dxa"/>
            <w:tcBorders>
              <w:top w:val="single" w:sz="6" w:space="0" w:color="auto"/>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£20.6</w:t>
            </w:r>
          </w:p>
        </w:tc>
        <w:tc>
          <w:tcPr>
            <w:tcW w:w="992" w:type="dxa"/>
            <w:tcBorders>
              <w:top w:val="single" w:sz="6" w:space="0" w:color="auto"/>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£18.2</w:t>
            </w:r>
          </w:p>
        </w:tc>
        <w:tc>
          <w:tcPr>
            <w:tcW w:w="992" w:type="dxa"/>
            <w:tcBorders>
              <w:top w:val="single" w:sz="6" w:space="0" w:color="auto"/>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£20.0</w:t>
            </w:r>
          </w:p>
        </w:tc>
      </w:tr>
      <w:tr w:rsidR="004C3B79" w:rsidRPr="00562300" w:rsidTr="00721530">
        <w:trPr>
          <w:trHeight w:val="163"/>
        </w:trPr>
        <w:tc>
          <w:tcPr>
            <w:tcW w:w="5057" w:type="dxa"/>
            <w:tcBorders>
              <w:top w:val="nil"/>
              <w:left w:val="nil"/>
              <w:bottom w:val="nil"/>
              <w:right w:val="nil"/>
            </w:tcBorders>
          </w:tcPr>
          <w:p w:rsidR="004C3B79" w:rsidRDefault="004C3B79" w:rsidP="00721530">
            <w:pPr>
              <w:autoSpaceDE w:val="0"/>
              <w:autoSpaceDN w:val="0"/>
              <w:adjustRightInd w:val="0"/>
              <w:rPr>
                <w:rFonts w:ascii="Arial" w:eastAsiaTheme="minorHAnsi" w:hAnsi="Arial" w:cs="Arial"/>
                <w:b/>
                <w:bCs/>
                <w:color w:val="000000"/>
                <w:sz w:val="22"/>
                <w:szCs w:val="22"/>
                <w:lang w:val="en-US"/>
              </w:rPr>
            </w:pPr>
          </w:p>
          <w:p w:rsidR="004C3B79" w:rsidRPr="00562300" w:rsidRDefault="004C3B79" w:rsidP="00721530">
            <w:pPr>
              <w:autoSpaceDE w:val="0"/>
              <w:autoSpaceDN w:val="0"/>
              <w:adjustRightInd w:val="0"/>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Total Budget Requirement (including new investments)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Default="004C3B79" w:rsidP="00721530">
            <w:pPr>
              <w:autoSpaceDE w:val="0"/>
              <w:autoSpaceDN w:val="0"/>
              <w:adjustRightInd w:val="0"/>
              <w:jc w:val="right"/>
              <w:rPr>
                <w:rFonts w:ascii="Arial" w:eastAsiaTheme="minorHAnsi" w:hAnsi="Arial" w:cs="Arial"/>
                <w:b/>
                <w:bCs/>
                <w:color w:val="000000"/>
                <w:sz w:val="22"/>
                <w:szCs w:val="22"/>
                <w:lang w:val="en-US"/>
              </w:rPr>
            </w:pPr>
          </w:p>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£569.8</w:t>
            </w:r>
          </w:p>
        </w:tc>
        <w:tc>
          <w:tcPr>
            <w:tcW w:w="993" w:type="dxa"/>
            <w:tcBorders>
              <w:top w:val="nil"/>
              <w:left w:val="nil"/>
              <w:bottom w:val="nil"/>
              <w:right w:val="nil"/>
            </w:tcBorders>
            <w:shd w:val="solid" w:color="CCCCFF" w:fill="auto"/>
          </w:tcPr>
          <w:p w:rsidR="004C3B79" w:rsidRDefault="004C3B79" w:rsidP="00721530">
            <w:pPr>
              <w:autoSpaceDE w:val="0"/>
              <w:autoSpaceDN w:val="0"/>
              <w:adjustRightInd w:val="0"/>
              <w:jc w:val="right"/>
              <w:rPr>
                <w:rFonts w:ascii="Arial" w:eastAsiaTheme="minorHAnsi" w:hAnsi="Arial" w:cs="Arial"/>
                <w:b/>
                <w:bCs/>
                <w:color w:val="000000"/>
                <w:sz w:val="22"/>
                <w:szCs w:val="22"/>
                <w:lang w:val="en-US"/>
              </w:rPr>
            </w:pPr>
          </w:p>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£586.0</w:t>
            </w:r>
          </w:p>
        </w:tc>
        <w:tc>
          <w:tcPr>
            <w:tcW w:w="992" w:type="dxa"/>
            <w:tcBorders>
              <w:top w:val="nil"/>
              <w:left w:val="nil"/>
              <w:bottom w:val="nil"/>
              <w:right w:val="nil"/>
            </w:tcBorders>
            <w:shd w:val="solid" w:color="CCCCFF" w:fill="auto"/>
          </w:tcPr>
          <w:p w:rsidR="004C3B79" w:rsidRDefault="004C3B79" w:rsidP="00721530">
            <w:pPr>
              <w:autoSpaceDE w:val="0"/>
              <w:autoSpaceDN w:val="0"/>
              <w:adjustRightInd w:val="0"/>
              <w:jc w:val="right"/>
              <w:rPr>
                <w:rFonts w:ascii="Arial" w:eastAsiaTheme="minorHAnsi" w:hAnsi="Arial" w:cs="Arial"/>
                <w:b/>
                <w:bCs/>
                <w:color w:val="000000"/>
                <w:sz w:val="22"/>
                <w:szCs w:val="22"/>
                <w:lang w:val="en-US"/>
              </w:rPr>
            </w:pPr>
          </w:p>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£600.8</w:t>
            </w:r>
          </w:p>
        </w:tc>
        <w:tc>
          <w:tcPr>
            <w:tcW w:w="992" w:type="dxa"/>
            <w:tcBorders>
              <w:top w:val="nil"/>
              <w:left w:val="nil"/>
              <w:bottom w:val="nil"/>
              <w:right w:val="nil"/>
            </w:tcBorders>
            <w:shd w:val="solid" w:color="CCCCFF" w:fill="auto"/>
          </w:tcPr>
          <w:p w:rsidR="004C3B79" w:rsidRDefault="004C3B79" w:rsidP="00721530">
            <w:pPr>
              <w:autoSpaceDE w:val="0"/>
              <w:autoSpaceDN w:val="0"/>
              <w:adjustRightInd w:val="0"/>
              <w:jc w:val="right"/>
              <w:rPr>
                <w:rFonts w:ascii="Arial" w:eastAsiaTheme="minorHAnsi" w:hAnsi="Arial" w:cs="Arial"/>
                <w:b/>
                <w:bCs/>
                <w:color w:val="000000"/>
                <w:sz w:val="22"/>
                <w:szCs w:val="22"/>
                <w:lang w:val="en-US"/>
              </w:rPr>
            </w:pPr>
          </w:p>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£615.6</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b/>
                <w:bCs/>
                <w:color w:val="000000"/>
                <w:sz w:val="22"/>
                <w:szCs w:val="22"/>
                <w:u w:val="single"/>
                <w:lang w:val="en-US"/>
              </w:rPr>
            </w:pPr>
            <w:r w:rsidRPr="00562300">
              <w:rPr>
                <w:rFonts w:ascii="Arial" w:eastAsiaTheme="minorHAnsi" w:hAnsi="Arial" w:cs="Arial"/>
                <w:b/>
                <w:bCs/>
                <w:color w:val="000000"/>
                <w:sz w:val="22"/>
                <w:szCs w:val="22"/>
                <w:u w:val="single"/>
                <w:lang w:val="en-US"/>
              </w:rPr>
              <w:t>Funding</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Formula Funding</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-£402.3</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-£402.3</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-£402.3</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-£402.3</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Council Tax Support Grant</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-£21.6</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-£21.6</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-£21.6</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-£21.6</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Freeze Grant 2011/12</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-£2.9</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-£2.9</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-£2.9</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-£2.9</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Freeze Grant 2015/16</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-£1.2</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-£1.2</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-£1.2</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-£1.2</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Government Funding</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single" w:sz="6" w:space="0" w:color="auto"/>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-£428.0</w:t>
            </w:r>
          </w:p>
        </w:tc>
        <w:tc>
          <w:tcPr>
            <w:tcW w:w="993" w:type="dxa"/>
            <w:tcBorders>
              <w:top w:val="single" w:sz="6" w:space="0" w:color="auto"/>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-£428.0</w:t>
            </w:r>
          </w:p>
        </w:tc>
        <w:tc>
          <w:tcPr>
            <w:tcW w:w="992" w:type="dxa"/>
            <w:tcBorders>
              <w:top w:val="single" w:sz="6" w:space="0" w:color="auto"/>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-£428.0</w:t>
            </w:r>
          </w:p>
        </w:tc>
        <w:tc>
          <w:tcPr>
            <w:tcW w:w="992" w:type="dxa"/>
            <w:tcBorders>
              <w:top w:val="single" w:sz="6" w:space="0" w:color="auto"/>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-£428.0</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Precept</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-£128.0</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-£138.7</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-£143.4</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-£148.2</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Collection Fund Surplus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-£2.8</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r>
      <w:tr w:rsidR="004C3B79" w:rsidRPr="00562300" w:rsidTr="00721530">
        <w:trPr>
          <w:trHeight w:val="77"/>
        </w:trPr>
        <w:tc>
          <w:tcPr>
            <w:tcW w:w="5057"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Total Funding</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single" w:sz="6" w:space="0" w:color="auto"/>
              <w:left w:val="nil"/>
              <w:bottom w:val="single" w:sz="6" w:space="0" w:color="auto"/>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-£558.9</w:t>
            </w:r>
          </w:p>
        </w:tc>
        <w:tc>
          <w:tcPr>
            <w:tcW w:w="993" w:type="dxa"/>
            <w:tcBorders>
              <w:top w:val="single" w:sz="6" w:space="0" w:color="auto"/>
              <w:left w:val="nil"/>
              <w:bottom w:val="single" w:sz="6" w:space="0" w:color="auto"/>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-£566.7</w:t>
            </w:r>
          </w:p>
        </w:tc>
        <w:tc>
          <w:tcPr>
            <w:tcW w:w="992" w:type="dxa"/>
            <w:tcBorders>
              <w:top w:val="single" w:sz="6" w:space="0" w:color="auto"/>
              <w:left w:val="nil"/>
              <w:bottom w:val="single" w:sz="6" w:space="0" w:color="auto"/>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-£571.4</w:t>
            </w:r>
          </w:p>
        </w:tc>
        <w:tc>
          <w:tcPr>
            <w:tcW w:w="992" w:type="dxa"/>
            <w:tcBorders>
              <w:top w:val="single" w:sz="6" w:space="0" w:color="auto"/>
              <w:left w:val="nil"/>
              <w:bottom w:val="single" w:sz="6" w:space="0" w:color="auto"/>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-£576.2</w:t>
            </w:r>
          </w:p>
        </w:tc>
      </w:tr>
      <w:tr w:rsidR="004C3B79" w:rsidRPr="00562300" w:rsidTr="00721530">
        <w:trPr>
          <w:trHeight w:val="77"/>
        </w:trPr>
        <w:tc>
          <w:tcPr>
            <w:tcW w:w="5057"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Savings Required</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£10.9</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£19.3</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£29.4</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£39.4</w:t>
            </w:r>
          </w:p>
        </w:tc>
      </w:tr>
      <w:tr w:rsidR="004C3B79" w:rsidRPr="00562300" w:rsidTr="00721530">
        <w:trPr>
          <w:trHeight w:val="120"/>
        </w:trPr>
        <w:tc>
          <w:tcPr>
            <w:tcW w:w="5057"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b/>
                <w:bCs/>
                <w:color w:val="000000"/>
                <w:sz w:val="22"/>
                <w:szCs w:val="22"/>
                <w:u w:val="single"/>
                <w:lang w:val="en-US"/>
              </w:rPr>
            </w:pPr>
            <w:r w:rsidRPr="00562300">
              <w:rPr>
                <w:rFonts w:ascii="Arial" w:eastAsiaTheme="minorHAnsi" w:hAnsi="Arial" w:cs="Arial"/>
                <w:b/>
                <w:bCs/>
                <w:color w:val="000000"/>
                <w:sz w:val="22"/>
                <w:szCs w:val="22"/>
                <w:u w:val="single"/>
                <w:lang w:val="en-US"/>
              </w:rPr>
              <w:t>Identified Savings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Police Officer Turnover / Establishment</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-£8.2</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-£14.9</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-£21.1</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-£27.8</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TOM Project 9 - Creating a Strategic HQ</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-£2.4</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-£4.1</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TOM Project 4 - Reviewing Operational Policing</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-£0.1</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-£1.6</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-£1.6</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TOM Project 10 - Modernising our Support Services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-£0.9</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-£1.6</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Other Future Police Staff Establishment Reductions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-£0.4</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-£0.6</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-£0.6</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-£0.6</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Premises Related</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-£0.1</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£0.2</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-£0.3</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Police Led Prosecution Income</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-£0.4</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-£0.4</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-£0.4</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-£0.4</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Other savings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-£1.1</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-£1.1</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-£1.1</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-£1.1</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National ICT Contract savings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-£0.7</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-£0.6</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r>
      <w:tr w:rsidR="004C3B79" w:rsidRPr="00562300" w:rsidTr="00721530">
        <w:trPr>
          <w:trHeight w:val="86"/>
        </w:trPr>
        <w:tc>
          <w:tcPr>
            <w:tcW w:w="5057"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Total Identified Savings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single" w:sz="6" w:space="0" w:color="auto"/>
              <w:left w:val="nil"/>
              <w:bottom w:val="single" w:sz="6" w:space="0" w:color="auto"/>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-£10.9</w:t>
            </w:r>
          </w:p>
        </w:tc>
        <w:tc>
          <w:tcPr>
            <w:tcW w:w="993" w:type="dxa"/>
            <w:tcBorders>
              <w:top w:val="single" w:sz="6" w:space="0" w:color="auto"/>
              <w:left w:val="nil"/>
              <w:bottom w:val="single" w:sz="6" w:space="0" w:color="auto"/>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-£18.2</w:t>
            </w:r>
          </w:p>
        </w:tc>
        <w:tc>
          <w:tcPr>
            <w:tcW w:w="992" w:type="dxa"/>
            <w:tcBorders>
              <w:top w:val="single" w:sz="6" w:space="0" w:color="auto"/>
              <w:left w:val="nil"/>
              <w:bottom w:val="single" w:sz="6" w:space="0" w:color="auto"/>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-£28.4</w:t>
            </w:r>
          </w:p>
        </w:tc>
        <w:tc>
          <w:tcPr>
            <w:tcW w:w="992" w:type="dxa"/>
            <w:tcBorders>
              <w:top w:val="single" w:sz="6" w:space="0" w:color="auto"/>
              <w:left w:val="nil"/>
              <w:bottom w:val="single" w:sz="6" w:space="0" w:color="auto"/>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-£37.9</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Savings still to be identified</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£0.0</w:t>
            </w:r>
          </w:p>
        </w:tc>
        <w:tc>
          <w:tcPr>
            <w:tcW w:w="993"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£1.0</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£1.1</w:t>
            </w:r>
          </w:p>
        </w:tc>
        <w:tc>
          <w:tcPr>
            <w:tcW w:w="992" w:type="dxa"/>
            <w:tcBorders>
              <w:top w:val="nil"/>
              <w:left w:val="nil"/>
              <w:bottom w:val="nil"/>
              <w:right w:val="nil"/>
            </w:tcBorders>
            <w:shd w:val="solid" w:color="CCCCFF" w:fill="auto"/>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£1.5</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89"/>
        </w:trPr>
        <w:tc>
          <w:tcPr>
            <w:tcW w:w="5057" w:type="dxa"/>
            <w:tcBorders>
              <w:top w:val="nil"/>
              <w:left w:val="nil"/>
              <w:bottom w:val="nil"/>
              <w:right w:val="nil"/>
            </w:tcBorders>
          </w:tcPr>
          <w:p w:rsidR="004C3B79" w:rsidRDefault="004C3B79" w:rsidP="00721530">
            <w:pPr>
              <w:autoSpaceDE w:val="0"/>
              <w:autoSpaceDN w:val="0"/>
              <w:adjustRightInd w:val="0"/>
              <w:jc w:val="right"/>
              <w:rPr>
                <w:rFonts w:ascii="Arial" w:eastAsiaTheme="minorHAnsi" w:hAnsi="Arial" w:cs="Arial"/>
                <w:color w:val="000000"/>
                <w:sz w:val="22"/>
                <w:szCs w:val="22"/>
                <w:lang w:val="en-US"/>
              </w:rPr>
            </w:pPr>
          </w:p>
          <w:p w:rsidR="004C3B79" w:rsidRDefault="004C3B79" w:rsidP="00721530">
            <w:pPr>
              <w:autoSpaceDE w:val="0"/>
              <w:autoSpaceDN w:val="0"/>
              <w:adjustRightInd w:val="0"/>
              <w:jc w:val="right"/>
              <w:rPr>
                <w:rFonts w:ascii="Arial" w:eastAsiaTheme="minorHAnsi" w:hAnsi="Arial" w:cs="Arial"/>
                <w:color w:val="000000"/>
                <w:sz w:val="22"/>
                <w:szCs w:val="22"/>
                <w:lang w:val="en-US"/>
              </w:rPr>
            </w:pPr>
          </w:p>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u w:val="single"/>
                <w:lang w:val="en-US"/>
              </w:rPr>
            </w:pPr>
            <w:r w:rsidRPr="00562300">
              <w:rPr>
                <w:rFonts w:ascii="Arial" w:eastAsiaTheme="minorHAnsi" w:hAnsi="Arial" w:cs="Arial"/>
                <w:color w:val="000000"/>
                <w:sz w:val="22"/>
                <w:szCs w:val="22"/>
                <w:u w:val="single"/>
                <w:lang w:val="en-US"/>
              </w:rPr>
              <w:t>Memorandum: Funded from Reserves</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3"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229" w:type="dxa"/>
            <w:gridSpan w:val="2"/>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Transfer from Transformation Reserves - Flex</w:t>
            </w:r>
            <w:r>
              <w:rPr>
                <w:rFonts w:ascii="Arial" w:eastAsiaTheme="minorHAnsi" w:hAnsi="Arial" w:cs="Arial"/>
                <w:color w:val="000000"/>
                <w:sz w:val="22"/>
                <w:szCs w:val="22"/>
                <w:lang w:val="en-US"/>
              </w:rPr>
              <w:t xml:space="preserve">ible Resources </w:t>
            </w:r>
          </w:p>
        </w:tc>
        <w:tc>
          <w:tcPr>
            <w:tcW w:w="1038"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w:t>
            </w:r>
            <w:r>
              <w:rPr>
                <w:rFonts w:ascii="Arial" w:eastAsiaTheme="minorHAnsi" w:hAnsi="Arial" w:cs="Arial"/>
                <w:color w:val="000000"/>
                <w:sz w:val="22"/>
                <w:szCs w:val="22"/>
                <w:lang w:val="en-US"/>
              </w:rPr>
              <w:t>0</w:t>
            </w:r>
            <w:r w:rsidRPr="00562300">
              <w:rPr>
                <w:rFonts w:ascii="Arial" w:eastAsiaTheme="minorHAnsi" w:hAnsi="Arial" w:cs="Arial"/>
                <w:color w:val="000000"/>
                <w:sz w:val="22"/>
                <w:szCs w:val="22"/>
                <w:lang w:val="en-US"/>
              </w:rPr>
              <w:t>.5</w:t>
            </w:r>
          </w:p>
        </w:tc>
        <w:tc>
          <w:tcPr>
            <w:tcW w:w="993"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-£0.5</w:t>
            </w: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r>
      <w:tr w:rsidR="004C3B79" w:rsidRPr="00562300" w:rsidTr="00721530">
        <w:trPr>
          <w:trHeight w:val="163"/>
        </w:trPr>
        <w:tc>
          <w:tcPr>
            <w:tcW w:w="5229" w:type="dxa"/>
            <w:gridSpan w:val="2"/>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Pr>
                <w:rFonts w:ascii="Arial" w:eastAsiaTheme="minorHAnsi" w:hAnsi="Arial" w:cs="Arial"/>
                <w:color w:val="000000"/>
                <w:sz w:val="22"/>
                <w:szCs w:val="22"/>
                <w:lang w:val="en-US"/>
              </w:rPr>
              <w:t>Transfer from Transformation Reserves – contribution to capital costs</w:t>
            </w:r>
          </w:p>
        </w:tc>
        <w:tc>
          <w:tcPr>
            <w:tcW w:w="1038" w:type="dxa"/>
            <w:tcBorders>
              <w:top w:val="nil"/>
              <w:left w:val="nil"/>
              <w:bottom w:val="nil"/>
              <w:right w:val="nil"/>
            </w:tcBorders>
          </w:tcPr>
          <w:p w:rsidR="004C3B79" w:rsidRPr="00562300" w:rsidRDefault="004C3B79" w:rsidP="00721530">
            <w:pPr>
              <w:autoSpaceDE w:val="0"/>
              <w:autoSpaceDN w:val="0"/>
              <w:adjustRightInd w:val="0"/>
              <w:jc w:val="center"/>
              <w:rPr>
                <w:rFonts w:ascii="Arial" w:eastAsiaTheme="minorHAnsi" w:hAnsi="Arial" w:cs="Arial"/>
                <w:color w:val="000000"/>
                <w:sz w:val="22"/>
                <w:szCs w:val="22"/>
                <w:lang w:val="en-US"/>
              </w:rPr>
            </w:pPr>
            <w:r>
              <w:rPr>
                <w:rFonts w:ascii="Arial" w:eastAsiaTheme="minorHAnsi" w:hAnsi="Arial" w:cs="Arial"/>
                <w:color w:val="000000"/>
                <w:sz w:val="22"/>
                <w:szCs w:val="22"/>
                <w:lang w:val="en-US"/>
              </w:rPr>
              <w:t xml:space="preserve">     -£11.0</w:t>
            </w:r>
          </w:p>
        </w:tc>
        <w:tc>
          <w:tcPr>
            <w:tcW w:w="993"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Transfer from Earma</w:t>
            </w:r>
            <w:r>
              <w:rPr>
                <w:rFonts w:ascii="Arial" w:eastAsiaTheme="minorHAnsi" w:hAnsi="Arial" w:cs="Arial"/>
                <w:color w:val="000000"/>
                <w:sz w:val="22"/>
                <w:szCs w:val="22"/>
                <w:lang w:val="en-US"/>
              </w:rPr>
              <w:t>rked Reserves - Wellbeing Initi</w:t>
            </w:r>
            <w:r w:rsidRPr="00562300">
              <w:rPr>
                <w:rFonts w:ascii="Arial" w:eastAsiaTheme="minorHAnsi" w:hAnsi="Arial" w:cs="Arial"/>
                <w:color w:val="000000"/>
                <w:sz w:val="22"/>
                <w:szCs w:val="22"/>
                <w:lang w:val="en-US"/>
              </w:rPr>
              <w:t>ative</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-£0.2</w:t>
            </w:r>
          </w:p>
        </w:tc>
        <w:tc>
          <w:tcPr>
            <w:tcW w:w="993"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-£0.2</w:t>
            </w: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-£0.1</w:t>
            </w: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 xml:space="preserve">Transfer from Earmarked </w:t>
            </w:r>
            <w:r>
              <w:rPr>
                <w:rFonts w:ascii="Arial" w:eastAsiaTheme="minorHAnsi" w:hAnsi="Arial" w:cs="Arial"/>
                <w:color w:val="000000"/>
                <w:sz w:val="22"/>
                <w:szCs w:val="22"/>
                <w:lang w:val="en-US"/>
              </w:rPr>
              <w:t>Reserves - Positive Action Ini</w:t>
            </w:r>
            <w:r w:rsidRPr="00562300">
              <w:rPr>
                <w:rFonts w:ascii="Arial" w:eastAsiaTheme="minorHAnsi" w:hAnsi="Arial" w:cs="Arial"/>
                <w:color w:val="000000"/>
                <w:sz w:val="22"/>
                <w:szCs w:val="22"/>
                <w:lang w:val="en-US"/>
              </w:rPr>
              <w:t>t</w:t>
            </w:r>
            <w:r>
              <w:rPr>
                <w:rFonts w:ascii="Arial" w:eastAsiaTheme="minorHAnsi" w:hAnsi="Arial" w:cs="Arial"/>
                <w:color w:val="000000"/>
                <w:sz w:val="22"/>
                <w:szCs w:val="22"/>
                <w:lang w:val="en-US"/>
              </w:rPr>
              <w:t>i</w:t>
            </w:r>
            <w:r w:rsidRPr="00562300">
              <w:rPr>
                <w:rFonts w:ascii="Arial" w:eastAsiaTheme="minorHAnsi" w:hAnsi="Arial" w:cs="Arial"/>
                <w:color w:val="000000"/>
                <w:sz w:val="22"/>
                <w:szCs w:val="22"/>
                <w:lang w:val="en-US"/>
              </w:rPr>
              <w:t>ative</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-£0.2</w:t>
            </w:r>
          </w:p>
        </w:tc>
        <w:tc>
          <w:tcPr>
            <w:tcW w:w="993"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-£0.2</w:t>
            </w: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r>
      <w:tr w:rsidR="004C3B79" w:rsidRPr="00562300" w:rsidTr="00721530">
        <w:trPr>
          <w:trHeight w:val="163"/>
        </w:trPr>
        <w:tc>
          <w:tcPr>
            <w:tcW w:w="5057" w:type="dxa"/>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Transfer from Earmarked Reserves - Bradford Park Disposal</w:t>
            </w: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-£0.7</w:t>
            </w:r>
          </w:p>
        </w:tc>
        <w:tc>
          <w:tcPr>
            <w:tcW w:w="993"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r>
      <w:tr w:rsidR="004C3B79" w:rsidRPr="00562300" w:rsidTr="00721530">
        <w:trPr>
          <w:trHeight w:val="163"/>
        </w:trPr>
        <w:tc>
          <w:tcPr>
            <w:tcW w:w="5229" w:type="dxa"/>
            <w:gridSpan w:val="2"/>
            <w:tcBorders>
              <w:top w:val="nil"/>
              <w:left w:val="nil"/>
              <w:bottom w:val="nil"/>
              <w:right w:val="nil"/>
            </w:tcBorders>
          </w:tcPr>
          <w:p w:rsidR="004C3B79" w:rsidRPr="00562300" w:rsidRDefault="004C3B79" w:rsidP="00721530">
            <w:pPr>
              <w:autoSpaceDE w:val="0"/>
              <w:autoSpaceDN w:val="0"/>
              <w:adjustRightInd w:val="0"/>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Transfer from Operational Contingency Reserve - additional 1% pay award Sep 2017</w:t>
            </w:r>
          </w:p>
        </w:tc>
        <w:tc>
          <w:tcPr>
            <w:tcW w:w="1038"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-£1.4</w:t>
            </w:r>
          </w:p>
        </w:tc>
        <w:tc>
          <w:tcPr>
            <w:tcW w:w="993"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c>
          <w:tcPr>
            <w:tcW w:w="99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r w:rsidRPr="00562300">
              <w:rPr>
                <w:rFonts w:ascii="Arial" w:eastAsiaTheme="minorHAnsi" w:hAnsi="Arial" w:cs="Arial"/>
                <w:color w:val="000000"/>
                <w:sz w:val="22"/>
                <w:szCs w:val="22"/>
                <w:lang w:val="en-US"/>
              </w:rPr>
              <w:t>£0.0</w:t>
            </w:r>
          </w:p>
        </w:tc>
      </w:tr>
      <w:tr w:rsidR="004C3B79" w:rsidRPr="00562300" w:rsidTr="00721530">
        <w:trPr>
          <w:trHeight w:val="223"/>
        </w:trPr>
        <w:tc>
          <w:tcPr>
            <w:tcW w:w="5057"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72" w:type="dxa"/>
            <w:tcBorders>
              <w:top w:val="nil"/>
              <w:left w:val="nil"/>
              <w:bottom w:val="nil"/>
              <w:right w:val="nil"/>
            </w:tcBorders>
          </w:tcPr>
          <w:p w:rsidR="004C3B79" w:rsidRPr="00562300" w:rsidRDefault="004C3B79" w:rsidP="00721530">
            <w:pPr>
              <w:autoSpaceDE w:val="0"/>
              <w:autoSpaceDN w:val="0"/>
              <w:adjustRightInd w:val="0"/>
              <w:jc w:val="right"/>
              <w:rPr>
                <w:rFonts w:ascii="Arial" w:eastAsiaTheme="minorHAnsi" w:hAnsi="Arial" w:cs="Arial"/>
                <w:color w:val="000000"/>
                <w:sz w:val="22"/>
                <w:szCs w:val="22"/>
                <w:lang w:val="en-US"/>
              </w:rPr>
            </w:pPr>
          </w:p>
        </w:tc>
        <w:tc>
          <w:tcPr>
            <w:tcW w:w="1038" w:type="dxa"/>
            <w:tcBorders>
              <w:top w:val="single" w:sz="6" w:space="0" w:color="auto"/>
              <w:left w:val="nil"/>
              <w:bottom w:val="single" w:sz="6" w:space="0" w:color="auto"/>
              <w:right w:val="nil"/>
            </w:tcBorders>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-£14.0</w:t>
            </w:r>
          </w:p>
        </w:tc>
        <w:tc>
          <w:tcPr>
            <w:tcW w:w="993" w:type="dxa"/>
            <w:tcBorders>
              <w:top w:val="single" w:sz="6" w:space="0" w:color="auto"/>
              <w:left w:val="nil"/>
              <w:bottom w:val="single" w:sz="6" w:space="0" w:color="auto"/>
              <w:right w:val="nil"/>
            </w:tcBorders>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-£0.8</w:t>
            </w:r>
          </w:p>
        </w:tc>
        <w:tc>
          <w:tcPr>
            <w:tcW w:w="992" w:type="dxa"/>
            <w:tcBorders>
              <w:top w:val="single" w:sz="6" w:space="0" w:color="auto"/>
              <w:left w:val="nil"/>
              <w:bottom w:val="single" w:sz="6" w:space="0" w:color="auto"/>
              <w:right w:val="nil"/>
            </w:tcBorders>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-£0.6</w:t>
            </w:r>
          </w:p>
        </w:tc>
        <w:tc>
          <w:tcPr>
            <w:tcW w:w="992" w:type="dxa"/>
            <w:tcBorders>
              <w:top w:val="single" w:sz="6" w:space="0" w:color="auto"/>
              <w:left w:val="nil"/>
              <w:bottom w:val="single" w:sz="6" w:space="0" w:color="auto"/>
              <w:right w:val="nil"/>
            </w:tcBorders>
          </w:tcPr>
          <w:p w:rsidR="004C3B79" w:rsidRPr="00562300" w:rsidRDefault="004C3B79" w:rsidP="00721530">
            <w:pPr>
              <w:autoSpaceDE w:val="0"/>
              <w:autoSpaceDN w:val="0"/>
              <w:adjustRightInd w:val="0"/>
              <w:jc w:val="right"/>
              <w:rPr>
                <w:rFonts w:ascii="Arial" w:eastAsiaTheme="minorHAnsi" w:hAnsi="Arial" w:cs="Arial"/>
                <w:b/>
                <w:bCs/>
                <w:color w:val="000000"/>
                <w:sz w:val="22"/>
                <w:szCs w:val="22"/>
                <w:lang w:val="en-US"/>
              </w:rPr>
            </w:pPr>
            <w:r w:rsidRPr="00562300">
              <w:rPr>
                <w:rFonts w:ascii="Arial" w:eastAsiaTheme="minorHAnsi" w:hAnsi="Arial" w:cs="Arial"/>
                <w:b/>
                <w:bCs/>
                <w:color w:val="000000"/>
                <w:sz w:val="22"/>
                <w:szCs w:val="22"/>
                <w:lang w:val="en-US"/>
              </w:rPr>
              <w:t>£0.0</w:t>
            </w:r>
          </w:p>
        </w:tc>
      </w:tr>
    </w:tbl>
    <w:p w:rsidR="004C3B79" w:rsidRPr="00562300" w:rsidRDefault="004C3B79" w:rsidP="004C3B79">
      <w:pPr>
        <w:tabs>
          <w:tab w:val="right" w:pos="9498"/>
        </w:tabs>
        <w:rPr>
          <w:rFonts w:ascii="Arial" w:hAnsi="Arial" w:cs="Arial"/>
          <w:b/>
          <w:sz w:val="22"/>
          <w:szCs w:val="22"/>
          <w:u w:val="single"/>
        </w:rPr>
      </w:pPr>
    </w:p>
    <w:p w:rsidR="004C3B79" w:rsidRDefault="004C3B79" w:rsidP="004C3B79">
      <w:pPr>
        <w:tabs>
          <w:tab w:val="right" w:pos="9498"/>
        </w:tabs>
        <w:jc w:val="center"/>
        <w:rPr>
          <w:rFonts w:ascii="Century Gothic" w:hAnsi="Century Gothic" w:cs="Arial"/>
          <w:b/>
          <w:sz w:val="22"/>
          <w:u w:val="single"/>
        </w:rPr>
      </w:pPr>
    </w:p>
    <w:p w:rsidR="004C3B79" w:rsidRPr="007565D3" w:rsidRDefault="004C3B79" w:rsidP="004C3B79">
      <w:pPr>
        <w:tabs>
          <w:tab w:val="right" w:pos="9498"/>
        </w:tabs>
        <w:rPr>
          <w:rFonts w:ascii="Arial" w:hAnsi="Arial" w:cs="Arial"/>
          <w:sz w:val="22"/>
        </w:rPr>
      </w:pPr>
      <w:r w:rsidRPr="00044931">
        <w:rPr>
          <w:rFonts w:ascii="Century Gothic" w:hAnsi="Century Gothic" w:cs="Arial"/>
          <w:b/>
          <w:sz w:val="22"/>
          <w:szCs w:val="22"/>
          <w:highlight w:val="yellow"/>
        </w:rPr>
        <w:br w:type="page"/>
      </w:r>
      <w:r w:rsidRPr="007565D3">
        <w:rPr>
          <w:rFonts w:ascii="Arial" w:hAnsi="Arial" w:cs="Arial"/>
          <w:sz w:val="22"/>
        </w:rPr>
        <w:tab/>
      </w:r>
      <w:bookmarkStart w:id="5" w:name="Appendix3"/>
      <w:r w:rsidRPr="007565D3">
        <w:rPr>
          <w:rFonts w:ascii="Arial" w:hAnsi="Arial" w:cs="Arial"/>
          <w:b/>
          <w:sz w:val="22"/>
        </w:rPr>
        <w:t>Appendix 3</w:t>
      </w:r>
      <w:bookmarkEnd w:id="5"/>
    </w:p>
    <w:p w:rsidR="004C3B79" w:rsidRPr="007565D3" w:rsidRDefault="004C3B79" w:rsidP="004C3B79">
      <w:pPr>
        <w:tabs>
          <w:tab w:val="left" w:pos="709"/>
          <w:tab w:val="right" w:pos="9356"/>
        </w:tabs>
        <w:jc w:val="right"/>
        <w:rPr>
          <w:rFonts w:ascii="Arial" w:hAnsi="Arial" w:cs="Arial"/>
          <w:b/>
          <w:bCs/>
          <w:sz w:val="22"/>
        </w:rPr>
      </w:pPr>
    </w:p>
    <w:p w:rsidR="004C3B79" w:rsidRPr="007565D3" w:rsidRDefault="004C3B79" w:rsidP="004C3B79">
      <w:pPr>
        <w:tabs>
          <w:tab w:val="right" w:pos="9498"/>
        </w:tabs>
        <w:rPr>
          <w:rFonts w:ascii="Arial" w:hAnsi="Arial" w:cs="Arial"/>
          <w:sz w:val="22"/>
        </w:rPr>
      </w:pPr>
    </w:p>
    <w:p w:rsidR="004C3B79" w:rsidRPr="007565D3" w:rsidRDefault="004C3B79" w:rsidP="004C3B79">
      <w:pPr>
        <w:tabs>
          <w:tab w:val="right" w:pos="9498"/>
        </w:tabs>
        <w:jc w:val="center"/>
        <w:rPr>
          <w:rFonts w:ascii="Arial" w:hAnsi="Arial" w:cs="Arial"/>
          <w:b/>
          <w:sz w:val="22"/>
          <w:u w:val="single"/>
        </w:rPr>
      </w:pPr>
      <w:r w:rsidRPr="007565D3">
        <w:rPr>
          <w:rFonts w:ascii="Arial" w:hAnsi="Arial" w:cs="Arial"/>
          <w:b/>
          <w:sz w:val="22"/>
          <w:u w:val="single"/>
        </w:rPr>
        <w:t>FORMULA FUNDING AND SPECIFIC GRANTS</w:t>
      </w:r>
    </w:p>
    <w:p w:rsidR="004C3B79" w:rsidRPr="007565D3" w:rsidRDefault="004C3B79" w:rsidP="004C3B79">
      <w:pPr>
        <w:tabs>
          <w:tab w:val="right" w:pos="9498"/>
        </w:tabs>
        <w:jc w:val="center"/>
        <w:rPr>
          <w:rFonts w:ascii="Arial" w:hAnsi="Arial" w:cs="Arial"/>
          <w:b/>
          <w:sz w:val="22"/>
          <w:highlight w:val="yellow"/>
          <w:u w:val="single"/>
        </w:rPr>
      </w:pPr>
    </w:p>
    <w:p w:rsidR="004C3B79" w:rsidRPr="007565D3" w:rsidRDefault="004C3B79" w:rsidP="004C3B79">
      <w:pPr>
        <w:tabs>
          <w:tab w:val="right" w:pos="9498"/>
        </w:tabs>
        <w:jc w:val="center"/>
        <w:rPr>
          <w:rFonts w:ascii="Arial" w:hAnsi="Arial" w:cs="Arial"/>
          <w:sz w:val="22"/>
          <w:highlight w:val="yellow"/>
        </w:rPr>
      </w:pPr>
    </w:p>
    <w:p w:rsidR="004C3B79" w:rsidRPr="007565D3" w:rsidRDefault="004C3B79" w:rsidP="004C3B79">
      <w:pPr>
        <w:tabs>
          <w:tab w:val="right" w:pos="9498"/>
        </w:tabs>
        <w:rPr>
          <w:rFonts w:ascii="Arial" w:hAnsi="Arial" w:cs="Arial"/>
          <w:sz w:val="22"/>
          <w:highlight w:val="yellow"/>
        </w:rPr>
      </w:pPr>
    </w:p>
    <w:p w:rsidR="004C3B79" w:rsidRPr="007565D3" w:rsidRDefault="004C3B79" w:rsidP="004C3B79">
      <w:pPr>
        <w:tabs>
          <w:tab w:val="right" w:pos="9498"/>
        </w:tabs>
        <w:rPr>
          <w:rFonts w:ascii="Arial" w:hAnsi="Arial" w:cs="Arial"/>
          <w:sz w:val="22"/>
          <w:highlight w:val="yellow"/>
        </w:rPr>
      </w:pPr>
    </w:p>
    <w:tbl>
      <w:tblPr>
        <w:tblW w:w="9580" w:type="dxa"/>
        <w:tblInd w:w="93" w:type="dxa"/>
        <w:tblLook w:val="04A0" w:firstRow="1" w:lastRow="0" w:firstColumn="1" w:lastColumn="0" w:noHBand="0" w:noVBand="1"/>
      </w:tblPr>
      <w:tblGrid>
        <w:gridCol w:w="4240"/>
        <w:gridCol w:w="1780"/>
        <w:gridCol w:w="1780"/>
        <w:gridCol w:w="1780"/>
      </w:tblGrid>
      <w:tr w:rsidR="004C3B79" w:rsidRPr="007565D3" w:rsidTr="00721530">
        <w:trPr>
          <w:trHeight w:val="330"/>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78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2017-18</w:t>
            </w:r>
          </w:p>
        </w:tc>
        <w:tc>
          <w:tcPr>
            <w:tcW w:w="178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2018-19</w:t>
            </w:r>
          </w:p>
        </w:tc>
        <w:tc>
          <w:tcPr>
            <w:tcW w:w="178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Variance</w:t>
            </w:r>
          </w:p>
        </w:tc>
      </w:tr>
      <w:tr w:rsidR="004C3B79" w:rsidRPr="007565D3" w:rsidTr="00721530">
        <w:trPr>
          <w:trHeight w:val="330"/>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78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£m</w:t>
            </w:r>
          </w:p>
        </w:tc>
        <w:tc>
          <w:tcPr>
            <w:tcW w:w="178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£m</w:t>
            </w:r>
          </w:p>
        </w:tc>
        <w:tc>
          <w:tcPr>
            <w:tcW w:w="178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£m</w:t>
            </w:r>
          </w:p>
        </w:tc>
      </w:tr>
      <w:tr w:rsidR="004C3B79" w:rsidRPr="007565D3" w:rsidTr="00721530">
        <w:trPr>
          <w:trHeight w:val="330"/>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Police Grant</w:t>
            </w:r>
          </w:p>
        </w:tc>
        <w:tc>
          <w:tcPr>
            <w:tcW w:w="1780" w:type="dxa"/>
            <w:tcBorders>
              <w:top w:val="nil"/>
              <w:left w:val="nil"/>
              <w:bottom w:val="nil"/>
              <w:right w:val="single" w:sz="8" w:space="0" w:color="auto"/>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223.464</w:t>
            </w:r>
          </w:p>
        </w:tc>
        <w:tc>
          <w:tcPr>
            <w:tcW w:w="1780" w:type="dxa"/>
            <w:tcBorders>
              <w:top w:val="nil"/>
              <w:left w:val="nil"/>
              <w:bottom w:val="nil"/>
              <w:right w:val="single" w:sz="8" w:space="0" w:color="auto"/>
            </w:tcBorders>
            <w:shd w:val="clear" w:color="000000" w:fill="D8D8D8"/>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223.464</w:t>
            </w:r>
          </w:p>
        </w:tc>
        <w:tc>
          <w:tcPr>
            <w:tcW w:w="178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w:t>
            </w:r>
          </w:p>
        </w:tc>
      </w:tr>
      <w:tr w:rsidR="004C3B79" w:rsidRPr="007565D3" w:rsidTr="00721530">
        <w:trPr>
          <w:trHeight w:val="330"/>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Formula Funding</w:t>
            </w:r>
          </w:p>
        </w:tc>
        <w:tc>
          <w:tcPr>
            <w:tcW w:w="1780" w:type="dxa"/>
            <w:tcBorders>
              <w:top w:val="nil"/>
              <w:left w:val="nil"/>
              <w:bottom w:val="nil"/>
              <w:right w:val="single" w:sz="8" w:space="0" w:color="auto"/>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178.841</w:t>
            </w:r>
          </w:p>
        </w:tc>
        <w:tc>
          <w:tcPr>
            <w:tcW w:w="1780" w:type="dxa"/>
            <w:tcBorders>
              <w:top w:val="nil"/>
              <w:left w:val="nil"/>
              <w:bottom w:val="nil"/>
              <w:right w:val="single" w:sz="8" w:space="0" w:color="auto"/>
            </w:tcBorders>
            <w:shd w:val="clear" w:color="000000" w:fill="D8D8D8"/>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178.841</w:t>
            </w:r>
          </w:p>
        </w:tc>
        <w:tc>
          <w:tcPr>
            <w:tcW w:w="178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w:t>
            </w:r>
          </w:p>
        </w:tc>
      </w:tr>
      <w:tr w:rsidR="004C3B79" w:rsidRPr="007565D3" w:rsidTr="00721530">
        <w:trPr>
          <w:trHeight w:val="345"/>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Legacy Council Tax Grants</w:t>
            </w:r>
          </w:p>
        </w:tc>
        <w:tc>
          <w:tcPr>
            <w:tcW w:w="1780" w:type="dxa"/>
            <w:tcBorders>
              <w:top w:val="nil"/>
              <w:left w:val="nil"/>
              <w:bottom w:val="nil"/>
              <w:right w:val="single" w:sz="8" w:space="0" w:color="auto"/>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25.714</w:t>
            </w:r>
          </w:p>
        </w:tc>
        <w:tc>
          <w:tcPr>
            <w:tcW w:w="1780" w:type="dxa"/>
            <w:tcBorders>
              <w:top w:val="nil"/>
              <w:left w:val="nil"/>
              <w:bottom w:val="nil"/>
              <w:right w:val="single" w:sz="8" w:space="0" w:color="auto"/>
            </w:tcBorders>
            <w:shd w:val="clear" w:color="000000" w:fill="D8D8D8"/>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25.714</w:t>
            </w:r>
          </w:p>
        </w:tc>
        <w:tc>
          <w:tcPr>
            <w:tcW w:w="178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w:t>
            </w:r>
          </w:p>
        </w:tc>
      </w:tr>
      <w:tr w:rsidR="004C3B79" w:rsidRPr="007565D3" w:rsidTr="00721530">
        <w:trPr>
          <w:trHeight w:val="285"/>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b/>
                <w:bCs/>
                <w:color w:val="000000"/>
                <w:sz w:val="22"/>
                <w:szCs w:val="22"/>
                <w:lang w:eastAsia="en-GB"/>
              </w:rPr>
            </w:pPr>
            <w:r w:rsidRPr="007565D3">
              <w:rPr>
                <w:rFonts w:ascii="Arial" w:hAnsi="Arial" w:cs="Arial"/>
                <w:b/>
                <w:bCs/>
                <w:color w:val="000000"/>
                <w:sz w:val="22"/>
                <w:szCs w:val="22"/>
                <w:lang w:eastAsia="en-GB"/>
              </w:rPr>
              <w:t>Total funding</w:t>
            </w:r>
          </w:p>
        </w:tc>
        <w:tc>
          <w:tcPr>
            <w:tcW w:w="1780" w:type="dxa"/>
            <w:tcBorders>
              <w:top w:val="single" w:sz="8" w:space="0" w:color="auto"/>
              <w:left w:val="nil"/>
              <w:bottom w:val="nil"/>
              <w:right w:val="single" w:sz="8" w:space="0" w:color="auto"/>
            </w:tcBorders>
            <w:shd w:val="clear" w:color="000000" w:fill="FFFFFF"/>
            <w:vAlign w:val="center"/>
            <w:hideMark/>
          </w:tcPr>
          <w:p w:rsidR="004C3B79" w:rsidRPr="007565D3" w:rsidRDefault="004C3B79" w:rsidP="00721530">
            <w:pPr>
              <w:jc w:val="right"/>
              <w:rPr>
                <w:rFonts w:ascii="Arial" w:hAnsi="Arial" w:cs="Arial"/>
                <w:b/>
                <w:bCs/>
                <w:color w:val="000000"/>
                <w:sz w:val="22"/>
                <w:szCs w:val="22"/>
                <w:lang w:eastAsia="en-GB"/>
              </w:rPr>
            </w:pPr>
            <w:r w:rsidRPr="007565D3">
              <w:rPr>
                <w:rFonts w:ascii="Arial" w:hAnsi="Arial" w:cs="Arial"/>
                <w:b/>
                <w:bCs/>
                <w:color w:val="000000"/>
                <w:sz w:val="22"/>
                <w:szCs w:val="22"/>
                <w:lang w:eastAsia="en-GB"/>
              </w:rPr>
              <w:t>428.019</w:t>
            </w:r>
          </w:p>
        </w:tc>
        <w:tc>
          <w:tcPr>
            <w:tcW w:w="1780" w:type="dxa"/>
            <w:tcBorders>
              <w:top w:val="single" w:sz="8" w:space="0" w:color="auto"/>
              <w:left w:val="nil"/>
              <w:bottom w:val="nil"/>
              <w:right w:val="single" w:sz="8" w:space="0" w:color="auto"/>
            </w:tcBorders>
            <w:shd w:val="clear" w:color="000000" w:fill="D8D8D8"/>
            <w:vAlign w:val="center"/>
            <w:hideMark/>
          </w:tcPr>
          <w:p w:rsidR="004C3B79" w:rsidRPr="007565D3" w:rsidRDefault="004C3B79" w:rsidP="00721530">
            <w:pPr>
              <w:jc w:val="right"/>
              <w:rPr>
                <w:rFonts w:ascii="Arial" w:hAnsi="Arial" w:cs="Arial"/>
                <w:b/>
                <w:bCs/>
                <w:color w:val="000000"/>
                <w:sz w:val="22"/>
                <w:szCs w:val="22"/>
                <w:lang w:eastAsia="en-GB"/>
              </w:rPr>
            </w:pPr>
            <w:r w:rsidRPr="007565D3">
              <w:rPr>
                <w:rFonts w:ascii="Arial" w:hAnsi="Arial" w:cs="Arial"/>
                <w:b/>
                <w:bCs/>
                <w:color w:val="000000"/>
                <w:sz w:val="22"/>
                <w:szCs w:val="22"/>
                <w:lang w:eastAsia="en-GB"/>
              </w:rPr>
              <w:t>428.019</w:t>
            </w:r>
          </w:p>
        </w:tc>
        <w:tc>
          <w:tcPr>
            <w:tcW w:w="1780" w:type="dxa"/>
            <w:tcBorders>
              <w:top w:val="single" w:sz="8" w:space="0" w:color="auto"/>
              <w:left w:val="nil"/>
              <w:bottom w:val="nil"/>
              <w:right w:val="nil"/>
            </w:tcBorders>
            <w:shd w:val="clear" w:color="000000" w:fill="FFFFFF"/>
            <w:vAlign w:val="center"/>
            <w:hideMark/>
          </w:tcPr>
          <w:p w:rsidR="004C3B79" w:rsidRPr="007565D3" w:rsidRDefault="004C3B79" w:rsidP="00721530">
            <w:pPr>
              <w:jc w:val="right"/>
              <w:rPr>
                <w:rFonts w:ascii="Arial" w:hAnsi="Arial" w:cs="Arial"/>
                <w:b/>
                <w:bCs/>
                <w:color w:val="000000"/>
                <w:sz w:val="22"/>
                <w:szCs w:val="22"/>
                <w:lang w:eastAsia="en-GB"/>
              </w:rPr>
            </w:pPr>
            <w:r w:rsidRPr="007565D3">
              <w:rPr>
                <w:rFonts w:ascii="Arial" w:hAnsi="Arial" w:cs="Arial"/>
                <w:b/>
                <w:bCs/>
                <w:color w:val="000000"/>
                <w:sz w:val="22"/>
                <w:szCs w:val="22"/>
                <w:lang w:eastAsia="en-GB"/>
              </w:rPr>
              <w:t>0</w:t>
            </w:r>
          </w:p>
        </w:tc>
      </w:tr>
      <w:tr w:rsidR="004C3B79" w:rsidRPr="007565D3" w:rsidTr="00721530">
        <w:trPr>
          <w:trHeight w:val="330"/>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780" w:type="dxa"/>
            <w:tcBorders>
              <w:top w:val="nil"/>
              <w:left w:val="nil"/>
              <w:bottom w:val="nil"/>
              <w:right w:val="single" w:sz="8" w:space="0" w:color="auto"/>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780" w:type="dxa"/>
            <w:tcBorders>
              <w:top w:val="nil"/>
              <w:left w:val="nil"/>
              <w:bottom w:val="nil"/>
              <w:right w:val="single" w:sz="8" w:space="0" w:color="auto"/>
            </w:tcBorders>
            <w:shd w:val="clear" w:color="000000" w:fill="D8D8D8"/>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78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r>
      <w:tr w:rsidR="004C3B79" w:rsidRPr="007565D3" w:rsidTr="00721530">
        <w:trPr>
          <w:trHeight w:val="330"/>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b/>
                <w:bCs/>
                <w:color w:val="000000"/>
                <w:sz w:val="22"/>
                <w:szCs w:val="22"/>
                <w:lang w:eastAsia="en-GB"/>
              </w:rPr>
            </w:pPr>
            <w:r w:rsidRPr="007565D3">
              <w:rPr>
                <w:rFonts w:ascii="Arial" w:hAnsi="Arial" w:cs="Arial"/>
                <w:b/>
                <w:bCs/>
                <w:color w:val="000000"/>
                <w:sz w:val="22"/>
                <w:szCs w:val="22"/>
                <w:lang w:eastAsia="en-GB"/>
              </w:rPr>
              <w:t>Other grants</w:t>
            </w:r>
          </w:p>
        </w:tc>
        <w:tc>
          <w:tcPr>
            <w:tcW w:w="1780" w:type="dxa"/>
            <w:tcBorders>
              <w:top w:val="nil"/>
              <w:left w:val="nil"/>
              <w:bottom w:val="nil"/>
              <w:right w:val="single" w:sz="8" w:space="0" w:color="auto"/>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780" w:type="dxa"/>
            <w:tcBorders>
              <w:top w:val="nil"/>
              <w:left w:val="nil"/>
              <w:bottom w:val="nil"/>
              <w:right w:val="single" w:sz="8" w:space="0" w:color="auto"/>
            </w:tcBorders>
            <w:shd w:val="clear" w:color="000000" w:fill="D8D8D8"/>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78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r>
      <w:tr w:rsidR="004C3B79" w:rsidRPr="007565D3" w:rsidTr="00721530">
        <w:trPr>
          <w:trHeight w:val="330"/>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Police Pension Top Up Grant</w:t>
            </w:r>
          </w:p>
        </w:tc>
        <w:tc>
          <w:tcPr>
            <w:tcW w:w="1780" w:type="dxa"/>
            <w:tcBorders>
              <w:top w:val="nil"/>
              <w:left w:val="nil"/>
              <w:bottom w:val="nil"/>
              <w:right w:val="single" w:sz="8" w:space="0" w:color="auto"/>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110.796</w:t>
            </w:r>
          </w:p>
        </w:tc>
        <w:tc>
          <w:tcPr>
            <w:tcW w:w="1780" w:type="dxa"/>
            <w:tcBorders>
              <w:top w:val="nil"/>
              <w:left w:val="nil"/>
              <w:bottom w:val="nil"/>
              <w:right w:val="single" w:sz="8" w:space="0" w:color="auto"/>
            </w:tcBorders>
            <w:shd w:val="clear" w:color="000000" w:fill="D8D8D8"/>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115.384</w:t>
            </w:r>
          </w:p>
        </w:tc>
        <w:tc>
          <w:tcPr>
            <w:tcW w:w="178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4.588</w:t>
            </w:r>
          </w:p>
        </w:tc>
      </w:tr>
      <w:tr w:rsidR="004C3B79" w:rsidRPr="007565D3" w:rsidTr="00721530">
        <w:trPr>
          <w:trHeight w:val="330"/>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Counter Terrorism Grant</w:t>
            </w:r>
          </w:p>
        </w:tc>
        <w:tc>
          <w:tcPr>
            <w:tcW w:w="1780" w:type="dxa"/>
            <w:tcBorders>
              <w:top w:val="nil"/>
              <w:left w:val="nil"/>
              <w:bottom w:val="nil"/>
              <w:right w:val="single" w:sz="8" w:space="0" w:color="auto"/>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30.014</w:t>
            </w:r>
          </w:p>
        </w:tc>
        <w:tc>
          <w:tcPr>
            <w:tcW w:w="1780" w:type="dxa"/>
            <w:tcBorders>
              <w:top w:val="nil"/>
              <w:left w:val="nil"/>
              <w:bottom w:val="nil"/>
              <w:right w:val="single" w:sz="8" w:space="0" w:color="auto"/>
            </w:tcBorders>
            <w:shd w:val="clear" w:color="000000" w:fill="D8D8D8"/>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32.941</w:t>
            </w:r>
          </w:p>
        </w:tc>
        <w:tc>
          <w:tcPr>
            <w:tcW w:w="178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2.927</w:t>
            </w:r>
          </w:p>
        </w:tc>
      </w:tr>
      <w:tr w:rsidR="004C3B79" w:rsidRPr="007565D3" w:rsidTr="00721530">
        <w:trPr>
          <w:trHeight w:val="330"/>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Private Finance Initiative (PFI)</w:t>
            </w:r>
          </w:p>
        </w:tc>
        <w:tc>
          <w:tcPr>
            <w:tcW w:w="1780" w:type="dxa"/>
            <w:tcBorders>
              <w:top w:val="nil"/>
              <w:left w:val="nil"/>
              <w:bottom w:val="nil"/>
              <w:right w:val="single" w:sz="8" w:space="0" w:color="auto"/>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5.315</w:t>
            </w:r>
          </w:p>
        </w:tc>
        <w:tc>
          <w:tcPr>
            <w:tcW w:w="1780" w:type="dxa"/>
            <w:tcBorders>
              <w:top w:val="nil"/>
              <w:left w:val="nil"/>
              <w:bottom w:val="nil"/>
              <w:right w:val="single" w:sz="8" w:space="0" w:color="auto"/>
            </w:tcBorders>
            <w:shd w:val="clear" w:color="000000" w:fill="D8D8D8"/>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5.315</w:t>
            </w:r>
          </w:p>
        </w:tc>
        <w:tc>
          <w:tcPr>
            <w:tcW w:w="178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w:t>
            </w:r>
          </w:p>
        </w:tc>
      </w:tr>
      <w:tr w:rsidR="004C3B79" w:rsidRPr="007565D3" w:rsidTr="00721530">
        <w:trPr>
          <w:trHeight w:val="330"/>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Restorative and Victims Services</w:t>
            </w:r>
          </w:p>
        </w:tc>
        <w:tc>
          <w:tcPr>
            <w:tcW w:w="1780" w:type="dxa"/>
            <w:tcBorders>
              <w:top w:val="nil"/>
              <w:left w:val="nil"/>
              <w:bottom w:val="nil"/>
              <w:right w:val="single" w:sz="8" w:space="0" w:color="auto"/>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4.199</w:t>
            </w:r>
          </w:p>
        </w:tc>
        <w:tc>
          <w:tcPr>
            <w:tcW w:w="1780" w:type="dxa"/>
            <w:tcBorders>
              <w:top w:val="nil"/>
              <w:left w:val="nil"/>
              <w:bottom w:val="nil"/>
              <w:right w:val="single" w:sz="8" w:space="0" w:color="auto"/>
            </w:tcBorders>
            <w:shd w:val="clear" w:color="000000" w:fill="D8D8D8"/>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3.306</w:t>
            </w:r>
          </w:p>
        </w:tc>
        <w:tc>
          <w:tcPr>
            <w:tcW w:w="178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-0.893</w:t>
            </w:r>
          </w:p>
        </w:tc>
      </w:tr>
      <w:tr w:rsidR="004C3B79" w:rsidRPr="007565D3" w:rsidTr="00721530">
        <w:trPr>
          <w:trHeight w:val="330"/>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Asset Incentivisation</w:t>
            </w:r>
          </w:p>
        </w:tc>
        <w:tc>
          <w:tcPr>
            <w:tcW w:w="1780" w:type="dxa"/>
            <w:tcBorders>
              <w:top w:val="nil"/>
              <w:left w:val="nil"/>
              <w:bottom w:val="nil"/>
              <w:right w:val="single" w:sz="8" w:space="0" w:color="auto"/>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1.668</w:t>
            </w:r>
          </w:p>
        </w:tc>
        <w:tc>
          <w:tcPr>
            <w:tcW w:w="1780" w:type="dxa"/>
            <w:tcBorders>
              <w:top w:val="nil"/>
              <w:left w:val="nil"/>
              <w:bottom w:val="nil"/>
              <w:right w:val="single" w:sz="8" w:space="0" w:color="auto"/>
            </w:tcBorders>
            <w:shd w:val="clear" w:color="000000" w:fill="D8D8D8"/>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1.994</w:t>
            </w:r>
          </w:p>
        </w:tc>
        <w:tc>
          <w:tcPr>
            <w:tcW w:w="178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0.326</w:t>
            </w:r>
          </w:p>
        </w:tc>
      </w:tr>
      <w:tr w:rsidR="004C3B79" w:rsidRPr="007565D3" w:rsidTr="00721530">
        <w:trPr>
          <w:trHeight w:val="330"/>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Capital Grant: Pre 1990 Debt Charge</w:t>
            </w:r>
          </w:p>
        </w:tc>
        <w:tc>
          <w:tcPr>
            <w:tcW w:w="1780" w:type="dxa"/>
            <w:tcBorders>
              <w:top w:val="nil"/>
              <w:left w:val="nil"/>
              <w:bottom w:val="nil"/>
              <w:right w:val="single" w:sz="8" w:space="0" w:color="auto"/>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0.760</w:t>
            </w:r>
          </w:p>
        </w:tc>
        <w:tc>
          <w:tcPr>
            <w:tcW w:w="1780" w:type="dxa"/>
            <w:tcBorders>
              <w:top w:val="nil"/>
              <w:left w:val="nil"/>
              <w:bottom w:val="nil"/>
              <w:right w:val="single" w:sz="8" w:space="0" w:color="auto"/>
            </w:tcBorders>
            <w:shd w:val="clear" w:color="000000" w:fill="D8D8D8"/>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0.750</w:t>
            </w:r>
          </w:p>
        </w:tc>
        <w:tc>
          <w:tcPr>
            <w:tcW w:w="178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-0.010</w:t>
            </w:r>
          </w:p>
        </w:tc>
      </w:tr>
      <w:tr w:rsidR="004C3B79" w:rsidRPr="007565D3" w:rsidTr="00721530">
        <w:trPr>
          <w:trHeight w:val="345"/>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Other</w:t>
            </w:r>
          </w:p>
        </w:tc>
        <w:tc>
          <w:tcPr>
            <w:tcW w:w="1780" w:type="dxa"/>
            <w:tcBorders>
              <w:top w:val="nil"/>
              <w:left w:val="nil"/>
              <w:bottom w:val="nil"/>
              <w:right w:val="single" w:sz="8" w:space="0" w:color="auto"/>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15.046</w:t>
            </w:r>
          </w:p>
        </w:tc>
        <w:tc>
          <w:tcPr>
            <w:tcW w:w="1780" w:type="dxa"/>
            <w:tcBorders>
              <w:top w:val="nil"/>
              <w:left w:val="nil"/>
              <w:bottom w:val="nil"/>
              <w:right w:val="single" w:sz="8" w:space="0" w:color="auto"/>
            </w:tcBorders>
            <w:shd w:val="clear" w:color="000000" w:fill="D8D8D8"/>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12.033</w:t>
            </w:r>
          </w:p>
        </w:tc>
        <w:tc>
          <w:tcPr>
            <w:tcW w:w="178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-3.013</w:t>
            </w:r>
          </w:p>
        </w:tc>
      </w:tr>
      <w:tr w:rsidR="004C3B79" w:rsidRPr="007565D3" w:rsidTr="00721530">
        <w:trPr>
          <w:trHeight w:val="345"/>
        </w:trPr>
        <w:tc>
          <w:tcPr>
            <w:tcW w:w="424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780" w:type="dxa"/>
            <w:tcBorders>
              <w:top w:val="single" w:sz="8" w:space="0" w:color="auto"/>
              <w:left w:val="nil"/>
              <w:bottom w:val="nil"/>
              <w:right w:val="single" w:sz="8" w:space="0" w:color="auto"/>
            </w:tcBorders>
            <w:shd w:val="clear" w:color="000000" w:fill="FFFFFF"/>
            <w:vAlign w:val="center"/>
            <w:hideMark/>
          </w:tcPr>
          <w:p w:rsidR="004C3B79" w:rsidRPr="007565D3" w:rsidRDefault="004C3B79" w:rsidP="00721530">
            <w:pPr>
              <w:jc w:val="right"/>
              <w:rPr>
                <w:rFonts w:ascii="Arial" w:hAnsi="Arial" w:cs="Arial"/>
                <w:b/>
                <w:bCs/>
                <w:color w:val="000000"/>
                <w:sz w:val="22"/>
                <w:szCs w:val="22"/>
                <w:lang w:eastAsia="en-GB"/>
              </w:rPr>
            </w:pPr>
            <w:r w:rsidRPr="007565D3">
              <w:rPr>
                <w:rFonts w:ascii="Arial" w:hAnsi="Arial" w:cs="Arial"/>
                <w:b/>
                <w:bCs/>
                <w:color w:val="000000"/>
                <w:sz w:val="22"/>
                <w:szCs w:val="22"/>
                <w:lang w:eastAsia="en-GB"/>
              </w:rPr>
              <w:t>167.798</w:t>
            </w:r>
          </w:p>
        </w:tc>
        <w:tc>
          <w:tcPr>
            <w:tcW w:w="1780" w:type="dxa"/>
            <w:tcBorders>
              <w:top w:val="single" w:sz="8" w:space="0" w:color="auto"/>
              <w:left w:val="nil"/>
              <w:bottom w:val="single" w:sz="8" w:space="0" w:color="auto"/>
              <w:right w:val="single" w:sz="8" w:space="0" w:color="auto"/>
            </w:tcBorders>
            <w:shd w:val="clear" w:color="000000" w:fill="D8D8D8"/>
            <w:vAlign w:val="center"/>
            <w:hideMark/>
          </w:tcPr>
          <w:p w:rsidR="004C3B79" w:rsidRPr="007565D3" w:rsidRDefault="004C3B79" w:rsidP="00721530">
            <w:pPr>
              <w:jc w:val="right"/>
              <w:rPr>
                <w:rFonts w:ascii="Arial" w:hAnsi="Arial" w:cs="Arial"/>
                <w:b/>
                <w:bCs/>
                <w:color w:val="000000"/>
                <w:sz w:val="22"/>
                <w:szCs w:val="22"/>
                <w:lang w:eastAsia="en-GB"/>
              </w:rPr>
            </w:pPr>
            <w:r w:rsidRPr="007565D3">
              <w:rPr>
                <w:rFonts w:ascii="Arial" w:hAnsi="Arial" w:cs="Arial"/>
                <w:b/>
                <w:bCs/>
                <w:color w:val="000000"/>
                <w:sz w:val="22"/>
                <w:szCs w:val="22"/>
                <w:lang w:eastAsia="en-GB"/>
              </w:rPr>
              <w:t>171.723</w:t>
            </w:r>
          </w:p>
        </w:tc>
        <w:tc>
          <w:tcPr>
            <w:tcW w:w="1780" w:type="dxa"/>
            <w:tcBorders>
              <w:top w:val="single" w:sz="8" w:space="0" w:color="auto"/>
              <w:left w:val="nil"/>
              <w:bottom w:val="nil"/>
              <w:right w:val="nil"/>
            </w:tcBorders>
            <w:shd w:val="clear" w:color="000000" w:fill="FFFFFF"/>
            <w:vAlign w:val="center"/>
            <w:hideMark/>
          </w:tcPr>
          <w:p w:rsidR="004C3B79" w:rsidRPr="007565D3" w:rsidRDefault="004C3B79" w:rsidP="00721530">
            <w:pPr>
              <w:jc w:val="right"/>
              <w:rPr>
                <w:rFonts w:ascii="Arial" w:hAnsi="Arial" w:cs="Arial"/>
                <w:b/>
                <w:bCs/>
                <w:color w:val="000000"/>
                <w:sz w:val="22"/>
                <w:szCs w:val="22"/>
                <w:lang w:eastAsia="en-GB"/>
              </w:rPr>
            </w:pPr>
            <w:r w:rsidRPr="007565D3">
              <w:rPr>
                <w:rFonts w:ascii="Arial" w:hAnsi="Arial" w:cs="Arial"/>
                <w:b/>
                <w:bCs/>
                <w:color w:val="000000"/>
                <w:sz w:val="22"/>
                <w:szCs w:val="22"/>
                <w:lang w:eastAsia="en-GB"/>
              </w:rPr>
              <w:t>3.925</w:t>
            </w:r>
          </w:p>
        </w:tc>
      </w:tr>
    </w:tbl>
    <w:p w:rsidR="004C3B79" w:rsidRPr="007565D3" w:rsidRDefault="004C3B79" w:rsidP="004C3B79">
      <w:pPr>
        <w:tabs>
          <w:tab w:val="right" w:pos="9498"/>
        </w:tabs>
        <w:rPr>
          <w:rFonts w:ascii="Arial" w:hAnsi="Arial" w:cs="Arial"/>
          <w:sz w:val="22"/>
          <w:highlight w:val="yellow"/>
        </w:rPr>
      </w:pPr>
    </w:p>
    <w:p w:rsidR="004C3B79" w:rsidRPr="007565D3" w:rsidRDefault="004C3B79" w:rsidP="004C3B79">
      <w:pPr>
        <w:tabs>
          <w:tab w:val="right" w:pos="9498"/>
        </w:tabs>
        <w:rPr>
          <w:rFonts w:ascii="Arial" w:hAnsi="Arial" w:cs="Arial"/>
          <w:sz w:val="22"/>
          <w:highlight w:val="yellow"/>
        </w:rPr>
      </w:pPr>
    </w:p>
    <w:p w:rsidR="004C3B79" w:rsidRPr="007565D3" w:rsidRDefault="004C3B79" w:rsidP="004C3B79">
      <w:pPr>
        <w:tabs>
          <w:tab w:val="right" w:pos="9498"/>
        </w:tabs>
        <w:rPr>
          <w:rFonts w:ascii="Arial" w:hAnsi="Arial" w:cs="Arial"/>
          <w:sz w:val="22"/>
        </w:rPr>
      </w:pPr>
    </w:p>
    <w:p w:rsidR="004C3B79" w:rsidRPr="007565D3" w:rsidRDefault="004C3B79" w:rsidP="004C3B79">
      <w:pPr>
        <w:tabs>
          <w:tab w:val="right" w:pos="9498"/>
        </w:tabs>
        <w:rPr>
          <w:rFonts w:ascii="Arial" w:hAnsi="Arial" w:cs="Arial"/>
          <w:sz w:val="22"/>
        </w:rPr>
      </w:pPr>
    </w:p>
    <w:p w:rsidR="004C3B79" w:rsidRPr="007565D3" w:rsidRDefault="004C3B79" w:rsidP="004C3B79">
      <w:pPr>
        <w:tabs>
          <w:tab w:val="right" w:pos="9498"/>
        </w:tabs>
        <w:rPr>
          <w:rFonts w:ascii="Arial" w:hAnsi="Arial" w:cs="Arial"/>
          <w:sz w:val="22"/>
        </w:rPr>
      </w:pPr>
    </w:p>
    <w:p w:rsidR="004C3B79" w:rsidRPr="007565D3" w:rsidRDefault="004C3B79" w:rsidP="004C3B79">
      <w:pPr>
        <w:tabs>
          <w:tab w:val="right" w:pos="9498"/>
        </w:tabs>
        <w:rPr>
          <w:rFonts w:ascii="Arial" w:hAnsi="Arial" w:cs="Arial"/>
          <w:sz w:val="22"/>
        </w:rPr>
      </w:pPr>
    </w:p>
    <w:p w:rsidR="004C3B79" w:rsidRPr="007565D3" w:rsidRDefault="004C3B79" w:rsidP="004C3B79">
      <w:pPr>
        <w:tabs>
          <w:tab w:val="right" w:pos="9498"/>
        </w:tabs>
        <w:jc w:val="right"/>
        <w:rPr>
          <w:rFonts w:ascii="Arial" w:hAnsi="Arial" w:cs="Arial"/>
          <w:b/>
          <w:sz w:val="22"/>
          <w:szCs w:val="22"/>
        </w:rPr>
      </w:pPr>
      <w:r w:rsidRPr="007565D3">
        <w:rPr>
          <w:rFonts w:ascii="Arial" w:hAnsi="Arial" w:cs="Arial"/>
          <w:sz w:val="22"/>
        </w:rPr>
        <w:tab/>
      </w:r>
      <w:r w:rsidRPr="007565D3">
        <w:rPr>
          <w:rFonts w:ascii="Arial" w:hAnsi="Arial" w:cs="Arial"/>
          <w:sz w:val="22"/>
          <w:highlight w:val="yellow"/>
        </w:rPr>
        <w:br w:type="page"/>
      </w:r>
      <w:bookmarkStart w:id="6" w:name="Appendix4"/>
      <w:r w:rsidRPr="007565D3">
        <w:rPr>
          <w:rFonts w:ascii="Arial" w:hAnsi="Arial" w:cs="Arial"/>
          <w:b/>
          <w:sz w:val="22"/>
          <w:szCs w:val="22"/>
        </w:rPr>
        <w:t>Appendix 4</w:t>
      </w:r>
      <w:bookmarkEnd w:id="6"/>
    </w:p>
    <w:p w:rsidR="004C3B79" w:rsidRPr="007565D3" w:rsidRDefault="004C3B79" w:rsidP="004C3B79">
      <w:pPr>
        <w:pStyle w:val="xl24"/>
        <w:tabs>
          <w:tab w:val="right" w:pos="9498"/>
        </w:tabs>
        <w:spacing w:before="0" w:beforeAutospacing="0" w:after="0" w:afterAutospacing="0"/>
        <w:jc w:val="right"/>
      </w:pPr>
    </w:p>
    <w:p w:rsidR="004C3B79" w:rsidRPr="007565D3" w:rsidRDefault="004C3B79" w:rsidP="004C3B79">
      <w:pPr>
        <w:pStyle w:val="xl24"/>
        <w:tabs>
          <w:tab w:val="right" w:pos="9498"/>
        </w:tabs>
        <w:spacing w:before="0" w:beforeAutospacing="0" w:after="0" w:afterAutospacing="0"/>
        <w:jc w:val="center"/>
        <w:rPr>
          <w:b/>
          <w:u w:val="single"/>
        </w:rPr>
      </w:pPr>
      <w:r w:rsidRPr="007565D3">
        <w:rPr>
          <w:b/>
          <w:u w:val="single"/>
        </w:rPr>
        <w:t>VARIATIONS BETWEEN 2017-18 AND 2018-19</w:t>
      </w:r>
    </w:p>
    <w:p w:rsidR="004C3B79" w:rsidRPr="007565D3" w:rsidRDefault="004C3B79" w:rsidP="004C3B79">
      <w:pPr>
        <w:pStyle w:val="xl24"/>
        <w:tabs>
          <w:tab w:val="right" w:pos="9498"/>
        </w:tabs>
        <w:spacing w:before="0" w:beforeAutospacing="0" w:after="0" w:afterAutospacing="0"/>
        <w:jc w:val="center"/>
      </w:pPr>
    </w:p>
    <w:p w:rsidR="004C3B79" w:rsidRPr="007565D3" w:rsidRDefault="004C3B79" w:rsidP="004C3B79">
      <w:pPr>
        <w:pStyle w:val="xl24"/>
        <w:tabs>
          <w:tab w:val="right" w:pos="9498"/>
        </w:tabs>
        <w:spacing w:before="0" w:beforeAutospacing="0" w:after="0" w:afterAutospacing="0"/>
        <w:jc w:val="center"/>
        <w:rPr>
          <w:highlight w:val="yellow"/>
        </w:rPr>
      </w:pPr>
    </w:p>
    <w:tbl>
      <w:tblPr>
        <w:tblW w:w="8060" w:type="dxa"/>
        <w:tblInd w:w="93" w:type="dxa"/>
        <w:tblLook w:val="04A0" w:firstRow="1" w:lastRow="0" w:firstColumn="1" w:lastColumn="0" w:noHBand="0" w:noVBand="1"/>
      </w:tblPr>
      <w:tblGrid>
        <w:gridCol w:w="4120"/>
        <w:gridCol w:w="1360"/>
        <w:gridCol w:w="1360"/>
        <w:gridCol w:w="1220"/>
      </w:tblGrid>
      <w:tr w:rsidR="004C3B79" w:rsidRPr="007565D3" w:rsidTr="00721530">
        <w:trPr>
          <w:trHeight w:val="855"/>
        </w:trPr>
        <w:tc>
          <w:tcPr>
            <w:tcW w:w="4120" w:type="dxa"/>
            <w:vMerge w:val="restart"/>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36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Original Budget</w:t>
            </w:r>
          </w:p>
        </w:tc>
        <w:tc>
          <w:tcPr>
            <w:tcW w:w="136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Original Budget</w:t>
            </w:r>
          </w:p>
        </w:tc>
        <w:tc>
          <w:tcPr>
            <w:tcW w:w="122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Variance</w:t>
            </w:r>
          </w:p>
        </w:tc>
      </w:tr>
      <w:tr w:rsidR="004C3B79" w:rsidRPr="007565D3" w:rsidTr="00721530">
        <w:trPr>
          <w:trHeight w:val="285"/>
        </w:trPr>
        <w:tc>
          <w:tcPr>
            <w:tcW w:w="4120" w:type="dxa"/>
            <w:vMerge/>
            <w:tcBorders>
              <w:top w:val="nil"/>
              <w:left w:val="nil"/>
              <w:bottom w:val="nil"/>
              <w:right w:val="nil"/>
            </w:tcBorders>
            <w:vAlign w:val="center"/>
            <w:hideMark/>
          </w:tcPr>
          <w:p w:rsidR="004C3B79" w:rsidRPr="007565D3" w:rsidRDefault="004C3B79" w:rsidP="00721530">
            <w:pPr>
              <w:rPr>
                <w:rFonts w:ascii="Arial" w:hAnsi="Arial" w:cs="Arial"/>
                <w:color w:val="000000"/>
                <w:sz w:val="22"/>
                <w:szCs w:val="22"/>
                <w:lang w:eastAsia="en-GB"/>
              </w:rPr>
            </w:pPr>
          </w:p>
        </w:tc>
        <w:tc>
          <w:tcPr>
            <w:tcW w:w="136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2017-18</w:t>
            </w:r>
          </w:p>
        </w:tc>
        <w:tc>
          <w:tcPr>
            <w:tcW w:w="136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2018-19</w:t>
            </w:r>
          </w:p>
        </w:tc>
        <w:tc>
          <w:tcPr>
            <w:tcW w:w="122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 </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36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£m</w:t>
            </w:r>
          </w:p>
        </w:tc>
        <w:tc>
          <w:tcPr>
            <w:tcW w:w="136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£m</w:t>
            </w:r>
          </w:p>
        </w:tc>
        <w:tc>
          <w:tcPr>
            <w:tcW w:w="1220" w:type="dxa"/>
            <w:tcBorders>
              <w:top w:val="nil"/>
              <w:left w:val="nil"/>
              <w:bottom w:val="nil"/>
              <w:right w:val="nil"/>
            </w:tcBorders>
            <w:shd w:val="clear" w:color="auto" w:fill="auto"/>
            <w:vAlign w:val="center"/>
            <w:hideMark/>
          </w:tcPr>
          <w:p w:rsidR="004C3B79" w:rsidRPr="007565D3" w:rsidRDefault="004C3B79" w:rsidP="00721530">
            <w:pPr>
              <w:jc w:val="center"/>
              <w:rPr>
                <w:rFonts w:ascii="Arial" w:hAnsi="Arial" w:cs="Arial"/>
                <w:b/>
                <w:bCs/>
                <w:sz w:val="22"/>
                <w:szCs w:val="22"/>
                <w:lang w:eastAsia="en-GB"/>
              </w:rPr>
            </w:pPr>
            <w:r w:rsidRPr="007565D3">
              <w:rPr>
                <w:rFonts w:ascii="Arial" w:hAnsi="Arial" w:cs="Arial"/>
                <w:b/>
                <w:bCs/>
                <w:sz w:val="22"/>
                <w:szCs w:val="22"/>
                <w:lang w:eastAsia="en-GB"/>
              </w:rPr>
              <w:t>£m</w:t>
            </w:r>
          </w:p>
        </w:tc>
      </w:tr>
      <w:tr w:rsidR="004C3B79" w:rsidRPr="007565D3" w:rsidTr="00721530">
        <w:trPr>
          <w:trHeight w:val="345"/>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36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 xml:space="preserve">Employee Related </w:t>
            </w:r>
          </w:p>
        </w:tc>
        <w:tc>
          <w:tcPr>
            <w:tcW w:w="136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499.337</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504.453</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5.116</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Pensions</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120.691</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125.621</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4.930</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Premises Related</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31.055</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31.281</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0.226</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Supplies &amp; Services</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56.082</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55.964</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(0.118)</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Agency Payments</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23.996</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22.138</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(1.858)</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Transport Related</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6.169</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6.294</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0.125</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Capital Financing</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21.015</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30.839</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9.824</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Transfer to/from Reserves</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(6.498)</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(11.924)</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(5.426)</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Specific Grants</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(167.797)</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(170.973)</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(3.176)</w:t>
            </w:r>
          </w:p>
        </w:tc>
      </w:tr>
      <w:tr w:rsidR="004C3B79" w:rsidRPr="007565D3" w:rsidTr="00721530">
        <w:trPr>
          <w:trHeight w:val="345"/>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Income and sponsorship</w:t>
            </w:r>
          </w:p>
        </w:tc>
        <w:tc>
          <w:tcPr>
            <w:tcW w:w="1360" w:type="dxa"/>
            <w:tcBorders>
              <w:top w:val="nil"/>
              <w:left w:val="nil"/>
              <w:bottom w:val="single" w:sz="8" w:space="0" w:color="auto"/>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(35.852)</w:t>
            </w:r>
          </w:p>
        </w:tc>
        <w:tc>
          <w:tcPr>
            <w:tcW w:w="1360" w:type="dxa"/>
            <w:tcBorders>
              <w:top w:val="nil"/>
              <w:left w:val="nil"/>
              <w:bottom w:val="single" w:sz="8" w:space="0" w:color="auto"/>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(34.836)</w:t>
            </w:r>
          </w:p>
        </w:tc>
        <w:tc>
          <w:tcPr>
            <w:tcW w:w="1220" w:type="dxa"/>
            <w:tcBorders>
              <w:top w:val="nil"/>
              <w:left w:val="nil"/>
              <w:bottom w:val="single" w:sz="8" w:space="0" w:color="auto"/>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1.016</w:t>
            </w:r>
          </w:p>
        </w:tc>
      </w:tr>
      <w:tr w:rsidR="004C3B79" w:rsidRPr="007565D3" w:rsidTr="00721530">
        <w:trPr>
          <w:trHeight w:val="285"/>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b/>
                <w:bCs/>
                <w:color w:val="000000"/>
                <w:sz w:val="22"/>
                <w:szCs w:val="22"/>
                <w:lang w:eastAsia="en-GB"/>
              </w:rPr>
            </w:pPr>
            <w:r w:rsidRPr="007565D3">
              <w:rPr>
                <w:rFonts w:ascii="Arial" w:hAnsi="Arial" w:cs="Arial"/>
                <w:b/>
                <w:bCs/>
                <w:color w:val="000000"/>
                <w:sz w:val="22"/>
                <w:szCs w:val="22"/>
                <w:lang w:eastAsia="en-GB"/>
              </w:rPr>
              <w:t>TOTAL OTHER</w:t>
            </w:r>
          </w:p>
        </w:tc>
        <w:tc>
          <w:tcPr>
            <w:tcW w:w="136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b/>
                <w:bCs/>
                <w:color w:val="000000"/>
                <w:sz w:val="22"/>
                <w:szCs w:val="22"/>
                <w:lang w:eastAsia="en-GB"/>
              </w:rPr>
            </w:pPr>
            <w:r w:rsidRPr="007565D3">
              <w:rPr>
                <w:rFonts w:ascii="Arial" w:hAnsi="Arial" w:cs="Arial"/>
                <w:b/>
                <w:bCs/>
                <w:color w:val="000000"/>
                <w:sz w:val="22"/>
                <w:szCs w:val="22"/>
                <w:lang w:eastAsia="en-GB"/>
              </w:rPr>
              <w:t>548.198</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b/>
                <w:bCs/>
                <w:color w:val="000000"/>
                <w:sz w:val="22"/>
                <w:szCs w:val="22"/>
                <w:lang w:eastAsia="en-GB"/>
              </w:rPr>
            </w:pPr>
            <w:r w:rsidRPr="007565D3">
              <w:rPr>
                <w:rFonts w:ascii="Arial" w:hAnsi="Arial" w:cs="Arial"/>
                <w:b/>
                <w:bCs/>
                <w:color w:val="000000"/>
                <w:sz w:val="22"/>
                <w:szCs w:val="22"/>
                <w:lang w:eastAsia="en-GB"/>
              </w:rPr>
              <w:t>558.858</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b/>
                <w:bCs/>
                <w:color w:val="000000"/>
                <w:sz w:val="22"/>
                <w:szCs w:val="22"/>
                <w:lang w:eastAsia="en-GB"/>
              </w:rPr>
            </w:pPr>
            <w:r w:rsidRPr="007565D3">
              <w:rPr>
                <w:rFonts w:ascii="Arial" w:hAnsi="Arial" w:cs="Arial"/>
                <w:b/>
                <w:bCs/>
                <w:color w:val="000000"/>
                <w:sz w:val="22"/>
                <w:szCs w:val="22"/>
                <w:lang w:eastAsia="en-GB"/>
              </w:rPr>
              <w:t>10.660</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b/>
                <w:bCs/>
                <w:color w:val="000000"/>
                <w:sz w:val="22"/>
                <w:szCs w:val="22"/>
                <w:lang w:eastAsia="en-GB"/>
              </w:rPr>
            </w:pPr>
            <w:r w:rsidRPr="007565D3">
              <w:rPr>
                <w:rFonts w:ascii="Arial" w:hAnsi="Arial" w:cs="Arial"/>
                <w:b/>
                <w:bCs/>
                <w:color w:val="000000"/>
                <w:sz w:val="22"/>
                <w:szCs w:val="22"/>
                <w:lang w:eastAsia="en-GB"/>
              </w:rPr>
              <w:t> </w:t>
            </w:r>
          </w:p>
        </w:tc>
        <w:tc>
          <w:tcPr>
            <w:tcW w:w="136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b/>
                <w:bCs/>
                <w:color w:val="000000"/>
                <w:sz w:val="22"/>
                <w:szCs w:val="22"/>
                <w:u w:val="single"/>
                <w:lang w:eastAsia="en-GB"/>
              </w:rPr>
            </w:pPr>
            <w:r w:rsidRPr="007565D3">
              <w:rPr>
                <w:rFonts w:ascii="Arial" w:hAnsi="Arial" w:cs="Arial"/>
                <w:b/>
                <w:bCs/>
                <w:color w:val="000000"/>
                <w:sz w:val="22"/>
                <w:szCs w:val="22"/>
                <w:u w:val="single"/>
                <w:lang w:eastAsia="en-GB"/>
              </w:rPr>
              <w:t>Funded By:</w:t>
            </w:r>
          </w:p>
        </w:tc>
        <w:tc>
          <w:tcPr>
            <w:tcW w:w="136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Police grant</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(223.464)</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(223.464)</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Formula funding</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(178.841)</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(178.841)</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Legacy Council Tax Grants</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(25.714)</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(25.714)</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w:t>
            </w:r>
          </w:p>
        </w:tc>
      </w:tr>
      <w:tr w:rsidR="004C3B79" w:rsidRPr="007565D3" w:rsidTr="00721530">
        <w:trPr>
          <w:trHeight w:val="33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Precept (council tax requirement)</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(117.375)</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(128.040)</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(10.665)</w:t>
            </w:r>
          </w:p>
        </w:tc>
      </w:tr>
      <w:tr w:rsidR="004C3B79" w:rsidRPr="007565D3" w:rsidTr="00721530">
        <w:trPr>
          <w:trHeight w:val="345"/>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color w:val="000000"/>
                <w:sz w:val="22"/>
                <w:szCs w:val="22"/>
                <w:lang w:eastAsia="en-GB"/>
              </w:rPr>
            </w:pPr>
            <w:r w:rsidRPr="007565D3">
              <w:rPr>
                <w:rFonts w:ascii="Arial" w:hAnsi="Arial" w:cs="Arial"/>
                <w:color w:val="000000"/>
                <w:sz w:val="22"/>
                <w:szCs w:val="22"/>
                <w:lang w:eastAsia="en-GB"/>
              </w:rPr>
              <w:t>Collection Fund balance</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(2.804)</w:t>
            </w:r>
          </w:p>
        </w:tc>
        <w:tc>
          <w:tcPr>
            <w:tcW w:w="1360" w:type="dxa"/>
            <w:tcBorders>
              <w:top w:val="nil"/>
              <w:left w:val="nil"/>
              <w:bottom w:val="nil"/>
              <w:right w:val="nil"/>
            </w:tcBorders>
            <w:shd w:val="clear" w:color="000000" w:fill="D9D9D9"/>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(2.799)</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0.005</w:t>
            </w:r>
          </w:p>
        </w:tc>
      </w:tr>
      <w:tr w:rsidR="004C3B79" w:rsidRPr="007565D3" w:rsidTr="00721530">
        <w:trPr>
          <w:trHeight w:val="300"/>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b/>
                <w:bCs/>
                <w:color w:val="000000"/>
                <w:sz w:val="22"/>
                <w:szCs w:val="22"/>
                <w:lang w:eastAsia="en-GB"/>
              </w:rPr>
            </w:pPr>
            <w:r w:rsidRPr="007565D3">
              <w:rPr>
                <w:rFonts w:ascii="Arial" w:hAnsi="Arial" w:cs="Arial"/>
                <w:b/>
                <w:bCs/>
                <w:color w:val="000000"/>
                <w:sz w:val="22"/>
                <w:szCs w:val="22"/>
                <w:lang w:eastAsia="en-GB"/>
              </w:rPr>
              <w:t>Funding</w:t>
            </w:r>
          </w:p>
        </w:tc>
        <w:tc>
          <w:tcPr>
            <w:tcW w:w="1360" w:type="dxa"/>
            <w:tcBorders>
              <w:top w:val="single" w:sz="8" w:space="0" w:color="auto"/>
              <w:left w:val="nil"/>
              <w:bottom w:val="double" w:sz="6" w:space="0" w:color="auto"/>
              <w:right w:val="nil"/>
            </w:tcBorders>
            <w:shd w:val="clear" w:color="000000" w:fill="D9D9D9"/>
            <w:vAlign w:val="center"/>
            <w:hideMark/>
          </w:tcPr>
          <w:p w:rsidR="004C3B79" w:rsidRPr="007565D3" w:rsidRDefault="004C3B79" w:rsidP="00721530">
            <w:pPr>
              <w:jc w:val="right"/>
              <w:rPr>
                <w:rFonts w:ascii="Arial" w:hAnsi="Arial" w:cs="Arial"/>
                <w:b/>
                <w:bCs/>
                <w:sz w:val="22"/>
                <w:szCs w:val="22"/>
                <w:lang w:eastAsia="en-GB"/>
              </w:rPr>
            </w:pPr>
            <w:r w:rsidRPr="007565D3">
              <w:rPr>
                <w:rFonts w:ascii="Arial" w:hAnsi="Arial" w:cs="Arial"/>
                <w:b/>
                <w:bCs/>
                <w:sz w:val="22"/>
                <w:szCs w:val="22"/>
                <w:lang w:eastAsia="en-GB"/>
              </w:rPr>
              <w:t>(548.198)</w:t>
            </w:r>
          </w:p>
        </w:tc>
        <w:tc>
          <w:tcPr>
            <w:tcW w:w="1360" w:type="dxa"/>
            <w:tcBorders>
              <w:top w:val="single" w:sz="8" w:space="0" w:color="auto"/>
              <w:left w:val="nil"/>
              <w:bottom w:val="double" w:sz="6" w:space="0" w:color="auto"/>
              <w:right w:val="nil"/>
            </w:tcBorders>
            <w:shd w:val="clear" w:color="000000" w:fill="D9D9D9"/>
            <w:vAlign w:val="center"/>
            <w:hideMark/>
          </w:tcPr>
          <w:p w:rsidR="004C3B79" w:rsidRPr="007565D3" w:rsidRDefault="004C3B79" w:rsidP="00721530">
            <w:pPr>
              <w:jc w:val="right"/>
              <w:rPr>
                <w:rFonts w:ascii="Arial" w:hAnsi="Arial" w:cs="Arial"/>
                <w:b/>
                <w:bCs/>
                <w:sz w:val="22"/>
                <w:szCs w:val="22"/>
                <w:lang w:eastAsia="en-GB"/>
              </w:rPr>
            </w:pPr>
            <w:r w:rsidRPr="007565D3">
              <w:rPr>
                <w:rFonts w:ascii="Arial" w:hAnsi="Arial" w:cs="Arial"/>
                <w:b/>
                <w:bCs/>
                <w:sz w:val="22"/>
                <w:szCs w:val="22"/>
                <w:lang w:eastAsia="en-GB"/>
              </w:rPr>
              <w:t>(558.858)</w:t>
            </w:r>
          </w:p>
        </w:tc>
        <w:tc>
          <w:tcPr>
            <w:tcW w:w="1220" w:type="dxa"/>
            <w:tcBorders>
              <w:top w:val="single" w:sz="8" w:space="0" w:color="auto"/>
              <w:left w:val="nil"/>
              <w:bottom w:val="double" w:sz="6" w:space="0" w:color="auto"/>
              <w:right w:val="nil"/>
            </w:tcBorders>
            <w:shd w:val="clear" w:color="000000" w:fill="FFFFFF"/>
            <w:vAlign w:val="center"/>
            <w:hideMark/>
          </w:tcPr>
          <w:p w:rsidR="004C3B79" w:rsidRPr="007565D3" w:rsidRDefault="004C3B79" w:rsidP="00721530">
            <w:pPr>
              <w:jc w:val="right"/>
              <w:rPr>
                <w:rFonts w:ascii="Arial" w:hAnsi="Arial" w:cs="Arial"/>
                <w:b/>
                <w:bCs/>
                <w:sz w:val="22"/>
                <w:szCs w:val="22"/>
                <w:lang w:eastAsia="en-GB"/>
              </w:rPr>
            </w:pPr>
            <w:r w:rsidRPr="007565D3">
              <w:rPr>
                <w:rFonts w:ascii="Arial" w:hAnsi="Arial" w:cs="Arial"/>
                <w:b/>
                <w:bCs/>
                <w:sz w:val="22"/>
                <w:szCs w:val="22"/>
                <w:lang w:eastAsia="en-GB"/>
              </w:rPr>
              <w:t>(10.660)</w:t>
            </w:r>
          </w:p>
        </w:tc>
      </w:tr>
      <w:tr w:rsidR="004C3B79" w:rsidRPr="007565D3" w:rsidTr="00721530">
        <w:trPr>
          <w:trHeight w:val="345"/>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b/>
                <w:bCs/>
                <w:color w:val="000000"/>
                <w:sz w:val="22"/>
                <w:szCs w:val="22"/>
                <w:lang w:eastAsia="en-GB"/>
              </w:rPr>
            </w:pPr>
            <w:r w:rsidRPr="007565D3">
              <w:rPr>
                <w:rFonts w:ascii="Arial" w:hAnsi="Arial" w:cs="Arial"/>
                <w:b/>
                <w:bCs/>
                <w:color w:val="000000"/>
                <w:sz w:val="22"/>
                <w:szCs w:val="22"/>
                <w:lang w:eastAsia="en-GB"/>
              </w:rPr>
              <w:t> </w:t>
            </w:r>
          </w:p>
        </w:tc>
        <w:tc>
          <w:tcPr>
            <w:tcW w:w="136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36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color w:val="000000"/>
                <w:sz w:val="22"/>
                <w:szCs w:val="22"/>
                <w:lang w:eastAsia="en-GB"/>
              </w:rPr>
            </w:pPr>
            <w:r w:rsidRPr="007565D3">
              <w:rPr>
                <w:rFonts w:ascii="Arial" w:hAnsi="Arial" w:cs="Arial"/>
                <w:color w:val="000000"/>
                <w:sz w:val="22"/>
                <w:szCs w:val="22"/>
                <w:lang w:eastAsia="en-GB"/>
              </w:rPr>
              <w:t> </w:t>
            </w:r>
          </w:p>
        </w:tc>
      </w:tr>
      <w:tr w:rsidR="004C3B79" w:rsidRPr="007565D3" w:rsidTr="00721530">
        <w:trPr>
          <w:trHeight w:val="285"/>
        </w:trPr>
        <w:tc>
          <w:tcPr>
            <w:tcW w:w="4120" w:type="dxa"/>
            <w:tcBorders>
              <w:top w:val="nil"/>
              <w:left w:val="nil"/>
              <w:bottom w:val="nil"/>
              <w:right w:val="nil"/>
            </w:tcBorders>
            <w:shd w:val="clear" w:color="000000" w:fill="FFFFFF"/>
            <w:vAlign w:val="center"/>
            <w:hideMark/>
          </w:tcPr>
          <w:p w:rsidR="004C3B79" w:rsidRPr="007565D3" w:rsidRDefault="004C3B79" w:rsidP="00721530">
            <w:pPr>
              <w:rPr>
                <w:rFonts w:ascii="Arial" w:hAnsi="Arial" w:cs="Arial"/>
                <w:b/>
                <w:bCs/>
                <w:color w:val="000000"/>
                <w:sz w:val="22"/>
                <w:szCs w:val="22"/>
                <w:lang w:eastAsia="en-GB"/>
              </w:rPr>
            </w:pPr>
            <w:r w:rsidRPr="007565D3">
              <w:rPr>
                <w:rFonts w:ascii="Arial" w:hAnsi="Arial" w:cs="Arial"/>
                <w:b/>
                <w:bCs/>
                <w:color w:val="000000"/>
                <w:sz w:val="22"/>
                <w:szCs w:val="22"/>
                <w:lang w:eastAsia="en-GB"/>
              </w:rPr>
              <w:t xml:space="preserve">Over / (under) </w:t>
            </w:r>
          </w:p>
        </w:tc>
        <w:tc>
          <w:tcPr>
            <w:tcW w:w="136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b/>
                <w:bCs/>
                <w:color w:val="000000"/>
                <w:sz w:val="22"/>
                <w:szCs w:val="22"/>
                <w:lang w:eastAsia="en-GB"/>
              </w:rPr>
            </w:pPr>
            <w:r w:rsidRPr="007565D3">
              <w:rPr>
                <w:rFonts w:ascii="Arial" w:hAnsi="Arial" w:cs="Arial"/>
                <w:b/>
                <w:bCs/>
                <w:color w:val="000000"/>
                <w:sz w:val="22"/>
                <w:szCs w:val="22"/>
                <w:lang w:eastAsia="en-GB"/>
              </w:rPr>
              <w:t>0.000</w:t>
            </w:r>
          </w:p>
        </w:tc>
        <w:tc>
          <w:tcPr>
            <w:tcW w:w="136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b/>
                <w:bCs/>
                <w:color w:val="000000"/>
                <w:sz w:val="22"/>
                <w:szCs w:val="22"/>
                <w:lang w:eastAsia="en-GB"/>
              </w:rPr>
            </w:pPr>
            <w:r w:rsidRPr="007565D3">
              <w:rPr>
                <w:rFonts w:ascii="Arial" w:hAnsi="Arial" w:cs="Arial"/>
                <w:b/>
                <w:bCs/>
                <w:color w:val="000000"/>
                <w:sz w:val="22"/>
                <w:szCs w:val="22"/>
                <w:lang w:eastAsia="en-GB"/>
              </w:rPr>
              <w:t>0.000</w:t>
            </w:r>
          </w:p>
        </w:tc>
        <w:tc>
          <w:tcPr>
            <w:tcW w:w="1220" w:type="dxa"/>
            <w:tcBorders>
              <w:top w:val="nil"/>
              <w:left w:val="nil"/>
              <w:bottom w:val="nil"/>
              <w:right w:val="nil"/>
            </w:tcBorders>
            <w:shd w:val="clear" w:color="000000" w:fill="FFFFFF"/>
            <w:vAlign w:val="center"/>
            <w:hideMark/>
          </w:tcPr>
          <w:p w:rsidR="004C3B79" w:rsidRPr="007565D3" w:rsidRDefault="004C3B79" w:rsidP="00721530">
            <w:pPr>
              <w:jc w:val="right"/>
              <w:rPr>
                <w:rFonts w:ascii="Arial" w:hAnsi="Arial" w:cs="Arial"/>
                <w:b/>
                <w:bCs/>
                <w:color w:val="000000"/>
                <w:sz w:val="22"/>
                <w:szCs w:val="22"/>
                <w:lang w:eastAsia="en-GB"/>
              </w:rPr>
            </w:pPr>
            <w:r w:rsidRPr="007565D3">
              <w:rPr>
                <w:rFonts w:ascii="Arial" w:hAnsi="Arial" w:cs="Arial"/>
                <w:b/>
                <w:bCs/>
                <w:color w:val="000000"/>
                <w:sz w:val="22"/>
                <w:szCs w:val="22"/>
                <w:lang w:eastAsia="en-GB"/>
              </w:rPr>
              <w:t>0.000</w:t>
            </w:r>
          </w:p>
        </w:tc>
      </w:tr>
    </w:tbl>
    <w:p w:rsidR="004C3B79" w:rsidRPr="007565D3" w:rsidRDefault="004C3B79" w:rsidP="004C3B79">
      <w:pPr>
        <w:tabs>
          <w:tab w:val="left" w:pos="567"/>
          <w:tab w:val="left" w:pos="993"/>
          <w:tab w:val="left" w:pos="1418"/>
          <w:tab w:val="left" w:pos="1843"/>
          <w:tab w:val="left" w:pos="2268"/>
          <w:tab w:val="center" w:pos="3686"/>
          <w:tab w:val="decimal" w:pos="7088"/>
          <w:tab w:val="decimal" w:pos="8364"/>
        </w:tabs>
        <w:rPr>
          <w:rFonts w:ascii="Arial" w:hAnsi="Arial" w:cs="Arial"/>
          <w:b/>
          <w:bCs/>
          <w:sz w:val="22"/>
        </w:rPr>
      </w:pPr>
      <w:r w:rsidRPr="007565D3">
        <w:rPr>
          <w:rFonts w:ascii="Arial" w:hAnsi="Arial" w:cs="Arial"/>
          <w:b/>
          <w:bCs/>
          <w:sz w:val="22"/>
        </w:rPr>
        <w:t xml:space="preserve"> </w:t>
      </w:r>
    </w:p>
    <w:p w:rsidR="004C3B79" w:rsidRPr="007565D3" w:rsidRDefault="004C3B79" w:rsidP="004C3B79">
      <w:pPr>
        <w:pStyle w:val="Heading2"/>
        <w:jc w:val="left"/>
        <w:rPr>
          <w:u w:val="none"/>
        </w:rPr>
      </w:pPr>
    </w:p>
    <w:p w:rsidR="002D3AB9" w:rsidRPr="004C3B79" w:rsidRDefault="002D3AB9" w:rsidP="004C3B79"/>
    <w:sectPr w:rsidR="002D3AB9" w:rsidRPr="004C3B79" w:rsidSect="007565D3">
      <w:footerReference w:type="default" r:id="rId20"/>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6A4" w:rsidRDefault="002776A4" w:rsidP="009B4A67">
      <w:r>
        <w:separator/>
      </w:r>
    </w:p>
  </w:endnote>
  <w:endnote w:type="continuationSeparator" w:id="0">
    <w:p w:rsidR="002776A4" w:rsidRDefault="002776A4" w:rsidP="009B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30" w:rsidRDefault="00721530">
    <w:pPr>
      <w:pStyle w:val="Footer"/>
      <w:jc w:val="center"/>
      <w:rPr>
        <w:caps/>
        <w:noProof/>
        <w:color w:val="5B9BD5" w:themeColor="accent1"/>
      </w:rPr>
    </w:pPr>
  </w:p>
  <w:p w:rsidR="00721530" w:rsidRDefault="007215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EB" w:rsidRPr="007565D3" w:rsidRDefault="002776A4">
    <w:pPr>
      <w:pStyle w:val="Footer"/>
      <w:jc w:val="center"/>
      <w:rPr>
        <w:rFonts w:ascii="Arial" w:hAnsi="Arial" w:cs="Arial"/>
        <w:caps/>
        <w:noProof/>
        <w:sz w:val="22"/>
        <w:szCs w:val="22"/>
      </w:rPr>
    </w:pPr>
    <w:r w:rsidRPr="007565D3">
      <w:rPr>
        <w:rFonts w:ascii="Arial" w:hAnsi="Arial" w:cs="Arial"/>
        <w:caps/>
        <w:sz w:val="22"/>
        <w:szCs w:val="22"/>
      </w:rPr>
      <w:fldChar w:fldCharType="begin"/>
    </w:r>
    <w:r w:rsidRPr="007565D3">
      <w:rPr>
        <w:rFonts w:ascii="Arial" w:hAnsi="Arial" w:cs="Arial"/>
        <w:caps/>
        <w:sz w:val="22"/>
        <w:szCs w:val="22"/>
      </w:rPr>
      <w:instrText xml:space="preserve"> PAGE   \* MERGEFORMAT </w:instrText>
    </w:r>
    <w:r w:rsidRPr="007565D3">
      <w:rPr>
        <w:rFonts w:ascii="Arial" w:hAnsi="Arial" w:cs="Arial"/>
        <w:caps/>
        <w:sz w:val="22"/>
        <w:szCs w:val="22"/>
      </w:rPr>
      <w:fldChar w:fldCharType="separate"/>
    </w:r>
    <w:r w:rsidR="00BF643A">
      <w:rPr>
        <w:rFonts w:ascii="Arial" w:hAnsi="Arial" w:cs="Arial"/>
        <w:caps/>
        <w:noProof/>
        <w:sz w:val="22"/>
        <w:szCs w:val="22"/>
      </w:rPr>
      <w:t>18</w:t>
    </w:r>
    <w:r w:rsidRPr="007565D3">
      <w:rPr>
        <w:rFonts w:ascii="Arial" w:hAnsi="Arial" w:cs="Arial"/>
        <w:caps/>
        <w:noProof/>
        <w:sz w:val="22"/>
        <w:szCs w:val="22"/>
      </w:rPr>
      <w:fldChar w:fldCharType="end"/>
    </w:r>
  </w:p>
  <w:p w:rsidR="004E34EB" w:rsidRDefault="00277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6A4" w:rsidRDefault="002776A4" w:rsidP="009B4A67">
      <w:r>
        <w:separator/>
      </w:r>
    </w:p>
  </w:footnote>
  <w:footnote w:type="continuationSeparator" w:id="0">
    <w:p w:rsidR="002776A4" w:rsidRDefault="002776A4" w:rsidP="009B4A67">
      <w:r>
        <w:continuationSeparator/>
      </w:r>
    </w:p>
  </w:footnote>
  <w:footnote w:id="1">
    <w:p w:rsidR="00721530" w:rsidRDefault="00721530" w:rsidP="004C3B79">
      <w:pPr>
        <w:pStyle w:val="FootnoteText"/>
      </w:pPr>
      <w:r>
        <w:rPr>
          <w:rStyle w:val="FootnoteReference"/>
        </w:rPr>
        <w:footnoteRef/>
      </w:r>
      <w:r>
        <w:t xml:space="preserve"> </w:t>
      </w:r>
      <w:r w:rsidRPr="00064EC9">
        <w:rPr>
          <w:rFonts w:ascii="Arial" w:hAnsi="Arial" w:cs="Arial"/>
        </w:rPr>
        <w:t>Her Majesty’s Inspectorate of Constabulary (HMIC) commissioned from the London School of Economics an Index of Demand, which takes account of crime, other demand on policing and socio-economic factors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18B"/>
    <w:multiLevelType w:val="multilevel"/>
    <w:tmpl w:val="3F9E1DA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FE33D4"/>
    <w:multiLevelType w:val="hybridMultilevel"/>
    <w:tmpl w:val="1EDEB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04AD3"/>
    <w:multiLevelType w:val="hybridMultilevel"/>
    <w:tmpl w:val="A028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DD35D0"/>
    <w:multiLevelType w:val="multilevel"/>
    <w:tmpl w:val="3E36FA8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B74993"/>
    <w:multiLevelType w:val="hybridMultilevel"/>
    <w:tmpl w:val="92788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F7597"/>
    <w:multiLevelType w:val="multilevel"/>
    <w:tmpl w:val="E9EEDF56"/>
    <w:lvl w:ilvl="0">
      <w:start w:val="1"/>
      <w:numFmt w:val="decimal"/>
      <w:lvlText w:val="%1"/>
      <w:lvlJc w:val="left"/>
      <w:pPr>
        <w:ind w:left="360" w:hanging="360"/>
      </w:pPr>
      <w:rPr>
        <w:rFonts w:eastAsia="Times New Roman" w:hint="default"/>
        <w:color w:val="auto"/>
      </w:rPr>
    </w:lvl>
    <w:lvl w:ilvl="1">
      <w:start w:val="3"/>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6" w15:restartNumberingAfterBreak="0">
    <w:nsid w:val="12447CFC"/>
    <w:multiLevelType w:val="multilevel"/>
    <w:tmpl w:val="6BFAB85A"/>
    <w:lvl w:ilvl="0">
      <w:start w:val="1"/>
      <w:numFmt w:val="decimal"/>
      <w:lvlText w:val="%1."/>
      <w:lvlJc w:val="left"/>
      <w:pPr>
        <w:tabs>
          <w:tab w:val="num" w:pos="1146"/>
        </w:tabs>
        <w:ind w:left="1146" w:hanging="720"/>
      </w:pPr>
      <w:rPr>
        <w:rFonts w:hint="default"/>
      </w:rPr>
    </w:lvl>
    <w:lvl w:ilvl="1">
      <w:start w:val="1"/>
      <w:numFmt w:val="decimal"/>
      <w:isLgl/>
      <w:lvlText w:val="%1.%2"/>
      <w:lvlJc w:val="left"/>
      <w:pPr>
        <w:ind w:left="1131"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16352B1D"/>
    <w:multiLevelType w:val="multilevel"/>
    <w:tmpl w:val="4C7E11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9F71F5"/>
    <w:multiLevelType w:val="hybridMultilevel"/>
    <w:tmpl w:val="27B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04997"/>
    <w:multiLevelType w:val="multilevel"/>
    <w:tmpl w:val="FADEAA52"/>
    <w:lvl w:ilvl="0">
      <w:start w:val="4"/>
      <w:numFmt w:val="decimal"/>
      <w:lvlText w:val="%1"/>
      <w:lvlJc w:val="left"/>
      <w:pPr>
        <w:ind w:left="480" w:hanging="480"/>
      </w:pPr>
      <w:rPr>
        <w:rFonts w:hint="default"/>
        <w:b/>
      </w:rPr>
    </w:lvl>
    <w:lvl w:ilvl="1">
      <w:start w:val="7"/>
      <w:numFmt w:val="decimal"/>
      <w:lvlText w:val="%1.%2"/>
      <w:lvlJc w:val="left"/>
      <w:pPr>
        <w:ind w:left="720" w:hanging="720"/>
      </w:pPr>
      <w:rPr>
        <w:rFonts w:hint="default"/>
        <w:b/>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D9638FD"/>
    <w:multiLevelType w:val="hybridMultilevel"/>
    <w:tmpl w:val="1F74E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016795"/>
    <w:multiLevelType w:val="hybridMultilevel"/>
    <w:tmpl w:val="6B06566C"/>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8002B3"/>
    <w:multiLevelType w:val="hybridMultilevel"/>
    <w:tmpl w:val="667034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5A8543A"/>
    <w:multiLevelType w:val="hybridMultilevel"/>
    <w:tmpl w:val="07F6D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30511"/>
    <w:multiLevelType w:val="multilevel"/>
    <w:tmpl w:val="12DAB4F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DA7234"/>
    <w:multiLevelType w:val="multilevel"/>
    <w:tmpl w:val="F3A6B8D0"/>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8B7D65"/>
    <w:multiLevelType w:val="multilevel"/>
    <w:tmpl w:val="CC9E7008"/>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FB6641"/>
    <w:multiLevelType w:val="hybridMultilevel"/>
    <w:tmpl w:val="C1068378"/>
    <w:lvl w:ilvl="0" w:tplc="20325E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6730BDB"/>
    <w:multiLevelType w:val="hybridMultilevel"/>
    <w:tmpl w:val="E4A66C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896F11"/>
    <w:multiLevelType w:val="hybridMultilevel"/>
    <w:tmpl w:val="79261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D020A"/>
    <w:multiLevelType w:val="multilevel"/>
    <w:tmpl w:val="B0426B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A46662"/>
    <w:multiLevelType w:val="multilevel"/>
    <w:tmpl w:val="27065792"/>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EE52A2D"/>
    <w:multiLevelType w:val="multilevel"/>
    <w:tmpl w:val="6F80FF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C54E67"/>
    <w:multiLevelType w:val="hybridMultilevel"/>
    <w:tmpl w:val="2E4CA9A2"/>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24" w15:restartNumberingAfterBreak="0">
    <w:nsid w:val="462D74B5"/>
    <w:multiLevelType w:val="multilevel"/>
    <w:tmpl w:val="08C6F8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0A5FC8"/>
    <w:multiLevelType w:val="hybridMultilevel"/>
    <w:tmpl w:val="957C5260"/>
    <w:lvl w:ilvl="0" w:tplc="3402B9DC">
      <w:start w:val="1"/>
      <w:numFmt w:val="bullet"/>
      <w:lvlText w:val=""/>
      <w:lvlJc w:val="left"/>
      <w:pPr>
        <w:tabs>
          <w:tab w:val="num" w:pos="1778"/>
        </w:tabs>
        <w:ind w:left="1778" w:hanging="360"/>
      </w:pPr>
      <w:rPr>
        <w:rFonts w:ascii="Symbol" w:hAnsi="Symbol" w:hint="default"/>
        <w:color w:val="auto"/>
      </w:rPr>
    </w:lvl>
    <w:lvl w:ilvl="1" w:tplc="08090003">
      <w:start w:val="1"/>
      <w:numFmt w:val="bullet"/>
      <w:lvlText w:val="o"/>
      <w:lvlJc w:val="left"/>
      <w:pPr>
        <w:tabs>
          <w:tab w:val="num" w:pos="2067"/>
        </w:tabs>
        <w:ind w:left="2067" w:hanging="360"/>
      </w:pPr>
      <w:rPr>
        <w:rFonts w:ascii="Courier New" w:hAnsi="Courier New" w:cs="Courier New" w:hint="default"/>
      </w:rPr>
    </w:lvl>
    <w:lvl w:ilvl="2" w:tplc="08090005" w:tentative="1">
      <w:start w:val="1"/>
      <w:numFmt w:val="bullet"/>
      <w:lvlText w:val=""/>
      <w:lvlJc w:val="left"/>
      <w:pPr>
        <w:tabs>
          <w:tab w:val="num" w:pos="2787"/>
        </w:tabs>
        <w:ind w:left="2787" w:hanging="360"/>
      </w:pPr>
      <w:rPr>
        <w:rFonts w:ascii="Wingdings" w:hAnsi="Wingdings" w:hint="default"/>
      </w:rPr>
    </w:lvl>
    <w:lvl w:ilvl="3" w:tplc="08090001" w:tentative="1">
      <w:start w:val="1"/>
      <w:numFmt w:val="bullet"/>
      <w:lvlText w:val=""/>
      <w:lvlJc w:val="left"/>
      <w:pPr>
        <w:tabs>
          <w:tab w:val="num" w:pos="3507"/>
        </w:tabs>
        <w:ind w:left="3507" w:hanging="360"/>
      </w:pPr>
      <w:rPr>
        <w:rFonts w:ascii="Symbol" w:hAnsi="Symbol" w:hint="default"/>
      </w:rPr>
    </w:lvl>
    <w:lvl w:ilvl="4" w:tplc="08090003" w:tentative="1">
      <w:start w:val="1"/>
      <w:numFmt w:val="bullet"/>
      <w:lvlText w:val="o"/>
      <w:lvlJc w:val="left"/>
      <w:pPr>
        <w:tabs>
          <w:tab w:val="num" w:pos="4227"/>
        </w:tabs>
        <w:ind w:left="4227" w:hanging="360"/>
      </w:pPr>
      <w:rPr>
        <w:rFonts w:ascii="Courier New" w:hAnsi="Courier New" w:cs="Courier New" w:hint="default"/>
      </w:rPr>
    </w:lvl>
    <w:lvl w:ilvl="5" w:tplc="08090005" w:tentative="1">
      <w:start w:val="1"/>
      <w:numFmt w:val="bullet"/>
      <w:lvlText w:val=""/>
      <w:lvlJc w:val="left"/>
      <w:pPr>
        <w:tabs>
          <w:tab w:val="num" w:pos="4947"/>
        </w:tabs>
        <w:ind w:left="4947" w:hanging="360"/>
      </w:pPr>
      <w:rPr>
        <w:rFonts w:ascii="Wingdings" w:hAnsi="Wingdings" w:hint="default"/>
      </w:rPr>
    </w:lvl>
    <w:lvl w:ilvl="6" w:tplc="08090001" w:tentative="1">
      <w:start w:val="1"/>
      <w:numFmt w:val="bullet"/>
      <w:lvlText w:val=""/>
      <w:lvlJc w:val="left"/>
      <w:pPr>
        <w:tabs>
          <w:tab w:val="num" w:pos="5667"/>
        </w:tabs>
        <w:ind w:left="5667" w:hanging="360"/>
      </w:pPr>
      <w:rPr>
        <w:rFonts w:ascii="Symbol" w:hAnsi="Symbol" w:hint="default"/>
      </w:rPr>
    </w:lvl>
    <w:lvl w:ilvl="7" w:tplc="08090003" w:tentative="1">
      <w:start w:val="1"/>
      <w:numFmt w:val="bullet"/>
      <w:lvlText w:val="o"/>
      <w:lvlJc w:val="left"/>
      <w:pPr>
        <w:tabs>
          <w:tab w:val="num" w:pos="6387"/>
        </w:tabs>
        <w:ind w:left="6387" w:hanging="360"/>
      </w:pPr>
      <w:rPr>
        <w:rFonts w:ascii="Courier New" w:hAnsi="Courier New" w:cs="Courier New" w:hint="default"/>
      </w:rPr>
    </w:lvl>
    <w:lvl w:ilvl="8" w:tplc="08090005" w:tentative="1">
      <w:start w:val="1"/>
      <w:numFmt w:val="bullet"/>
      <w:lvlText w:val=""/>
      <w:lvlJc w:val="left"/>
      <w:pPr>
        <w:tabs>
          <w:tab w:val="num" w:pos="7107"/>
        </w:tabs>
        <w:ind w:left="7107" w:hanging="360"/>
      </w:pPr>
      <w:rPr>
        <w:rFonts w:ascii="Wingdings" w:hAnsi="Wingdings" w:hint="default"/>
      </w:rPr>
    </w:lvl>
  </w:abstractNum>
  <w:abstractNum w:abstractNumId="26" w15:restartNumberingAfterBreak="0">
    <w:nsid w:val="488F6C54"/>
    <w:multiLevelType w:val="hybridMultilevel"/>
    <w:tmpl w:val="7B70F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8000C2"/>
    <w:multiLevelType w:val="hybridMultilevel"/>
    <w:tmpl w:val="A170D880"/>
    <w:lvl w:ilvl="0" w:tplc="0809000B">
      <w:start w:val="1"/>
      <w:numFmt w:val="bullet"/>
      <w:lvlText w:val=""/>
      <w:lvlJc w:val="left"/>
      <w:pPr>
        <w:ind w:left="1680" w:hanging="360"/>
      </w:pPr>
      <w:rPr>
        <w:rFonts w:ascii="Wingdings" w:hAnsi="Wingdings"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8" w15:restartNumberingAfterBreak="0">
    <w:nsid w:val="4DD12172"/>
    <w:multiLevelType w:val="hybridMultilevel"/>
    <w:tmpl w:val="A6C8C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764856"/>
    <w:multiLevelType w:val="hybridMultilevel"/>
    <w:tmpl w:val="9D2078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51BD0852"/>
    <w:multiLevelType w:val="hybridMultilevel"/>
    <w:tmpl w:val="D61A3B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84641AC"/>
    <w:multiLevelType w:val="multilevel"/>
    <w:tmpl w:val="3AB81F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293E9A"/>
    <w:multiLevelType w:val="multilevel"/>
    <w:tmpl w:val="E67EF294"/>
    <w:lvl w:ilvl="0">
      <w:start w:val="3"/>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2AD62B6"/>
    <w:multiLevelType w:val="hybridMultilevel"/>
    <w:tmpl w:val="3214B9D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4" w15:restartNumberingAfterBreak="0">
    <w:nsid w:val="69AE056F"/>
    <w:multiLevelType w:val="hybridMultilevel"/>
    <w:tmpl w:val="39421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FE147A7"/>
    <w:multiLevelType w:val="hybridMultilevel"/>
    <w:tmpl w:val="0E08BA94"/>
    <w:lvl w:ilvl="0" w:tplc="08090001">
      <w:start w:val="1"/>
      <w:numFmt w:val="bullet"/>
      <w:lvlText w:val=""/>
      <w:lvlJc w:val="left"/>
      <w:pPr>
        <w:ind w:left="2559" w:hanging="360"/>
      </w:pPr>
      <w:rPr>
        <w:rFonts w:ascii="Symbol" w:hAnsi="Symbol" w:hint="default"/>
      </w:rPr>
    </w:lvl>
    <w:lvl w:ilvl="1" w:tplc="08090003">
      <w:start w:val="1"/>
      <w:numFmt w:val="bullet"/>
      <w:lvlText w:val="o"/>
      <w:lvlJc w:val="left"/>
      <w:pPr>
        <w:ind w:left="3279" w:hanging="360"/>
      </w:pPr>
      <w:rPr>
        <w:rFonts w:ascii="Courier New" w:hAnsi="Courier New" w:cs="Courier New" w:hint="default"/>
      </w:rPr>
    </w:lvl>
    <w:lvl w:ilvl="2" w:tplc="08090005" w:tentative="1">
      <w:start w:val="1"/>
      <w:numFmt w:val="bullet"/>
      <w:lvlText w:val=""/>
      <w:lvlJc w:val="left"/>
      <w:pPr>
        <w:ind w:left="3999" w:hanging="360"/>
      </w:pPr>
      <w:rPr>
        <w:rFonts w:ascii="Wingdings" w:hAnsi="Wingdings" w:hint="default"/>
      </w:rPr>
    </w:lvl>
    <w:lvl w:ilvl="3" w:tplc="08090001" w:tentative="1">
      <w:start w:val="1"/>
      <w:numFmt w:val="bullet"/>
      <w:lvlText w:val=""/>
      <w:lvlJc w:val="left"/>
      <w:pPr>
        <w:ind w:left="4719" w:hanging="360"/>
      </w:pPr>
      <w:rPr>
        <w:rFonts w:ascii="Symbol" w:hAnsi="Symbol" w:hint="default"/>
      </w:rPr>
    </w:lvl>
    <w:lvl w:ilvl="4" w:tplc="08090003" w:tentative="1">
      <w:start w:val="1"/>
      <w:numFmt w:val="bullet"/>
      <w:lvlText w:val="o"/>
      <w:lvlJc w:val="left"/>
      <w:pPr>
        <w:ind w:left="5439" w:hanging="360"/>
      </w:pPr>
      <w:rPr>
        <w:rFonts w:ascii="Courier New" w:hAnsi="Courier New" w:cs="Courier New" w:hint="default"/>
      </w:rPr>
    </w:lvl>
    <w:lvl w:ilvl="5" w:tplc="08090005" w:tentative="1">
      <w:start w:val="1"/>
      <w:numFmt w:val="bullet"/>
      <w:lvlText w:val=""/>
      <w:lvlJc w:val="left"/>
      <w:pPr>
        <w:ind w:left="6159" w:hanging="360"/>
      </w:pPr>
      <w:rPr>
        <w:rFonts w:ascii="Wingdings" w:hAnsi="Wingdings" w:hint="default"/>
      </w:rPr>
    </w:lvl>
    <w:lvl w:ilvl="6" w:tplc="08090001" w:tentative="1">
      <w:start w:val="1"/>
      <w:numFmt w:val="bullet"/>
      <w:lvlText w:val=""/>
      <w:lvlJc w:val="left"/>
      <w:pPr>
        <w:ind w:left="6879" w:hanging="360"/>
      </w:pPr>
      <w:rPr>
        <w:rFonts w:ascii="Symbol" w:hAnsi="Symbol" w:hint="default"/>
      </w:rPr>
    </w:lvl>
    <w:lvl w:ilvl="7" w:tplc="08090003" w:tentative="1">
      <w:start w:val="1"/>
      <w:numFmt w:val="bullet"/>
      <w:lvlText w:val="o"/>
      <w:lvlJc w:val="left"/>
      <w:pPr>
        <w:ind w:left="7599" w:hanging="360"/>
      </w:pPr>
      <w:rPr>
        <w:rFonts w:ascii="Courier New" w:hAnsi="Courier New" w:cs="Courier New" w:hint="default"/>
      </w:rPr>
    </w:lvl>
    <w:lvl w:ilvl="8" w:tplc="08090005" w:tentative="1">
      <w:start w:val="1"/>
      <w:numFmt w:val="bullet"/>
      <w:lvlText w:val=""/>
      <w:lvlJc w:val="left"/>
      <w:pPr>
        <w:ind w:left="8319" w:hanging="360"/>
      </w:pPr>
      <w:rPr>
        <w:rFonts w:ascii="Wingdings" w:hAnsi="Wingdings" w:hint="default"/>
      </w:rPr>
    </w:lvl>
  </w:abstractNum>
  <w:abstractNum w:abstractNumId="36" w15:restartNumberingAfterBreak="0">
    <w:nsid w:val="74EC571B"/>
    <w:multiLevelType w:val="multilevel"/>
    <w:tmpl w:val="C52E213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9AF01CC"/>
    <w:multiLevelType w:val="hybridMultilevel"/>
    <w:tmpl w:val="4874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2034A"/>
    <w:multiLevelType w:val="hybridMultilevel"/>
    <w:tmpl w:val="A8902EE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9" w15:restartNumberingAfterBreak="0">
    <w:nsid w:val="7CEE1825"/>
    <w:multiLevelType w:val="multilevel"/>
    <w:tmpl w:val="ADBC89B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E474368"/>
    <w:multiLevelType w:val="hybridMultilevel"/>
    <w:tmpl w:val="323458B8"/>
    <w:lvl w:ilvl="0" w:tplc="8EF49770">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1" w15:restartNumberingAfterBreak="0">
    <w:nsid w:val="7F762902"/>
    <w:multiLevelType w:val="hybridMultilevel"/>
    <w:tmpl w:val="F05A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0"/>
  </w:num>
  <w:num w:numId="3">
    <w:abstractNumId w:val="36"/>
  </w:num>
  <w:num w:numId="4">
    <w:abstractNumId w:val="11"/>
  </w:num>
  <w:num w:numId="5">
    <w:abstractNumId w:val="23"/>
  </w:num>
  <w:num w:numId="6">
    <w:abstractNumId w:val="6"/>
  </w:num>
  <w:num w:numId="7">
    <w:abstractNumId w:val="27"/>
  </w:num>
  <w:num w:numId="8">
    <w:abstractNumId w:val="20"/>
  </w:num>
  <w:num w:numId="9">
    <w:abstractNumId w:val="12"/>
  </w:num>
  <w:num w:numId="10">
    <w:abstractNumId w:val="35"/>
  </w:num>
  <w:num w:numId="11">
    <w:abstractNumId w:val="38"/>
  </w:num>
  <w:num w:numId="12">
    <w:abstractNumId w:val="41"/>
  </w:num>
  <w:num w:numId="13">
    <w:abstractNumId w:val="33"/>
  </w:num>
  <w:num w:numId="14">
    <w:abstractNumId w:val="10"/>
  </w:num>
  <w:num w:numId="15">
    <w:abstractNumId w:val="7"/>
  </w:num>
  <w:num w:numId="16">
    <w:abstractNumId w:val="32"/>
  </w:num>
  <w:num w:numId="17">
    <w:abstractNumId w:val="30"/>
  </w:num>
  <w:num w:numId="18">
    <w:abstractNumId w:val="21"/>
  </w:num>
  <w:num w:numId="19">
    <w:abstractNumId w:val="29"/>
  </w:num>
  <w:num w:numId="20">
    <w:abstractNumId w:val="37"/>
  </w:num>
  <w:num w:numId="21">
    <w:abstractNumId w:val="16"/>
  </w:num>
  <w:num w:numId="22">
    <w:abstractNumId w:val="17"/>
  </w:num>
  <w:num w:numId="23">
    <w:abstractNumId w:val="34"/>
  </w:num>
  <w:num w:numId="24">
    <w:abstractNumId w:val="15"/>
  </w:num>
  <w:num w:numId="25">
    <w:abstractNumId w:val="14"/>
  </w:num>
  <w:num w:numId="26">
    <w:abstractNumId w:val="18"/>
  </w:num>
  <w:num w:numId="27">
    <w:abstractNumId w:val="9"/>
  </w:num>
  <w:num w:numId="28">
    <w:abstractNumId w:val="26"/>
  </w:num>
  <w:num w:numId="29">
    <w:abstractNumId w:val="39"/>
  </w:num>
  <w:num w:numId="30">
    <w:abstractNumId w:val="13"/>
  </w:num>
  <w:num w:numId="31">
    <w:abstractNumId w:val="8"/>
  </w:num>
  <w:num w:numId="32">
    <w:abstractNumId w:val="5"/>
  </w:num>
  <w:num w:numId="33">
    <w:abstractNumId w:val="24"/>
  </w:num>
  <w:num w:numId="34">
    <w:abstractNumId w:val="1"/>
  </w:num>
  <w:num w:numId="35">
    <w:abstractNumId w:val="4"/>
  </w:num>
  <w:num w:numId="36">
    <w:abstractNumId w:val="19"/>
  </w:num>
  <w:num w:numId="37">
    <w:abstractNumId w:val="28"/>
  </w:num>
  <w:num w:numId="38">
    <w:abstractNumId w:val="2"/>
  </w:num>
  <w:num w:numId="39">
    <w:abstractNumId w:val="31"/>
  </w:num>
  <w:num w:numId="40">
    <w:abstractNumId w:val="22"/>
  </w:num>
  <w:num w:numId="41">
    <w:abstractNumId w:val="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67"/>
    <w:rsid w:val="00145C88"/>
    <w:rsid w:val="00222D34"/>
    <w:rsid w:val="002776A4"/>
    <w:rsid w:val="002D3AB9"/>
    <w:rsid w:val="00450A02"/>
    <w:rsid w:val="004C3B79"/>
    <w:rsid w:val="00721530"/>
    <w:rsid w:val="00951296"/>
    <w:rsid w:val="009526B5"/>
    <w:rsid w:val="009B4A67"/>
    <w:rsid w:val="00A46C4F"/>
    <w:rsid w:val="00A713A1"/>
    <w:rsid w:val="00B17BF0"/>
    <w:rsid w:val="00BF643A"/>
    <w:rsid w:val="00C151CA"/>
    <w:rsid w:val="00DB0D87"/>
    <w:rsid w:val="00DC357F"/>
    <w:rsid w:val="00E15FA6"/>
    <w:rsid w:val="00F50743"/>
    <w:rsid w:val="00F5784B"/>
    <w:rsid w:val="00FA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A9C29-84A4-44B8-B24F-9BCC660B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A67"/>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9B4A67"/>
    <w:pPr>
      <w:keepNext/>
      <w:tabs>
        <w:tab w:val="left" w:pos="567"/>
        <w:tab w:val="left" w:pos="1134"/>
        <w:tab w:val="left" w:pos="2977"/>
        <w:tab w:val="left" w:pos="3261"/>
        <w:tab w:val="right" w:pos="6237"/>
      </w:tabs>
      <w:jc w:val="both"/>
      <w:outlineLvl w:val="0"/>
    </w:pPr>
    <w:rPr>
      <w:rFonts w:ascii="Arial" w:hAnsi="Arial"/>
      <w:b/>
      <w:bCs/>
      <w:u w:val="single"/>
    </w:rPr>
  </w:style>
  <w:style w:type="paragraph" w:styleId="Heading2">
    <w:name w:val="heading 2"/>
    <w:basedOn w:val="Normal"/>
    <w:next w:val="Normal"/>
    <w:link w:val="Heading2Char"/>
    <w:qFormat/>
    <w:rsid w:val="009B4A67"/>
    <w:pPr>
      <w:keepNext/>
      <w:tabs>
        <w:tab w:val="left" w:pos="2268"/>
        <w:tab w:val="center" w:pos="8789"/>
      </w:tabs>
      <w:jc w:val="right"/>
      <w:outlineLvl w:val="1"/>
    </w:pPr>
    <w:rPr>
      <w:rFonts w:ascii="Arial" w:hAnsi="Arial" w:cs="Arial"/>
      <w:b/>
      <w:bCs/>
      <w:sz w:val="22"/>
      <w:u w:val="single"/>
    </w:rPr>
  </w:style>
  <w:style w:type="paragraph" w:styleId="Heading3">
    <w:name w:val="heading 3"/>
    <w:basedOn w:val="Normal"/>
    <w:next w:val="Normal"/>
    <w:link w:val="Heading3Char"/>
    <w:qFormat/>
    <w:rsid w:val="009B4A67"/>
    <w:pPr>
      <w:keepNext/>
      <w:tabs>
        <w:tab w:val="left" w:pos="567"/>
        <w:tab w:val="left" w:pos="1134"/>
        <w:tab w:val="left" w:pos="1560"/>
        <w:tab w:val="right" w:pos="4820"/>
        <w:tab w:val="left" w:pos="5387"/>
        <w:tab w:val="right" w:pos="8789"/>
      </w:tabs>
      <w:ind w:left="567" w:hanging="567"/>
      <w:jc w:val="both"/>
      <w:outlineLvl w:val="2"/>
    </w:pPr>
    <w:rPr>
      <w:rFonts w:ascii="Arial" w:hAnsi="Arial"/>
      <w:b/>
      <w:bCs/>
      <w:u w:val="single"/>
    </w:rPr>
  </w:style>
  <w:style w:type="paragraph" w:styleId="Heading4">
    <w:name w:val="heading 4"/>
    <w:basedOn w:val="Normal"/>
    <w:next w:val="Normal"/>
    <w:link w:val="Heading4Char"/>
    <w:qFormat/>
    <w:rsid w:val="009B4A67"/>
    <w:pPr>
      <w:keepNext/>
      <w:tabs>
        <w:tab w:val="left" w:pos="2268"/>
        <w:tab w:val="center" w:pos="8789"/>
      </w:tabs>
      <w:jc w:val="center"/>
      <w:outlineLvl w:val="3"/>
    </w:pPr>
    <w:rPr>
      <w:rFonts w:ascii="Arial" w:hAnsi="Arial" w:cs="Arial"/>
      <w:b/>
      <w:bCs/>
      <w:sz w:val="22"/>
      <w:u w:val="single"/>
    </w:rPr>
  </w:style>
  <w:style w:type="paragraph" w:styleId="Heading5">
    <w:name w:val="heading 5"/>
    <w:basedOn w:val="Normal"/>
    <w:next w:val="Normal"/>
    <w:link w:val="Heading5Char"/>
    <w:qFormat/>
    <w:rsid w:val="009B4A67"/>
    <w:pPr>
      <w:keepNext/>
      <w:tabs>
        <w:tab w:val="left" w:pos="567"/>
        <w:tab w:val="left" w:pos="1134"/>
        <w:tab w:val="left" w:pos="1560"/>
        <w:tab w:val="right" w:pos="4820"/>
        <w:tab w:val="left" w:pos="5387"/>
      </w:tabs>
      <w:jc w:val="both"/>
      <w:outlineLvl w:val="4"/>
    </w:pPr>
    <w:rPr>
      <w:rFonts w:ascii="Arial" w:hAnsi="Arial" w:cs="Arial"/>
      <w:b/>
      <w:sz w:val="22"/>
      <w:u w:val="single"/>
    </w:rPr>
  </w:style>
  <w:style w:type="paragraph" w:styleId="Heading6">
    <w:name w:val="heading 6"/>
    <w:basedOn w:val="Normal"/>
    <w:next w:val="Normal"/>
    <w:link w:val="Heading6Char"/>
    <w:qFormat/>
    <w:rsid w:val="009B4A67"/>
    <w:pPr>
      <w:keepNext/>
      <w:tabs>
        <w:tab w:val="left" w:pos="709"/>
        <w:tab w:val="left" w:pos="1418"/>
      </w:tabs>
      <w:jc w:val="both"/>
      <w:outlineLvl w:val="5"/>
    </w:pPr>
    <w:rPr>
      <w:rFonts w:ascii="Arial" w:hAnsi="Arial" w:cs="Arial"/>
      <w:b/>
      <w:bCs/>
      <w:sz w:val="22"/>
    </w:rPr>
  </w:style>
  <w:style w:type="paragraph" w:styleId="Heading7">
    <w:name w:val="heading 7"/>
    <w:basedOn w:val="Normal"/>
    <w:next w:val="Normal"/>
    <w:link w:val="Heading7Char"/>
    <w:qFormat/>
    <w:rsid w:val="009B4A67"/>
    <w:pPr>
      <w:keepNext/>
      <w:outlineLvl w:val="6"/>
    </w:pPr>
    <w:rPr>
      <w:rFonts w:ascii="Arial" w:hAnsi="Arial" w:cs="Arial"/>
      <w:b/>
      <w:bCs/>
      <w:sz w:val="22"/>
      <w:u w:val="single"/>
    </w:rPr>
  </w:style>
  <w:style w:type="paragraph" w:styleId="Heading8">
    <w:name w:val="heading 8"/>
    <w:basedOn w:val="Normal"/>
    <w:next w:val="Normal"/>
    <w:link w:val="Heading8Char"/>
    <w:qFormat/>
    <w:rsid w:val="009B4A67"/>
    <w:pPr>
      <w:keepNext/>
      <w:jc w:val="right"/>
      <w:outlineLvl w:val="7"/>
    </w:pPr>
    <w:rPr>
      <w:rFonts w:ascii="Arial" w:hAnsi="Arial"/>
      <w:b/>
      <w:sz w:val="22"/>
    </w:rPr>
  </w:style>
  <w:style w:type="paragraph" w:styleId="Heading9">
    <w:name w:val="heading 9"/>
    <w:basedOn w:val="Normal"/>
    <w:next w:val="Normal"/>
    <w:link w:val="Heading9Char"/>
    <w:qFormat/>
    <w:rsid w:val="009B4A67"/>
    <w:pPr>
      <w:keepNext/>
      <w:widowControl w:val="0"/>
      <w:ind w:left="115" w:right="115"/>
      <w:outlineLvl w:val="8"/>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A67"/>
    <w:rPr>
      <w:rFonts w:ascii="Arial" w:eastAsia="Times New Roman" w:hAnsi="Arial" w:cs="Times New Roman"/>
      <w:b/>
      <w:bCs/>
      <w:sz w:val="24"/>
      <w:szCs w:val="20"/>
      <w:u w:val="single"/>
      <w:lang w:val="en-GB"/>
    </w:rPr>
  </w:style>
  <w:style w:type="character" w:customStyle="1" w:styleId="Heading2Char">
    <w:name w:val="Heading 2 Char"/>
    <w:basedOn w:val="DefaultParagraphFont"/>
    <w:link w:val="Heading2"/>
    <w:rsid w:val="009B4A67"/>
    <w:rPr>
      <w:rFonts w:ascii="Arial" w:eastAsia="Times New Roman" w:hAnsi="Arial" w:cs="Arial"/>
      <w:b/>
      <w:bCs/>
      <w:szCs w:val="20"/>
      <w:u w:val="single"/>
      <w:lang w:val="en-GB"/>
    </w:rPr>
  </w:style>
  <w:style w:type="character" w:customStyle="1" w:styleId="Heading3Char">
    <w:name w:val="Heading 3 Char"/>
    <w:basedOn w:val="DefaultParagraphFont"/>
    <w:link w:val="Heading3"/>
    <w:rsid w:val="009B4A67"/>
    <w:rPr>
      <w:rFonts w:ascii="Arial" w:eastAsia="Times New Roman" w:hAnsi="Arial" w:cs="Times New Roman"/>
      <w:b/>
      <w:bCs/>
      <w:sz w:val="24"/>
      <w:szCs w:val="20"/>
      <w:u w:val="single"/>
      <w:lang w:val="en-GB"/>
    </w:rPr>
  </w:style>
  <w:style w:type="character" w:customStyle="1" w:styleId="Heading4Char">
    <w:name w:val="Heading 4 Char"/>
    <w:basedOn w:val="DefaultParagraphFont"/>
    <w:link w:val="Heading4"/>
    <w:rsid w:val="009B4A67"/>
    <w:rPr>
      <w:rFonts w:ascii="Arial" w:eastAsia="Times New Roman" w:hAnsi="Arial" w:cs="Arial"/>
      <w:b/>
      <w:bCs/>
      <w:szCs w:val="20"/>
      <w:u w:val="single"/>
      <w:lang w:val="en-GB"/>
    </w:rPr>
  </w:style>
  <w:style w:type="character" w:customStyle="1" w:styleId="Heading5Char">
    <w:name w:val="Heading 5 Char"/>
    <w:basedOn w:val="DefaultParagraphFont"/>
    <w:link w:val="Heading5"/>
    <w:rsid w:val="009B4A67"/>
    <w:rPr>
      <w:rFonts w:ascii="Arial" w:eastAsia="Times New Roman" w:hAnsi="Arial" w:cs="Arial"/>
      <w:b/>
      <w:szCs w:val="20"/>
      <w:u w:val="single"/>
      <w:lang w:val="en-GB"/>
    </w:rPr>
  </w:style>
  <w:style w:type="character" w:customStyle="1" w:styleId="Heading6Char">
    <w:name w:val="Heading 6 Char"/>
    <w:basedOn w:val="DefaultParagraphFont"/>
    <w:link w:val="Heading6"/>
    <w:rsid w:val="009B4A67"/>
    <w:rPr>
      <w:rFonts w:ascii="Arial" w:eastAsia="Times New Roman" w:hAnsi="Arial" w:cs="Arial"/>
      <w:b/>
      <w:bCs/>
      <w:szCs w:val="20"/>
      <w:lang w:val="en-GB"/>
    </w:rPr>
  </w:style>
  <w:style w:type="character" w:customStyle="1" w:styleId="Heading7Char">
    <w:name w:val="Heading 7 Char"/>
    <w:basedOn w:val="DefaultParagraphFont"/>
    <w:link w:val="Heading7"/>
    <w:rsid w:val="009B4A67"/>
    <w:rPr>
      <w:rFonts w:ascii="Arial" w:eastAsia="Times New Roman" w:hAnsi="Arial" w:cs="Arial"/>
      <w:b/>
      <w:bCs/>
      <w:szCs w:val="20"/>
      <w:u w:val="single"/>
      <w:lang w:val="en-GB"/>
    </w:rPr>
  </w:style>
  <w:style w:type="character" w:customStyle="1" w:styleId="Heading8Char">
    <w:name w:val="Heading 8 Char"/>
    <w:basedOn w:val="DefaultParagraphFont"/>
    <w:link w:val="Heading8"/>
    <w:rsid w:val="009B4A67"/>
    <w:rPr>
      <w:rFonts w:ascii="Arial" w:eastAsia="Times New Roman" w:hAnsi="Arial" w:cs="Times New Roman"/>
      <w:b/>
      <w:szCs w:val="20"/>
      <w:lang w:val="en-GB"/>
    </w:rPr>
  </w:style>
  <w:style w:type="character" w:customStyle="1" w:styleId="Heading9Char">
    <w:name w:val="Heading 9 Char"/>
    <w:basedOn w:val="DefaultParagraphFont"/>
    <w:link w:val="Heading9"/>
    <w:rsid w:val="009B4A67"/>
    <w:rPr>
      <w:rFonts w:ascii="Arial" w:eastAsia="Times New Roman" w:hAnsi="Arial" w:cs="Arial"/>
      <w:szCs w:val="20"/>
      <w:u w:val="single"/>
      <w:lang w:val="en-GB"/>
    </w:rPr>
  </w:style>
  <w:style w:type="paragraph" w:styleId="Header">
    <w:name w:val="header"/>
    <w:basedOn w:val="Normal"/>
    <w:link w:val="HeaderChar"/>
    <w:rsid w:val="009B4A67"/>
    <w:pPr>
      <w:tabs>
        <w:tab w:val="center" w:pos="4153"/>
        <w:tab w:val="right" w:pos="8306"/>
      </w:tabs>
    </w:pPr>
  </w:style>
  <w:style w:type="character" w:customStyle="1" w:styleId="HeaderChar">
    <w:name w:val="Header Char"/>
    <w:basedOn w:val="DefaultParagraphFont"/>
    <w:link w:val="Header"/>
    <w:rsid w:val="009B4A67"/>
    <w:rPr>
      <w:rFonts w:ascii="Times New Roman" w:eastAsia="Times New Roman" w:hAnsi="Times New Roman" w:cs="Times New Roman"/>
      <w:sz w:val="24"/>
      <w:szCs w:val="20"/>
      <w:lang w:val="en-GB"/>
    </w:rPr>
  </w:style>
  <w:style w:type="paragraph" w:styleId="Footer">
    <w:name w:val="footer"/>
    <w:basedOn w:val="Normal"/>
    <w:link w:val="FooterChar"/>
    <w:uiPriority w:val="99"/>
    <w:rsid w:val="009B4A67"/>
    <w:pPr>
      <w:tabs>
        <w:tab w:val="center" w:pos="4153"/>
        <w:tab w:val="right" w:pos="8306"/>
      </w:tabs>
    </w:pPr>
  </w:style>
  <w:style w:type="character" w:customStyle="1" w:styleId="FooterChar">
    <w:name w:val="Footer Char"/>
    <w:basedOn w:val="DefaultParagraphFont"/>
    <w:link w:val="Footer"/>
    <w:uiPriority w:val="99"/>
    <w:rsid w:val="009B4A67"/>
    <w:rPr>
      <w:rFonts w:ascii="Times New Roman" w:eastAsia="Times New Roman" w:hAnsi="Times New Roman" w:cs="Times New Roman"/>
      <w:sz w:val="24"/>
      <w:szCs w:val="20"/>
      <w:lang w:val="en-GB"/>
    </w:rPr>
  </w:style>
  <w:style w:type="paragraph" w:styleId="DocumentMap">
    <w:name w:val="Document Map"/>
    <w:basedOn w:val="Normal"/>
    <w:link w:val="DocumentMapChar"/>
    <w:semiHidden/>
    <w:rsid w:val="009B4A67"/>
    <w:pPr>
      <w:shd w:val="clear" w:color="auto" w:fill="000080"/>
    </w:pPr>
    <w:rPr>
      <w:rFonts w:ascii="Tahoma" w:hAnsi="Tahoma"/>
    </w:rPr>
  </w:style>
  <w:style w:type="character" w:customStyle="1" w:styleId="DocumentMapChar">
    <w:name w:val="Document Map Char"/>
    <w:basedOn w:val="DefaultParagraphFont"/>
    <w:link w:val="DocumentMap"/>
    <w:semiHidden/>
    <w:rsid w:val="009B4A67"/>
    <w:rPr>
      <w:rFonts w:ascii="Tahoma" w:eastAsia="Times New Roman" w:hAnsi="Tahoma" w:cs="Times New Roman"/>
      <w:sz w:val="24"/>
      <w:szCs w:val="20"/>
      <w:shd w:val="clear" w:color="auto" w:fill="000080"/>
      <w:lang w:val="en-GB"/>
    </w:rPr>
  </w:style>
  <w:style w:type="paragraph" w:styleId="BodyText">
    <w:name w:val="Body Text"/>
    <w:basedOn w:val="Normal"/>
    <w:link w:val="BodyTextChar"/>
    <w:rsid w:val="009B4A67"/>
    <w:pPr>
      <w:tabs>
        <w:tab w:val="left" w:pos="720"/>
      </w:tabs>
      <w:jc w:val="both"/>
    </w:pPr>
    <w:rPr>
      <w:rFonts w:ascii="Arial" w:hAnsi="Arial"/>
    </w:rPr>
  </w:style>
  <w:style w:type="character" w:customStyle="1" w:styleId="BodyTextChar">
    <w:name w:val="Body Text Char"/>
    <w:basedOn w:val="DefaultParagraphFont"/>
    <w:link w:val="BodyText"/>
    <w:rsid w:val="009B4A67"/>
    <w:rPr>
      <w:rFonts w:ascii="Arial" w:eastAsia="Times New Roman" w:hAnsi="Arial" w:cs="Times New Roman"/>
      <w:sz w:val="24"/>
      <w:szCs w:val="20"/>
      <w:lang w:val="en-GB"/>
    </w:rPr>
  </w:style>
  <w:style w:type="character" w:styleId="PageNumber">
    <w:name w:val="page number"/>
    <w:basedOn w:val="DefaultParagraphFont"/>
    <w:rsid w:val="009B4A67"/>
  </w:style>
  <w:style w:type="paragraph" w:styleId="BlockText">
    <w:name w:val="Block Text"/>
    <w:basedOn w:val="Normal"/>
    <w:rsid w:val="009B4A67"/>
    <w:pPr>
      <w:tabs>
        <w:tab w:val="left" w:pos="567"/>
        <w:tab w:val="left" w:pos="1134"/>
      </w:tabs>
      <w:ind w:left="567" w:right="815" w:hanging="567"/>
    </w:pPr>
    <w:rPr>
      <w:rFonts w:ascii="Arial" w:hAnsi="Arial"/>
    </w:rPr>
  </w:style>
  <w:style w:type="paragraph" w:styleId="BodyTextIndent">
    <w:name w:val="Body Text Indent"/>
    <w:basedOn w:val="Normal"/>
    <w:link w:val="BodyTextIndentChar"/>
    <w:rsid w:val="009B4A67"/>
    <w:pPr>
      <w:tabs>
        <w:tab w:val="left" w:pos="709"/>
        <w:tab w:val="left" w:pos="1418"/>
      </w:tabs>
      <w:ind w:left="709" w:hanging="709"/>
      <w:jc w:val="both"/>
    </w:pPr>
    <w:rPr>
      <w:rFonts w:ascii="Arial" w:hAnsi="Arial"/>
      <w:bCs/>
    </w:rPr>
  </w:style>
  <w:style w:type="character" w:customStyle="1" w:styleId="BodyTextIndentChar">
    <w:name w:val="Body Text Indent Char"/>
    <w:basedOn w:val="DefaultParagraphFont"/>
    <w:link w:val="BodyTextIndent"/>
    <w:rsid w:val="009B4A67"/>
    <w:rPr>
      <w:rFonts w:ascii="Arial" w:eastAsia="Times New Roman" w:hAnsi="Arial" w:cs="Times New Roman"/>
      <w:bCs/>
      <w:sz w:val="24"/>
      <w:szCs w:val="20"/>
      <w:lang w:val="en-GB"/>
    </w:rPr>
  </w:style>
  <w:style w:type="paragraph" w:styleId="Title">
    <w:name w:val="Title"/>
    <w:basedOn w:val="Normal"/>
    <w:link w:val="TitleChar"/>
    <w:qFormat/>
    <w:rsid w:val="009B4A67"/>
    <w:pPr>
      <w:jc w:val="center"/>
      <w:outlineLvl w:val="0"/>
    </w:pPr>
    <w:rPr>
      <w:rFonts w:ascii="Arial" w:hAnsi="Arial"/>
      <w:b/>
      <w:sz w:val="32"/>
    </w:rPr>
  </w:style>
  <w:style w:type="character" w:customStyle="1" w:styleId="TitleChar">
    <w:name w:val="Title Char"/>
    <w:basedOn w:val="DefaultParagraphFont"/>
    <w:link w:val="Title"/>
    <w:rsid w:val="009B4A67"/>
    <w:rPr>
      <w:rFonts w:ascii="Arial" w:eastAsia="Times New Roman" w:hAnsi="Arial" w:cs="Times New Roman"/>
      <w:b/>
      <w:sz w:val="32"/>
      <w:szCs w:val="20"/>
      <w:lang w:val="en-GB"/>
    </w:rPr>
  </w:style>
  <w:style w:type="paragraph" w:styleId="BodyTextIndent3">
    <w:name w:val="Body Text Indent 3"/>
    <w:basedOn w:val="Normal"/>
    <w:link w:val="BodyTextIndent3Char"/>
    <w:rsid w:val="009B4A67"/>
    <w:pPr>
      <w:tabs>
        <w:tab w:val="left" w:pos="709"/>
        <w:tab w:val="left" w:pos="1418"/>
      </w:tabs>
      <w:ind w:left="1418" w:hanging="1418"/>
    </w:pPr>
    <w:rPr>
      <w:rFonts w:ascii="Arial" w:hAnsi="Arial"/>
    </w:rPr>
  </w:style>
  <w:style w:type="character" w:customStyle="1" w:styleId="BodyTextIndent3Char">
    <w:name w:val="Body Text Indent 3 Char"/>
    <w:basedOn w:val="DefaultParagraphFont"/>
    <w:link w:val="BodyTextIndent3"/>
    <w:rsid w:val="009B4A67"/>
    <w:rPr>
      <w:rFonts w:ascii="Arial" w:eastAsia="Times New Roman" w:hAnsi="Arial" w:cs="Times New Roman"/>
      <w:sz w:val="24"/>
      <w:szCs w:val="20"/>
      <w:lang w:val="en-GB"/>
    </w:rPr>
  </w:style>
  <w:style w:type="paragraph" w:styleId="BodyText2">
    <w:name w:val="Body Text 2"/>
    <w:basedOn w:val="Normal"/>
    <w:link w:val="BodyText2Char"/>
    <w:rsid w:val="009B4A67"/>
    <w:pPr>
      <w:overflowPunct w:val="0"/>
      <w:autoSpaceDE w:val="0"/>
      <w:autoSpaceDN w:val="0"/>
      <w:adjustRightInd w:val="0"/>
      <w:spacing w:before="100" w:after="100"/>
      <w:jc w:val="both"/>
      <w:textAlignment w:val="baseline"/>
    </w:pPr>
    <w:rPr>
      <w:rFonts w:ascii="Arial" w:hAnsi="Arial"/>
      <w:i/>
      <w:iCs/>
      <w:sz w:val="22"/>
      <w:lang w:val="en-US"/>
    </w:rPr>
  </w:style>
  <w:style w:type="character" w:customStyle="1" w:styleId="BodyText2Char">
    <w:name w:val="Body Text 2 Char"/>
    <w:basedOn w:val="DefaultParagraphFont"/>
    <w:link w:val="BodyText2"/>
    <w:rsid w:val="009B4A67"/>
    <w:rPr>
      <w:rFonts w:ascii="Arial" w:eastAsia="Times New Roman" w:hAnsi="Arial" w:cs="Times New Roman"/>
      <w:i/>
      <w:iCs/>
      <w:szCs w:val="20"/>
    </w:rPr>
  </w:style>
  <w:style w:type="paragraph" w:styleId="Caption">
    <w:name w:val="caption"/>
    <w:basedOn w:val="Normal"/>
    <w:next w:val="Normal"/>
    <w:qFormat/>
    <w:rsid w:val="009B4A67"/>
    <w:pPr>
      <w:tabs>
        <w:tab w:val="left" w:pos="2268"/>
        <w:tab w:val="center" w:pos="8789"/>
      </w:tabs>
    </w:pPr>
    <w:rPr>
      <w:rFonts w:ascii="Arial" w:hAnsi="Arial" w:cs="Arial"/>
      <w:b/>
      <w:sz w:val="22"/>
    </w:rPr>
  </w:style>
  <w:style w:type="paragraph" w:styleId="BodyTextIndent2">
    <w:name w:val="Body Text Indent 2"/>
    <w:basedOn w:val="Normal"/>
    <w:link w:val="BodyTextIndent2Char"/>
    <w:rsid w:val="009B4A67"/>
    <w:pPr>
      <w:tabs>
        <w:tab w:val="left" w:pos="720"/>
        <w:tab w:val="left" w:pos="1440"/>
        <w:tab w:val="left" w:pos="2311"/>
      </w:tabs>
      <w:ind w:left="1440" w:hanging="1440"/>
      <w:jc w:val="both"/>
    </w:pPr>
    <w:rPr>
      <w:rFonts w:ascii="Arial" w:hAnsi="Arial" w:cs="Arial"/>
      <w:szCs w:val="24"/>
    </w:rPr>
  </w:style>
  <w:style w:type="character" w:customStyle="1" w:styleId="BodyTextIndent2Char">
    <w:name w:val="Body Text Indent 2 Char"/>
    <w:basedOn w:val="DefaultParagraphFont"/>
    <w:link w:val="BodyTextIndent2"/>
    <w:rsid w:val="009B4A67"/>
    <w:rPr>
      <w:rFonts w:ascii="Arial" w:eastAsia="Times New Roman" w:hAnsi="Arial" w:cs="Arial"/>
      <w:sz w:val="24"/>
      <w:szCs w:val="24"/>
      <w:lang w:val="en-GB"/>
    </w:rPr>
  </w:style>
  <w:style w:type="paragraph" w:customStyle="1" w:styleId="xl24">
    <w:name w:val="xl24"/>
    <w:basedOn w:val="Normal"/>
    <w:rsid w:val="009B4A67"/>
    <w:pPr>
      <w:spacing w:before="100" w:beforeAutospacing="1" w:after="100" w:afterAutospacing="1"/>
    </w:pPr>
    <w:rPr>
      <w:rFonts w:ascii="Arial" w:eastAsia="Arial Unicode MS" w:hAnsi="Arial" w:cs="Arial"/>
      <w:sz w:val="22"/>
      <w:szCs w:val="22"/>
    </w:rPr>
  </w:style>
  <w:style w:type="paragraph" w:customStyle="1" w:styleId="Style35001908">
    <w:name w:val="Style35001908"/>
    <w:basedOn w:val="Normal"/>
    <w:rsid w:val="009B4A67"/>
    <w:rPr>
      <w:rFonts w:ascii="Arial" w:hAnsi="Arial"/>
      <w:snapToGrid w:val="0"/>
      <w:sz w:val="22"/>
      <w:lang w:val="en-US"/>
    </w:rPr>
  </w:style>
  <w:style w:type="paragraph" w:customStyle="1" w:styleId="Default">
    <w:name w:val="Default"/>
    <w:rsid w:val="009B4A67"/>
    <w:pPr>
      <w:autoSpaceDE w:val="0"/>
      <w:autoSpaceDN w:val="0"/>
      <w:adjustRightInd w:val="0"/>
      <w:spacing w:after="0" w:line="240" w:lineRule="auto"/>
    </w:pPr>
    <w:rPr>
      <w:rFonts w:ascii="Arial" w:eastAsia="Times New Roman" w:hAnsi="Arial" w:cs="Arial"/>
      <w:color w:val="000000"/>
      <w:sz w:val="24"/>
      <w:szCs w:val="24"/>
    </w:rPr>
  </w:style>
  <w:style w:type="paragraph" w:styleId="BodyText3">
    <w:name w:val="Body Text 3"/>
    <w:basedOn w:val="Normal"/>
    <w:link w:val="BodyText3Char"/>
    <w:rsid w:val="009B4A67"/>
    <w:pPr>
      <w:spacing w:after="120"/>
    </w:pPr>
    <w:rPr>
      <w:sz w:val="16"/>
      <w:szCs w:val="16"/>
    </w:rPr>
  </w:style>
  <w:style w:type="character" w:customStyle="1" w:styleId="BodyText3Char">
    <w:name w:val="Body Text 3 Char"/>
    <w:basedOn w:val="DefaultParagraphFont"/>
    <w:link w:val="BodyText3"/>
    <w:rsid w:val="009B4A67"/>
    <w:rPr>
      <w:rFonts w:ascii="Times New Roman" w:eastAsia="Times New Roman" w:hAnsi="Times New Roman" w:cs="Times New Roman"/>
      <w:sz w:val="16"/>
      <w:szCs w:val="16"/>
      <w:lang w:val="en-GB"/>
    </w:rPr>
  </w:style>
  <w:style w:type="paragraph" w:customStyle="1" w:styleId="Style1">
    <w:name w:val="Style1"/>
    <w:basedOn w:val="Normal"/>
    <w:rsid w:val="009B4A67"/>
    <w:rPr>
      <w:rFonts w:ascii="Arial" w:hAnsi="Arial"/>
      <w:sz w:val="22"/>
      <w:szCs w:val="24"/>
    </w:rPr>
  </w:style>
  <w:style w:type="paragraph" w:customStyle="1" w:styleId="Body">
    <w:name w:val="Body"/>
    <w:autoRedefine/>
    <w:rsid w:val="009B4A67"/>
    <w:pPr>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0" w:line="240" w:lineRule="auto"/>
    </w:pPr>
    <w:rPr>
      <w:rFonts w:ascii="Arial" w:eastAsia="ヒラギノ角ゴ Pro W3" w:hAnsi="Arial" w:cs="Arial"/>
      <w:b/>
      <w:color w:val="000000"/>
      <w:sz w:val="24"/>
      <w:szCs w:val="24"/>
      <w:lang w:val="en-GB" w:eastAsia="en-GB"/>
    </w:rPr>
  </w:style>
  <w:style w:type="paragraph" w:styleId="NormalWeb">
    <w:name w:val="Normal (Web)"/>
    <w:basedOn w:val="Normal"/>
    <w:uiPriority w:val="99"/>
    <w:rsid w:val="009B4A67"/>
    <w:pPr>
      <w:suppressAutoHyphens/>
      <w:spacing w:before="100" w:after="100"/>
    </w:pPr>
    <w:rPr>
      <w:szCs w:val="24"/>
      <w:lang w:eastAsia="ar-SA"/>
    </w:rPr>
  </w:style>
  <w:style w:type="paragraph" w:styleId="ListParagraph">
    <w:name w:val="List Paragraph"/>
    <w:basedOn w:val="Normal"/>
    <w:uiPriority w:val="34"/>
    <w:qFormat/>
    <w:rsid w:val="009B4A67"/>
    <w:pPr>
      <w:ind w:left="720"/>
    </w:pPr>
    <w:rPr>
      <w:rFonts w:ascii="Arial" w:hAnsi="Arial"/>
    </w:rPr>
  </w:style>
  <w:style w:type="table" w:styleId="TableGrid">
    <w:name w:val="Table Grid"/>
    <w:basedOn w:val="TableNormal"/>
    <w:rsid w:val="009B4A6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B4A67"/>
    <w:rPr>
      <w:color w:val="0000FF"/>
      <w:u w:val="single"/>
    </w:rPr>
  </w:style>
  <w:style w:type="paragraph" w:styleId="BalloonText">
    <w:name w:val="Balloon Text"/>
    <w:basedOn w:val="Normal"/>
    <w:link w:val="BalloonTextChar"/>
    <w:rsid w:val="009B4A67"/>
    <w:rPr>
      <w:rFonts w:ascii="Tahoma" w:hAnsi="Tahoma"/>
      <w:sz w:val="16"/>
      <w:szCs w:val="16"/>
    </w:rPr>
  </w:style>
  <w:style w:type="character" w:customStyle="1" w:styleId="BalloonTextChar">
    <w:name w:val="Balloon Text Char"/>
    <w:basedOn w:val="DefaultParagraphFont"/>
    <w:link w:val="BalloonText"/>
    <w:rsid w:val="009B4A67"/>
    <w:rPr>
      <w:rFonts w:ascii="Tahoma" w:eastAsia="Times New Roman" w:hAnsi="Tahoma" w:cs="Times New Roman"/>
      <w:sz w:val="16"/>
      <w:szCs w:val="16"/>
      <w:lang w:val="en-GB"/>
    </w:rPr>
  </w:style>
  <w:style w:type="paragraph" w:customStyle="1" w:styleId="Body1">
    <w:name w:val="Body 1"/>
    <w:rsid w:val="009B4A67"/>
    <w:pPr>
      <w:spacing w:after="200" w:line="276" w:lineRule="auto"/>
      <w:outlineLvl w:val="0"/>
    </w:pPr>
    <w:rPr>
      <w:rFonts w:ascii="Helvetica" w:eastAsia="Arial Unicode MS" w:hAnsi="Helvetica" w:cs="Times New Roman"/>
      <w:color w:val="000000"/>
      <w:szCs w:val="20"/>
      <w:u w:color="000000"/>
      <w:lang w:val="en-GB" w:eastAsia="en-GB"/>
    </w:rPr>
  </w:style>
  <w:style w:type="paragraph" w:styleId="FootnoteText">
    <w:name w:val="footnote text"/>
    <w:aliases w:val="EKOS Footnote Text,Fußnote"/>
    <w:basedOn w:val="Normal"/>
    <w:link w:val="FootnoteTextChar"/>
    <w:uiPriority w:val="99"/>
    <w:unhideWhenUsed/>
    <w:rsid w:val="009B4A67"/>
    <w:rPr>
      <w:rFonts w:asciiTheme="minorHAnsi" w:eastAsiaTheme="minorHAnsi" w:hAnsiTheme="minorHAnsi" w:cstheme="minorBidi"/>
      <w:sz w:val="20"/>
    </w:rPr>
  </w:style>
  <w:style w:type="character" w:customStyle="1" w:styleId="FootnoteTextChar">
    <w:name w:val="Footnote Text Char"/>
    <w:aliases w:val="EKOS Footnote Text Char,Fußnote Char"/>
    <w:basedOn w:val="DefaultParagraphFont"/>
    <w:link w:val="FootnoteText"/>
    <w:uiPriority w:val="99"/>
    <w:rsid w:val="009B4A67"/>
    <w:rPr>
      <w:sz w:val="20"/>
      <w:szCs w:val="20"/>
      <w:lang w:val="en-GB"/>
    </w:rPr>
  </w:style>
  <w:style w:type="character" w:styleId="FootnoteReference">
    <w:name w:val="footnote reference"/>
    <w:basedOn w:val="DefaultParagraphFont"/>
    <w:unhideWhenUsed/>
    <w:rsid w:val="009B4A67"/>
    <w:rPr>
      <w:vertAlign w:val="superscript"/>
    </w:rPr>
  </w:style>
  <w:style w:type="character" w:styleId="CommentReference">
    <w:name w:val="annotation reference"/>
    <w:basedOn w:val="DefaultParagraphFont"/>
    <w:rsid w:val="009B4A67"/>
    <w:rPr>
      <w:sz w:val="16"/>
      <w:szCs w:val="16"/>
    </w:rPr>
  </w:style>
  <w:style w:type="paragraph" w:styleId="CommentText">
    <w:name w:val="annotation text"/>
    <w:basedOn w:val="Normal"/>
    <w:link w:val="CommentTextChar"/>
    <w:rsid w:val="009B4A67"/>
    <w:rPr>
      <w:sz w:val="20"/>
    </w:rPr>
  </w:style>
  <w:style w:type="character" w:customStyle="1" w:styleId="CommentTextChar">
    <w:name w:val="Comment Text Char"/>
    <w:basedOn w:val="DefaultParagraphFont"/>
    <w:link w:val="CommentText"/>
    <w:rsid w:val="009B4A6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9B4A67"/>
    <w:rPr>
      <w:b/>
      <w:bCs/>
    </w:rPr>
  </w:style>
  <w:style w:type="character" w:customStyle="1" w:styleId="CommentSubjectChar">
    <w:name w:val="Comment Subject Char"/>
    <w:basedOn w:val="CommentTextChar"/>
    <w:link w:val="CommentSubject"/>
    <w:rsid w:val="009B4A67"/>
    <w:rPr>
      <w:rFonts w:ascii="Times New Roman" w:eastAsia="Times New Roman" w:hAnsi="Times New Roman" w:cs="Times New Roman"/>
      <w:b/>
      <w:bCs/>
      <w:sz w:val="20"/>
      <w:szCs w:val="20"/>
      <w:lang w:val="en-GB"/>
    </w:rPr>
  </w:style>
  <w:style w:type="table" w:customStyle="1" w:styleId="TableGrid1">
    <w:name w:val="Table Grid1"/>
    <w:basedOn w:val="TableNormal"/>
    <w:next w:val="TableGrid"/>
    <w:rsid w:val="00145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https://www.greatermanchester-ca.gov.uk/info/20006/safer_and_stronger_communities/82/police_and_crime_plan" TargetMode="Externa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1D8CC7-DE65-4D67-BC53-EA1A71524DDC}"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8821936E-E62C-45BF-BD2A-258EE130BDD2}">
      <dgm:prSet phldrT="[Text]"/>
      <dgm:spPr>
        <a:xfrm>
          <a:off x="274320" y="34971"/>
          <a:ext cx="3851348" cy="44280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Programme 1 - Transforming Public Contact</a:t>
          </a:r>
        </a:p>
      </dgm:t>
    </dgm:pt>
    <dgm:pt modelId="{269A7EA1-A1C3-42D4-9DAE-52A71B9B702E}" type="parTrans" cxnId="{7C898897-4BE7-4D4C-8799-BABC4936E5C6}">
      <dgm:prSet/>
      <dgm:spPr/>
      <dgm:t>
        <a:bodyPr/>
        <a:lstStyle/>
        <a:p>
          <a:endParaRPr lang="en-US"/>
        </a:p>
      </dgm:t>
    </dgm:pt>
    <dgm:pt modelId="{39920A7C-C434-4AE0-84D2-697F689CFBF0}" type="sibTrans" cxnId="{7C898897-4BE7-4D4C-8799-BABC4936E5C6}">
      <dgm:prSet/>
      <dgm:spPr/>
      <dgm:t>
        <a:bodyPr/>
        <a:lstStyle/>
        <a:p>
          <a:endParaRPr lang="en-US"/>
        </a:p>
      </dgm:t>
    </dgm:pt>
    <dgm:pt modelId="{DBDE6950-2A8D-431C-BC0C-2008B209A386}">
      <dgm:prSet phldrT="[Text]"/>
      <dgm:spPr>
        <a:xfrm>
          <a:off x="274320" y="715371"/>
          <a:ext cx="3840480" cy="44280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Progamme 2 - Improving Operational Policing</a:t>
          </a:r>
        </a:p>
      </dgm:t>
    </dgm:pt>
    <dgm:pt modelId="{CB6858FB-0775-48CA-A433-684418F1A1C9}" type="parTrans" cxnId="{148D37DB-648D-40E0-8E99-921DBB2F2CCA}">
      <dgm:prSet/>
      <dgm:spPr/>
      <dgm:t>
        <a:bodyPr/>
        <a:lstStyle/>
        <a:p>
          <a:endParaRPr lang="en-US"/>
        </a:p>
      </dgm:t>
    </dgm:pt>
    <dgm:pt modelId="{853B5EAA-0E55-449D-8B4F-7DD4C9EBE654}" type="sibTrans" cxnId="{148D37DB-648D-40E0-8E99-921DBB2F2CCA}">
      <dgm:prSet/>
      <dgm:spPr/>
      <dgm:t>
        <a:bodyPr/>
        <a:lstStyle/>
        <a:p>
          <a:endParaRPr lang="en-US"/>
        </a:p>
      </dgm:t>
    </dgm:pt>
    <dgm:pt modelId="{23B710AB-B2E6-44B5-A47C-1921146022E5}">
      <dgm:prSet phldrT="[Text]"/>
      <dgm:spPr>
        <a:xfrm>
          <a:off x="274320" y="1379441"/>
          <a:ext cx="3840480" cy="44280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Programme 3 - Building Better Outcomes</a:t>
          </a:r>
        </a:p>
      </dgm:t>
    </dgm:pt>
    <dgm:pt modelId="{0209975E-4118-49D5-AEE6-6AD5C057F7BB}" type="parTrans" cxnId="{6F32B31A-D68B-45A6-8687-B2AB62D312B0}">
      <dgm:prSet/>
      <dgm:spPr/>
      <dgm:t>
        <a:bodyPr/>
        <a:lstStyle/>
        <a:p>
          <a:endParaRPr lang="en-US"/>
        </a:p>
      </dgm:t>
    </dgm:pt>
    <dgm:pt modelId="{43324748-642A-461D-AE43-D4813D8B610A}" type="sibTrans" cxnId="{6F32B31A-D68B-45A6-8687-B2AB62D312B0}">
      <dgm:prSet/>
      <dgm:spPr/>
      <dgm:t>
        <a:bodyPr/>
        <a:lstStyle/>
        <a:p>
          <a:endParaRPr lang="en-US"/>
        </a:p>
      </dgm:t>
    </dgm:pt>
    <dgm:pt modelId="{5147C784-9726-4799-8F9E-3BD2BD884692}">
      <dgm:prSet phldrT="[Text]"/>
      <dgm:spPr>
        <a:xfrm>
          <a:off x="274320" y="2076171"/>
          <a:ext cx="3840480" cy="44280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Programme 4 - Building a Better Organisation</a:t>
          </a:r>
        </a:p>
      </dgm:t>
    </dgm:pt>
    <dgm:pt modelId="{F9739715-37F9-4863-A798-914E66118F19}" type="parTrans" cxnId="{07662BB9-B577-41B3-8628-1F7DBBADDB5A}">
      <dgm:prSet/>
      <dgm:spPr/>
      <dgm:t>
        <a:bodyPr/>
        <a:lstStyle/>
        <a:p>
          <a:endParaRPr lang="en-US"/>
        </a:p>
      </dgm:t>
    </dgm:pt>
    <dgm:pt modelId="{B81693C1-9542-429E-8272-A6F6189D38B3}" type="sibTrans" cxnId="{07662BB9-B577-41B3-8628-1F7DBBADDB5A}">
      <dgm:prSet/>
      <dgm:spPr/>
      <dgm:t>
        <a:bodyPr/>
        <a:lstStyle/>
        <a:p>
          <a:endParaRPr lang="en-US"/>
        </a:p>
      </dgm:t>
    </dgm:pt>
    <dgm:pt modelId="{5E41E175-33C5-41C3-8D76-82CA72E87EB9}" type="pres">
      <dgm:prSet presAssocID="{041D8CC7-DE65-4D67-BC53-EA1A71524DDC}" presName="linear" presStyleCnt="0">
        <dgm:presLayoutVars>
          <dgm:dir/>
          <dgm:animLvl val="lvl"/>
          <dgm:resizeHandles val="exact"/>
        </dgm:presLayoutVars>
      </dgm:prSet>
      <dgm:spPr/>
      <dgm:t>
        <a:bodyPr/>
        <a:lstStyle/>
        <a:p>
          <a:endParaRPr lang="en-US"/>
        </a:p>
      </dgm:t>
    </dgm:pt>
    <dgm:pt modelId="{B85C4FD9-F8A0-4698-AFA3-532765F3635B}" type="pres">
      <dgm:prSet presAssocID="{8821936E-E62C-45BF-BD2A-258EE130BDD2}" presName="parentLin" presStyleCnt="0"/>
      <dgm:spPr/>
    </dgm:pt>
    <dgm:pt modelId="{67B99F22-A3FB-4FC9-AB1D-2E3C4703F265}" type="pres">
      <dgm:prSet presAssocID="{8821936E-E62C-45BF-BD2A-258EE130BDD2}" presName="parentLeftMargin" presStyleLbl="node1" presStyleIdx="0" presStyleCnt="4"/>
      <dgm:spPr>
        <a:prstGeom prst="roundRect">
          <a:avLst/>
        </a:prstGeom>
      </dgm:spPr>
      <dgm:t>
        <a:bodyPr/>
        <a:lstStyle/>
        <a:p>
          <a:endParaRPr lang="en-US"/>
        </a:p>
      </dgm:t>
    </dgm:pt>
    <dgm:pt modelId="{167E2745-4033-42BF-9E76-34BD0CBF865E}" type="pres">
      <dgm:prSet presAssocID="{8821936E-E62C-45BF-BD2A-258EE130BDD2}" presName="parentText" presStyleLbl="node1" presStyleIdx="0" presStyleCnt="4" custScaleX="100283">
        <dgm:presLayoutVars>
          <dgm:chMax val="0"/>
          <dgm:bulletEnabled val="1"/>
        </dgm:presLayoutVars>
      </dgm:prSet>
      <dgm:spPr/>
      <dgm:t>
        <a:bodyPr/>
        <a:lstStyle/>
        <a:p>
          <a:endParaRPr lang="en-US"/>
        </a:p>
      </dgm:t>
    </dgm:pt>
    <dgm:pt modelId="{669FB85D-23A5-4F0C-A767-AE06E368801C}" type="pres">
      <dgm:prSet presAssocID="{8821936E-E62C-45BF-BD2A-258EE130BDD2}" presName="negativeSpace" presStyleCnt="0"/>
      <dgm:spPr/>
    </dgm:pt>
    <dgm:pt modelId="{9DD6A691-7342-42B1-86A9-E04CA64285F9}" type="pres">
      <dgm:prSet presAssocID="{8821936E-E62C-45BF-BD2A-258EE130BDD2}" presName="childText" presStyleLbl="conFgAcc1" presStyleIdx="0" presStyleCnt="4">
        <dgm:presLayoutVars>
          <dgm:bulletEnabled val="1"/>
        </dgm:presLayoutVars>
      </dgm:prSet>
      <dgm:spPr>
        <a:xfrm>
          <a:off x="0" y="256371"/>
          <a:ext cx="5486400" cy="378000"/>
        </a:xfrm>
        <a:prstGeom prst="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US"/>
        </a:p>
      </dgm:t>
    </dgm:pt>
    <dgm:pt modelId="{728B3CD7-07F1-41FC-B5F2-CC06FD87DC6D}" type="pres">
      <dgm:prSet presAssocID="{39920A7C-C434-4AE0-84D2-697F689CFBF0}" presName="spaceBetweenRectangles" presStyleCnt="0"/>
      <dgm:spPr/>
    </dgm:pt>
    <dgm:pt modelId="{866F5F56-DC90-480A-85C0-3F920856966F}" type="pres">
      <dgm:prSet presAssocID="{DBDE6950-2A8D-431C-BC0C-2008B209A386}" presName="parentLin" presStyleCnt="0"/>
      <dgm:spPr/>
    </dgm:pt>
    <dgm:pt modelId="{96C3513B-57FC-43FF-90F7-F69EF53A5F86}" type="pres">
      <dgm:prSet presAssocID="{DBDE6950-2A8D-431C-BC0C-2008B209A386}" presName="parentLeftMargin" presStyleLbl="node1" presStyleIdx="0" presStyleCnt="4"/>
      <dgm:spPr>
        <a:prstGeom prst="roundRect">
          <a:avLst/>
        </a:prstGeom>
      </dgm:spPr>
      <dgm:t>
        <a:bodyPr/>
        <a:lstStyle/>
        <a:p>
          <a:endParaRPr lang="en-US"/>
        </a:p>
      </dgm:t>
    </dgm:pt>
    <dgm:pt modelId="{05D9B3EB-494E-4EA3-9BCF-5829DA7312A4}" type="pres">
      <dgm:prSet presAssocID="{DBDE6950-2A8D-431C-BC0C-2008B209A386}" presName="parentText" presStyleLbl="node1" presStyleIdx="1" presStyleCnt="4">
        <dgm:presLayoutVars>
          <dgm:chMax val="0"/>
          <dgm:bulletEnabled val="1"/>
        </dgm:presLayoutVars>
      </dgm:prSet>
      <dgm:spPr/>
      <dgm:t>
        <a:bodyPr/>
        <a:lstStyle/>
        <a:p>
          <a:endParaRPr lang="en-US"/>
        </a:p>
      </dgm:t>
    </dgm:pt>
    <dgm:pt modelId="{C5C0055E-ADBB-41A6-9AAD-AE4DE70709CF}" type="pres">
      <dgm:prSet presAssocID="{DBDE6950-2A8D-431C-BC0C-2008B209A386}" presName="negativeSpace" presStyleCnt="0"/>
      <dgm:spPr/>
    </dgm:pt>
    <dgm:pt modelId="{5F9D4374-2E72-4DC5-8F25-B9F29DA96B84}" type="pres">
      <dgm:prSet presAssocID="{DBDE6950-2A8D-431C-BC0C-2008B209A386}" presName="childText" presStyleLbl="conFgAcc1" presStyleIdx="1" presStyleCnt="4">
        <dgm:presLayoutVars>
          <dgm:bulletEnabled val="1"/>
        </dgm:presLayoutVars>
      </dgm:prSet>
      <dgm:spPr>
        <a:xfrm>
          <a:off x="0" y="936771"/>
          <a:ext cx="5486400" cy="378000"/>
        </a:xfrm>
        <a:prstGeom prst="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US"/>
        </a:p>
      </dgm:t>
    </dgm:pt>
    <dgm:pt modelId="{22812DDA-B82D-4870-A13A-D2F9836B469F}" type="pres">
      <dgm:prSet presAssocID="{853B5EAA-0E55-449D-8B4F-7DD4C9EBE654}" presName="spaceBetweenRectangles" presStyleCnt="0"/>
      <dgm:spPr/>
    </dgm:pt>
    <dgm:pt modelId="{01D1652C-8833-47BF-992B-943D53C2BF20}" type="pres">
      <dgm:prSet presAssocID="{23B710AB-B2E6-44B5-A47C-1921146022E5}" presName="parentLin" presStyleCnt="0"/>
      <dgm:spPr/>
    </dgm:pt>
    <dgm:pt modelId="{2E05F078-88B1-4322-85ED-8F2A190FB1E5}" type="pres">
      <dgm:prSet presAssocID="{23B710AB-B2E6-44B5-A47C-1921146022E5}" presName="parentLeftMargin" presStyleLbl="node1" presStyleIdx="1" presStyleCnt="4"/>
      <dgm:spPr>
        <a:prstGeom prst="roundRect">
          <a:avLst/>
        </a:prstGeom>
      </dgm:spPr>
      <dgm:t>
        <a:bodyPr/>
        <a:lstStyle/>
        <a:p>
          <a:endParaRPr lang="en-US"/>
        </a:p>
      </dgm:t>
    </dgm:pt>
    <dgm:pt modelId="{8954FE29-FDF0-43EE-82A2-607F7B91AC67}" type="pres">
      <dgm:prSet presAssocID="{23B710AB-B2E6-44B5-A47C-1921146022E5}" presName="parentText" presStyleLbl="node1" presStyleIdx="2" presStyleCnt="4" custLinFactNeighborY="-3688">
        <dgm:presLayoutVars>
          <dgm:chMax val="0"/>
          <dgm:bulletEnabled val="1"/>
        </dgm:presLayoutVars>
      </dgm:prSet>
      <dgm:spPr/>
      <dgm:t>
        <a:bodyPr/>
        <a:lstStyle/>
        <a:p>
          <a:endParaRPr lang="en-US"/>
        </a:p>
      </dgm:t>
    </dgm:pt>
    <dgm:pt modelId="{3D54ADE6-0733-4D8F-B30C-60F6001F8C04}" type="pres">
      <dgm:prSet presAssocID="{23B710AB-B2E6-44B5-A47C-1921146022E5}" presName="negativeSpace" presStyleCnt="0"/>
      <dgm:spPr/>
    </dgm:pt>
    <dgm:pt modelId="{5523445E-6BC5-43FF-8197-8896A684103A}" type="pres">
      <dgm:prSet presAssocID="{23B710AB-B2E6-44B5-A47C-1921146022E5}" presName="childText" presStyleLbl="conFgAcc1" presStyleIdx="2" presStyleCnt="4">
        <dgm:presLayoutVars>
          <dgm:bulletEnabled val="1"/>
        </dgm:presLayoutVars>
      </dgm:prSet>
      <dgm:spPr>
        <a:xfrm>
          <a:off x="0" y="1617171"/>
          <a:ext cx="5486400" cy="378000"/>
        </a:xfrm>
        <a:prstGeom prst="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US"/>
        </a:p>
      </dgm:t>
    </dgm:pt>
    <dgm:pt modelId="{00FBEF28-D61F-4127-9C0D-0671158E926B}" type="pres">
      <dgm:prSet presAssocID="{43324748-642A-461D-AE43-D4813D8B610A}" presName="spaceBetweenRectangles" presStyleCnt="0"/>
      <dgm:spPr/>
    </dgm:pt>
    <dgm:pt modelId="{9B96F8F2-E755-4CB5-8A37-B413E1D7F6C5}" type="pres">
      <dgm:prSet presAssocID="{5147C784-9726-4799-8F9E-3BD2BD884692}" presName="parentLin" presStyleCnt="0"/>
      <dgm:spPr/>
    </dgm:pt>
    <dgm:pt modelId="{7F6AAA72-2BFD-4E17-981B-1992F9F44707}" type="pres">
      <dgm:prSet presAssocID="{5147C784-9726-4799-8F9E-3BD2BD884692}" presName="parentLeftMargin" presStyleLbl="node1" presStyleIdx="2" presStyleCnt="4"/>
      <dgm:spPr>
        <a:prstGeom prst="roundRect">
          <a:avLst/>
        </a:prstGeom>
      </dgm:spPr>
      <dgm:t>
        <a:bodyPr/>
        <a:lstStyle/>
        <a:p>
          <a:endParaRPr lang="en-US"/>
        </a:p>
      </dgm:t>
    </dgm:pt>
    <dgm:pt modelId="{234F562B-323B-4B7C-8C93-1A60E6B0BF9B}" type="pres">
      <dgm:prSet presAssocID="{5147C784-9726-4799-8F9E-3BD2BD884692}" presName="parentText" presStyleLbl="node1" presStyleIdx="3" presStyleCnt="4">
        <dgm:presLayoutVars>
          <dgm:chMax val="0"/>
          <dgm:bulletEnabled val="1"/>
        </dgm:presLayoutVars>
      </dgm:prSet>
      <dgm:spPr/>
      <dgm:t>
        <a:bodyPr/>
        <a:lstStyle/>
        <a:p>
          <a:endParaRPr lang="en-US"/>
        </a:p>
      </dgm:t>
    </dgm:pt>
    <dgm:pt modelId="{1D182750-7D16-4E92-95C1-262FD3558E56}" type="pres">
      <dgm:prSet presAssocID="{5147C784-9726-4799-8F9E-3BD2BD884692}" presName="negativeSpace" presStyleCnt="0"/>
      <dgm:spPr/>
    </dgm:pt>
    <dgm:pt modelId="{3FAA7539-D4D4-4EBD-83B8-106FC6BEA331}" type="pres">
      <dgm:prSet presAssocID="{5147C784-9726-4799-8F9E-3BD2BD884692}" presName="childText" presStyleLbl="conFgAcc1" presStyleIdx="3" presStyleCnt="4">
        <dgm:presLayoutVars>
          <dgm:bulletEnabled val="1"/>
        </dgm:presLayoutVars>
      </dgm:prSet>
      <dgm:spPr>
        <a:xfrm>
          <a:off x="0" y="2297571"/>
          <a:ext cx="5486400" cy="378000"/>
        </a:xfrm>
        <a:prstGeom prst="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US"/>
        </a:p>
      </dgm:t>
    </dgm:pt>
  </dgm:ptLst>
  <dgm:cxnLst>
    <dgm:cxn modelId="{4543E664-9BB7-4955-9617-D3A54140857E}" type="presOf" srcId="{5147C784-9726-4799-8F9E-3BD2BD884692}" destId="{234F562B-323B-4B7C-8C93-1A60E6B0BF9B}" srcOrd="1" destOrd="0" presId="urn:microsoft.com/office/officeart/2005/8/layout/list1"/>
    <dgm:cxn modelId="{E53AF03F-7991-4A88-93E3-A8269BD10DE9}" type="presOf" srcId="{041D8CC7-DE65-4D67-BC53-EA1A71524DDC}" destId="{5E41E175-33C5-41C3-8D76-82CA72E87EB9}" srcOrd="0" destOrd="0" presId="urn:microsoft.com/office/officeart/2005/8/layout/list1"/>
    <dgm:cxn modelId="{6F32B31A-D68B-45A6-8687-B2AB62D312B0}" srcId="{041D8CC7-DE65-4D67-BC53-EA1A71524DDC}" destId="{23B710AB-B2E6-44B5-A47C-1921146022E5}" srcOrd="2" destOrd="0" parTransId="{0209975E-4118-49D5-AEE6-6AD5C057F7BB}" sibTransId="{43324748-642A-461D-AE43-D4813D8B610A}"/>
    <dgm:cxn modelId="{90F69531-77C2-4A3C-83EF-EA191FC547B7}" type="presOf" srcId="{DBDE6950-2A8D-431C-BC0C-2008B209A386}" destId="{05D9B3EB-494E-4EA3-9BCF-5829DA7312A4}" srcOrd="1" destOrd="0" presId="urn:microsoft.com/office/officeart/2005/8/layout/list1"/>
    <dgm:cxn modelId="{DA654E32-8AD2-4622-A236-CD5A94ADA0C6}" type="presOf" srcId="{DBDE6950-2A8D-431C-BC0C-2008B209A386}" destId="{96C3513B-57FC-43FF-90F7-F69EF53A5F86}" srcOrd="0" destOrd="0" presId="urn:microsoft.com/office/officeart/2005/8/layout/list1"/>
    <dgm:cxn modelId="{07662BB9-B577-41B3-8628-1F7DBBADDB5A}" srcId="{041D8CC7-DE65-4D67-BC53-EA1A71524DDC}" destId="{5147C784-9726-4799-8F9E-3BD2BD884692}" srcOrd="3" destOrd="0" parTransId="{F9739715-37F9-4863-A798-914E66118F19}" sibTransId="{B81693C1-9542-429E-8272-A6F6189D38B3}"/>
    <dgm:cxn modelId="{DCB2C558-12F7-40CF-92B8-9802F45566F8}" type="presOf" srcId="{8821936E-E62C-45BF-BD2A-258EE130BDD2}" destId="{67B99F22-A3FB-4FC9-AB1D-2E3C4703F265}" srcOrd="0" destOrd="0" presId="urn:microsoft.com/office/officeart/2005/8/layout/list1"/>
    <dgm:cxn modelId="{9C012E71-EA6C-4686-BC00-7C8789ACA3AC}" type="presOf" srcId="{8821936E-E62C-45BF-BD2A-258EE130BDD2}" destId="{167E2745-4033-42BF-9E76-34BD0CBF865E}" srcOrd="1" destOrd="0" presId="urn:microsoft.com/office/officeart/2005/8/layout/list1"/>
    <dgm:cxn modelId="{8F32D1BE-BD7C-4FC8-AFBA-6F7DFB4A35C6}" type="presOf" srcId="{23B710AB-B2E6-44B5-A47C-1921146022E5}" destId="{8954FE29-FDF0-43EE-82A2-607F7B91AC67}" srcOrd="1" destOrd="0" presId="urn:microsoft.com/office/officeart/2005/8/layout/list1"/>
    <dgm:cxn modelId="{7C898897-4BE7-4D4C-8799-BABC4936E5C6}" srcId="{041D8CC7-DE65-4D67-BC53-EA1A71524DDC}" destId="{8821936E-E62C-45BF-BD2A-258EE130BDD2}" srcOrd="0" destOrd="0" parTransId="{269A7EA1-A1C3-42D4-9DAE-52A71B9B702E}" sibTransId="{39920A7C-C434-4AE0-84D2-697F689CFBF0}"/>
    <dgm:cxn modelId="{148D37DB-648D-40E0-8E99-921DBB2F2CCA}" srcId="{041D8CC7-DE65-4D67-BC53-EA1A71524DDC}" destId="{DBDE6950-2A8D-431C-BC0C-2008B209A386}" srcOrd="1" destOrd="0" parTransId="{CB6858FB-0775-48CA-A433-684418F1A1C9}" sibTransId="{853B5EAA-0E55-449D-8B4F-7DD4C9EBE654}"/>
    <dgm:cxn modelId="{F9C777E3-AF40-455B-82C5-11D138D9CBDF}" type="presOf" srcId="{5147C784-9726-4799-8F9E-3BD2BD884692}" destId="{7F6AAA72-2BFD-4E17-981B-1992F9F44707}" srcOrd="0" destOrd="0" presId="urn:microsoft.com/office/officeart/2005/8/layout/list1"/>
    <dgm:cxn modelId="{866B8E18-19C8-4F1F-A198-DC46A87E03E4}" type="presOf" srcId="{23B710AB-B2E6-44B5-A47C-1921146022E5}" destId="{2E05F078-88B1-4322-85ED-8F2A190FB1E5}" srcOrd="0" destOrd="0" presId="urn:microsoft.com/office/officeart/2005/8/layout/list1"/>
    <dgm:cxn modelId="{BFBB7924-572C-4A2C-92B7-05D4FFB1212E}" type="presParOf" srcId="{5E41E175-33C5-41C3-8D76-82CA72E87EB9}" destId="{B85C4FD9-F8A0-4698-AFA3-532765F3635B}" srcOrd="0" destOrd="0" presId="urn:microsoft.com/office/officeart/2005/8/layout/list1"/>
    <dgm:cxn modelId="{CFF57C4E-97F2-4C6C-BF18-6B680F96E877}" type="presParOf" srcId="{B85C4FD9-F8A0-4698-AFA3-532765F3635B}" destId="{67B99F22-A3FB-4FC9-AB1D-2E3C4703F265}" srcOrd="0" destOrd="0" presId="urn:microsoft.com/office/officeart/2005/8/layout/list1"/>
    <dgm:cxn modelId="{B1985DC5-71A0-41F5-AE02-14F652C9B511}" type="presParOf" srcId="{B85C4FD9-F8A0-4698-AFA3-532765F3635B}" destId="{167E2745-4033-42BF-9E76-34BD0CBF865E}" srcOrd="1" destOrd="0" presId="urn:microsoft.com/office/officeart/2005/8/layout/list1"/>
    <dgm:cxn modelId="{839AB632-47F0-42E3-AEF2-F5056B9BB579}" type="presParOf" srcId="{5E41E175-33C5-41C3-8D76-82CA72E87EB9}" destId="{669FB85D-23A5-4F0C-A767-AE06E368801C}" srcOrd="1" destOrd="0" presId="urn:microsoft.com/office/officeart/2005/8/layout/list1"/>
    <dgm:cxn modelId="{6A476810-1A9C-4EB8-A41A-1D731E18A3E3}" type="presParOf" srcId="{5E41E175-33C5-41C3-8D76-82CA72E87EB9}" destId="{9DD6A691-7342-42B1-86A9-E04CA64285F9}" srcOrd="2" destOrd="0" presId="urn:microsoft.com/office/officeart/2005/8/layout/list1"/>
    <dgm:cxn modelId="{1D9E7CFB-DF90-4E9A-8D11-FB4DF5440C5E}" type="presParOf" srcId="{5E41E175-33C5-41C3-8D76-82CA72E87EB9}" destId="{728B3CD7-07F1-41FC-B5F2-CC06FD87DC6D}" srcOrd="3" destOrd="0" presId="urn:microsoft.com/office/officeart/2005/8/layout/list1"/>
    <dgm:cxn modelId="{D0603798-DA12-4597-9892-BF77C02D5009}" type="presParOf" srcId="{5E41E175-33C5-41C3-8D76-82CA72E87EB9}" destId="{866F5F56-DC90-480A-85C0-3F920856966F}" srcOrd="4" destOrd="0" presId="urn:microsoft.com/office/officeart/2005/8/layout/list1"/>
    <dgm:cxn modelId="{3DC09E99-EAFD-4C69-B23E-2B0F8F097DA3}" type="presParOf" srcId="{866F5F56-DC90-480A-85C0-3F920856966F}" destId="{96C3513B-57FC-43FF-90F7-F69EF53A5F86}" srcOrd="0" destOrd="0" presId="urn:microsoft.com/office/officeart/2005/8/layout/list1"/>
    <dgm:cxn modelId="{02C34137-0E1C-4FEE-AACC-99D7823C0907}" type="presParOf" srcId="{866F5F56-DC90-480A-85C0-3F920856966F}" destId="{05D9B3EB-494E-4EA3-9BCF-5829DA7312A4}" srcOrd="1" destOrd="0" presId="urn:microsoft.com/office/officeart/2005/8/layout/list1"/>
    <dgm:cxn modelId="{CE6B0145-98E4-4115-AEF3-F50B388FF5ED}" type="presParOf" srcId="{5E41E175-33C5-41C3-8D76-82CA72E87EB9}" destId="{C5C0055E-ADBB-41A6-9AAD-AE4DE70709CF}" srcOrd="5" destOrd="0" presId="urn:microsoft.com/office/officeart/2005/8/layout/list1"/>
    <dgm:cxn modelId="{B3ABFA5D-C2C1-40D6-AA81-2D2D0FF3E0AB}" type="presParOf" srcId="{5E41E175-33C5-41C3-8D76-82CA72E87EB9}" destId="{5F9D4374-2E72-4DC5-8F25-B9F29DA96B84}" srcOrd="6" destOrd="0" presId="urn:microsoft.com/office/officeart/2005/8/layout/list1"/>
    <dgm:cxn modelId="{C7811FED-BED2-4582-8A8C-A31BF056D67F}" type="presParOf" srcId="{5E41E175-33C5-41C3-8D76-82CA72E87EB9}" destId="{22812DDA-B82D-4870-A13A-D2F9836B469F}" srcOrd="7" destOrd="0" presId="urn:microsoft.com/office/officeart/2005/8/layout/list1"/>
    <dgm:cxn modelId="{071F1632-FFC0-4415-9D2C-563B8F4344B4}" type="presParOf" srcId="{5E41E175-33C5-41C3-8D76-82CA72E87EB9}" destId="{01D1652C-8833-47BF-992B-943D53C2BF20}" srcOrd="8" destOrd="0" presId="urn:microsoft.com/office/officeart/2005/8/layout/list1"/>
    <dgm:cxn modelId="{81FD73F8-8ABF-4B20-B244-9E4E8620ABFA}" type="presParOf" srcId="{01D1652C-8833-47BF-992B-943D53C2BF20}" destId="{2E05F078-88B1-4322-85ED-8F2A190FB1E5}" srcOrd="0" destOrd="0" presId="urn:microsoft.com/office/officeart/2005/8/layout/list1"/>
    <dgm:cxn modelId="{9014D1B3-AD41-4007-8515-44EB33400CFA}" type="presParOf" srcId="{01D1652C-8833-47BF-992B-943D53C2BF20}" destId="{8954FE29-FDF0-43EE-82A2-607F7B91AC67}" srcOrd="1" destOrd="0" presId="urn:microsoft.com/office/officeart/2005/8/layout/list1"/>
    <dgm:cxn modelId="{2ACE988B-68B9-4AA0-AAA0-006717A89869}" type="presParOf" srcId="{5E41E175-33C5-41C3-8D76-82CA72E87EB9}" destId="{3D54ADE6-0733-4D8F-B30C-60F6001F8C04}" srcOrd="9" destOrd="0" presId="urn:microsoft.com/office/officeart/2005/8/layout/list1"/>
    <dgm:cxn modelId="{CE2CB375-67D8-4349-BDAA-1F15AB2E9528}" type="presParOf" srcId="{5E41E175-33C5-41C3-8D76-82CA72E87EB9}" destId="{5523445E-6BC5-43FF-8197-8896A684103A}" srcOrd="10" destOrd="0" presId="urn:microsoft.com/office/officeart/2005/8/layout/list1"/>
    <dgm:cxn modelId="{D1A12474-B221-4D90-9E07-862EF78E961B}" type="presParOf" srcId="{5E41E175-33C5-41C3-8D76-82CA72E87EB9}" destId="{00FBEF28-D61F-4127-9C0D-0671158E926B}" srcOrd="11" destOrd="0" presId="urn:microsoft.com/office/officeart/2005/8/layout/list1"/>
    <dgm:cxn modelId="{3A72654B-E073-4D5A-ADB8-456709904B11}" type="presParOf" srcId="{5E41E175-33C5-41C3-8D76-82CA72E87EB9}" destId="{9B96F8F2-E755-4CB5-8A37-B413E1D7F6C5}" srcOrd="12" destOrd="0" presId="urn:microsoft.com/office/officeart/2005/8/layout/list1"/>
    <dgm:cxn modelId="{2669D5E7-F2D4-4693-A502-9ACA8148F60A}" type="presParOf" srcId="{9B96F8F2-E755-4CB5-8A37-B413E1D7F6C5}" destId="{7F6AAA72-2BFD-4E17-981B-1992F9F44707}" srcOrd="0" destOrd="0" presId="urn:microsoft.com/office/officeart/2005/8/layout/list1"/>
    <dgm:cxn modelId="{8F060082-4F3C-404F-AAC3-AFAFEBCC4A44}" type="presParOf" srcId="{9B96F8F2-E755-4CB5-8A37-B413E1D7F6C5}" destId="{234F562B-323B-4B7C-8C93-1A60E6B0BF9B}" srcOrd="1" destOrd="0" presId="urn:microsoft.com/office/officeart/2005/8/layout/list1"/>
    <dgm:cxn modelId="{B98C9EBB-4033-48EB-9BDE-F77474D053BC}" type="presParOf" srcId="{5E41E175-33C5-41C3-8D76-82CA72E87EB9}" destId="{1D182750-7D16-4E92-95C1-262FD3558E56}" srcOrd="13" destOrd="0" presId="urn:microsoft.com/office/officeart/2005/8/layout/list1"/>
    <dgm:cxn modelId="{987B7E16-6B96-4637-ACB3-C493A637B808}" type="presParOf" srcId="{5E41E175-33C5-41C3-8D76-82CA72E87EB9}" destId="{3FAA7539-D4D4-4EBD-83B8-106FC6BEA331}" srcOrd="14"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B54A54-097B-48E3-B555-61A1FE7BA3E4}" type="doc">
      <dgm:prSet loTypeId="urn:microsoft.com/office/officeart/2005/8/layout/pyramid2" loCatId="list" qsTypeId="urn:microsoft.com/office/officeart/2005/8/quickstyle/simple1" qsCatId="simple" csTypeId="urn:microsoft.com/office/officeart/2005/8/colors/accent1_2" csCatId="accent1" phldr="1"/>
      <dgm:spPr/>
    </dgm:pt>
    <dgm:pt modelId="{37628504-43D7-4B97-87CE-BD021E36D637}">
      <dgm:prSet phldrT="[Text]"/>
      <dgm:spPr>
        <a:xfrm>
          <a:off x="2503170" y="321758"/>
          <a:ext cx="2080260" cy="757594"/>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Keeping people safe</a:t>
          </a:r>
        </a:p>
      </dgm:t>
    </dgm:pt>
    <dgm:pt modelId="{7A675E94-0229-41CD-BDFC-653B9C144BD5}" type="parTrans" cxnId="{430D8E88-23AC-4878-A24E-5011A2232DE1}">
      <dgm:prSet/>
      <dgm:spPr/>
      <dgm:t>
        <a:bodyPr/>
        <a:lstStyle/>
        <a:p>
          <a:endParaRPr lang="en-US"/>
        </a:p>
      </dgm:t>
    </dgm:pt>
    <dgm:pt modelId="{C47A4EEA-272C-454B-93F8-BD14F866414A}" type="sibTrans" cxnId="{430D8E88-23AC-4878-A24E-5011A2232DE1}">
      <dgm:prSet/>
      <dgm:spPr/>
      <dgm:t>
        <a:bodyPr/>
        <a:lstStyle/>
        <a:p>
          <a:endParaRPr lang="en-US"/>
        </a:p>
      </dgm:t>
    </dgm:pt>
    <dgm:pt modelId="{68F7DA0D-5056-4367-8D59-8177E0D6D233}">
      <dgm:prSet phldrT="[Text]"/>
      <dgm:spPr>
        <a:xfrm>
          <a:off x="2503170" y="1174052"/>
          <a:ext cx="2080260" cy="757594"/>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Reduce harm and offending</a:t>
          </a:r>
        </a:p>
      </dgm:t>
    </dgm:pt>
    <dgm:pt modelId="{01108B5E-85A3-4673-93D2-79ED9F84FBFB}" type="parTrans" cxnId="{04A7FEEC-99CB-41D2-B5F9-AD15B0704287}">
      <dgm:prSet/>
      <dgm:spPr/>
      <dgm:t>
        <a:bodyPr/>
        <a:lstStyle/>
        <a:p>
          <a:endParaRPr lang="en-US"/>
        </a:p>
      </dgm:t>
    </dgm:pt>
    <dgm:pt modelId="{446F082E-5E54-45BA-8D50-CDF1F12A6039}" type="sibTrans" cxnId="{04A7FEEC-99CB-41D2-B5F9-AD15B0704287}">
      <dgm:prSet/>
      <dgm:spPr/>
      <dgm:t>
        <a:bodyPr/>
        <a:lstStyle/>
        <a:p>
          <a:endParaRPr lang="en-US"/>
        </a:p>
      </dgm:t>
    </dgm:pt>
    <dgm:pt modelId="{2083E6E2-DEDC-4062-8711-C64B86D21E91}">
      <dgm:prSet phldrT="[Text]"/>
      <dgm:spPr>
        <a:xfrm>
          <a:off x="2503170" y="2026347"/>
          <a:ext cx="2080260" cy="757594"/>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Strengthening communities and places</a:t>
          </a:r>
        </a:p>
      </dgm:t>
    </dgm:pt>
    <dgm:pt modelId="{BA7994F5-4CC0-4762-8AE1-C1A0667C37BC}" type="parTrans" cxnId="{18CB5FF7-1589-44FF-8AC7-CA5315EFD2EA}">
      <dgm:prSet/>
      <dgm:spPr/>
      <dgm:t>
        <a:bodyPr/>
        <a:lstStyle/>
        <a:p>
          <a:endParaRPr lang="en-US"/>
        </a:p>
      </dgm:t>
    </dgm:pt>
    <dgm:pt modelId="{22C03A50-0AEB-4452-8CDA-0372E47312E9}" type="sibTrans" cxnId="{18CB5FF7-1589-44FF-8AC7-CA5315EFD2EA}">
      <dgm:prSet/>
      <dgm:spPr/>
      <dgm:t>
        <a:bodyPr/>
        <a:lstStyle/>
        <a:p>
          <a:endParaRPr lang="en-US"/>
        </a:p>
      </dgm:t>
    </dgm:pt>
    <dgm:pt modelId="{C46C5A4A-51CB-472B-8DC9-C73C1F3F75C0}" type="pres">
      <dgm:prSet presAssocID="{A0B54A54-097B-48E3-B555-61A1FE7BA3E4}" presName="compositeShape" presStyleCnt="0">
        <dgm:presLayoutVars>
          <dgm:dir/>
          <dgm:resizeHandles/>
        </dgm:presLayoutVars>
      </dgm:prSet>
      <dgm:spPr/>
    </dgm:pt>
    <dgm:pt modelId="{2B372805-9F87-429B-A49A-444AFA41E2AE}" type="pres">
      <dgm:prSet presAssocID="{A0B54A54-097B-48E3-B555-61A1FE7BA3E4}" presName="pyramid" presStyleLbl="node1" presStyleIdx="0" presStyleCnt="1"/>
      <dgm:spPr>
        <a:xfrm>
          <a:off x="902969" y="0"/>
          <a:ext cx="3200400" cy="3200400"/>
        </a:xfrm>
        <a:prstGeom prst="triangl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674174F1-7C54-4567-B764-09FA91BA1F06}" type="pres">
      <dgm:prSet presAssocID="{A0B54A54-097B-48E3-B555-61A1FE7BA3E4}" presName="theList" presStyleCnt="0"/>
      <dgm:spPr/>
    </dgm:pt>
    <dgm:pt modelId="{5F8E97D8-E54F-4DF1-84E0-CBD8AC59088A}" type="pres">
      <dgm:prSet presAssocID="{37628504-43D7-4B97-87CE-BD021E36D637}" presName="aNode" presStyleLbl="fgAcc1" presStyleIdx="0" presStyleCnt="3">
        <dgm:presLayoutVars>
          <dgm:bulletEnabled val="1"/>
        </dgm:presLayoutVars>
      </dgm:prSet>
      <dgm:spPr>
        <a:prstGeom prst="roundRect">
          <a:avLst/>
        </a:prstGeom>
      </dgm:spPr>
      <dgm:t>
        <a:bodyPr/>
        <a:lstStyle/>
        <a:p>
          <a:endParaRPr lang="en-US"/>
        </a:p>
      </dgm:t>
    </dgm:pt>
    <dgm:pt modelId="{0C36CCA6-DDB2-48BA-8161-30E91A156975}" type="pres">
      <dgm:prSet presAssocID="{37628504-43D7-4B97-87CE-BD021E36D637}" presName="aSpace" presStyleCnt="0"/>
      <dgm:spPr/>
    </dgm:pt>
    <dgm:pt modelId="{130C629B-4E52-4E5A-8D7C-BD9471922298}" type="pres">
      <dgm:prSet presAssocID="{68F7DA0D-5056-4367-8D59-8177E0D6D233}" presName="aNode" presStyleLbl="fgAcc1" presStyleIdx="1" presStyleCnt="3">
        <dgm:presLayoutVars>
          <dgm:bulletEnabled val="1"/>
        </dgm:presLayoutVars>
      </dgm:prSet>
      <dgm:spPr>
        <a:prstGeom prst="roundRect">
          <a:avLst/>
        </a:prstGeom>
      </dgm:spPr>
      <dgm:t>
        <a:bodyPr/>
        <a:lstStyle/>
        <a:p>
          <a:endParaRPr lang="en-US"/>
        </a:p>
      </dgm:t>
    </dgm:pt>
    <dgm:pt modelId="{DBB3F0CF-87BD-47FA-B388-73B0A42F41E6}" type="pres">
      <dgm:prSet presAssocID="{68F7DA0D-5056-4367-8D59-8177E0D6D233}" presName="aSpace" presStyleCnt="0"/>
      <dgm:spPr/>
    </dgm:pt>
    <dgm:pt modelId="{8DAC841D-8382-43B1-A401-E3FCF8D72AB6}" type="pres">
      <dgm:prSet presAssocID="{2083E6E2-DEDC-4062-8711-C64B86D21E91}" presName="aNode" presStyleLbl="fgAcc1" presStyleIdx="2" presStyleCnt="3">
        <dgm:presLayoutVars>
          <dgm:bulletEnabled val="1"/>
        </dgm:presLayoutVars>
      </dgm:prSet>
      <dgm:spPr>
        <a:prstGeom prst="roundRect">
          <a:avLst/>
        </a:prstGeom>
      </dgm:spPr>
      <dgm:t>
        <a:bodyPr/>
        <a:lstStyle/>
        <a:p>
          <a:endParaRPr lang="en-US"/>
        </a:p>
      </dgm:t>
    </dgm:pt>
    <dgm:pt modelId="{6D663544-73A6-4189-879F-9AB507440466}" type="pres">
      <dgm:prSet presAssocID="{2083E6E2-DEDC-4062-8711-C64B86D21E91}" presName="aSpace" presStyleCnt="0"/>
      <dgm:spPr/>
    </dgm:pt>
  </dgm:ptLst>
  <dgm:cxnLst>
    <dgm:cxn modelId="{2060CB75-0B00-4508-A12A-E4FC1AF8AB93}" type="presOf" srcId="{A0B54A54-097B-48E3-B555-61A1FE7BA3E4}" destId="{C46C5A4A-51CB-472B-8DC9-C73C1F3F75C0}" srcOrd="0" destOrd="0" presId="urn:microsoft.com/office/officeart/2005/8/layout/pyramid2"/>
    <dgm:cxn modelId="{430D8E88-23AC-4878-A24E-5011A2232DE1}" srcId="{A0B54A54-097B-48E3-B555-61A1FE7BA3E4}" destId="{37628504-43D7-4B97-87CE-BD021E36D637}" srcOrd="0" destOrd="0" parTransId="{7A675E94-0229-41CD-BDFC-653B9C144BD5}" sibTransId="{C47A4EEA-272C-454B-93F8-BD14F866414A}"/>
    <dgm:cxn modelId="{DB400611-B5A0-4938-873E-3A08A1DAE67E}" type="presOf" srcId="{37628504-43D7-4B97-87CE-BD021E36D637}" destId="{5F8E97D8-E54F-4DF1-84E0-CBD8AC59088A}" srcOrd="0" destOrd="0" presId="urn:microsoft.com/office/officeart/2005/8/layout/pyramid2"/>
    <dgm:cxn modelId="{04A7FEEC-99CB-41D2-B5F9-AD15B0704287}" srcId="{A0B54A54-097B-48E3-B555-61A1FE7BA3E4}" destId="{68F7DA0D-5056-4367-8D59-8177E0D6D233}" srcOrd="1" destOrd="0" parTransId="{01108B5E-85A3-4673-93D2-79ED9F84FBFB}" sibTransId="{446F082E-5E54-45BA-8D50-CDF1F12A6039}"/>
    <dgm:cxn modelId="{5B6A10E4-B1D8-4A21-98D3-2DC55AAC69DC}" type="presOf" srcId="{2083E6E2-DEDC-4062-8711-C64B86D21E91}" destId="{8DAC841D-8382-43B1-A401-E3FCF8D72AB6}" srcOrd="0" destOrd="0" presId="urn:microsoft.com/office/officeart/2005/8/layout/pyramid2"/>
    <dgm:cxn modelId="{18CB5FF7-1589-44FF-8AC7-CA5315EFD2EA}" srcId="{A0B54A54-097B-48E3-B555-61A1FE7BA3E4}" destId="{2083E6E2-DEDC-4062-8711-C64B86D21E91}" srcOrd="2" destOrd="0" parTransId="{BA7994F5-4CC0-4762-8AE1-C1A0667C37BC}" sibTransId="{22C03A50-0AEB-4452-8CDA-0372E47312E9}"/>
    <dgm:cxn modelId="{C7928498-E3AE-41A4-8850-D3747EB43D92}" type="presOf" srcId="{68F7DA0D-5056-4367-8D59-8177E0D6D233}" destId="{130C629B-4E52-4E5A-8D7C-BD9471922298}" srcOrd="0" destOrd="0" presId="urn:microsoft.com/office/officeart/2005/8/layout/pyramid2"/>
    <dgm:cxn modelId="{36F76C42-B1E0-41B9-83DE-D578F1C44918}" type="presParOf" srcId="{C46C5A4A-51CB-472B-8DC9-C73C1F3F75C0}" destId="{2B372805-9F87-429B-A49A-444AFA41E2AE}" srcOrd="0" destOrd="0" presId="urn:microsoft.com/office/officeart/2005/8/layout/pyramid2"/>
    <dgm:cxn modelId="{AC73CC8D-B0BD-4AC9-AE69-F5A2D2A7110E}" type="presParOf" srcId="{C46C5A4A-51CB-472B-8DC9-C73C1F3F75C0}" destId="{674174F1-7C54-4567-B764-09FA91BA1F06}" srcOrd="1" destOrd="0" presId="urn:microsoft.com/office/officeart/2005/8/layout/pyramid2"/>
    <dgm:cxn modelId="{DE94EF3E-93D2-47C4-8D95-8C24BEC75B1A}" type="presParOf" srcId="{674174F1-7C54-4567-B764-09FA91BA1F06}" destId="{5F8E97D8-E54F-4DF1-84E0-CBD8AC59088A}" srcOrd="0" destOrd="0" presId="urn:microsoft.com/office/officeart/2005/8/layout/pyramid2"/>
    <dgm:cxn modelId="{0643AA8F-3D44-4287-BB95-961C78ADE942}" type="presParOf" srcId="{674174F1-7C54-4567-B764-09FA91BA1F06}" destId="{0C36CCA6-DDB2-48BA-8161-30E91A156975}" srcOrd="1" destOrd="0" presId="urn:microsoft.com/office/officeart/2005/8/layout/pyramid2"/>
    <dgm:cxn modelId="{780E0E25-3087-43C4-838D-B3571278C45A}" type="presParOf" srcId="{674174F1-7C54-4567-B764-09FA91BA1F06}" destId="{130C629B-4E52-4E5A-8D7C-BD9471922298}" srcOrd="2" destOrd="0" presId="urn:microsoft.com/office/officeart/2005/8/layout/pyramid2"/>
    <dgm:cxn modelId="{F01F89A0-89E9-4171-9581-E53543A76907}" type="presParOf" srcId="{674174F1-7C54-4567-B764-09FA91BA1F06}" destId="{DBB3F0CF-87BD-47FA-B388-73B0A42F41E6}" srcOrd="3" destOrd="0" presId="urn:microsoft.com/office/officeart/2005/8/layout/pyramid2"/>
    <dgm:cxn modelId="{92143420-7BAE-484F-9824-9744DDD55D56}" type="presParOf" srcId="{674174F1-7C54-4567-B764-09FA91BA1F06}" destId="{8DAC841D-8382-43B1-A401-E3FCF8D72AB6}" srcOrd="4" destOrd="0" presId="urn:microsoft.com/office/officeart/2005/8/layout/pyramid2"/>
    <dgm:cxn modelId="{CF9D9226-27A6-4D6C-92C4-49D894366582}" type="presParOf" srcId="{674174F1-7C54-4567-B764-09FA91BA1F06}" destId="{6D663544-73A6-4189-879F-9AB507440466}" srcOrd="5" destOrd="0" presId="urn:microsoft.com/office/officeart/2005/8/layout/pyramid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D6A691-7342-42B1-86A9-E04CA64285F9}">
      <dsp:nvSpPr>
        <dsp:cNvPr id="0" name=""/>
        <dsp:cNvSpPr/>
      </dsp:nvSpPr>
      <dsp:spPr>
        <a:xfrm>
          <a:off x="0" y="256371"/>
          <a:ext cx="5486400" cy="378000"/>
        </a:xfrm>
        <a:prstGeom prst="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167E2745-4033-42BF-9E76-34BD0CBF865E}">
      <dsp:nvSpPr>
        <dsp:cNvPr id="0" name=""/>
        <dsp:cNvSpPr/>
      </dsp:nvSpPr>
      <dsp:spPr>
        <a:xfrm>
          <a:off x="274320" y="34971"/>
          <a:ext cx="3851348" cy="4428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Programme 1 - Transforming Public Contact</a:t>
          </a:r>
        </a:p>
      </dsp:txBody>
      <dsp:txXfrm>
        <a:off x="295936" y="56587"/>
        <a:ext cx="3808116" cy="399568"/>
      </dsp:txXfrm>
    </dsp:sp>
    <dsp:sp modelId="{5F9D4374-2E72-4DC5-8F25-B9F29DA96B84}">
      <dsp:nvSpPr>
        <dsp:cNvPr id="0" name=""/>
        <dsp:cNvSpPr/>
      </dsp:nvSpPr>
      <dsp:spPr>
        <a:xfrm>
          <a:off x="0" y="936771"/>
          <a:ext cx="5486400" cy="378000"/>
        </a:xfrm>
        <a:prstGeom prst="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5D9B3EB-494E-4EA3-9BCF-5829DA7312A4}">
      <dsp:nvSpPr>
        <dsp:cNvPr id="0" name=""/>
        <dsp:cNvSpPr/>
      </dsp:nvSpPr>
      <dsp:spPr>
        <a:xfrm>
          <a:off x="274320" y="715371"/>
          <a:ext cx="3840480" cy="4428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Progamme 2 - Improving Operational Policing</a:t>
          </a:r>
        </a:p>
      </dsp:txBody>
      <dsp:txXfrm>
        <a:off x="295936" y="736987"/>
        <a:ext cx="3797248" cy="399568"/>
      </dsp:txXfrm>
    </dsp:sp>
    <dsp:sp modelId="{5523445E-6BC5-43FF-8197-8896A684103A}">
      <dsp:nvSpPr>
        <dsp:cNvPr id="0" name=""/>
        <dsp:cNvSpPr/>
      </dsp:nvSpPr>
      <dsp:spPr>
        <a:xfrm>
          <a:off x="0" y="1617171"/>
          <a:ext cx="5486400" cy="378000"/>
        </a:xfrm>
        <a:prstGeom prst="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954FE29-FDF0-43EE-82A2-607F7B91AC67}">
      <dsp:nvSpPr>
        <dsp:cNvPr id="0" name=""/>
        <dsp:cNvSpPr/>
      </dsp:nvSpPr>
      <dsp:spPr>
        <a:xfrm>
          <a:off x="274320" y="1379441"/>
          <a:ext cx="3840480" cy="4428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Programme 3 - Building Better Outcomes</a:t>
          </a:r>
        </a:p>
      </dsp:txBody>
      <dsp:txXfrm>
        <a:off x="295936" y="1401057"/>
        <a:ext cx="3797248" cy="399568"/>
      </dsp:txXfrm>
    </dsp:sp>
    <dsp:sp modelId="{3FAA7539-D4D4-4EBD-83B8-106FC6BEA331}">
      <dsp:nvSpPr>
        <dsp:cNvPr id="0" name=""/>
        <dsp:cNvSpPr/>
      </dsp:nvSpPr>
      <dsp:spPr>
        <a:xfrm>
          <a:off x="0" y="2297571"/>
          <a:ext cx="5486400" cy="378000"/>
        </a:xfrm>
        <a:prstGeom prst="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34F562B-323B-4B7C-8C93-1A60E6B0BF9B}">
      <dsp:nvSpPr>
        <dsp:cNvPr id="0" name=""/>
        <dsp:cNvSpPr/>
      </dsp:nvSpPr>
      <dsp:spPr>
        <a:xfrm>
          <a:off x="274320" y="2076171"/>
          <a:ext cx="3840480" cy="4428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Programme 4 - Building a Better Organisation</a:t>
          </a:r>
        </a:p>
      </dsp:txBody>
      <dsp:txXfrm>
        <a:off x="295936" y="2097787"/>
        <a:ext cx="3797248" cy="3995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72805-9F87-429B-A49A-444AFA41E2AE}">
      <dsp:nvSpPr>
        <dsp:cNvPr id="0" name=""/>
        <dsp:cNvSpPr/>
      </dsp:nvSpPr>
      <dsp:spPr>
        <a:xfrm>
          <a:off x="902969" y="0"/>
          <a:ext cx="3200400" cy="3200400"/>
        </a:xfrm>
        <a:prstGeom prst="triangl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8E97D8-E54F-4DF1-84E0-CBD8AC59088A}">
      <dsp:nvSpPr>
        <dsp:cNvPr id="0" name=""/>
        <dsp:cNvSpPr/>
      </dsp:nvSpPr>
      <dsp:spPr>
        <a:xfrm>
          <a:off x="2503170" y="321758"/>
          <a:ext cx="2080260" cy="757594"/>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hueOff val="0"/>
                  <a:satOff val="0"/>
                  <a:lumOff val="0"/>
                  <a:alphaOff val="0"/>
                </a:sysClr>
              </a:solidFill>
              <a:latin typeface="Calibri" panose="020F0502020204030204"/>
              <a:ea typeface="+mn-ea"/>
              <a:cs typeface="+mn-cs"/>
            </a:rPr>
            <a:t>Keeping people safe</a:t>
          </a:r>
        </a:p>
      </dsp:txBody>
      <dsp:txXfrm>
        <a:off x="2540153" y="358741"/>
        <a:ext cx="2006294" cy="683628"/>
      </dsp:txXfrm>
    </dsp:sp>
    <dsp:sp modelId="{130C629B-4E52-4E5A-8D7C-BD9471922298}">
      <dsp:nvSpPr>
        <dsp:cNvPr id="0" name=""/>
        <dsp:cNvSpPr/>
      </dsp:nvSpPr>
      <dsp:spPr>
        <a:xfrm>
          <a:off x="2503170" y="1174052"/>
          <a:ext cx="2080260" cy="757594"/>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hueOff val="0"/>
                  <a:satOff val="0"/>
                  <a:lumOff val="0"/>
                  <a:alphaOff val="0"/>
                </a:sysClr>
              </a:solidFill>
              <a:latin typeface="Calibri" panose="020F0502020204030204"/>
              <a:ea typeface="+mn-ea"/>
              <a:cs typeface="+mn-cs"/>
            </a:rPr>
            <a:t>Reduce harm and offending</a:t>
          </a:r>
        </a:p>
      </dsp:txBody>
      <dsp:txXfrm>
        <a:off x="2540153" y="1211035"/>
        <a:ext cx="2006294" cy="683628"/>
      </dsp:txXfrm>
    </dsp:sp>
    <dsp:sp modelId="{8DAC841D-8382-43B1-A401-E3FCF8D72AB6}">
      <dsp:nvSpPr>
        <dsp:cNvPr id="0" name=""/>
        <dsp:cNvSpPr/>
      </dsp:nvSpPr>
      <dsp:spPr>
        <a:xfrm>
          <a:off x="2503170" y="2026347"/>
          <a:ext cx="2080260" cy="757594"/>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hueOff val="0"/>
                  <a:satOff val="0"/>
                  <a:lumOff val="0"/>
                  <a:alphaOff val="0"/>
                </a:sysClr>
              </a:solidFill>
              <a:latin typeface="Calibri" panose="020F0502020204030204"/>
              <a:ea typeface="+mn-ea"/>
              <a:cs typeface="+mn-cs"/>
            </a:rPr>
            <a:t>Strengthening communities and places</a:t>
          </a:r>
        </a:p>
      </dsp:txBody>
      <dsp:txXfrm>
        <a:off x="2540153" y="2063330"/>
        <a:ext cx="2006294" cy="68362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4F37C-4098-4C2F-A314-E5C71463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5162</Words>
  <Characters>29425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34518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Jayne</dc:creator>
  <cp:keywords/>
  <dc:description/>
  <cp:lastModifiedBy>Stephenson, Jayne</cp:lastModifiedBy>
  <cp:revision>2</cp:revision>
  <dcterms:created xsi:type="dcterms:W3CDTF">2018-04-12T13:40:00Z</dcterms:created>
  <dcterms:modified xsi:type="dcterms:W3CDTF">2018-04-12T13:40:00Z</dcterms:modified>
</cp:coreProperties>
</file>