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4454" w:rsidRDefault="00134454" w:rsidP="006F0A57">
      <w:pPr>
        <w:tabs>
          <w:tab w:val="left" w:pos="3523"/>
        </w:tabs>
      </w:pPr>
      <w:r>
        <w:br w:type="textWrapping" w:clear="all"/>
      </w:r>
    </w:p>
    <w:p w:rsidR="00134454" w:rsidRDefault="00134454" w:rsidP="00134454">
      <w:pPr>
        <w:tabs>
          <w:tab w:val="left" w:pos="3523"/>
        </w:tabs>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6F0A57" w:rsidTr="006F0A57">
        <w:tc>
          <w:tcPr>
            <w:tcW w:w="3005" w:type="dxa"/>
          </w:tcPr>
          <w:p w:rsidR="006F0A57" w:rsidRDefault="006F0A57" w:rsidP="006F0A57">
            <w:pPr>
              <w:tabs>
                <w:tab w:val="left" w:pos="3523"/>
              </w:tabs>
              <w:jc w:val="center"/>
            </w:pPr>
            <w:r>
              <w:rPr>
                <w:noProof/>
                <w:lang w:val="en-US"/>
              </w:rPr>
              <w:drawing>
                <wp:inline distT="0" distB="0" distL="0" distR="0" wp14:anchorId="7E279E11">
                  <wp:extent cx="1164590" cy="74358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64590" cy="743585"/>
                          </a:xfrm>
                          <a:prstGeom prst="rect">
                            <a:avLst/>
                          </a:prstGeom>
                          <a:noFill/>
                        </pic:spPr>
                      </pic:pic>
                    </a:graphicData>
                  </a:graphic>
                </wp:inline>
              </w:drawing>
            </w:r>
          </w:p>
        </w:tc>
        <w:tc>
          <w:tcPr>
            <w:tcW w:w="3005" w:type="dxa"/>
          </w:tcPr>
          <w:p w:rsidR="006F0A57" w:rsidRDefault="006F0A57" w:rsidP="00134454">
            <w:pPr>
              <w:tabs>
                <w:tab w:val="left" w:pos="3523"/>
              </w:tabs>
            </w:pPr>
          </w:p>
        </w:tc>
        <w:tc>
          <w:tcPr>
            <w:tcW w:w="3006" w:type="dxa"/>
          </w:tcPr>
          <w:p w:rsidR="006F0A57" w:rsidRDefault="006F0A57" w:rsidP="00134454">
            <w:pPr>
              <w:tabs>
                <w:tab w:val="left" w:pos="3523"/>
              </w:tabs>
            </w:pPr>
            <w:r>
              <w:rPr>
                <w:noProof/>
                <w:lang w:val="en-US"/>
              </w:rPr>
              <w:drawing>
                <wp:inline distT="0" distB="0" distL="0" distR="0" wp14:anchorId="4104F7BC">
                  <wp:extent cx="1591310" cy="871855"/>
                  <wp:effectExtent l="0" t="0" r="8890"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91310" cy="871855"/>
                          </a:xfrm>
                          <a:prstGeom prst="rect">
                            <a:avLst/>
                          </a:prstGeom>
                          <a:noFill/>
                        </pic:spPr>
                      </pic:pic>
                    </a:graphicData>
                  </a:graphic>
                </wp:inline>
              </w:drawing>
            </w:r>
          </w:p>
        </w:tc>
      </w:tr>
      <w:tr w:rsidR="006F0A57" w:rsidTr="006F0A57">
        <w:tc>
          <w:tcPr>
            <w:tcW w:w="3005" w:type="dxa"/>
          </w:tcPr>
          <w:p w:rsidR="006F0A57" w:rsidRDefault="006F0A57" w:rsidP="00134454">
            <w:pPr>
              <w:tabs>
                <w:tab w:val="left" w:pos="3523"/>
              </w:tabs>
            </w:pPr>
          </w:p>
        </w:tc>
        <w:tc>
          <w:tcPr>
            <w:tcW w:w="3005" w:type="dxa"/>
          </w:tcPr>
          <w:p w:rsidR="006F0A57" w:rsidRDefault="006F0A57" w:rsidP="00134454">
            <w:pPr>
              <w:tabs>
                <w:tab w:val="left" w:pos="3523"/>
              </w:tabs>
            </w:pPr>
          </w:p>
          <w:p w:rsidR="006F0A57" w:rsidRDefault="006F0A57" w:rsidP="00134454">
            <w:pPr>
              <w:tabs>
                <w:tab w:val="left" w:pos="3523"/>
              </w:tabs>
            </w:pPr>
          </w:p>
          <w:p w:rsidR="006F0A57" w:rsidRDefault="006F0A57" w:rsidP="00134454">
            <w:pPr>
              <w:tabs>
                <w:tab w:val="left" w:pos="3523"/>
              </w:tabs>
            </w:pPr>
          </w:p>
          <w:p w:rsidR="006F0A57" w:rsidRDefault="006F0A57" w:rsidP="00134454">
            <w:pPr>
              <w:tabs>
                <w:tab w:val="left" w:pos="3523"/>
              </w:tabs>
            </w:pPr>
          </w:p>
          <w:p w:rsidR="006F0A57" w:rsidRDefault="006F0A57" w:rsidP="00134454">
            <w:pPr>
              <w:tabs>
                <w:tab w:val="left" w:pos="3523"/>
              </w:tabs>
            </w:pPr>
          </w:p>
          <w:p w:rsidR="006F0A57" w:rsidRDefault="006F0A57" w:rsidP="00134454">
            <w:pPr>
              <w:tabs>
                <w:tab w:val="left" w:pos="3523"/>
              </w:tabs>
            </w:pPr>
          </w:p>
          <w:p w:rsidR="006F0A57" w:rsidRDefault="006F0A57" w:rsidP="00134454">
            <w:pPr>
              <w:tabs>
                <w:tab w:val="left" w:pos="3523"/>
              </w:tabs>
            </w:pPr>
          </w:p>
        </w:tc>
        <w:tc>
          <w:tcPr>
            <w:tcW w:w="3006" w:type="dxa"/>
          </w:tcPr>
          <w:p w:rsidR="006F0A57" w:rsidRDefault="006F0A57" w:rsidP="00134454">
            <w:pPr>
              <w:tabs>
                <w:tab w:val="left" w:pos="3523"/>
              </w:tabs>
            </w:pPr>
          </w:p>
        </w:tc>
      </w:tr>
      <w:tr w:rsidR="006F0A57" w:rsidTr="0056633A">
        <w:tc>
          <w:tcPr>
            <w:tcW w:w="9016" w:type="dxa"/>
            <w:gridSpan w:val="3"/>
          </w:tcPr>
          <w:p w:rsidR="006F0A57" w:rsidRPr="006F0A57" w:rsidRDefault="006F0A57" w:rsidP="006F0A57">
            <w:pPr>
              <w:tabs>
                <w:tab w:val="left" w:pos="3523"/>
              </w:tabs>
              <w:jc w:val="center"/>
              <w:rPr>
                <w:b/>
              </w:rPr>
            </w:pPr>
            <w:r w:rsidRPr="006F0A57">
              <w:rPr>
                <w:b/>
              </w:rPr>
              <w:t>GREATER MANCHESTER</w:t>
            </w:r>
          </w:p>
          <w:p w:rsidR="006F0A57" w:rsidRPr="006F0A57" w:rsidRDefault="006F0A57" w:rsidP="006F0A57">
            <w:pPr>
              <w:tabs>
                <w:tab w:val="left" w:pos="3523"/>
              </w:tabs>
              <w:jc w:val="center"/>
              <w:rPr>
                <w:b/>
              </w:rPr>
            </w:pPr>
          </w:p>
          <w:p w:rsidR="006F0A57" w:rsidRPr="006F0A57" w:rsidRDefault="006F0A57" w:rsidP="006F0A57">
            <w:pPr>
              <w:tabs>
                <w:tab w:val="left" w:pos="3523"/>
              </w:tabs>
              <w:jc w:val="center"/>
              <w:rPr>
                <w:b/>
              </w:rPr>
            </w:pPr>
            <w:r w:rsidRPr="006F0A57">
              <w:rPr>
                <w:b/>
              </w:rPr>
              <w:t>POLICE FUND RESERVE STRATEGY</w:t>
            </w:r>
          </w:p>
          <w:p w:rsidR="006F0A57" w:rsidRPr="006F0A57" w:rsidRDefault="006F0A57" w:rsidP="006F0A57">
            <w:pPr>
              <w:tabs>
                <w:tab w:val="left" w:pos="3523"/>
              </w:tabs>
              <w:jc w:val="center"/>
              <w:rPr>
                <w:b/>
              </w:rPr>
            </w:pPr>
          </w:p>
          <w:p w:rsidR="006F0A57" w:rsidRPr="006F0A57" w:rsidRDefault="006F0A57" w:rsidP="006F0A57">
            <w:pPr>
              <w:tabs>
                <w:tab w:val="left" w:pos="3523"/>
              </w:tabs>
              <w:jc w:val="center"/>
              <w:rPr>
                <w:b/>
              </w:rPr>
            </w:pPr>
            <w:r w:rsidRPr="006F0A57">
              <w:rPr>
                <w:b/>
              </w:rPr>
              <w:t>2018/19 – 2020/21</w:t>
            </w:r>
          </w:p>
          <w:p w:rsidR="006F0A57" w:rsidRDefault="006F0A57" w:rsidP="006F0A57">
            <w:pPr>
              <w:tabs>
                <w:tab w:val="left" w:pos="3523"/>
              </w:tabs>
              <w:jc w:val="center"/>
            </w:pPr>
          </w:p>
        </w:tc>
      </w:tr>
    </w:tbl>
    <w:p w:rsidR="00134454" w:rsidRDefault="00134454" w:rsidP="00134454">
      <w:pPr>
        <w:tabs>
          <w:tab w:val="left" w:pos="3523"/>
        </w:tabs>
      </w:pPr>
    </w:p>
    <w:p w:rsidR="00134454" w:rsidRDefault="00134454" w:rsidP="00134454">
      <w:pPr>
        <w:tabs>
          <w:tab w:val="left" w:pos="3523"/>
        </w:tabs>
      </w:pPr>
    </w:p>
    <w:p w:rsidR="00134454" w:rsidRDefault="00134454" w:rsidP="00134454">
      <w:pPr>
        <w:tabs>
          <w:tab w:val="left" w:pos="3523"/>
        </w:tabs>
      </w:pPr>
    </w:p>
    <w:p w:rsidR="00134454" w:rsidRDefault="00134454" w:rsidP="00134454">
      <w:pPr>
        <w:tabs>
          <w:tab w:val="left" w:pos="3523"/>
        </w:tabs>
      </w:pPr>
    </w:p>
    <w:p w:rsidR="00134454" w:rsidRDefault="00134454" w:rsidP="00134454">
      <w:pPr>
        <w:tabs>
          <w:tab w:val="left" w:pos="3523"/>
        </w:tabs>
      </w:pPr>
    </w:p>
    <w:p w:rsidR="00134454" w:rsidRDefault="00134454" w:rsidP="00826406">
      <w:pPr>
        <w:jc w:val="center"/>
        <w:rPr>
          <w:b/>
          <w:u w:val="single"/>
        </w:rPr>
      </w:pPr>
      <w:r w:rsidRPr="00826406">
        <w:rPr>
          <w:b/>
          <w:sz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645"/>
        <w:gridCol w:w="7667"/>
      </w:tblGrid>
      <w:tr w:rsidR="00D539CD" w:rsidTr="0097492F">
        <w:tc>
          <w:tcPr>
            <w:tcW w:w="9016" w:type="dxa"/>
            <w:gridSpan w:val="3"/>
          </w:tcPr>
          <w:p w:rsidR="00D539CD" w:rsidRDefault="00D539CD" w:rsidP="00D539CD">
            <w:pPr>
              <w:jc w:val="center"/>
              <w:rPr>
                <w:rFonts w:cs="Arial"/>
                <w:b/>
                <w:sz w:val="22"/>
                <w:szCs w:val="22"/>
                <w:u w:val="single"/>
              </w:rPr>
            </w:pPr>
            <w:r w:rsidRPr="00D539CD">
              <w:rPr>
                <w:rFonts w:cs="Arial"/>
                <w:b/>
                <w:sz w:val="22"/>
                <w:szCs w:val="22"/>
                <w:u w:val="single"/>
              </w:rPr>
              <w:t>POLICE FUND RESERVES STRATEGY 2018/19 TO 2020/21</w:t>
            </w:r>
          </w:p>
        </w:tc>
      </w:tr>
      <w:tr w:rsidR="00D539CD" w:rsidTr="0097492F">
        <w:tc>
          <w:tcPr>
            <w:tcW w:w="9016" w:type="dxa"/>
            <w:gridSpan w:val="3"/>
          </w:tcPr>
          <w:p w:rsidR="00D539CD" w:rsidRPr="00D539CD" w:rsidRDefault="00D539CD" w:rsidP="00D539CD">
            <w:pPr>
              <w:jc w:val="center"/>
              <w:rPr>
                <w:rFonts w:cs="Arial"/>
                <w:b/>
                <w:sz w:val="22"/>
                <w:szCs w:val="22"/>
                <w:u w:val="single"/>
              </w:rPr>
            </w:pPr>
          </w:p>
        </w:tc>
      </w:tr>
      <w:tr w:rsidR="00D539CD" w:rsidTr="0097492F">
        <w:tc>
          <w:tcPr>
            <w:tcW w:w="704" w:type="dxa"/>
          </w:tcPr>
          <w:p w:rsidR="00D539CD" w:rsidRPr="00D539CD" w:rsidRDefault="00D539CD">
            <w:pPr>
              <w:rPr>
                <w:rFonts w:cs="Arial"/>
                <w:b/>
                <w:sz w:val="22"/>
                <w:szCs w:val="22"/>
              </w:rPr>
            </w:pPr>
            <w:r w:rsidRPr="00D539CD">
              <w:rPr>
                <w:rFonts w:cs="Arial"/>
                <w:b/>
                <w:sz w:val="22"/>
                <w:szCs w:val="22"/>
              </w:rPr>
              <w:t>1.</w:t>
            </w:r>
          </w:p>
        </w:tc>
        <w:tc>
          <w:tcPr>
            <w:tcW w:w="8312" w:type="dxa"/>
            <w:gridSpan w:val="2"/>
          </w:tcPr>
          <w:p w:rsidR="00D539CD" w:rsidRPr="00D539CD" w:rsidRDefault="00D539CD">
            <w:pPr>
              <w:rPr>
                <w:rFonts w:cs="Arial"/>
                <w:b/>
                <w:sz w:val="22"/>
                <w:szCs w:val="22"/>
              </w:rPr>
            </w:pPr>
            <w:r w:rsidRPr="00D539CD">
              <w:rPr>
                <w:rFonts w:cs="Arial"/>
                <w:b/>
                <w:sz w:val="22"/>
                <w:szCs w:val="22"/>
              </w:rPr>
              <w:t>The role of reserves in managing financial strategies</w:t>
            </w:r>
          </w:p>
        </w:tc>
      </w:tr>
      <w:tr w:rsidR="00D539CD" w:rsidTr="0097492F">
        <w:tc>
          <w:tcPr>
            <w:tcW w:w="704" w:type="dxa"/>
          </w:tcPr>
          <w:p w:rsidR="00D539CD" w:rsidRPr="00D539CD" w:rsidRDefault="00D539CD">
            <w:pPr>
              <w:rPr>
                <w:rFonts w:cs="Arial"/>
                <w:b/>
                <w:sz w:val="22"/>
                <w:szCs w:val="22"/>
              </w:rPr>
            </w:pPr>
          </w:p>
        </w:tc>
        <w:tc>
          <w:tcPr>
            <w:tcW w:w="645" w:type="dxa"/>
          </w:tcPr>
          <w:p w:rsidR="00D539CD" w:rsidRDefault="00D539CD">
            <w:pPr>
              <w:rPr>
                <w:rFonts w:cs="Arial"/>
                <w:b/>
                <w:sz w:val="22"/>
                <w:szCs w:val="22"/>
                <w:u w:val="single"/>
              </w:rPr>
            </w:pPr>
          </w:p>
        </w:tc>
        <w:tc>
          <w:tcPr>
            <w:tcW w:w="7667" w:type="dxa"/>
          </w:tcPr>
          <w:p w:rsidR="00D539CD" w:rsidRDefault="00D539CD">
            <w:pPr>
              <w:rPr>
                <w:rFonts w:cs="Arial"/>
                <w:b/>
                <w:sz w:val="22"/>
                <w:szCs w:val="22"/>
                <w:u w:val="single"/>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sidRPr="00D539CD">
              <w:rPr>
                <w:rFonts w:cs="Arial"/>
                <w:b/>
                <w:sz w:val="22"/>
                <w:szCs w:val="22"/>
              </w:rPr>
              <w:t>1.1</w:t>
            </w:r>
          </w:p>
        </w:tc>
        <w:tc>
          <w:tcPr>
            <w:tcW w:w="7667" w:type="dxa"/>
          </w:tcPr>
          <w:p w:rsidR="00D539CD" w:rsidRPr="00D539CD" w:rsidRDefault="00D539CD" w:rsidP="00F23ABA">
            <w:pPr>
              <w:jc w:val="both"/>
              <w:rPr>
                <w:rFonts w:cs="Arial"/>
                <w:sz w:val="22"/>
                <w:szCs w:val="22"/>
              </w:rPr>
            </w:pPr>
            <w:r w:rsidRPr="00D539CD">
              <w:rPr>
                <w:rFonts w:cs="Arial"/>
                <w:sz w:val="22"/>
                <w:szCs w:val="22"/>
              </w:rPr>
              <w:t>Reserves are a vital tool in local financial management and are one of the mechanisms for managing that risk.</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sidRPr="00D539CD">
              <w:rPr>
                <w:rFonts w:cs="Arial"/>
                <w:b/>
                <w:sz w:val="22"/>
                <w:szCs w:val="22"/>
              </w:rPr>
              <w:t>1.2</w:t>
            </w:r>
          </w:p>
        </w:tc>
        <w:tc>
          <w:tcPr>
            <w:tcW w:w="7667" w:type="dxa"/>
          </w:tcPr>
          <w:p w:rsidR="00D539CD" w:rsidRPr="00D539CD" w:rsidRDefault="00D539CD" w:rsidP="00F23ABA">
            <w:pPr>
              <w:jc w:val="both"/>
              <w:rPr>
                <w:rFonts w:cs="Arial"/>
                <w:sz w:val="22"/>
                <w:szCs w:val="22"/>
              </w:rPr>
            </w:pPr>
            <w:r w:rsidRPr="00D539CD">
              <w:rPr>
                <w:rFonts w:cs="Arial"/>
                <w:sz w:val="22"/>
                <w:szCs w:val="22"/>
              </w:rPr>
              <w:t>The main purposes for which reserves are held include:</w:t>
            </w:r>
          </w:p>
          <w:p w:rsidR="00D539CD" w:rsidRPr="00D539CD" w:rsidRDefault="00D539CD" w:rsidP="00F23ABA">
            <w:pPr>
              <w:jc w:val="both"/>
              <w:rPr>
                <w:rFonts w:cs="Arial"/>
                <w:sz w:val="22"/>
                <w:szCs w:val="22"/>
              </w:rPr>
            </w:pPr>
          </w:p>
          <w:p w:rsidR="00D539CD" w:rsidRPr="00D539CD" w:rsidRDefault="00D539CD" w:rsidP="00F23ABA">
            <w:pPr>
              <w:numPr>
                <w:ilvl w:val="0"/>
                <w:numId w:val="7"/>
              </w:numPr>
              <w:jc w:val="both"/>
              <w:rPr>
                <w:rFonts w:cs="Arial"/>
                <w:sz w:val="22"/>
                <w:szCs w:val="22"/>
              </w:rPr>
            </w:pPr>
            <w:r w:rsidRPr="00D539CD">
              <w:rPr>
                <w:rFonts w:cs="Arial"/>
                <w:sz w:val="22"/>
                <w:szCs w:val="22"/>
              </w:rPr>
              <w:t>To provide contingencies to deal with the risks inherent in the impact of unexpected events and emergencies, or events which turn out to be more costly than originally estimated</w:t>
            </w:r>
          </w:p>
          <w:p w:rsidR="00D539CD" w:rsidRPr="00D539CD" w:rsidRDefault="00D539CD" w:rsidP="00F23ABA">
            <w:pPr>
              <w:jc w:val="both"/>
              <w:rPr>
                <w:rFonts w:cs="Arial"/>
                <w:sz w:val="22"/>
                <w:szCs w:val="22"/>
              </w:rPr>
            </w:pPr>
          </w:p>
          <w:p w:rsidR="00D539CD" w:rsidRPr="00D539CD" w:rsidRDefault="00D539CD" w:rsidP="00F23ABA">
            <w:pPr>
              <w:numPr>
                <w:ilvl w:val="0"/>
                <w:numId w:val="7"/>
              </w:numPr>
              <w:jc w:val="both"/>
              <w:rPr>
                <w:rFonts w:cs="Arial"/>
                <w:sz w:val="22"/>
                <w:szCs w:val="22"/>
              </w:rPr>
            </w:pPr>
            <w:r w:rsidRPr="00D539CD">
              <w:rPr>
                <w:rFonts w:cs="Arial"/>
                <w:sz w:val="22"/>
                <w:szCs w:val="22"/>
              </w:rPr>
              <w:t>A means of building up funds to meet known or predicted requirements; examples include capital projects, asset replacement, special initiatives, or end of year carrying forward of budget provisions.</w:t>
            </w:r>
          </w:p>
          <w:p w:rsidR="00D539CD" w:rsidRPr="00D539CD" w:rsidRDefault="00D539CD" w:rsidP="00F23ABA">
            <w:pPr>
              <w:jc w:val="both"/>
              <w:rPr>
                <w:rFonts w:cs="Arial"/>
                <w:sz w:val="22"/>
                <w:szCs w:val="22"/>
              </w:rPr>
            </w:pPr>
          </w:p>
          <w:p w:rsidR="00D539CD" w:rsidRDefault="00D539CD" w:rsidP="00F23ABA">
            <w:pPr>
              <w:numPr>
                <w:ilvl w:val="0"/>
                <w:numId w:val="7"/>
              </w:numPr>
              <w:jc w:val="both"/>
              <w:rPr>
                <w:rFonts w:cs="Arial"/>
                <w:sz w:val="22"/>
                <w:szCs w:val="22"/>
              </w:rPr>
            </w:pPr>
            <w:r w:rsidRPr="00D539CD">
              <w:rPr>
                <w:rFonts w:cs="Arial"/>
                <w:sz w:val="22"/>
                <w:szCs w:val="22"/>
              </w:rPr>
              <w:t>To increase the range of options available for financing the Mayoral (PCC) budget and capital programme. Two current examples are the initial funding of local invest to save schemes, and the use of reserves to fund capital expenditure as an alternative to borrowing in the</w:t>
            </w:r>
            <w:r w:rsidR="0056633A">
              <w:rPr>
                <w:rFonts w:cs="Arial"/>
                <w:sz w:val="22"/>
                <w:szCs w:val="22"/>
              </w:rPr>
              <w:t xml:space="preserve"> current financial environment. </w:t>
            </w:r>
            <w:r w:rsidRPr="00D539CD">
              <w:rPr>
                <w:rFonts w:cs="Arial"/>
                <w:sz w:val="22"/>
                <w:szCs w:val="22"/>
              </w:rPr>
              <w:t xml:space="preserve"> </w:t>
            </w:r>
          </w:p>
          <w:p w:rsidR="00C216A4" w:rsidRDefault="00C216A4" w:rsidP="00C216A4">
            <w:pPr>
              <w:pStyle w:val="ListParagraph"/>
              <w:rPr>
                <w:rFonts w:cs="Arial"/>
                <w:sz w:val="22"/>
                <w:szCs w:val="22"/>
              </w:rPr>
            </w:pPr>
          </w:p>
          <w:p w:rsidR="00C216A4" w:rsidRPr="00D539CD" w:rsidRDefault="00C216A4" w:rsidP="00F23ABA">
            <w:pPr>
              <w:numPr>
                <w:ilvl w:val="0"/>
                <w:numId w:val="7"/>
              </w:numPr>
              <w:jc w:val="both"/>
              <w:rPr>
                <w:rFonts w:cs="Arial"/>
                <w:sz w:val="22"/>
                <w:szCs w:val="22"/>
              </w:rPr>
            </w:pPr>
            <w:r>
              <w:rPr>
                <w:rFonts w:cs="Arial"/>
                <w:sz w:val="22"/>
                <w:szCs w:val="22"/>
              </w:rPr>
              <w:t>Within the ear marked reserves is a PFI reserve which holds the balance of the PFI grant paid by the Home Office to be released over the remaining life of the PFI contract.</w:t>
            </w:r>
          </w:p>
          <w:p w:rsidR="00D539CD" w:rsidRPr="00D539CD" w:rsidRDefault="00D539CD" w:rsidP="00F23ABA">
            <w:pPr>
              <w:jc w:val="both"/>
              <w:rPr>
                <w:rFonts w:cs="Arial"/>
                <w:sz w:val="22"/>
                <w:szCs w:val="22"/>
              </w:rPr>
            </w:pPr>
          </w:p>
          <w:p w:rsidR="00C216A4" w:rsidRPr="00C216A4" w:rsidRDefault="00D539CD" w:rsidP="00C216A4">
            <w:pPr>
              <w:numPr>
                <w:ilvl w:val="0"/>
                <w:numId w:val="7"/>
              </w:numPr>
              <w:jc w:val="both"/>
              <w:rPr>
                <w:rFonts w:cs="Arial"/>
                <w:sz w:val="22"/>
                <w:szCs w:val="22"/>
              </w:rPr>
            </w:pPr>
            <w:r w:rsidRPr="00D539CD">
              <w:rPr>
                <w:rFonts w:cs="Arial"/>
                <w:sz w:val="22"/>
                <w:szCs w:val="22"/>
              </w:rPr>
              <w:t xml:space="preserve">There are other reserves which are held for accounting purposes.  Examples include capital receipts, asset revaluation, and international requirements on pension’s liabilities. Other than capital receipts, which can be used to fund new capital expenditure, these reserves are not useable to defray revenue or capital expenditure. They are not optional, and they are held solely to ensure compliance with relevant accounting standards. </w:t>
            </w:r>
          </w:p>
          <w:p w:rsidR="00C216A4" w:rsidRDefault="00C216A4" w:rsidP="00C216A4">
            <w:pPr>
              <w:pStyle w:val="ListParagraph"/>
              <w:rPr>
                <w:rFonts w:cs="Arial"/>
                <w:sz w:val="22"/>
                <w:szCs w:val="22"/>
              </w:rPr>
            </w:pPr>
          </w:p>
          <w:p w:rsidR="0056633A" w:rsidRDefault="0056633A" w:rsidP="0056633A">
            <w:pPr>
              <w:numPr>
                <w:ilvl w:val="0"/>
                <w:numId w:val="7"/>
              </w:numPr>
              <w:jc w:val="both"/>
              <w:rPr>
                <w:rFonts w:cs="Arial"/>
                <w:sz w:val="22"/>
                <w:szCs w:val="22"/>
              </w:rPr>
            </w:pPr>
            <w:r>
              <w:rPr>
                <w:rFonts w:cs="Arial"/>
                <w:sz w:val="22"/>
                <w:szCs w:val="22"/>
              </w:rPr>
              <w:t xml:space="preserve">As a consequence this can </w:t>
            </w:r>
            <w:r w:rsidRPr="00D539CD">
              <w:rPr>
                <w:rFonts w:cs="Arial"/>
                <w:sz w:val="22"/>
                <w:szCs w:val="22"/>
              </w:rPr>
              <w:t>provide a working balance to help cushion the impact of uneven cash  flows,  in order to minimise the need for temporary borrowing</w:t>
            </w:r>
          </w:p>
          <w:p w:rsidR="00C216A4" w:rsidRDefault="00C216A4" w:rsidP="00C216A4">
            <w:pPr>
              <w:pStyle w:val="ListParagraph"/>
              <w:rPr>
                <w:rFonts w:cs="Arial"/>
                <w:sz w:val="22"/>
                <w:szCs w:val="22"/>
              </w:rPr>
            </w:pPr>
          </w:p>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r w:rsidRPr="00D539CD">
              <w:rPr>
                <w:rFonts w:cs="Arial"/>
                <w:b/>
                <w:sz w:val="22"/>
                <w:szCs w:val="22"/>
              </w:rPr>
              <w:t>2.</w:t>
            </w:r>
          </w:p>
        </w:tc>
        <w:tc>
          <w:tcPr>
            <w:tcW w:w="8312" w:type="dxa"/>
            <w:gridSpan w:val="2"/>
          </w:tcPr>
          <w:p w:rsidR="00D539CD" w:rsidRPr="00D539CD" w:rsidRDefault="00D539CD" w:rsidP="00F23ABA">
            <w:pPr>
              <w:jc w:val="both"/>
              <w:rPr>
                <w:rFonts w:cs="Arial"/>
                <w:b/>
                <w:sz w:val="22"/>
                <w:szCs w:val="22"/>
              </w:rPr>
            </w:pPr>
            <w:r w:rsidRPr="00D539CD">
              <w:rPr>
                <w:rFonts w:cs="Arial"/>
                <w:b/>
                <w:sz w:val="22"/>
                <w:szCs w:val="22"/>
              </w:rPr>
              <w:t>GM Mayoral (PCC) reserve principles</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2.1</w:t>
            </w:r>
          </w:p>
        </w:tc>
        <w:tc>
          <w:tcPr>
            <w:tcW w:w="7667" w:type="dxa"/>
          </w:tcPr>
          <w:p w:rsidR="00D539CD" w:rsidRPr="00D539CD" w:rsidRDefault="00D539CD" w:rsidP="00F23ABA">
            <w:pPr>
              <w:jc w:val="both"/>
              <w:rPr>
                <w:rFonts w:cs="Arial"/>
                <w:sz w:val="22"/>
                <w:szCs w:val="22"/>
              </w:rPr>
            </w:pPr>
            <w:r w:rsidRPr="00D539CD">
              <w:rPr>
                <w:rFonts w:cs="Arial"/>
                <w:sz w:val="22"/>
                <w:szCs w:val="22"/>
              </w:rPr>
              <w:t>The general reserves must reflect the risk to the organisation and reviewed at least annually.</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2.2</w:t>
            </w:r>
          </w:p>
        </w:tc>
        <w:tc>
          <w:tcPr>
            <w:tcW w:w="7667" w:type="dxa"/>
          </w:tcPr>
          <w:p w:rsidR="00D539CD" w:rsidRPr="00D539CD" w:rsidRDefault="00D539CD" w:rsidP="00F23ABA">
            <w:pPr>
              <w:jc w:val="both"/>
              <w:rPr>
                <w:rFonts w:cs="Arial"/>
                <w:sz w:val="22"/>
                <w:szCs w:val="22"/>
              </w:rPr>
            </w:pPr>
            <w:r w:rsidRPr="00D539CD">
              <w:rPr>
                <w:rFonts w:cs="Arial"/>
                <w:sz w:val="22"/>
                <w:szCs w:val="22"/>
              </w:rPr>
              <w:t>Reserves can be used to support the delivery of ‘Standing Togeth</w:t>
            </w:r>
            <w:r>
              <w:rPr>
                <w:rFonts w:cs="Arial"/>
                <w:sz w:val="22"/>
                <w:szCs w:val="22"/>
              </w:rPr>
              <w:t xml:space="preserve">er’ the Police and Crime plan. </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2.3</w:t>
            </w:r>
          </w:p>
        </w:tc>
        <w:tc>
          <w:tcPr>
            <w:tcW w:w="7667" w:type="dxa"/>
          </w:tcPr>
          <w:p w:rsidR="00D539CD" w:rsidRPr="00D539CD" w:rsidRDefault="00D539CD" w:rsidP="00F23ABA">
            <w:pPr>
              <w:jc w:val="both"/>
              <w:rPr>
                <w:rFonts w:cs="Arial"/>
                <w:sz w:val="22"/>
                <w:szCs w:val="22"/>
              </w:rPr>
            </w:pPr>
            <w:r w:rsidRPr="00D539CD">
              <w:rPr>
                <w:rFonts w:cs="Arial"/>
                <w:sz w:val="22"/>
                <w:szCs w:val="22"/>
              </w:rPr>
              <w:t>Such projects can be undertaken by solely GMP, GMP plus partners or solely partners.</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2.4</w:t>
            </w:r>
          </w:p>
        </w:tc>
        <w:tc>
          <w:tcPr>
            <w:tcW w:w="7667" w:type="dxa"/>
          </w:tcPr>
          <w:p w:rsidR="00D539CD" w:rsidRPr="00D539CD" w:rsidRDefault="00D539CD" w:rsidP="00F23ABA">
            <w:pPr>
              <w:jc w:val="both"/>
              <w:rPr>
                <w:rFonts w:cs="Arial"/>
                <w:sz w:val="22"/>
                <w:szCs w:val="22"/>
              </w:rPr>
            </w:pPr>
            <w:r w:rsidRPr="00D539CD">
              <w:rPr>
                <w:rFonts w:cs="Arial"/>
                <w:sz w:val="22"/>
                <w:szCs w:val="22"/>
              </w:rPr>
              <w:t>Reserves can be used to support the capital programme.</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2.5</w:t>
            </w:r>
          </w:p>
        </w:tc>
        <w:tc>
          <w:tcPr>
            <w:tcW w:w="7667" w:type="dxa"/>
          </w:tcPr>
          <w:p w:rsidR="00D539CD" w:rsidRPr="00D539CD" w:rsidRDefault="00D539CD" w:rsidP="00F23ABA">
            <w:pPr>
              <w:jc w:val="both"/>
              <w:rPr>
                <w:rFonts w:cs="Arial"/>
                <w:sz w:val="22"/>
                <w:szCs w:val="22"/>
              </w:rPr>
            </w:pPr>
            <w:r w:rsidRPr="00D539CD">
              <w:rPr>
                <w:rFonts w:cs="Arial"/>
                <w:sz w:val="22"/>
                <w:szCs w:val="22"/>
              </w:rPr>
              <w:t>In association with the above point reserves can be used to smooth the budget profile on the basis that the realisation of savings can take time.</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BA73BE" w:rsidTr="0097492F">
        <w:tc>
          <w:tcPr>
            <w:tcW w:w="704" w:type="dxa"/>
          </w:tcPr>
          <w:p w:rsidR="00BA73BE" w:rsidRPr="00D539CD" w:rsidRDefault="00BA73BE">
            <w:pPr>
              <w:rPr>
                <w:rFonts w:cs="Arial"/>
                <w:b/>
                <w:sz w:val="22"/>
                <w:szCs w:val="22"/>
              </w:rPr>
            </w:pPr>
          </w:p>
        </w:tc>
        <w:tc>
          <w:tcPr>
            <w:tcW w:w="645" w:type="dxa"/>
          </w:tcPr>
          <w:p w:rsidR="00BA73BE" w:rsidRPr="00D539CD" w:rsidRDefault="00BA73BE">
            <w:pPr>
              <w:rPr>
                <w:rFonts w:cs="Arial"/>
                <w:b/>
                <w:sz w:val="22"/>
                <w:szCs w:val="22"/>
              </w:rPr>
            </w:pPr>
          </w:p>
        </w:tc>
        <w:tc>
          <w:tcPr>
            <w:tcW w:w="7667" w:type="dxa"/>
          </w:tcPr>
          <w:p w:rsidR="00BA73BE" w:rsidRPr="00D539CD" w:rsidRDefault="00BA73BE" w:rsidP="00F23ABA">
            <w:pPr>
              <w:jc w:val="both"/>
              <w:rPr>
                <w:rFonts w:cs="Arial"/>
                <w:sz w:val="22"/>
                <w:szCs w:val="22"/>
              </w:rPr>
            </w:pPr>
          </w:p>
        </w:tc>
      </w:tr>
      <w:tr w:rsidR="00BA73BE" w:rsidTr="0097492F">
        <w:tc>
          <w:tcPr>
            <w:tcW w:w="704" w:type="dxa"/>
          </w:tcPr>
          <w:p w:rsidR="00BA73BE" w:rsidRPr="00D539CD" w:rsidRDefault="00BA73BE">
            <w:pPr>
              <w:rPr>
                <w:rFonts w:cs="Arial"/>
                <w:b/>
                <w:sz w:val="22"/>
                <w:szCs w:val="22"/>
              </w:rPr>
            </w:pPr>
          </w:p>
        </w:tc>
        <w:tc>
          <w:tcPr>
            <w:tcW w:w="645" w:type="dxa"/>
          </w:tcPr>
          <w:p w:rsidR="00BA73BE" w:rsidRPr="00D539CD" w:rsidRDefault="00BA73BE">
            <w:pPr>
              <w:rPr>
                <w:rFonts w:cs="Arial"/>
                <w:b/>
                <w:sz w:val="22"/>
                <w:szCs w:val="22"/>
              </w:rPr>
            </w:pPr>
          </w:p>
        </w:tc>
        <w:tc>
          <w:tcPr>
            <w:tcW w:w="7667" w:type="dxa"/>
          </w:tcPr>
          <w:p w:rsidR="00BA73BE" w:rsidRPr="00D539CD" w:rsidRDefault="00BA73BE"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r>
              <w:rPr>
                <w:rFonts w:cs="Arial"/>
                <w:b/>
                <w:sz w:val="22"/>
                <w:szCs w:val="22"/>
              </w:rPr>
              <w:t>3.</w:t>
            </w:r>
          </w:p>
        </w:tc>
        <w:tc>
          <w:tcPr>
            <w:tcW w:w="8312" w:type="dxa"/>
            <w:gridSpan w:val="2"/>
          </w:tcPr>
          <w:p w:rsidR="00D539CD" w:rsidRPr="00D539CD" w:rsidRDefault="00D539CD" w:rsidP="00F23ABA">
            <w:pPr>
              <w:jc w:val="both"/>
              <w:rPr>
                <w:rFonts w:cs="Arial"/>
                <w:b/>
                <w:sz w:val="22"/>
                <w:szCs w:val="22"/>
              </w:rPr>
            </w:pPr>
            <w:r w:rsidRPr="00D539CD">
              <w:rPr>
                <w:rFonts w:cs="Arial"/>
                <w:b/>
                <w:sz w:val="22"/>
                <w:szCs w:val="22"/>
              </w:rPr>
              <w:t>The regulatory framework</w:t>
            </w:r>
            <w:r w:rsidRPr="00D539CD">
              <w:rPr>
                <w:rFonts w:cs="Arial"/>
                <w:b/>
                <w:sz w:val="22"/>
                <w:szCs w:val="22"/>
              </w:rPr>
              <w:tab/>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3.1</w:t>
            </w:r>
          </w:p>
        </w:tc>
        <w:tc>
          <w:tcPr>
            <w:tcW w:w="7667" w:type="dxa"/>
          </w:tcPr>
          <w:p w:rsidR="00D539CD" w:rsidRPr="00D539CD" w:rsidRDefault="00D539CD" w:rsidP="00F23ABA">
            <w:pPr>
              <w:jc w:val="both"/>
              <w:rPr>
                <w:rFonts w:cs="Arial"/>
                <w:sz w:val="22"/>
                <w:szCs w:val="22"/>
              </w:rPr>
            </w:pPr>
            <w:r w:rsidRPr="00D539CD">
              <w:rPr>
                <w:rFonts w:cs="Arial"/>
                <w:sz w:val="22"/>
                <w:szCs w:val="22"/>
              </w:rPr>
              <w:t>Various legislative requirements prescribe the basis on which local authorities (including PCCs) should manage their finances, and the statutory responsibilities of the Treasurer. Section 114 of the 1988 Local Government Finance Act requires the Treasurer to report on an unbalanced budget, and this was strengthened by the 1992 Act. The Local Government Act 2003 required chief finance officers to report amongst other things on the adequacy of reserves.</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3.2</w:t>
            </w:r>
          </w:p>
        </w:tc>
        <w:tc>
          <w:tcPr>
            <w:tcW w:w="7667" w:type="dxa"/>
          </w:tcPr>
          <w:p w:rsidR="00D539CD" w:rsidRPr="00D539CD" w:rsidRDefault="00D539CD" w:rsidP="00F23ABA">
            <w:pPr>
              <w:jc w:val="both"/>
              <w:rPr>
                <w:rFonts w:cs="Arial"/>
                <w:sz w:val="22"/>
                <w:szCs w:val="22"/>
              </w:rPr>
            </w:pPr>
            <w:r w:rsidRPr="00D539CD">
              <w:rPr>
                <w:rFonts w:cs="Arial"/>
                <w:sz w:val="22"/>
                <w:szCs w:val="22"/>
              </w:rPr>
              <w:t>Guidance has been issued by CIPFA and the Local Authority Accounting Panel in 2003 and 2008, highlighting the need to maintain appropriate levels of reserves. This is supported by other guidance such as the Prudential Code on capital finance which requires chief finance officers to have regard to affordability.</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3.3</w:t>
            </w:r>
          </w:p>
        </w:tc>
        <w:tc>
          <w:tcPr>
            <w:tcW w:w="7667" w:type="dxa"/>
          </w:tcPr>
          <w:p w:rsidR="00D539CD" w:rsidRPr="00D539CD" w:rsidRDefault="00152D07" w:rsidP="00F23ABA">
            <w:pPr>
              <w:jc w:val="both"/>
              <w:rPr>
                <w:rFonts w:cs="Arial"/>
                <w:sz w:val="22"/>
                <w:szCs w:val="22"/>
              </w:rPr>
            </w:pPr>
            <w:r>
              <w:rPr>
                <w:rFonts w:cs="Arial"/>
                <w:sz w:val="22"/>
                <w:szCs w:val="22"/>
              </w:rPr>
              <w:t>As part of the ‘going concern’ judgement e</w:t>
            </w:r>
            <w:r w:rsidR="00D539CD" w:rsidRPr="00D539CD">
              <w:rPr>
                <w:rFonts w:cs="Arial"/>
                <w:sz w:val="22"/>
                <w:szCs w:val="22"/>
              </w:rPr>
              <w:t xml:space="preserve">xternal auditors will normally review </w:t>
            </w:r>
            <w:r>
              <w:rPr>
                <w:rFonts w:cs="Arial"/>
                <w:sz w:val="22"/>
                <w:szCs w:val="22"/>
              </w:rPr>
              <w:t xml:space="preserve">the adequacy of the reserves provisions </w:t>
            </w:r>
            <w:r w:rsidR="00D539CD" w:rsidRPr="00D539CD">
              <w:rPr>
                <w:rFonts w:cs="Arial"/>
                <w:sz w:val="22"/>
                <w:szCs w:val="22"/>
              </w:rPr>
              <w:t>as part of the statutory audit</w:t>
            </w:r>
            <w:r>
              <w:rPr>
                <w:rFonts w:cs="Arial"/>
                <w:sz w:val="22"/>
                <w:szCs w:val="22"/>
              </w:rPr>
              <w:t>.</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r>
              <w:rPr>
                <w:rFonts w:cs="Arial"/>
                <w:b/>
                <w:sz w:val="22"/>
                <w:szCs w:val="22"/>
              </w:rPr>
              <w:t>4.</w:t>
            </w:r>
          </w:p>
        </w:tc>
        <w:tc>
          <w:tcPr>
            <w:tcW w:w="8312" w:type="dxa"/>
            <w:gridSpan w:val="2"/>
          </w:tcPr>
          <w:p w:rsidR="00D539CD" w:rsidRPr="00D539CD" w:rsidRDefault="00D539CD" w:rsidP="00F23ABA">
            <w:pPr>
              <w:jc w:val="both"/>
              <w:rPr>
                <w:rFonts w:cs="Arial"/>
                <w:b/>
                <w:sz w:val="22"/>
                <w:szCs w:val="22"/>
              </w:rPr>
            </w:pPr>
            <w:r w:rsidRPr="00D539CD">
              <w:rPr>
                <w:rFonts w:cs="Arial"/>
                <w:b/>
                <w:sz w:val="22"/>
                <w:szCs w:val="22"/>
              </w:rPr>
              <w:t>CIPFA guidance</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4.1</w:t>
            </w:r>
          </w:p>
        </w:tc>
        <w:tc>
          <w:tcPr>
            <w:tcW w:w="7667" w:type="dxa"/>
          </w:tcPr>
          <w:p w:rsidR="00D539CD" w:rsidRPr="00D539CD" w:rsidRDefault="00D539CD" w:rsidP="00F23ABA">
            <w:pPr>
              <w:jc w:val="both"/>
              <w:rPr>
                <w:rFonts w:cs="Arial"/>
                <w:sz w:val="22"/>
                <w:szCs w:val="22"/>
              </w:rPr>
            </w:pPr>
            <w:r w:rsidRPr="00D539CD">
              <w:rPr>
                <w:rFonts w:cs="Arial"/>
                <w:sz w:val="22"/>
                <w:szCs w:val="22"/>
              </w:rPr>
              <w:t>Within the existing statutory framework it is the responsibility of the Treasurer to advise on levels of reserves and to ensure their adequacy and appropriateness. Reserves should not be held without a clear purpose.</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4.2</w:t>
            </w:r>
          </w:p>
        </w:tc>
        <w:tc>
          <w:tcPr>
            <w:tcW w:w="7667" w:type="dxa"/>
          </w:tcPr>
          <w:p w:rsidR="00D539CD" w:rsidRPr="00D539CD" w:rsidRDefault="00D539CD" w:rsidP="00F23ABA">
            <w:pPr>
              <w:jc w:val="both"/>
              <w:rPr>
                <w:rFonts w:cs="Arial"/>
                <w:sz w:val="22"/>
                <w:szCs w:val="22"/>
              </w:rPr>
            </w:pPr>
            <w:r w:rsidRPr="00D539CD">
              <w:rPr>
                <w:rFonts w:cs="Arial"/>
                <w:sz w:val="22"/>
                <w:szCs w:val="22"/>
              </w:rPr>
              <w:t>CIPFA does not accept there is a case for introducing a generally applicable minimum level, either as an absolute level or as a % of the budget. Reserves levels are based on a local assessment of budgetary and operational risks, and the factors shaping this will vary in each area.</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r w:rsidRPr="00D539CD">
              <w:rPr>
                <w:rFonts w:cs="Arial"/>
                <w:b/>
                <w:sz w:val="22"/>
                <w:szCs w:val="22"/>
              </w:rPr>
              <w:t>5.</w:t>
            </w:r>
          </w:p>
        </w:tc>
        <w:tc>
          <w:tcPr>
            <w:tcW w:w="8312" w:type="dxa"/>
            <w:gridSpan w:val="2"/>
          </w:tcPr>
          <w:p w:rsidR="00D539CD" w:rsidRPr="00D539CD" w:rsidRDefault="00D539CD" w:rsidP="00F23ABA">
            <w:pPr>
              <w:jc w:val="both"/>
              <w:rPr>
                <w:rFonts w:cs="Arial"/>
                <w:b/>
                <w:sz w:val="22"/>
                <w:szCs w:val="22"/>
              </w:rPr>
            </w:pPr>
            <w:r w:rsidRPr="00D539CD">
              <w:rPr>
                <w:rFonts w:cs="Arial"/>
                <w:b/>
                <w:sz w:val="22"/>
                <w:szCs w:val="22"/>
              </w:rPr>
              <w:t>Current issues for managing reserves</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5.1</w:t>
            </w:r>
          </w:p>
        </w:tc>
        <w:tc>
          <w:tcPr>
            <w:tcW w:w="7667" w:type="dxa"/>
          </w:tcPr>
          <w:p w:rsidR="00D539CD" w:rsidRPr="00D539CD" w:rsidRDefault="00D539CD" w:rsidP="00F23ABA">
            <w:pPr>
              <w:jc w:val="both"/>
              <w:rPr>
                <w:rFonts w:cs="Arial"/>
                <w:sz w:val="22"/>
                <w:szCs w:val="22"/>
              </w:rPr>
            </w:pPr>
            <w:r w:rsidRPr="00D539CD">
              <w:rPr>
                <w:rFonts w:cs="Arial"/>
                <w:sz w:val="22"/>
                <w:szCs w:val="22"/>
              </w:rPr>
              <w:t>The current financial climate increases the budgetary risk profile significantly, particularly single year settlements, rising levels of demand linked to complexity and rising crime levels and the unknown impact of Brexit on future public sector expenditure plans.</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5.2</w:t>
            </w:r>
          </w:p>
        </w:tc>
        <w:tc>
          <w:tcPr>
            <w:tcW w:w="7667" w:type="dxa"/>
          </w:tcPr>
          <w:p w:rsidR="00D539CD" w:rsidRPr="00D539CD" w:rsidRDefault="00D539CD" w:rsidP="00F23ABA">
            <w:pPr>
              <w:jc w:val="both"/>
              <w:rPr>
                <w:rFonts w:cs="Arial"/>
                <w:sz w:val="22"/>
                <w:szCs w:val="22"/>
              </w:rPr>
            </w:pPr>
            <w:r w:rsidRPr="00D539CD">
              <w:rPr>
                <w:rFonts w:cs="Arial"/>
                <w:sz w:val="22"/>
                <w:szCs w:val="22"/>
              </w:rPr>
              <w:t>The challenge to transform the service increases over time as opportunities to save money are driven out; this means that the ability to contain variations within approved budget provision is much reduced, and reserves have to carry that risk.</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5.3</w:t>
            </w:r>
          </w:p>
        </w:tc>
        <w:tc>
          <w:tcPr>
            <w:tcW w:w="7667" w:type="dxa"/>
          </w:tcPr>
          <w:p w:rsidR="00D539CD" w:rsidRPr="00D539CD" w:rsidRDefault="00D539CD" w:rsidP="00F23ABA">
            <w:pPr>
              <w:jc w:val="both"/>
              <w:rPr>
                <w:rFonts w:cs="Arial"/>
                <w:sz w:val="22"/>
                <w:szCs w:val="22"/>
              </w:rPr>
            </w:pPr>
            <w:r w:rsidRPr="00D539CD">
              <w:rPr>
                <w:rFonts w:cs="Arial"/>
                <w:sz w:val="22"/>
                <w:szCs w:val="22"/>
              </w:rPr>
              <w:t>External factors such as tighter rules on national support under schemes such as Home Office Special Grant and Riot Damages claims mean that an increasing proportion of total risks has to be carried locally.</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rsidP="00F23ABA">
            <w:pPr>
              <w:jc w:val="both"/>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5.4</w:t>
            </w:r>
          </w:p>
        </w:tc>
        <w:tc>
          <w:tcPr>
            <w:tcW w:w="7667" w:type="dxa"/>
          </w:tcPr>
          <w:p w:rsidR="00D539CD" w:rsidRPr="00D539CD" w:rsidRDefault="00D539CD" w:rsidP="00F23ABA">
            <w:pPr>
              <w:jc w:val="both"/>
              <w:rPr>
                <w:rFonts w:cs="Arial"/>
                <w:sz w:val="22"/>
                <w:szCs w:val="22"/>
              </w:rPr>
            </w:pPr>
            <w:r w:rsidRPr="00D539CD">
              <w:rPr>
                <w:rFonts w:cs="Arial"/>
                <w:sz w:val="22"/>
                <w:szCs w:val="22"/>
              </w:rPr>
              <w:t>Reserves management can only be considered over the lifetime of a rolling medium term strategy.</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pPr>
              <w:rPr>
                <w:rFonts w:cs="Arial"/>
                <w:sz w:val="22"/>
                <w:szCs w:val="22"/>
              </w:rPr>
            </w:pPr>
          </w:p>
        </w:tc>
      </w:tr>
      <w:tr w:rsidR="00F35A45" w:rsidTr="0097492F">
        <w:tc>
          <w:tcPr>
            <w:tcW w:w="704" w:type="dxa"/>
          </w:tcPr>
          <w:p w:rsidR="00F35A45" w:rsidRPr="00D539CD" w:rsidRDefault="00F35A45">
            <w:pPr>
              <w:rPr>
                <w:rFonts w:cs="Arial"/>
                <w:b/>
                <w:sz w:val="22"/>
                <w:szCs w:val="22"/>
              </w:rPr>
            </w:pPr>
          </w:p>
        </w:tc>
        <w:tc>
          <w:tcPr>
            <w:tcW w:w="645" w:type="dxa"/>
          </w:tcPr>
          <w:p w:rsidR="00F35A45" w:rsidRPr="00D539CD" w:rsidRDefault="00F35A45">
            <w:pPr>
              <w:rPr>
                <w:rFonts w:cs="Arial"/>
                <w:b/>
                <w:sz w:val="22"/>
                <w:szCs w:val="22"/>
              </w:rPr>
            </w:pPr>
          </w:p>
        </w:tc>
        <w:tc>
          <w:tcPr>
            <w:tcW w:w="7667" w:type="dxa"/>
          </w:tcPr>
          <w:p w:rsidR="00F35A45" w:rsidRPr="00D539CD" w:rsidRDefault="00F35A45">
            <w:pPr>
              <w:rPr>
                <w:rFonts w:cs="Arial"/>
                <w:sz w:val="22"/>
                <w:szCs w:val="22"/>
              </w:rPr>
            </w:pPr>
          </w:p>
        </w:tc>
      </w:tr>
      <w:tr w:rsidR="00F35A45" w:rsidTr="0097492F">
        <w:tc>
          <w:tcPr>
            <w:tcW w:w="704" w:type="dxa"/>
          </w:tcPr>
          <w:p w:rsidR="00F35A45" w:rsidRPr="00D539CD" w:rsidRDefault="00F35A45">
            <w:pPr>
              <w:rPr>
                <w:rFonts w:cs="Arial"/>
                <w:b/>
                <w:sz w:val="22"/>
                <w:szCs w:val="22"/>
              </w:rPr>
            </w:pPr>
          </w:p>
        </w:tc>
        <w:tc>
          <w:tcPr>
            <w:tcW w:w="645" w:type="dxa"/>
          </w:tcPr>
          <w:p w:rsidR="00F35A45" w:rsidRPr="00D539CD" w:rsidRDefault="00F35A45">
            <w:pPr>
              <w:rPr>
                <w:rFonts w:cs="Arial"/>
                <w:b/>
                <w:sz w:val="22"/>
                <w:szCs w:val="22"/>
              </w:rPr>
            </w:pPr>
          </w:p>
        </w:tc>
        <w:tc>
          <w:tcPr>
            <w:tcW w:w="7667" w:type="dxa"/>
          </w:tcPr>
          <w:p w:rsidR="00F35A45" w:rsidRPr="00D539CD" w:rsidRDefault="00F35A45">
            <w:pPr>
              <w:rPr>
                <w:rFonts w:cs="Arial"/>
                <w:sz w:val="22"/>
                <w:szCs w:val="22"/>
              </w:rPr>
            </w:pPr>
          </w:p>
        </w:tc>
      </w:tr>
      <w:tr w:rsidR="00F35A45" w:rsidTr="0097492F">
        <w:tc>
          <w:tcPr>
            <w:tcW w:w="704" w:type="dxa"/>
          </w:tcPr>
          <w:p w:rsidR="00F35A45" w:rsidRPr="00D539CD" w:rsidRDefault="00F35A45">
            <w:pPr>
              <w:rPr>
                <w:rFonts w:cs="Arial"/>
                <w:b/>
                <w:sz w:val="22"/>
                <w:szCs w:val="22"/>
              </w:rPr>
            </w:pPr>
          </w:p>
        </w:tc>
        <w:tc>
          <w:tcPr>
            <w:tcW w:w="645" w:type="dxa"/>
          </w:tcPr>
          <w:p w:rsidR="00F35A45" w:rsidRPr="00D539CD" w:rsidRDefault="00F35A45">
            <w:pPr>
              <w:rPr>
                <w:rFonts w:cs="Arial"/>
                <w:b/>
                <w:sz w:val="22"/>
                <w:szCs w:val="22"/>
              </w:rPr>
            </w:pPr>
          </w:p>
        </w:tc>
        <w:tc>
          <w:tcPr>
            <w:tcW w:w="7667" w:type="dxa"/>
          </w:tcPr>
          <w:p w:rsidR="00F35A45" w:rsidRPr="00D539CD" w:rsidRDefault="00F35A45">
            <w:pPr>
              <w:rPr>
                <w:rFonts w:cs="Arial"/>
                <w:sz w:val="22"/>
                <w:szCs w:val="22"/>
              </w:rPr>
            </w:pPr>
          </w:p>
        </w:tc>
      </w:tr>
      <w:tr w:rsidR="00F35A45" w:rsidTr="0097492F">
        <w:tc>
          <w:tcPr>
            <w:tcW w:w="704" w:type="dxa"/>
          </w:tcPr>
          <w:p w:rsidR="00F35A45" w:rsidRPr="00D539CD" w:rsidRDefault="00F35A45">
            <w:pPr>
              <w:rPr>
                <w:rFonts w:cs="Arial"/>
                <w:b/>
                <w:sz w:val="22"/>
                <w:szCs w:val="22"/>
              </w:rPr>
            </w:pPr>
          </w:p>
        </w:tc>
        <w:tc>
          <w:tcPr>
            <w:tcW w:w="645" w:type="dxa"/>
          </w:tcPr>
          <w:p w:rsidR="00F35A45" w:rsidRPr="00D539CD" w:rsidRDefault="00F35A45">
            <w:pPr>
              <w:rPr>
                <w:rFonts w:cs="Arial"/>
                <w:b/>
                <w:sz w:val="22"/>
                <w:szCs w:val="22"/>
              </w:rPr>
            </w:pPr>
          </w:p>
        </w:tc>
        <w:tc>
          <w:tcPr>
            <w:tcW w:w="7667" w:type="dxa"/>
          </w:tcPr>
          <w:p w:rsidR="00F35A45" w:rsidRPr="00D539CD" w:rsidRDefault="00F35A45">
            <w:pPr>
              <w:rPr>
                <w:rFonts w:cs="Arial"/>
                <w:sz w:val="22"/>
                <w:szCs w:val="22"/>
              </w:rPr>
            </w:pPr>
          </w:p>
        </w:tc>
      </w:tr>
      <w:tr w:rsidR="00D539CD" w:rsidTr="0097492F">
        <w:tc>
          <w:tcPr>
            <w:tcW w:w="704" w:type="dxa"/>
          </w:tcPr>
          <w:p w:rsidR="00D539CD" w:rsidRPr="00D539CD" w:rsidRDefault="00D539CD">
            <w:pPr>
              <w:rPr>
                <w:rFonts w:cs="Arial"/>
                <w:b/>
                <w:sz w:val="22"/>
                <w:szCs w:val="22"/>
              </w:rPr>
            </w:pPr>
            <w:r>
              <w:rPr>
                <w:rFonts w:cs="Arial"/>
                <w:b/>
                <w:sz w:val="22"/>
                <w:szCs w:val="22"/>
              </w:rPr>
              <w:t>6.</w:t>
            </w:r>
          </w:p>
        </w:tc>
        <w:tc>
          <w:tcPr>
            <w:tcW w:w="8312" w:type="dxa"/>
            <w:gridSpan w:val="2"/>
          </w:tcPr>
          <w:p w:rsidR="00D539CD" w:rsidRPr="00463C7F" w:rsidRDefault="00463C7F" w:rsidP="00463C7F">
            <w:pPr>
              <w:rPr>
                <w:rFonts w:cs="Arial"/>
                <w:b/>
                <w:sz w:val="22"/>
                <w:szCs w:val="22"/>
              </w:rPr>
            </w:pPr>
            <w:r w:rsidRPr="00463C7F">
              <w:rPr>
                <w:rFonts w:cs="Arial"/>
                <w:b/>
                <w:sz w:val="22"/>
                <w:szCs w:val="22"/>
              </w:rPr>
              <w:t>SUMMARY OF RESERVES</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pPr>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r>
              <w:rPr>
                <w:rFonts w:cs="Arial"/>
                <w:b/>
                <w:sz w:val="22"/>
                <w:szCs w:val="22"/>
              </w:rPr>
              <w:t>6.1</w:t>
            </w:r>
          </w:p>
        </w:tc>
        <w:tc>
          <w:tcPr>
            <w:tcW w:w="7667" w:type="dxa"/>
          </w:tcPr>
          <w:p w:rsidR="00463C7F" w:rsidRPr="00463C7F" w:rsidRDefault="00463C7F" w:rsidP="00463C7F">
            <w:pPr>
              <w:rPr>
                <w:rFonts w:cs="Arial"/>
                <w:sz w:val="22"/>
                <w:szCs w:val="22"/>
              </w:rPr>
            </w:pPr>
            <w:r w:rsidRPr="00463C7F">
              <w:rPr>
                <w:rFonts w:cs="Arial"/>
                <w:sz w:val="22"/>
                <w:szCs w:val="22"/>
              </w:rPr>
              <w:t xml:space="preserve">The table below summarises the level of reserves held. </w:t>
            </w:r>
          </w:p>
          <w:p w:rsidR="00463C7F" w:rsidRPr="00463C7F" w:rsidRDefault="00463C7F" w:rsidP="00463C7F">
            <w:pPr>
              <w:rPr>
                <w:rFonts w:cs="Arial"/>
                <w:sz w:val="22"/>
                <w:szCs w:val="22"/>
              </w:rPr>
            </w:pPr>
          </w:p>
          <w:tbl>
            <w:tblPr>
              <w:tblStyle w:val="TableGrid"/>
              <w:tblW w:w="0" w:type="auto"/>
              <w:tblInd w:w="720" w:type="dxa"/>
              <w:tblLook w:val="04A0" w:firstRow="1" w:lastRow="0" w:firstColumn="1" w:lastColumn="0" w:noHBand="0" w:noVBand="1"/>
            </w:tblPr>
            <w:tblGrid>
              <w:gridCol w:w="4141"/>
              <w:gridCol w:w="2222"/>
            </w:tblGrid>
            <w:tr w:rsidR="00463C7F" w:rsidRPr="00463C7F" w:rsidTr="0056633A">
              <w:tc>
                <w:tcPr>
                  <w:tcW w:w="4141" w:type="dxa"/>
                </w:tcPr>
                <w:p w:rsidR="00463C7F" w:rsidRPr="00463C7F" w:rsidRDefault="00463C7F" w:rsidP="00463C7F">
                  <w:pPr>
                    <w:rPr>
                      <w:rFonts w:cs="Arial"/>
                      <w:sz w:val="22"/>
                      <w:szCs w:val="22"/>
                    </w:rPr>
                  </w:pPr>
                </w:p>
              </w:tc>
              <w:tc>
                <w:tcPr>
                  <w:tcW w:w="2222" w:type="dxa"/>
                </w:tcPr>
                <w:p w:rsidR="00463C7F" w:rsidRPr="00463C7F" w:rsidRDefault="00463C7F" w:rsidP="00463C7F">
                  <w:pPr>
                    <w:rPr>
                      <w:rFonts w:cs="Arial"/>
                      <w:sz w:val="22"/>
                      <w:szCs w:val="22"/>
                    </w:rPr>
                  </w:pPr>
                  <w:r w:rsidRPr="00463C7F">
                    <w:rPr>
                      <w:rFonts w:cs="Arial"/>
                      <w:sz w:val="22"/>
                      <w:szCs w:val="22"/>
                    </w:rPr>
                    <w:t xml:space="preserve">Position </w:t>
                  </w:r>
                </w:p>
                <w:p w:rsidR="00463C7F" w:rsidRPr="00463C7F" w:rsidRDefault="00463C7F" w:rsidP="00463C7F">
                  <w:pPr>
                    <w:rPr>
                      <w:rFonts w:cs="Arial"/>
                      <w:sz w:val="22"/>
                      <w:szCs w:val="22"/>
                    </w:rPr>
                  </w:pPr>
                  <w:r w:rsidRPr="00463C7F">
                    <w:rPr>
                      <w:rFonts w:cs="Arial"/>
                      <w:sz w:val="22"/>
                      <w:szCs w:val="22"/>
                    </w:rPr>
                    <w:t>as at 1.4.18</w:t>
                  </w:r>
                </w:p>
                <w:p w:rsidR="00463C7F" w:rsidRPr="00463C7F" w:rsidRDefault="00463C7F" w:rsidP="00463C7F">
                  <w:pPr>
                    <w:rPr>
                      <w:rFonts w:cs="Arial"/>
                      <w:sz w:val="22"/>
                      <w:szCs w:val="22"/>
                    </w:rPr>
                  </w:pPr>
                  <w:r w:rsidRPr="00463C7F">
                    <w:rPr>
                      <w:rFonts w:cs="Arial"/>
                      <w:sz w:val="22"/>
                      <w:szCs w:val="22"/>
                    </w:rPr>
                    <w:t>£m</w:t>
                  </w:r>
                </w:p>
              </w:tc>
            </w:tr>
            <w:tr w:rsidR="00463C7F" w:rsidRPr="00463C7F" w:rsidTr="0056633A">
              <w:tc>
                <w:tcPr>
                  <w:tcW w:w="4141" w:type="dxa"/>
                </w:tcPr>
                <w:p w:rsidR="00463C7F" w:rsidRPr="00463C7F" w:rsidRDefault="00463C7F" w:rsidP="00463C7F">
                  <w:pPr>
                    <w:rPr>
                      <w:rFonts w:cs="Arial"/>
                      <w:sz w:val="22"/>
                      <w:szCs w:val="22"/>
                    </w:rPr>
                  </w:pPr>
                  <w:r w:rsidRPr="00463C7F">
                    <w:rPr>
                      <w:rFonts w:cs="Arial"/>
                      <w:sz w:val="22"/>
                      <w:szCs w:val="22"/>
                    </w:rPr>
                    <w:t>General Fund reserve</w:t>
                  </w:r>
                </w:p>
              </w:tc>
              <w:tc>
                <w:tcPr>
                  <w:tcW w:w="2222" w:type="dxa"/>
                </w:tcPr>
                <w:p w:rsidR="00463C7F" w:rsidRPr="00463C7F" w:rsidRDefault="00463C7F" w:rsidP="00463C7F">
                  <w:pPr>
                    <w:rPr>
                      <w:rFonts w:cs="Arial"/>
                      <w:sz w:val="22"/>
                      <w:szCs w:val="22"/>
                    </w:rPr>
                  </w:pPr>
                  <w:r w:rsidRPr="00463C7F">
                    <w:rPr>
                      <w:rFonts w:cs="Arial"/>
                      <w:sz w:val="22"/>
                      <w:szCs w:val="22"/>
                    </w:rPr>
                    <w:t>13.880</w:t>
                  </w:r>
                </w:p>
              </w:tc>
            </w:tr>
            <w:tr w:rsidR="00463C7F" w:rsidRPr="00463C7F" w:rsidTr="0056633A">
              <w:tc>
                <w:tcPr>
                  <w:tcW w:w="4141" w:type="dxa"/>
                </w:tcPr>
                <w:p w:rsidR="00463C7F" w:rsidRPr="00463C7F" w:rsidRDefault="00463C7F" w:rsidP="00463C7F">
                  <w:pPr>
                    <w:rPr>
                      <w:rFonts w:cs="Arial"/>
                      <w:sz w:val="22"/>
                      <w:szCs w:val="22"/>
                    </w:rPr>
                  </w:pPr>
                  <w:r w:rsidRPr="00463C7F">
                    <w:rPr>
                      <w:rFonts w:cs="Arial"/>
                      <w:sz w:val="22"/>
                      <w:szCs w:val="22"/>
                    </w:rPr>
                    <w:t>Insurance reserve</w:t>
                  </w:r>
                </w:p>
              </w:tc>
              <w:tc>
                <w:tcPr>
                  <w:tcW w:w="2222" w:type="dxa"/>
                </w:tcPr>
                <w:p w:rsidR="00463C7F" w:rsidRPr="00463C7F" w:rsidRDefault="00463C7F" w:rsidP="00463C7F">
                  <w:pPr>
                    <w:rPr>
                      <w:rFonts w:cs="Arial"/>
                      <w:sz w:val="22"/>
                      <w:szCs w:val="22"/>
                    </w:rPr>
                  </w:pPr>
                  <w:r w:rsidRPr="00463C7F">
                    <w:rPr>
                      <w:rFonts w:cs="Arial"/>
                      <w:sz w:val="22"/>
                      <w:szCs w:val="22"/>
                    </w:rPr>
                    <w:t>15.173</w:t>
                  </w:r>
                </w:p>
              </w:tc>
            </w:tr>
            <w:tr w:rsidR="00463C7F" w:rsidRPr="00463C7F" w:rsidTr="0056633A">
              <w:tc>
                <w:tcPr>
                  <w:tcW w:w="4141" w:type="dxa"/>
                </w:tcPr>
                <w:p w:rsidR="00463C7F" w:rsidRPr="00463C7F" w:rsidRDefault="00463C7F" w:rsidP="00463C7F">
                  <w:pPr>
                    <w:rPr>
                      <w:rFonts w:cs="Arial"/>
                      <w:sz w:val="22"/>
                      <w:szCs w:val="22"/>
                    </w:rPr>
                  </w:pPr>
                  <w:r w:rsidRPr="00463C7F">
                    <w:rPr>
                      <w:rFonts w:cs="Arial"/>
                      <w:sz w:val="22"/>
                      <w:szCs w:val="22"/>
                    </w:rPr>
                    <w:t>PFI reserve</w:t>
                  </w:r>
                </w:p>
              </w:tc>
              <w:tc>
                <w:tcPr>
                  <w:tcW w:w="2222" w:type="dxa"/>
                </w:tcPr>
                <w:p w:rsidR="00463C7F" w:rsidRPr="00463C7F" w:rsidRDefault="00463C7F" w:rsidP="00463C7F">
                  <w:pPr>
                    <w:rPr>
                      <w:rFonts w:cs="Arial"/>
                      <w:sz w:val="22"/>
                      <w:szCs w:val="22"/>
                    </w:rPr>
                  </w:pPr>
                  <w:r w:rsidRPr="00463C7F">
                    <w:rPr>
                      <w:rFonts w:cs="Arial"/>
                      <w:sz w:val="22"/>
                      <w:szCs w:val="22"/>
                    </w:rPr>
                    <w:t>12.302</w:t>
                  </w:r>
                </w:p>
              </w:tc>
            </w:tr>
            <w:tr w:rsidR="00463C7F" w:rsidRPr="00463C7F" w:rsidTr="0056633A">
              <w:tc>
                <w:tcPr>
                  <w:tcW w:w="4141" w:type="dxa"/>
                </w:tcPr>
                <w:p w:rsidR="00463C7F" w:rsidRPr="00463C7F" w:rsidRDefault="00463C7F" w:rsidP="00463C7F">
                  <w:pPr>
                    <w:rPr>
                      <w:rFonts w:cs="Arial"/>
                      <w:sz w:val="22"/>
                      <w:szCs w:val="22"/>
                    </w:rPr>
                  </w:pPr>
                  <w:r w:rsidRPr="00463C7F">
                    <w:rPr>
                      <w:rFonts w:cs="Arial"/>
                      <w:sz w:val="22"/>
                      <w:szCs w:val="22"/>
                    </w:rPr>
                    <w:t>Earmarked reserves</w:t>
                  </w:r>
                </w:p>
              </w:tc>
              <w:tc>
                <w:tcPr>
                  <w:tcW w:w="2222" w:type="dxa"/>
                </w:tcPr>
                <w:p w:rsidR="00463C7F" w:rsidRPr="00463C7F" w:rsidRDefault="00463C7F" w:rsidP="00463C7F">
                  <w:pPr>
                    <w:rPr>
                      <w:rFonts w:cs="Arial"/>
                      <w:sz w:val="22"/>
                      <w:szCs w:val="22"/>
                    </w:rPr>
                  </w:pPr>
                  <w:r w:rsidRPr="00463C7F">
                    <w:rPr>
                      <w:rFonts w:cs="Arial"/>
                      <w:sz w:val="22"/>
                      <w:szCs w:val="22"/>
                    </w:rPr>
                    <w:t>34.197</w:t>
                  </w:r>
                </w:p>
              </w:tc>
            </w:tr>
            <w:tr w:rsidR="00463C7F" w:rsidRPr="00463C7F" w:rsidTr="0056633A">
              <w:tc>
                <w:tcPr>
                  <w:tcW w:w="4141" w:type="dxa"/>
                </w:tcPr>
                <w:p w:rsidR="00463C7F" w:rsidRPr="00463C7F" w:rsidRDefault="00463C7F" w:rsidP="00463C7F">
                  <w:pPr>
                    <w:rPr>
                      <w:rFonts w:cs="Arial"/>
                      <w:b/>
                      <w:sz w:val="22"/>
                      <w:szCs w:val="22"/>
                    </w:rPr>
                  </w:pPr>
                  <w:r w:rsidRPr="00463C7F">
                    <w:rPr>
                      <w:rFonts w:cs="Arial"/>
                      <w:b/>
                      <w:sz w:val="22"/>
                      <w:szCs w:val="22"/>
                    </w:rPr>
                    <w:t>TOTAL USEABLE RESERVES</w:t>
                  </w:r>
                </w:p>
              </w:tc>
              <w:tc>
                <w:tcPr>
                  <w:tcW w:w="2222" w:type="dxa"/>
                </w:tcPr>
                <w:p w:rsidR="00463C7F" w:rsidRPr="00463C7F" w:rsidRDefault="00463C7F" w:rsidP="00463C7F">
                  <w:pPr>
                    <w:rPr>
                      <w:rFonts w:cs="Arial"/>
                      <w:b/>
                      <w:sz w:val="22"/>
                      <w:szCs w:val="22"/>
                    </w:rPr>
                  </w:pPr>
                  <w:r w:rsidRPr="00463C7F">
                    <w:rPr>
                      <w:rFonts w:cs="Arial"/>
                      <w:b/>
                      <w:sz w:val="22"/>
                      <w:szCs w:val="22"/>
                    </w:rPr>
                    <w:t>75.551</w:t>
                  </w:r>
                </w:p>
              </w:tc>
            </w:tr>
          </w:tbl>
          <w:p w:rsidR="00463C7F" w:rsidRPr="00463C7F" w:rsidRDefault="00463C7F" w:rsidP="00463C7F">
            <w:pPr>
              <w:rPr>
                <w:rFonts w:cs="Arial"/>
                <w:sz w:val="22"/>
                <w:szCs w:val="22"/>
              </w:rPr>
            </w:pPr>
          </w:p>
          <w:p w:rsidR="00463C7F" w:rsidRPr="00463C7F" w:rsidRDefault="00463C7F" w:rsidP="00463C7F">
            <w:pPr>
              <w:rPr>
                <w:rFonts w:cs="Arial"/>
                <w:i/>
                <w:sz w:val="22"/>
                <w:szCs w:val="22"/>
              </w:rPr>
            </w:pPr>
            <w:r w:rsidRPr="00463C7F">
              <w:rPr>
                <w:rFonts w:cs="Arial"/>
                <w:i/>
                <w:sz w:val="22"/>
                <w:szCs w:val="22"/>
              </w:rPr>
              <w:t>This represents 14% of the net budget requirement</w:t>
            </w:r>
          </w:p>
          <w:p w:rsidR="00463C7F" w:rsidRPr="00463C7F" w:rsidRDefault="00463C7F" w:rsidP="00463C7F">
            <w:pPr>
              <w:rPr>
                <w:rFonts w:cs="Arial"/>
                <w:b/>
                <w:sz w:val="22"/>
                <w:szCs w:val="22"/>
              </w:rPr>
            </w:pPr>
          </w:p>
          <w:p w:rsidR="00463C7F" w:rsidRPr="00463C7F" w:rsidRDefault="00463C7F" w:rsidP="00463C7F">
            <w:pPr>
              <w:rPr>
                <w:rFonts w:cs="Arial"/>
                <w:sz w:val="22"/>
                <w:szCs w:val="22"/>
              </w:rPr>
            </w:pPr>
            <w:r w:rsidRPr="00463C7F">
              <w:rPr>
                <w:rFonts w:cs="Arial"/>
                <w:sz w:val="22"/>
                <w:szCs w:val="22"/>
              </w:rPr>
              <w:t xml:space="preserve">Details of the </w:t>
            </w:r>
            <w:r w:rsidR="00F35A45">
              <w:rPr>
                <w:rFonts w:cs="Arial"/>
                <w:sz w:val="22"/>
                <w:szCs w:val="22"/>
              </w:rPr>
              <w:t>r</w:t>
            </w:r>
            <w:r w:rsidRPr="00463C7F">
              <w:rPr>
                <w:rFonts w:cs="Arial"/>
                <w:sz w:val="22"/>
                <w:szCs w:val="22"/>
              </w:rPr>
              <w:t xml:space="preserve">eserves can be found </w:t>
            </w:r>
            <w:r w:rsidR="00F35A45">
              <w:rPr>
                <w:rFonts w:cs="Arial"/>
                <w:sz w:val="22"/>
                <w:szCs w:val="22"/>
              </w:rPr>
              <w:t xml:space="preserve">from </w:t>
            </w:r>
            <w:r w:rsidRPr="00463C7F">
              <w:rPr>
                <w:rFonts w:cs="Arial"/>
                <w:sz w:val="22"/>
                <w:szCs w:val="22"/>
              </w:rPr>
              <w:t>section 8</w:t>
            </w:r>
            <w:r w:rsidR="00F35A45">
              <w:rPr>
                <w:rFonts w:cs="Arial"/>
                <w:sz w:val="22"/>
                <w:szCs w:val="22"/>
              </w:rPr>
              <w:t xml:space="preserve"> to 10</w:t>
            </w:r>
            <w:r w:rsidRPr="00463C7F">
              <w:rPr>
                <w:rFonts w:cs="Arial"/>
                <w:sz w:val="22"/>
                <w:szCs w:val="22"/>
              </w:rPr>
              <w:t xml:space="preserve">. In addition there are a number of unusable reserves which are shown at section </w:t>
            </w:r>
            <w:r w:rsidR="00F35A45">
              <w:rPr>
                <w:rFonts w:cs="Arial"/>
                <w:sz w:val="22"/>
                <w:szCs w:val="22"/>
              </w:rPr>
              <w:t>11</w:t>
            </w:r>
            <w:r w:rsidRPr="00463C7F">
              <w:rPr>
                <w:rFonts w:cs="Arial"/>
                <w:sz w:val="22"/>
                <w:szCs w:val="22"/>
              </w:rPr>
              <w:t>.</w:t>
            </w:r>
          </w:p>
          <w:p w:rsidR="00D539CD" w:rsidRPr="00D539CD" w:rsidRDefault="00D539CD">
            <w:pPr>
              <w:rPr>
                <w:rFonts w:cs="Arial"/>
                <w:sz w:val="22"/>
                <w:szCs w:val="22"/>
              </w:rPr>
            </w:pP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pPr>
              <w:rPr>
                <w:rFonts w:cs="Arial"/>
                <w:sz w:val="22"/>
                <w:szCs w:val="22"/>
              </w:rPr>
            </w:pPr>
          </w:p>
        </w:tc>
      </w:tr>
      <w:tr w:rsidR="00D539CD" w:rsidTr="0097492F">
        <w:tc>
          <w:tcPr>
            <w:tcW w:w="704" w:type="dxa"/>
          </w:tcPr>
          <w:p w:rsidR="00D539CD" w:rsidRPr="00D539CD" w:rsidRDefault="00D539CD">
            <w:pPr>
              <w:rPr>
                <w:rFonts w:cs="Arial"/>
                <w:b/>
                <w:sz w:val="22"/>
                <w:szCs w:val="22"/>
              </w:rPr>
            </w:pPr>
            <w:r>
              <w:rPr>
                <w:rFonts w:cs="Arial"/>
                <w:b/>
                <w:sz w:val="22"/>
                <w:szCs w:val="22"/>
              </w:rPr>
              <w:t>7.</w:t>
            </w:r>
          </w:p>
        </w:tc>
        <w:tc>
          <w:tcPr>
            <w:tcW w:w="8312" w:type="dxa"/>
            <w:gridSpan w:val="2"/>
          </w:tcPr>
          <w:p w:rsidR="00D539CD" w:rsidRPr="00463C7F" w:rsidRDefault="00463C7F">
            <w:pPr>
              <w:rPr>
                <w:rFonts w:cs="Arial"/>
                <w:b/>
                <w:sz w:val="22"/>
                <w:szCs w:val="22"/>
              </w:rPr>
            </w:pPr>
            <w:r w:rsidRPr="00463C7F">
              <w:rPr>
                <w:rFonts w:cs="Arial"/>
                <w:b/>
                <w:sz w:val="22"/>
                <w:szCs w:val="22"/>
              </w:rPr>
              <w:t>Minimum levels of reserves (General Fund)</w:t>
            </w:r>
          </w:p>
        </w:tc>
      </w:tr>
      <w:tr w:rsidR="00D539CD" w:rsidTr="0097492F">
        <w:tc>
          <w:tcPr>
            <w:tcW w:w="704" w:type="dxa"/>
          </w:tcPr>
          <w:p w:rsidR="00D539CD" w:rsidRPr="00D539CD" w:rsidRDefault="00D539CD">
            <w:pPr>
              <w:rPr>
                <w:rFonts w:cs="Arial"/>
                <w:b/>
                <w:sz w:val="22"/>
                <w:szCs w:val="22"/>
              </w:rPr>
            </w:pPr>
          </w:p>
        </w:tc>
        <w:tc>
          <w:tcPr>
            <w:tcW w:w="645" w:type="dxa"/>
          </w:tcPr>
          <w:p w:rsidR="00D539CD" w:rsidRPr="00D539CD" w:rsidRDefault="00D539CD">
            <w:pPr>
              <w:rPr>
                <w:rFonts w:cs="Arial"/>
                <w:b/>
                <w:sz w:val="22"/>
                <w:szCs w:val="22"/>
              </w:rPr>
            </w:pPr>
          </w:p>
        </w:tc>
        <w:tc>
          <w:tcPr>
            <w:tcW w:w="7667" w:type="dxa"/>
          </w:tcPr>
          <w:p w:rsidR="00D539CD" w:rsidRPr="00D539CD" w:rsidRDefault="00D539CD">
            <w:pPr>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r>
              <w:rPr>
                <w:rFonts w:cs="Arial"/>
                <w:b/>
                <w:sz w:val="22"/>
                <w:szCs w:val="22"/>
              </w:rPr>
              <w:t>7.1</w:t>
            </w:r>
          </w:p>
        </w:tc>
        <w:tc>
          <w:tcPr>
            <w:tcW w:w="7667" w:type="dxa"/>
          </w:tcPr>
          <w:p w:rsidR="00463C7F" w:rsidRPr="00D539CD" w:rsidRDefault="00463C7F" w:rsidP="00F23ABA">
            <w:pPr>
              <w:jc w:val="both"/>
              <w:rPr>
                <w:rFonts w:cs="Arial"/>
                <w:sz w:val="22"/>
                <w:szCs w:val="22"/>
              </w:rPr>
            </w:pPr>
            <w:r w:rsidRPr="00463C7F">
              <w:rPr>
                <w:rFonts w:cs="Arial"/>
                <w:sz w:val="22"/>
                <w:szCs w:val="22"/>
              </w:rPr>
              <w:t>The Treasurer makes a regular assessment of the level of budgetary risks over the lifetime of the medium term financial strategy. A General Fund level has to be set annually based on an assessment of risk.</w:t>
            </w: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p>
        </w:tc>
        <w:tc>
          <w:tcPr>
            <w:tcW w:w="7667" w:type="dxa"/>
          </w:tcPr>
          <w:p w:rsidR="00463C7F" w:rsidRPr="00D539CD"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r>
              <w:rPr>
                <w:rFonts w:cs="Arial"/>
                <w:b/>
                <w:sz w:val="22"/>
                <w:szCs w:val="22"/>
              </w:rPr>
              <w:t>7.2</w:t>
            </w:r>
          </w:p>
        </w:tc>
        <w:tc>
          <w:tcPr>
            <w:tcW w:w="7667" w:type="dxa"/>
          </w:tcPr>
          <w:p w:rsidR="00463C7F" w:rsidRPr="00D539CD" w:rsidRDefault="00463C7F" w:rsidP="00F23ABA">
            <w:pPr>
              <w:jc w:val="both"/>
              <w:rPr>
                <w:rFonts w:cs="Arial"/>
                <w:sz w:val="22"/>
                <w:szCs w:val="22"/>
              </w:rPr>
            </w:pPr>
            <w:r w:rsidRPr="00463C7F">
              <w:rPr>
                <w:rFonts w:cs="Arial"/>
                <w:sz w:val="22"/>
                <w:szCs w:val="22"/>
              </w:rPr>
              <w:t>There is no prescriptive guidance on the minimum (or maximum) level of general reserves required, either as an absolute amount or a percentage of the budget.</w:t>
            </w: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p>
        </w:tc>
        <w:tc>
          <w:tcPr>
            <w:tcW w:w="7667" w:type="dxa"/>
          </w:tcPr>
          <w:p w:rsidR="00463C7F" w:rsidRPr="00D539CD"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r>
              <w:rPr>
                <w:rFonts w:cs="Arial"/>
                <w:b/>
                <w:sz w:val="22"/>
                <w:szCs w:val="22"/>
              </w:rPr>
              <w:t>7.3</w:t>
            </w:r>
          </w:p>
        </w:tc>
        <w:tc>
          <w:tcPr>
            <w:tcW w:w="7667" w:type="dxa"/>
          </w:tcPr>
          <w:p w:rsidR="00463C7F" w:rsidRPr="00D539CD" w:rsidRDefault="00463C7F" w:rsidP="00F23ABA">
            <w:pPr>
              <w:jc w:val="both"/>
              <w:rPr>
                <w:rFonts w:cs="Arial"/>
                <w:sz w:val="22"/>
                <w:szCs w:val="22"/>
              </w:rPr>
            </w:pPr>
            <w:r w:rsidRPr="00463C7F">
              <w:rPr>
                <w:rFonts w:cs="Arial"/>
                <w:sz w:val="22"/>
                <w:szCs w:val="22"/>
              </w:rPr>
              <w:t>When recommending a minimum level of the General Fund level the Treasurer takes account of the strategic, operational and financial risks, and that level can be expressed in cash terms or as a percentage of the budget.</w:t>
            </w: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p>
        </w:tc>
        <w:tc>
          <w:tcPr>
            <w:tcW w:w="7667" w:type="dxa"/>
          </w:tcPr>
          <w:p w:rsidR="00463C7F" w:rsidRPr="00D539CD"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r>
              <w:rPr>
                <w:rFonts w:cs="Arial"/>
                <w:b/>
                <w:sz w:val="22"/>
                <w:szCs w:val="22"/>
              </w:rPr>
              <w:t>7.4</w:t>
            </w:r>
          </w:p>
        </w:tc>
        <w:tc>
          <w:tcPr>
            <w:tcW w:w="7667" w:type="dxa"/>
          </w:tcPr>
          <w:p w:rsidR="00463C7F" w:rsidRPr="00152D07" w:rsidRDefault="00152D07" w:rsidP="00152D07">
            <w:pPr>
              <w:jc w:val="both"/>
              <w:rPr>
                <w:rFonts w:cs="Arial"/>
                <w:sz w:val="22"/>
                <w:szCs w:val="22"/>
              </w:rPr>
            </w:pPr>
            <w:r>
              <w:rPr>
                <w:rFonts w:cs="Arial"/>
                <w:sz w:val="22"/>
                <w:szCs w:val="22"/>
              </w:rPr>
              <w:t xml:space="preserve">The General Fund is held to </w:t>
            </w:r>
            <w:r w:rsidR="00463C7F" w:rsidRPr="00152D07">
              <w:rPr>
                <w:rFonts w:cs="Arial"/>
                <w:sz w:val="22"/>
                <w:szCs w:val="22"/>
              </w:rPr>
              <w:t>act as a contingency to cushion the impact of unexpected events or emergencies</w:t>
            </w:r>
          </w:p>
          <w:p w:rsidR="00463C7F" w:rsidRPr="00D539CD"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p>
        </w:tc>
        <w:tc>
          <w:tcPr>
            <w:tcW w:w="7667" w:type="dxa"/>
          </w:tcPr>
          <w:p w:rsidR="00463C7F" w:rsidRPr="00D539CD"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Pr="00D539CD" w:rsidRDefault="00463C7F">
            <w:pPr>
              <w:rPr>
                <w:rFonts w:cs="Arial"/>
                <w:b/>
                <w:sz w:val="22"/>
                <w:szCs w:val="22"/>
              </w:rPr>
            </w:pPr>
            <w:r>
              <w:rPr>
                <w:rFonts w:cs="Arial"/>
                <w:b/>
                <w:sz w:val="22"/>
                <w:szCs w:val="22"/>
              </w:rPr>
              <w:t>7.5</w:t>
            </w:r>
          </w:p>
        </w:tc>
        <w:tc>
          <w:tcPr>
            <w:tcW w:w="7667" w:type="dxa"/>
          </w:tcPr>
          <w:p w:rsidR="00463C7F" w:rsidRPr="00463C7F" w:rsidRDefault="00463C7F" w:rsidP="00F23ABA">
            <w:pPr>
              <w:jc w:val="both"/>
              <w:rPr>
                <w:rFonts w:cs="Arial"/>
                <w:sz w:val="22"/>
                <w:szCs w:val="22"/>
              </w:rPr>
            </w:pPr>
            <w:r w:rsidRPr="00463C7F">
              <w:rPr>
                <w:rFonts w:cs="Arial"/>
                <w:sz w:val="22"/>
                <w:szCs w:val="22"/>
              </w:rPr>
              <w:t>Factors to be considered in setting the level of General Fund are:</w:t>
            </w:r>
            <w:r w:rsidRPr="00463C7F">
              <w:rPr>
                <w:rFonts w:cs="Arial"/>
                <w:sz w:val="22"/>
                <w:szCs w:val="22"/>
              </w:rPr>
              <w:tab/>
            </w:r>
          </w:p>
          <w:p w:rsidR="00463C7F" w:rsidRPr="00463C7F" w:rsidRDefault="00463C7F" w:rsidP="00F23ABA">
            <w:pPr>
              <w:jc w:val="both"/>
              <w:rPr>
                <w:rFonts w:cs="Arial"/>
                <w:sz w:val="22"/>
                <w:szCs w:val="22"/>
              </w:rPr>
            </w:pP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cash flow requirements</w:t>
            </w: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treatment of inflation and interest rates</w:t>
            </w: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estimates of the level and timing of capital receipts</w:t>
            </w: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the treatment of demand-led pressures</w:t>
            </w: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the treatment of planned savings/efficiencies</w:t>
            </w: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financial risks inherent in any significant new funding partnership, major outsourcing arrangement or major capital development</w:t>
            </w:r>
          </w:p>
          <w:p w:rsidR="00463C7F" w:rsidRPr="00463C7F" w:rsidRDefault="00463C7F" w:rsidP="00F23ABA">
            <w:pPr>
              <w:pStyle w:val="ListParagraph"/>
              <w:numPr>
                <w:ilvl w:val="0"/>
                <w:numId w:val="12"/>
              </w:numPr>
              <w:jc w:val="both"/>
              <w:rPr>
                <w:rFonts w:cs="Arial"/>
                <w:sz w:val="22"/>
                <w:szCs w:val="22"/>
              </w:rPr>
            </w:pPr>
            <w:r w:rsidRPr="00463C7F">
              <w:rPr>
                <w:rFonts w:cs="Arial"/>
                <w:sz w:val="22"/>
                <w:szCs w:val="22"/>
              </w:rPr>
              <w:t>the adequacy of other funds, e.g. insurance provision</w:t>
            </w: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p>
        </w:tc>
        <w:tc>
          <w:tcPr>
            <w:tcW w:w="7667" w:type="dxa"/>
          </w:tcPr>
          <w:p w:rsidR="00463C7F" w:rsidRPr="00463C7F"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r>
              <w:rPr>
                <w:rFonts w:cs="Arial"/>
                <w:b/>
                <w:sz w:val="22"/>
                <w:szCs w:val="22"/>
              </w:rPr>
              <w:t>7.6</w:t>
            </w:r>
          </w:p>
        </w:tc>
        <w:tc>
          <w:tcPr>
            <w:tcW w:w="7667" w:type="dxa"/>
          </w:tcPr>
          <w:p w:rsidR="00463C7F" w:rsidRPr="00463C7F" w:rsidRDefault="00463C7F" w:rsidP="00F23ABA">
            <w:pPr>
              <w:jc w:val="both"/>
              <w:rPr>
                <w:rFonts w:cs="Arial"/>
                <w:sz w:val="22"/>
                <w:szCs w:val="22"/>
              </w:rPr>
            </w:pPr>
            <w:r w:rsidRPr="00463C7F">
              <w:rPr>
                <w:rFonts w:cs="Arial"/>
                <w:sz w:val="22"/>
                <w:szCs w:val="22"/>
              </w:rPr>
              <w:t xml:space="preserve">Taking into account the factors listed above, the assessment indicates minimum and maximum levels of £11.784m and £14.564m respectively during 2018-2019.  </w:t>
            </w: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p>
        </w:tc>
        <w:tc>
          <w:tcPr>
            <w:tcW w:w="7667" w:type="dxa"/>
          </w:tcPr>
          <w:p w:rsidR="00463C7F" w:rsidRPr="00463C7F"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r>
              <w:rPr>
                <w:rFonts w:cs="Arial"/>
                <w:b/>
                <w:sz w:val="22"/>
                <w:szCs w:val="22"/>
              </w:rPr>
              <w:t>7.7</w:t>
            </w:r>
          </w:p>
        </w:tc>
        <w:tc>
          <w:tcPr>
            <w:tcW w:w="7667" w:type="dxa"/>
          </w:tcPr>
          <w:p w:rsidR="00463C7F" w:rsidRPr="00463C7F" w:rsidRDefault="00463C7F" w:rsidP="00F23ABA">
            <w:pPr>
              <w:jc w:val="both"/>
              <w:rPr>
                <w:rFonts w:cs="Arial"/>
                <w:sz w:val="22"/>
                <w:szCs w:val="22"/>
              </w:rPr>
            </w:pPr>
            <w:r w:rsidRPr="00463C7F">
              <w:rPr>
                <w:rFonts w:cs="Arial"/>
                <w:sz w:val="22"/>
                <w:szCs w:val="22"/>
              </w:rPr>
              <w:t>The General Fund Balance at 31st March 2018 is forecast to be £13.880m and represents 2.5% of the net budget requirement.</w:t>
            </w: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p>
        </w:tc>
        <w:tc>
          <w:tcPr>
            <w:tcW w:w="7667" w:type="dxa"/>
          </w:tcPr>
          <w:p w:rsidR="00463C7F" w:rsidRPr="00463C7F"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r>
              <w:rPr>
                <w:rFonts w:cs="Arial"/>
                <w:b/>
                <w:sz w:val="22"/>
                <w:szCs w:val="22"/>
              </w:rPr>
              <w:t>7.8</w:t>
            </w:r>
          </w:p>
        </w:tc>
        <w:tc>
          <w:tcPr>
            <w:tcW w:w="7667" w:type="dxa"/>
          </w:tcPr>
          <w:p w:rsidR="00463C7F" w:rsidRPr="00463C7F" w:rsidRDefault="00463C7F" w:rsidP="00F23ABA">
            <w:pPr>
              <w:jc w:val="both"/>
              <w:rPr>
                <w:rFonts w:cs="Arial"/>
                <w:sz w:val="22"/>
                <w:szCs w:val="22"/>
              </w:rPr>
            </w:pPr>
            <w:r w:rsidRPr="00463C7F">
              <w:rPr>
                <w:rFonts w:cs="Arial"/>
                <w:sz w:val="22"/>
                <w:szCs w:val="22"/>
              </w:rPr>
              <w:t>The forecast is within the assessed range.  In the past, part of the General Fund balance has been used to fund budget savings that could not be fully realised within a financial year.  Another option could be to use balances to fund investment required to deliver longer-term efficiencies.  These are legitimate short-term options, but the Chief Finance Officer’s advice would be not to finance recurrent expenditure from reserves.  The amount held in cash balances contribute to investment income received and is credited to the Income and Expenditure Account.</w:t>
            </w: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p>
        </w:tc>
        <w:tc>
          <w:tcPr>
            <w:tcW w:w="7667" w:type="dxa"/>
          </w:tcPr>
          <w:p w:rsidR="00463C7F" w:rsidRPr="00463C7F" w:rsidRDefault="00463C7F" w:rsidP="00F23ABA">
            <w:pPr>
              <w:jc w:val="both"/>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r>
              <w:rPr>
                <w:rFonts w:cs="Arial"/>
                <w:b/>
                <w:sz w:val="22"/>
                <w:szCs w:val="22"/>
              </w:rPr>
              <w:t>7.9</w:t>
            </w:r>
          </w:p>
        </w:tc>
        <w:tc>
          <w:tcPr>
            <w:tcW w:w="7667" w:type="dxa"/>
          </w:tcPr>
          <w:p w:rsidR="00463C7F" w:rsidRPr="00463C7F" w:rsidRDefault="00463C7F" w:rsidP="00F23ABA">
            <w:pPr>
              <w:jc w:val="both"/>
              <w:rPr>
                <w:rFonts w:cs="Arial"/>
                <w:sz w:val="22"/>
                <w:szCs w:val="22"/>
              </w:rPr>
            </w:pPr>
            <w:r w:rsidRPr="00463C7F">
              <w:rPr>
                <w:rFonts w:cs="Arial"/>
                <w:sz w:val="22"/>
                <w:szCs w:val="22"/>
              </w:rPr>
              <w:t>The 2018-19 budget and future year’s estimates do not include any use of General Fund balances.</w:t>
            </w:r>
          </w:p>
        </w:tc>
      </w:tr>
      <w:tr w:rsidR="00463C7F" w:rsidTr="0097492F">
        <w:tc>
          <w:tcPr>
            <w:tcW w:w="704" w:type="dxa"/>
          </w:tcPr>
          <w:p w:rsidR="00463C7F" w:rsidRPr="00D539CD" w:rsidRDefault="00463C7F">
            <w:pPr>
              <w:rPr>
                <w:rFonts w:cs="Arial"/>
                <w:b/>
                <w:sz w:val="22"/>
                <w:szCs w:val="22"/>
              </w:rPr>
            </w:pPr>
          </w:p>
        </w:tc>
        <w:tc>
          <w:tcPr>
            <w:tcW w:w="645" w:type="dxa"/>
          </w:tcPr>
          <w:p w:rsidR="00463C7F" w:rsidRDefault="00463C7F">
            <w:pPr>
              <w:rPr>
                <w:rFonts w:cs="Arial"/>
                <w:b/>
                <w:sz w:val="22"/>
                <w:szCs w:val="22"/>
              </w:rPr>
            </w:pPr>
          </w:p>
        </w:tc>
        <w:tc>
          <w:tcPr>
            <w:tcW w:w="7667" w:type="dxa"/>
          </w:tcPr>
          <w:p w:rsidR="00463C7F" w:rsidRPr="00463C7F" w:rsidRDefault="00463C7F" w:rsidP="00463C7F">
            <w:pPr>
              <w:rPr>
                <w:rFonts w:cs="Arial"/>
                <w:sz w:val="22"/>
                <w:szCs w:val="22"/>
              </w:rPr>
            </w:pPr>
          </w:p>
        </w:tc>
      </w:tr>
      <w:tr w:rsidR="00463C7F" w:rsidTr="0097492F">
        <w:tc>
          <w:tcPr>
            <w:tcW w:w="9016" w:type="dxa"/>
            <w:gridSpan w:val="3"/>
          </w:tcPr>
          <w:p w:rsidR="009651FB" w:rsidRPr="00826406" w:rsidRDefault="009651FB" w:rsidP="009651FB">
            <w:pPr>
              <w:pStyle w:val="Heading1"/>
              <w:tabs>
                <w:tab w:val="clear" w:pos="1134"/>
                <w:tab w:val="clear" w:pos="2977"/>
                <w:tab w:val="clear" w:pos="3261"/>
                <w:tab w:val="clear" w:pos="6237"/>
                <w:tab w:val="left" w:pos="993"/>
                <w:tab w:val="left" w:pos="1418"/>
                <w:tab w:val="left" w:pos="1843"/>
                <w:tab w:val="left" w:pos="2268"/>
                <w:tab w:val="center" w:pos="3686"/>
                <w:tab w:val="decimal" w:pos="7088"/>
                <w:tab w:val="decimal" w:pos="8364"/>
              </w:tabs>
              <w:jc w:val="center"/>
              <w:rPr>
                <w:rFonts w:cs="Arial"/>
                <w:sz w:val="22"/>
                <w:szCs w:val="22"/>
              </w:rPr>
            </w:pPr>
            <w:r w:rsidRPr="00826406">
              <w:rPr>
                <w:rFonts w:cs="Arial"/>
                <w:sz w:val="22"/>
                <w:szCs w:val="22"/>
              </w:rPr>
              <w:t>GENERAL FUND RISK ASSESSMENT</w:t>
            </w:r>
          </w:p>
          <w:p w:rsidR="00463C7F" w:rsidRDefault="00463C7F" w:rsidP="00463C7F">
            <w:pPr>
              <w:rPr>
                <w:rFonts w:cs="Arial"/>
                <w:sz w:val="22"/>
                <w:szCs w:val="22"/>
              </w:rPr>
            </w:pPr>
          </w:p>
          <w:tbl>
            <w:tblPr>
              <w:tblW w:w="8279" w:type="dxa"/>
              <w:tblInd w:w="93" w:type="dxa"/>
              <w:tblLook w:val="04A0" w:firstRow="1" w:lastRow="0" w:firstColumn="1" w:lastColumn="0" w:noHBand="0" w:noVBand="1"/>
            </w:tblPr>
            <w:tblGrid>
              <w:gridCol w:w="339"/>
              <w:gridCol w:w="4515"/>
              <w:gridCol w:w="1012"/>
              <w:gridCol w:w="1182"/>
              <w:gridCol w:w="1231"/>
            </w:tblGrid>
            <w:tr w:rsidR="009651FB" w:rsidRPr="009651FB" w:rsidTr="009651FB">
              <w:trPr>
                <w:trHeight w:val="1209"/>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88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auto" w:fill="auto"/>
                  <w:vAlign w:val="center"/>
                  <w:hideMark/>
                </w:tcPr>
                <w:p w:rsidR="009651FB" w:rsidRPr="009651FB" w:rsidRDefault="009651FB" w:rsidP="009651FB">
                  <w:pPr>
                    <w:jc w:val="center"/>
                    <w:rPr>
                      <w:rFonts w:cs="Arial"/>
                      <w:b/>
                      <w:bCs w:val="0"/>
                      <w:sz w:val="22"/>
                      <w:szCs w:val="22"/>
                      <w:lang w:eastAsia="en-GB"/>
                    </w:rPr>
                  </w:pPr>
                  <w:r w:rsidRPr="009651FB">
                    <w:rPr>
                      <w:rFonts w:cs="Arial"/>
                      <w:b/>
                      <w:sz w:val="22"/>
                      <w:szCs w:val="22"/>
                      <w:lang w:eastAsia="en-GB"/>
                    </w:rPr>
                    <w:t xml:space="preserve">General Fund </w:t>
                  </w:r>
                  <w:r w:rsidRPr="009651FB">
                    <w:rPr>
                      <w:rFonts w:cs="Arial"/>
                      <w:b/>
                      <w:sz w:val="22"/>
                      <w:szCs w:val="22"/>
                      <w:lang w:eastAsia="en-GB"/>
                    </w:rPr>
                    <w:br/>
                    <w:t>Amount</w:t>
                  </w:r>
                  <w:r w:rsidRPr="009651FB">
                    <w:rPr>
                      <w:rFonts w:cs="Arial"/>
                      <w:b/>
                      <w:sz w:val="22"/>
                      <w:szCs w:val="22"/>
                      <w:lang w:eastAsia="en-GB"/>
                    </w:rPr>
                    <w:br/>
                    <w:t xml:space="preserve"> Minimum </w:t>
                  </w:r>
                  <w:r w:rsidRPr="009651FB">
                    <w:rPr>
                      <w:rFonts w:cs="Arial"/>
                      <w:b/>
                      <w:sz w:val="22"/>
                      <w:szCs w:val="22"/>
                      <w:lang w:eastAsia="en-GB"/>
                    </w:rPr>
                    <w:br/>
                    <w:t>£m</w:t>
                  </w:r>
                </w:p>
              </w:tc>
              <w:tc>
                <w:tcPr>
                  <w:tcW w:w="1118" w:type="dxa"/>
                  <w:tcBorders>
                    <w:top w:val="nil"/>
                    <w:left w:val="nil"/>
                    <w:bottom w:val="nil"/>
                    <w:right w:val="nil"/>
                  </w:tcBorders>
                  <w:shd w:val="clear" w:color="auto" w:fill="auto"/>
                  <w:vAlign w:val="center"/>
                  <w:hideMark/>
                </w:tcPr>
                <w:p w:rsidR="009651FB" w:rsidRPr="009651FB" w:rsidRDefault="009651FB" w:rsidP="009651FB">
                  <w:pPr>
                    <w:jc w:val="center"/>
                    <w:rPr>
                      <w:rFonts w:cs="Arial"/>
                      <w:b/>
                      <w:bCs w:val="0"/>
                      <w:sz w:val="22"/>
                      <w:szCs w:val="22"/>
                      <w:lang w:eastAsia="en-GB"/>
                    </w:rPr>
                  </w:pPr>
                  <w:r w:rsidRPr="009651FB">
                    <w:rPr>
                      <w:rFonts w:cs="Arial"/>
                      <w:b/>
                      <w:sz w:val="22"/>
                      <w:szCs w:val="22"/>
                      <w:lang w:eastAsia="en-GB"/>
                    </w:rPr>
                    <w:t xml:space="preserve">General Fund </w:t>
                  </w:r>
                  <w:r w:rsidRPr="009651FB">
                    <w:rPr>
                      <w:rFonts w:cs="Arial"/>
                      <w:b/>
                      <w:sz w:val="22"/>
                      <w:szCs w:val="22"/>
                      <w:lang w:eastAsia="en-GB"/>
                    </w:rPr>
                    <w:br/>
                    <w:t>Amount</w:t>
                  </w:r>
                  <w:r w:rsidRPr="009651FB">
                    <w:rPr>
                      <w:rFonts w:cs="Arial"/>
                      <w:b/>
                      <w:sz w:val="22"/>
                      <w:szCs w:val="22"/>
                      <w:lang w:eastAsia="en-GB"/>
                    </w:rPr>
                    <w:br/>
                    <w:t xml:space="preserve"> Maximum </w:t>
                  </w:r>
                  <w:r w:rsidRPr="009651FB">
                    <w:rPr>
                      <w:rFonts w:cs="Arial"/>
                      <w:b/>
                      <w:sz w:val="22"/>
                      <w:szCs w:val="22"/>
                      <w:lang w:eastAsia="en-GB"/>
                    </w:rPr>
                    <w:br/>
                    <w:t>£m</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b/>
                      <w:bCs w:val="0"/>
                      <w:sz w:val="22"/>
                      <w:szCs w:val="22"/>
                      <w:lang w:eastAsia="en-GB"/>
                    </w:rPr>
                  </w:pPr>
                  <w:r w:rsidRPr="009651FB">
                    <w:rPr>
                      <w:rFonts w:cs="Arial"/>
                      <w:b/>
                      <w:sz w:val="22"/>
                      <w:szCs w:val="22"/>
                      <w:lang w:eastAsia="en-GB"/>
                    </w:rPr>
                    <w:t>1</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u w:val="single"/>
                      <w:lang w:eastAsia="en-GB"/>
                    </w:rPr>
                  </w:pPr>
                  <w:r w:rsidRPr="009651FB">
                    <w:rPr>
                      <w:rFonts w:cs="Arial"/>
                      <w:b/>
                      <w:sz w:val="22"/>
                      <w:szCs w:val="22"/>
                      <w:u w:val="single"/>
                      <w:lang w:eastAsia="en-GB"/>
                    </w:rPr>
                    <w:t>Large scale major incident</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u w:val="single"/>
                      <w:lang w:eastAsia="en-GB"/>
                    </w:rPr>
                  </w:pP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Funding 2018-19</w:t>
                  </w:r>
                </w:p>
              </w:tc>
              <w:tc>
                <w:tcPr>
                  <w:tcW w:w="881" w:type="dxa"/>
                  <w:tcBorders>
                    <w:top w:val="nil"/>
                    <w:left w:val="nil"/>
                    <w:bottom w:val="nil"/>
                    <w:right w:val="nil"/>
                  </w:tcBorders>
                  <w:shd w:val="clear" w:color="000000" w:fill="FFFFFF"/>
                  <w:vAlign w:val="center"/>
                  <w:hideMark/>
                </w:tcPr>
                <w:p w:rsidR="009651FB" w:rsidRPr="009651FB" w:rsidRDefault="009651FB" w:rsidP="009651FB">
                  <w:pPr>
                    <w:jc w:val="center"/>
                    <w:rPr>
                      <w:rFonts w:cs="Arial"/>
                      <w:sz w:val="22"/>
                      <w:szCs w:val="22"/>
                      <w:lang w:eastAsia="en-GB"/>
                    </w:rPr>
                  </w:pPr>
                  <w:r w:rsidRPr="009651FB">
                    <w:rPr>
                      <w:rFonts w:cs="Arial"/>
                      <w:sz w:val="22"/>
                      <w:szCs w:val="22"/>
                      <w:lang w:eastAsia="en-GB"/>
                    </w:rPr>
                    <w:t>£m</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407"/>
              </w:trPr>
              <w:tc>
                <w:tcPr>
                  <w:tcW w:w="276"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4993" w:type="dxa"/>
                  <w:tcBorders>
                    <w:top w:val="nil"/>
                    <w:left w:val="nil"/>
                    <w:bottom w:val="nil"/>
                    <w:right w:val="nil"/>
                  </w:tcBorders>
                  <w:shd w:val="clear" w:color="000000" w:fill="FFFFFF"/>
                  <w:vAlign w:val="bottom"/>
                  <w:hideMark/>
                </w:tcPr>
                <w:p w:rsidR="009651FB" w:rsidRPr="009651FB" w:rsidRDefault="009651FB" w:rsidP="009651FB">
                  <w:pPr>
                    <w:rPr>
                      <w:rFonts w:cs="Arial"/>
                      <w:sz w:val="22"/>
                      <w:szCs w:val="22"/>
                      <w:lang w:eastAsia="en-GB"/>
                    </w:rPr>
                  </w:pPr>
                  <w:r w:rsidRPr="009651FB">
                    <w:rPr>
                      <w:rFonts w:cs="Arial"/>
                      <w:sz w:val="22"/>
                      <w:szCs w:val="22"/>
                      <w:lang w:eastAsia="en-GB"/>
                    </w:rPr>
                    <w:t>Police Grant</w:t>
                  </w:r>
                </w:p>
              </w:tc>
              <w:tc>
                <w:tcPr>
                  <w:tcW w:w="881"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428.018</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Precept &amp; Collection fund balance</w:t>
                  </w:r>
                </w:p>
              </w:tc>
              <w:tc>
                <w:tcPr>
                  <w:tcW w:w="88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130.840</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Funding total</w:t>
                  </w:r>
                </w:p>
              </w:tc>
              <w:tc>
                <w:tcPr>
                  <w:tcW w:w="881" w:type="dxa"/>
                  <w:tcBorders>
                    <w:top w:val="single" w:sz="8" w:space="0" w:color="auto"/>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558.858</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88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b/>
                      <w:bCs w:val="0"/>
                      <w:sz w:val="22"/>
                      <w:szCs w:val="22"/>
                      <w:lang w:eastAsia="en-GB"/>
                    </w:rPr>
                  </w:pPr>
                  <w:r w:rsidRPr="009651FB">
                    <w:rPr>
                      <w:rFonts w:cs="Arial"/>
                      <w:b/>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Allow between 2% and 2.5% of funding total</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11.177</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13.971</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b/>
                      <w:bCs w:val="0"/>
                      <w:sz w:val="22"/>
                      <w:szCs w:val="22"/>
                      <w:lang w:eastAsia="en-GB"/>
                    </w:rPr>
                  </w:pPr>
                  <w:r w:rsidRPr="009651FB">
                    <w:rPr>
                      <w:rFonts w:cs="Arial"/>
                      <w:b/>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b/>
                      <w:bCs w:val="0"/>
                      <w:sz w:val="22"/>
                      <w:szCs w:val="22"/>
                      <w:lang w:eastAsia="en-GB"/>
                    </w:rPr>
                  </w:pPr>
                  <w:r w:rsidRPr="009651FB">
                    <w:rPr>
                      <w:rFonts w:cs="Arial"/>
                      <w:b/>
                      <w:sz w:val="22"/>
                      <w:szCs w:val="22"/>
                      <w:lang w:eastAsia="en-GB"/>
                    </w:rPr>
                    <w:t>2</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u w:val="single"/>
                      <w:lang w:eastAsia="en-GB"/>
                    </w:rPr>
                  </w:pPr>
                  <w:r w:rsidRPr="009651FB">
                    <w:rPr>
                      <w:rFonts w:cs="Arial"/>
                      <w:b/>
                      <w:sz w:val="22"/>
                      <w:szCs w:val="22"/>
                      <w:u w:val="single"/>
                      <w:lang w:eastAsia="en-GB"/>
                    </w:rPr>
                    <w:t>SFO Savings</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b/>
                      <w:bCs w:val="0"/>
                      <w:sz w:val="22"/>
                      <w:szCs w:val="22"/>
                      <w:u w:val="single"/>
                      <w:lang w:eastAsia="en-GB"/>
                    </w:rPr>
                  </w:pP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56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Assume cumulative identified savings are not achieved by between 3% and 5%.</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0.327</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0.545</w:t>
                  </w:r>
                </w:p>
              </w:tc>
            </w:tr>
            <w:tr w:rsidR="009651FB" w:rsidRPr="009651FB" w:rsidTr="009651FB">
              <w:trPr>
                <w:trHeight w:val="56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Assume cumulative unidentified savings are not identified by between 5% and 10%.</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0</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0</w:t>
                  </w:r>
                </w:p>
              </w:tc>
            </w:tr>
            <w:tr w:rsidR="009651FB" w:rsidRPr="009651FB" w:rsidTr="009651FB">
              <w:trPr>
                <w:trHeight w:val="178"/>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 </w:t>
                  </w:r>
                </w:p>
              </w:tc>
              <w:tc>
                <w:tcPr>
                  <w:tcW w:w="881" w:type="dxa"/>
                  <w:tcBorders>
                    <w:top w:val="nil"/>
                    <w:left w:val="nil"/>
                    <w:bottom w:val="nil"/>
                    <w:right w:val="nil"/>
                  </w:tcBorders>
                  <w:shd w:val="clear" w:color="000000" w:fill="FFFFFF"/>
                  <w:vAlign w:val="center"/>
                  <w:hideMark/>
                </w:tcPr>
                <w:p w:rsidR="009651FB" w:rsidRPr="009651FB" w:rsidRDefault="009651FB" w:rsidP="009651FB">
                  <w:pPr>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u w:val="single"/>
                      <w:lang w:eastAsia="en-GB"/>
                    </w:rPr>
                  </w:pPr>
                  <w:r w:rsidRPr="009651FB">
                    <w:rPr>
                      <w:rFonts w:cs="Arial"/>
                      <w:b/>
                      <w:sz w:val="22"/>
                      <w:szCs w:val="22"/>
                      <w:u w:val="single"/>
                      <w:lang w:eastAsia="en-GB"/>
                    </w:rPr>
                    <w:t>SUGGESTED GENERAL FUND LEVEL AT 31/3/18</w:t>
                  </w:r>
                </w:p>
              </w:tc>
              <w:tc>
                <w:tcPr>
                  <w:tcW w:w="881"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011" w:type="dxa"/>
                  <w:tcBorders>
                    <w:top w:val="single" w:sz="8" w:space="0" w:color="auto"/>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11.504</w:t>
                  </w:r>
                </w:p>
              </w:tc>
              <w:tc>
                <w:tcPr>
                  <w:tcW w:w="1118" w:type="dxa"/>
                  <w:tcBorders>
                    <w:top w:val="single" w:sz="8" w:space="0" w:color="auto"/>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14.516</w:t>
                  </w:r>
                </w:p>
              </w:tc>
            </w:tr>
            <w:tr w:rsidR="009651FB" w:rsidRPr="009651FB" w:rsidTr="009651FB">
              <w:trPr>
                <w:trHeight w:val="254"/>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u w:val="single"/>
                      <w:lang w:eastAsia="en-GB"/>
                    </w:rPr>
                  </w:pPr>
                  <w:r w:rsidRPr="009651FB">
                    <w:rPr>
                      <w:rFonts w:cs="Arial"/>
                      <w:b/>
                      <w:sz w:val="22"/>
                      <w:szCs w:val="22"/>
                      <w:u w:val="single"/>
                      <w:lang w:eastAsia="en-GB"/>
                    </w:rPr>
                    <w:t> </w:t>
                  </w:r>
                </w:p>
              </w:tc>
              <w:tc>
                <w:tcPr>
                  <w:tcW w:w="881"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011"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280"/>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Level at 31/3/18</w:t>
                  </w:r>
                </w:p>
              </w:tc>
              <w:tc>
                <w:tcPr>
                  <w:tcW w:w="881"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1011"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13.880</w:t>
                  </w:r>
                </w:p>
              </w:tc>
              <w:tc>
                <w:tcPr>
                  <w:tcW w:w="1118"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13.880</w:t>
                  </w:r>
                </w:p>
              </w:tc>
            </w:tr>
            <w:tr w:rsidR="009651FB" w:rsidRPr="009651FB" w:rsidTr="009651FB">
              <w:trPr>
                <w:trHeight w:val="216"/>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881"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1011"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1118" w:type="dxa"/>
                  <w:tcBorders>
                    <w:top w:val="nil"/>
                    <w:left w:val="nil"/>
                    <w:bottom w:val="nil"/>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r>
            <w:tr w:rsidR="009651FB" w:rsidRPr="009651FB" w:rsidTr="009651FB">
              <w:trPr>
                <w:trHeight w:val="522"/>
              </w:trPr>
              <w:tc>
                <w:tcPr>
                  <w:tcW w:w="276" w:type="dxa"/>
                  <w:tcBorders>
                    <w:top w:val="nil"/>
                    <w:left w:val="nil"/>
                    <w:bottom w:val="nil"/>
                    <w:right w:val="nil"/>
                  </w:tcBorders>
                  <w:shd w:val="clear" w:color="000000" w:fill="FFFFFF"/>
                  <w:vAlign w:val="center"/>
                  <w:hideMark/>
                </w:tcPr>
                <w:p w:rsidR="009651FB" w:rsidRPr="009651FB" w:rsidRDefault="009651FB" w:rsidP="009651FB">
                  <w:pPr>
                    <w:jc w:val="right"/>
                    <w:rPr>
                      <w:rFonts w:cs="Arial"/>
                      <w:sz w:val="22"/>
                      <w:szCs w:val="22"/>
                      <w:lang w:eastAsia="en-GB"/>
                    </w:rPr>
                  </w:pPr>
                  <w:r w:rsidRPr="009651FB">
                    <w:rPr>
                      <w:rFonts w:cs="Arial"/>
                      <w:sz w:val="22"/>
                      <w:szCs w:val="22"/>
                      <w:lang w:eastAsia="en-GB"/>
                    </w:rPr>
                    <w:t> </w:t>
                  </w:r>
                </w:p>
              </w:tc>
              <w:tc>
                <w:tcPr>
                  <w:tcW w:w="4993"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Difference between suggested and forecast levels at 31/3/18</w:t>
                  </w:r>
                </w:p>
              </w:tc>
              <w:tc>
                <w:tcPr>
                  <w:tcW w:w="881" w:type="dxa"/>
                  <w:tcBorders>
                    <w:top w:val="nil"/>
                    <w:left w:val="nil"/>
                    <w:bottom w:val="nil"/>
                    <w:right w:val="nil"/>
                  </w:tcBorders>
                  <w:shd w:val="clear" w:color="000000" w:fill="FFFFFF"/>
                  <w:vAlign w:val="bottom"/>
                  <w:hideMark/>
                </w:tcPr>
                <w:p w:rsidR="009651FB" w:rsidRPr="009651FB" w:rsidRDefault="009651FB" w:rsidP="009651FB">
                  <w:pPr>
                    <w:rPr>
                      <w:rFonts w:cs="Arial"/>
                      <w:b/>
                      <w:bCs w:val="0"/>
                      <w:sz w:val="22"/>
                      <w:szCs w:val="22"/>
                      <w:lang w:eastAsia="en-GB"/>
                    </w:rPr>
                  </w:pPr>
                  <w:r w:rsidRPr="009651FB">
                    <w:rPr>
                      <w:rFonts w:cs="Arial"/>
                      <w:b/>
                      <w:sz w:val="22"/>
                      <w:szCs w:val="22"/>
                      <w:lang w:eastAsia="en-GB"/>
                    </w:rPr>
                    <w:t> </w:t>
                  </w:r>
                </w:p>
              </w:tc>
              <w:tc>
                <w:tcPr>
                  <w:tcW w:w="1011" w:type="dxa"/>
                  <w:tcBorders>
                    <w:top w:val="single" w:sz="4" w:space="0" w:color="auto"/>
                    <w:left w:val="nil"/>
                    <w:bottom w:val="double" w:sz="6" w:space="0" w:color="auto"/>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-2.376</w:t>
                  </w:r>
                </w:p>
              </w:tc>
              <w:tc>
                <w:tcPr>
                  <w:tcW w:w="1118" w:type="dxa"/>
                  <w:tcBorders>
                    <w:top w:val="single" w:sz="4" w:space="0" w:color="auto"/>
                    <w:left w:val="nil"/>
                    <w:bottom w:val="double" w:sz="6" w:space="0" w:color="auto"/>
                    <w:right w:val="nil"/>
                  </w:tcBorders>
                  <w:shd w:val="clear" w:color="000000" w:fill="FFFFFF"/>
                  <w:vAlign w:val="bottom"/>
                  <w:hideMark/>
                </w:tcPr>
                <w:p w:rsidR="009651FB" w:rsidRPr="009651FB" w:rsidRDefault="009651FB" w:rsidP="009651FB">
                  <w:pPr>
                    <w:jc w:val="right"/>
                    <w:rPr>
                      <w:rFonts w:cs="Arial"/>
                      <w:sz w:val="22"/>
                      <w:szCs w:val="22"/>
                      <w:lang w:eastAsia="en-GB"/>
                    </w:rPr>
                  </w:pPr>
                  <w:r w:rsidRPr="009651FB">
                    <w:rPr>
                      <w:rFonts w:cs="Arial"/>
                      <w:sz w:val="22"/>
                      <w:szCs w:val="22"/>
                      <w:lang w:eastAsia="en-GB"/>
                    </w:rPr>
                    <w:t>0.636</w:t>
                  </w:r>
                </w:p>
              </w:tc>
            </w:tr>
          </w:tbl>
          <w:p w:rsidR="009651FB" w:rsidRPr="009651FB" w:rsidRDefault="009651FB" w:rsidP="009651FB">
            <w:pPr>
              <w:rPr>
                <w:rFonts w:cs="Arial"/>
                <w:sz w:val="22"/>
                <w:szCs w:val="22"/>
              </w:rPr>
            </w:pPr>
          </w:p>
          <w:p w:rsidR="009651FB" w:rsidRPr="00463C7F" w:rsidRDefault="009651FB" w:rsidP="00463C7F">
            <w:pPr>
              <w:rPr>
                <w:rFonts w:cs="Arial"/>
                <w:sz w:val="22"/>
                <w:szCs w:val="22"/>
              </w:rPr>
            </w:pPr>
          </w:p>
        </w:tc>
      </w:tr>
      <w:tr w:rsidR="00463C7F" w:rsidTr="0097492F">
        <w:tc>
          <w:tcPr>
            <w:tcW w:w="704" w:type="dxa"/>
          </w:tcPr>
          <w:p w:rsidR="00463C7F" w:rsidRPr="00D539CD" w:rsidRDefault="00463C7F">
            <w:pPr>
              <w:rPr>
                <w:rFonts w:cs="Arial"/>
                <w:b/>
                <w:sz w:val="22"/>
                <w:szCs w:val="22"/>
              </w:rPr>
            </w:pPr>
          </w:p>
        </w:tc>
        <w:tc>
          <w:tcPr>
            <w:tcW w:w="8312" w:type="dxa"/>
            <w:gridSpan w:val="2"/>
          </w:tcPr>
          <w:p w:rsidR="00463C7F" w:rsidRPr="00F23ABA" w:rsidRDefault="00463C7F" w:rsidP="00F23ABA">
            <w:pPr>
              <w:rPr>
                <w:rFonts w:cs="Arial"/>
                <w:b/>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p w:rsidR="008A2998" w:rsidRDefault="008A2998" w:rsidP="00463C7F">
            <w:pPr>
              <w:rPr>
                <w:rFonts w:cs="Arial"/>
                <w:sz w:val="22"/>
                <w:szCs w:val="22"/>
              </w:rPr>
            </w:pPr>
          </w:p>
          <w:p w:rsidR="008A2998" w:rsidRDefault="008A2998" w:rsidP="00463C7F">
            <w:pPr>
              <w:rPr>
                <w:rFonts w:cs="Arial"/>
                <w:sz w:val="22"/>
                <w:szCs w:val="22"/>
              </w:rPr>
            </w:pPr>
          </w:p>
          <w:p w:rsidR="008A2998" w:rsidRPr="00463C7F" w:rsidRDefault="008A2998" w:rsidP="00463C7F">
            <w:pPr>
              <w:rPr>
                <w:rFonts w:cs="Arial"/>
                <w:sz w:val="22"/>
                <w:szCs w:val="22"/>
              </w:rPr>
            </w:pPr>
          </w:p>
        </w:tc>
        <w:tc>
          <w:tcPr>
            <w:tcW w:w="7667" w:type="dxa"/>
          </w:tcPr>
          <w:p w:rsidR="00F23ABA" w:rsidRPr="00463C7F" w:rsidRDefault="00F23ABA" w:rsidP="00463C7F">
            <w:pPr>
              <w:rPr>
                <w:rFonts w:cs="Arial"/>
                <w:sz w:val="22"/>
                <w:szCs w:val="22"/>
              </w:rPr>
            </w:pPr>
          </w:p>
        </w:tc>
      </w:tr>
      <w:tr w:rsidR="005F759F" w:rsidTr="0097492F">
        <w:tc>
          <w:tcPr>
            <w:tcW w:w="704" w:type="dxa"/>
          </w:tcPr>
          <w:p w:rsidR="005F759F" w:rsidRPr="00D539CD" w:rsidRDefault="005F759F">
            <w:pPr>
              <w:rPr>
                <w:rFonts w:cs="Arial"/>
                <w:b/>
                <w:sz w:val="22"/>
                <w:szCs w:val="22"/>
              </w:rPr>
            </w:pPr>
            <w:r>
              <w:rPr>
                <w:rFonts w:cs="Arial"/>
                <w:b/>
                <w:sz w:val="22"/>
                <w:szCs w:val="22"/>
              </w:rPr>
              <w:t>8.</w:t>
            </w:r>
          </w:p>
        </w:tc>
        <w:tc>
          <w:tcPr>
            <w:tcW w:w="8312" w:type="dxa"/>
            <w:gridSpan w:val="2"/>
          </w:tcPr>
          <w:p w:rsidR="005F759F" w:rsidRPr="005F759F" w:rsidRDefault="005F759F" w:rsidP="00F23ABA">
            <w:pPr>
              <w:jc w:val="both"/>
              <w:rPr>
                <w:rFonts w:cs="Arial"/>
                <w:b/>
                <w:sz w:val="22"/>
                <w:szCs w:val="22"/>
              </w:rPr>
            </w:pPr>
            <w:r w:rsidRPr="005F759F">
              <w:rPr>
                <w:rFonts w:cs="Arial"/>
                <w:b/>
                <w:sz w:val="22"/>
                <w:szCs w:val="22"/>
              </w:rPr>
              <w:t>PFI reserve</w:t>
            </w:r>
          </w:p>
        </w:tc>
      </w:tr>
      <w:tr w:rsidR="005F759F" w:rsidTr="0097492F">
        <w:tc>
          <w:tcPr>
            <w:tcW w:w="704" w:type="dxa"/>
          </w:tcPr>
          <w:p w:rsidR="005F759F" w:rsidRPr="00D539CD" w:rsidRDefault="005F759F">
            <w:pPr>
              <w:rPr>
                <w:rFonts w:cs="Arial"/>
                <w:b/>
                <w:sz w:val="22"/>
                <w:szCs w:val="22"/>
              </w:rPr>
            </w:pPr>
          </w:p>
        </w:tc>
        <w:tc>
          <w:tcPr>
            <w:tcW w:w="645" w:type="dxa"/>
          </w:tcPr>
          <w:p w:rsidR="005F759F" w:rsidRDefault="005F759F" w:rsidP="00463C7F">
            <w:pPr>
              <w:rPr>
                <w:rFonts w:cs="Arial"/>
                <w:sz w:val="22"/>
                <w:szCs w:val="22"/>
              </w:rPr>
            </w:pPr>
          </w:p>
        </w:tc>
        <w:tc>
          <w:tcPr>
            <w:tcW w:w="7667" w:type="dxa"/>
          </w:tcPr>
          <w:p w:rsidR="005F759F" w:rsidRPr="00F23ABA" w:rsidRDefault="005F759F"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Pr="00463C7F" w:rsidRDefault="005F759F" w:rsidP="00463C7F">
            <w:pPr>
              <w:rPr>
                <w:rFonts w:cs="Arial"/>
                <w:sz w:val="22"/>
                <w:szCs w:val="22"/>
              </w:rPr>
            </w:pPr>
            <w:r>
              <w:rPr>
                <w:rFonts w:cs="Arial"/>
                <w:sz w:val="22"/>
                <w:szCs w:val="22"/>
              </w:rPr>
              <w:t>8.1</w:t>
            </w:r>
          </w:p>
        </w:tc>
        <w:tc>
          <w:tcPr>
            <w:tcW w:w="7667" w:type="dxa"/>
          </w:tcPr>
          <w:p w:rsidR="00F23ABA" w:rsidRPr="00463C7F" w:rsidRDefault="005F759F" w:rsidP="00F23ABA">
            <w:pPr>
              <w:jc w:val="both"/>
              <w:rPr>
                <w:rFonts w:cs="Arial"/>
                <w:sz w:val="22"/>
                <w:szCs w:val="22"/>
              </w:rPr>
            </w:pPr>
            <w:r w:rsidRPr="00F23ABA">
              <w:rPr>
                <w:rFonts w:cs="Arial"/>
                <w:sz w:val="22"/>
                <w:szCs w:val="22"/>
              </w:rPr>
              <w:t>This reserve holds the balance of PFI grant paid by the Home Office to be released over the remaining lif</w:t>
            </w:r>
            <w:r w:rsidR="005D4B47">
              <w:rPr>
                <w:rFonts w:cs="Arial"/>
                <w:sz w:val="22"/>
                <w:szCs w:val="22"/>
              </w:rPr>
              <w:t>e of the PFI contract</w:t>
            </w:r>
            <w:r w:rsidRPr="00F23ABA">
              <w:rPr>
                <w:rFonts w:cs="Arial"/>
                <w:sz w:val="22"/>
                <w:szCs w:val="22"/>
              </w:rPr>
              <w:t xml:space="preserve">.  </w:t>
            </w:r>
          </w:p>
        </w:tc>
      </w:tr>
      <w:tr w:rsidR="005F759F" w:rsidTr="0097492F">
        <w:tc>
          <w:tcPr>
            <w:tcW w:w="704" w:type="dxa"/>
          </w:tcPr>
          <w:p w:rsidR="005F759F" w:rsidRPr="00D539CD" w:rsidRDefault="005F759F">
            <w:pPr>
              <w:rPr>
                <w:rFonts w:cs="Arial"/>
                <w:b/>
                <w:sz w:val="22"/>
                <w:szCs w:val="22"/>
              </w:rPr>
            </w:pPr>
          </w:p>
        </w:tc>
        <w:tc>
          <w:tcPr>
            <w:tcW w:w="645" w:type="dxa"/>
          </w:tcPr>
          <w:p w:rsidR="005F759F" w:rsidRPr="00463C7F" w:rsidRDefault="005F759F" w:rsidP="00463C7F">
            <w:pPr>
              <w:rPr>
                <w:rFonts w:cs="Arial"/>
                <w:sz w:val="22"/>
                <w:szCs w:val="22"/>
              </w:rPr>
            </w:pPr>
          </w:p>
        </w:tc>
        <w:tc>
          <w:tcPr>
            <w:tcW w:w="7667" w:type="dxa"/>
          </w:tcPr>
          <w:p w:rsidR="005F759F" w:rsidRPr="00463C7F" w:rsidRDefault="005F759F" w:rsidP="00F23ABA">
            <w:pPr>
              <w:jc w:val="both"/>
              <w:rPr>
                <w:rFonts w:cs="Arial"/>
                <w:sz w:val="22"/>
                <w:szCs w:val="22"/>
              </w:rPr>
            </w:pPr>
          </w:p>
        </w:tc>
      </w:tr>
      <w:tr w:rsidR="00F23ABA" w:rsidTr="0097492F">
        <w:tc>
          <w:tcPr>
            <w:tcW w:w="704" w:type="dxa"/>
          </w:tcPr>
          <w:p w:rsidR="00F23ABA" w:rsidRPr="00F23ABA" w:rsidRDefault="00F23ABA">
            <w:pPr>
              <w:rPr>
                <w:rFonts w:cs="Arial"/>
                <w:b/>
                <w:sz w:val="22"/>
                <w:szCs w:val="22"/>
              </w:rPr>
            </w:pPr>
            <w:r w:rsidRPr="00F23ABA">
              <w:rPr>
                <w:rFonts w:cs="Arial"/>
                <w:b/>
                <w:sz w:val="22"/>
                <w:szCs w:val="22"/>
              </w:rPr>
              <w:t>9.</w:t>
            </w:r>
          </w:p>
        </w:tc>
        <w:tc>
          <w:tcPr>
            <w:tcW w:w="8312" w:type="dxa"/>
            <w:gridSpan w:val="2"/>
          </w:tcPr>
          <w:p w:rsidR="00F23ABA" w:rsidRPr="00F23ABA" w:rsidRDefault="00F23ABA" w:rsidP="00F23ABA">
            <w:pPr>
              <w:jc w:val="both"/>
              <w:rPr>
                <w:rFonts w:cs="Arial"/>
                <w:b/>
                <w:sz w:val="22"/>
                <w:szCs w:val="22"/>
              </w:rPr>
            </w:pPr>
            <w:r w:rsidRPr="00F23ABA">
              <w:rPr>
                <w:rFonts w:cs="Arial"/>
                <w:b/>
                <w:sz w:val="22"/>
                <w:szCs w:val="22"/>
              </w:rPr>
              <w:t>Insurance reserve</w:t>
            </w:r>
          </w:p>
        </w:tc>
      </w:tr>
      <w:tr w:rsidR="00F23ABA" w:rsidTr="0097492F">
        <w:tc>
          <w:tcPr>
            <w:tcW w:w="704" w:type="dxa"/>
          </w:tcPr>
          <w:p w:rsidR="00F23ABA" w:rsidRPr="00D539CD" w:rsidRDefault="00F23ABA">
            <w:pPr>
              <w:rPr>
                <w:rFonts w:cs="Arial"/>
                <w:b/>
                <w:sz w:val="22"/>
                <w:szCs w:val="22"/>
              </w:rPr>
            </w:pPr>
          </w:p>
        </w:tc>
        <w:tc>
          <w:tcPr>
            <w:tcW w:w="645" w:type="dxa"/>
          </w:tcPr>
          <w:p w:rsidR="00F23ABA" w:rsidRPr="00463C7F" w:rsidRDefault="00F23ABA" w:rsidP="00463C7F">
            <w:pPr>
              <w:rPr>
                <w:rFonts w:cs="Arial"/>
                <w:sz w:val="22"/>
                <w:szCs w:val="22"/>
              </w:rPr>
            </w:pPr>
          </w:p>
        </w:tc>
        <w:tc>
          <w:tcPr>
            <w:tcW w:w="7667" w:type="dxa"/>
          </w:tcPr>
          <w:p w:rsidR="00F23ABA" w:rsidRPr="00463C7F"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Pr="00463C7F" w:rsidRDefault="00F23ABA" w:rsidP="00463C7F">
            <w:pPr>
              <w:rPr>
                <w:rFonts w:cs="Arial"/>
                <w:sz w:val="22"/>
                <w:szCs w:val="22"/>
              </w:rPr>
            </w:pPr>
            <w:r>
              <w:rPr>
                <w:rFonts w:cs="Arial"/>
                <w:sz w:val="22"/>
                <w:szCs w:val="22"/>
              </w:rPr>
              <w:t>9.1</w:t>
            </w:r>
          </w:p>
        </w:tc>
        <w:tc>
          <w:tcPr>
            <w:tcW w:w="7667" w:type="dxa"/>
          </w:tcPr>
          <w:p w:rsidR="00F23ABA" w:rsidRPr="00463C7F" w:rsidRDefault="00F23ABA" w:rsidP="008A2998">
            <w:pPr>
              <w:jc w:val="both"/>
              <w:rPr>
                <w:rFonts w:cs="Arial"/>
                <w:sz w:val="22"/>
                <w:szCs w:val="22"/>
              </w:rPr>
            </w:pPr>
            <w:r w:rsidRPr="00F23ABA">
              <w:rPr>
                <w:rFonts w:cs="Arial"/>
                <w:sz w:val="22"/>
                <w:szCs w:val="22"/>
              </w:rPr>
              <w:t>Funds held in case insurance provision proves inadequate to meet known liabilities</w:t>
            </w:r>
            <w:r w:rsidR="00152D07">
              <w:rPr>
                <w:rFonts w:cs="Arial"/>
                <w:sz w:val="22"/>
                <w:szCs w:val="22"/>
              </w:rPr>
              <w:t>. The reserve was calculated as part o</w:t>
            </w:r>
            <w:r w:rsidR="00A67E3B">
              <w:rPr>
                <w:rFonts w:cs="Arial"/>
                <w:sz w:val="22"/>
                <w:szCs w:val="22"/>
              </w:rPr>
              <w:t xml:space="preserve">f the actuarial review and represents sums held to meet potential and contingent liabilities where these liabilities do not meet the requirements of FRS12 </w:t>
            </w:r>
            <w:r w:rsidR="008A2998">
              <w:rPr>
                <w:rFonts w:cs="Arial"/>
                <w:sz w:val="22"/>
                <w:szCs w:val="22"/>
              </w:rPr>
              <w:t xml:space="preserve">which states ‘the economic benefit to settle the obligation is more than remote’. </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463C7F">
            <w:pPr>
              <w:rPr>
                <w:rFonts w:cs="Arial"/>
                <w:sz w:val="22"/>
                <w:szCs w:val="22"/>
              </w:rPr>
            </w:pPr>
          </w:p>
        </w:tc>
      </w:tr>
      <w:tr w:rsidR="00F23ABA" w:rsidTr="0097492F">
        <w:tc>
          <w:tcPr>
            <w:tcW w:w="704" w:type="dxa"/>
          </w:tcPr>
          <w:p w:rsidR="00F23ABA" w:rsidRPr="00F23ABA" w:rsidRDefault="00F23ABA">
            <w:pPr>
              <w:rPr>
                <w:rFonts w:cs="Arial"/>
                <w:b/>
                <w:sz w:val="22"/>
                <w:szCs w:val="22"/>
              </w:rPr>
            </w:pPr>
            <w:r w:rsidRPr="00F23ABA">
              <w:rPr>
                <w:rFonts w:cs="Arial"/>
                <w:b/>
                <w:sz w:val="22"/>
                <w:szCs w:val="22"/>
              </w:rPr>
              <w:t>10.</w:t>
            </w:r>
          </w:p>
        </w:tc>
        <w:tc>
          <w:tcPr>
            <w:tcW w:w="8312" w:type="dxa"/>
            <w:gridSpan w:val="2"/>
          </w:tcPr>
          <w:p w:rsidR="00F23ABA" w:rsidRPr="00F23ABA" w:rsidRDefault="00F23ABA" w:rsidP="00463C7F">
            <w:pPr>
              <w:rPr>
                <w:rFonts w:cs="Arial"/>
                <w:b/>
                <w:sz w:val="22"/>
                <w:szCs w:val="22"/>
              </w:rPr>
            </w:pPr>
            <w:r w:rsidRPr="00F23ABA">
              <w:rPr>
                <w:rFonts w:cs="Arial"/>
                <w:b/>
                <w:sz w:val="22"/>
                <w:szCs w:val="22"/>
              </w:rPr>
              <w:t>Earmarked Reserves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463C7F">
            <w:pPr>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10.1</w:t>
            </w:r>
          </w:p>
        </w:tc>
        <w:tc>
          <w:tcPr>
            <w:tcW w:w="7667" w:type="dxa"/>
          </w:tcPr>
          <w:p w:rsidR="00F23ABA" w:rsidRPr="00F23ABA" w:rsidRDefault="00F23ABA" w:rsidP="00F23ABA">
            <w:pPr>
              <w:jc w:val="both"/>
              <w:rPr>
                <w:rFonts w:cs="Arial"/>
                <w:sz w:val="22"/>
                <w:szCs w:val="22"/>
              </w:rPr>
            </w:pPr>
            <w:r w:rsidRPr="00F23ABA">
              <w:rPr>
                <w:rFonts w:cs="Arial"/>
                <w:sz w:val="22"/>
                <w:szCs w:val="22"/>
              </w:rPr>
              <w:t>Budgetary risks – held to fund known but unquantified risks e.g. legal costs, in year demand pressures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10.2</w:t>
            </w:r>
          </w:p>
        </w:tc>
        <w:tc>
          <w:tcPr>
            <w:tcW w:w="7667" w:type="dxa"/>
          </w:tcPr>
          <w:p w:rsidR="00F23ABA" w:rsidRPr="00F23ABA" w:rsidRDefault="00F23ABA" w:rsidP="00F23ABA">
            <w:pPr>
              <w:jc w:val="both"/>
              <w:rPr>
                <w:rFonts w:cs="Arial"/>
                <w:sz w:val="22"/>
                <w:szCs w:val="22"/>
              </w:rPr>
            </w:pPr>
            <w:r w:rsidRPr="00F23ABA">
              <w:rPr>
                <w:rFonts w:cs="Arial"/>
                <w:sz w:val="22"/>
                <w:szCs w:val="22"/>
              </w:rPr>
              <w:t>Support for medium term budget - utilised to meet costs of existing projects which span years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10.3</w:t>
            </w:r>
          </w:p>
        </w:tc>
        <w:tc>
          <w:tcPr>
            <w:tcW w:w="7667" w:type="dxa"/>
          </w:tcPr>
          <w:p w:rsidR="00F23ABA" w:rsidRPr="00F23ABA" w:rsidRDefault="00F23ABA" w:rsidP="00F23ABA">
            <w:pPr>
              <w:jc w:val="both"/>
              <w:rPr>
                <w:rFonts w:cs="Arial"/>
                <w:sz w:val="22"/>
                <w:szCs w:val="22"/>
              </w:rPr>
            </w:pPr>
            <w:r w:rsidRPr="00F23ABA">
              <w:rPr>
                <w:rFonts w:cs="Arial"/>
                <w:sz w:val="22"/>
                <w:szCs w:val="22"/>
              </w:rPr>
              <w:t>Police and Crime Plan utilised to meet costs of future projects which support the delivery of the Police and Crime Plan</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10.4</w:t>
            </w:r>
          </w:p>
        </w:tc>
        <w:tc>
          <w:tcPr>
            <w:tcW w:w="7667" w:type="dxa"/>
          </w:tcPr>
          <w:p w:rsidR="00F23ABA" w:rsidRPr="00F23ABA" w:rsidRDefault="00F23ABA" w:rsidP="00F23ABA">
            <w:pPr>
              <w:jc w:val="both"/>
              <w:rPr>
                <w:rFonts w:cs="Arial"/>
                <w:sz w:val="22"/>
                <w:szCs w:val="22"/>
              </w:rPr>
            </w:pPr>
            <w:r w:rsidRPr="00F23ABA">
              <w:rPr>
                <w:rFonts w:cs="Arial"/>
                <w:sz w:val="22"/>
                <w:szCs w:val="22"/>
              </w:rPr>
              <w:t>Capital Expenditure – utilised to fund future year costs of the existing Information Systems Transformation Programme</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8312" w:type="dxa"/>
            <w:gridSpan w:val="2"/>
          </w:tcPr>
          <w:p w:rsidR="00F23ABA" w:rsidRPr="00F23ABA" w:rsidRDefault="00F23ABA" w:rsidP="00F23ABA">
            <w:pPr>
              <w:jc w:val="both"/>
              <w:rPr>
                <w:rFonts w:cs="Arial"/>
                <w:sz w:val="22"/>
                <w:szCs w:val="22"/>
              </w:rPr>
            </w:pPr>
            <w:r w:rsidRPr="00F23ABA">
              <w:rPr>
                <w:rFonts w:cs="Arial"/>
                <w:sz w:val="22"/>
                <w:szCs w:val="22"/>
              </w:rPr>
              <w:t>The table at Appendix 1 sets out the movement in earmarked reserves over the medium term financial period.</w:t>
            </w:r>
          </w:p>
          <w:p w:rsidR="00F23ABA" w:rsidRPr="00F23ABA" w:rsidRDefault="00F23ABA" w:rsidP="00F23ABA">
            <w:pPr>
              <w:jc w:val="both"/>
              <w:rPr>
                <w:rFonts w:cs="Arial"/>
                <w:sz w:val="22"/>
                <w:szCs w:val="22"/>
              </w:rPr>
            </w:pPr>
          </w:p>
          <w:p w:rsidR="00F23ABA" w:rsidRPr="00F23ABA" w:rsidRDefault="00F23ABA" w:rsidP="00F23ABA">
            <w:pPr>
              <w:jc w:val="both"/>
              <w:rPr>
                <w:rFonts w:cs="Arial"/>
                <w:sz w:val="22"/>
                <w:szCs w:val="22"/>
              </w:rPr>
            </w:pPr>
            <w:r w:rsidRPr="00F23ABA">
              <w:rPr>
                <w:rFonts w:cs="Arial"/>
                <w:sz w:val="22"/>
                <w:szCs w:val="22"/>
              </w:rPr>
              <w:t>The table at Appendix 2 categorises the reserves in line with Home Office Guidance.</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r>
              <w:rPr>
                <w:rFonts w:cs="Arial"/>
                <w:b/>
                <w:sz w:val="22"/>
                <w:szCs w:val="22"/>
              </w:rPr>
              <w:t>11.</w:t>
            </w:r>
          </w:p>
        </w:tc>
        <w:tc>
          <w:tcPr>
            <w:tcW w:w="8312" w:type="dxa"/>
            <w:gridSpan w:val="2"/>
          </w:tcPr>
          <w:p w:rsidR="00F23ABA" w:rsidRPr="00F23ABA" w:rsidRDefault="00F23ABA" w:rsidP="00F23ABA">
            <w:pPr>
              <w:jc w:val="both"/>
              <w:rPr>
                <w:rFonts w:cs="Arial"/>
                <w:b/>
                <w:sz w:val="22"/>
                <w:szCs w:val="22"/>
              </w:rPr>
            </w:pPr>
            <w:r w:rsidRPr="00F23ABA">
              <w:rPr>
                <w:rFonts w:cs="Arial"/>
                <w:b/>
                <w:sz w:val="22"/>
                <w:szCs w:val="22"/>
              </w:rPr>
              <w:t>Unusable Reserves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11.1</w:t>
            </w:r>
          </w:p>
        </w:tc>
        <w:tc>
          <w:tcPr>
            <w:tcW w:w="7667" w:type="dxa"/>
          </w:tcPr>
          <w:p w:rsidR="00F23ABA" w:rsidRDefault="00F23ABA" w:rsidP="00F23ABA">
            <w:pPr>
              <w:jc w:val="both"/>
              <w:rPr>
                <w:rFonts w:cs="Arial"/>
                <w:sz w:val="22"/>
                <w:szCs w:val="22"/>
              </w:rPr>
            </w:pPr>
            <w:r w:rsidRPr="00F23ABA">
              <w:rPr>
                <w:rFonts w:cs="Arial"/>
                <w:b/>
                <w:sz w:val="22"/>
                <w:szCs w:val="22"/>
              </w:rPr>
              <w:t>Revaluation Reserve</w:t>
            </w:r>
            <w:r w:rsidRPr="00F23ABA">
              <w:rPr>
                <w:rFonts w:cs="Arial"/>
                <w:sz w:val="22"/>
                <w:szCs w:val="22"/>
              </w:rPr>
              <w:t xml:space="preserve"> - The Revaluation Reserve contains the gains made by the </w:t>
            </w:r>
            <w:r w:rsidR="0056633A">
              <w:rPr>
                <w:rFonts w:cs="Arial"/>
                <w:sz w:val="22"/>
                <w:szCs w:val="22"/>
              </w:rPr>
              <w:t xml:space="preserve">Mayor, in their role as </w:t>
            </w:r>
            <w:r w:rsidRPr="00F23ABA">
              <w:rPr>
                <w:rFonts w:cs="Arial"/>
                <w:sz w:val="22"/>
                <w:szCs w:val="22"/>
              </w:rPr>
              <w:t>Police and Crime Commissioner</w:t>
            </w:r>
            <w:r w:rsidR="0056633A">
              <w:rPr>
                <w:rFonts w:cs="Arial"/>
                <w:sz w:val="22"/>
                <w:szCs w:val="22"/>
              </w:rPr>
              <w:t>,</w:t>
            </w:r>
            <w:r w:rsidRPr="00F23ABA">
              <w:rPr>
                <w:rFonts w:cs="Arial"/>
                <w:sz w:val="22"/>
                <w:szCs w:val="22"/>
              </w:rPr>
              <w:t xml:space="preserve"> arising from increases in the value of Property Plant and Equipment. The balance is reduced when assets with accumulated gains are:</w:t>
            </w:r>
          </w:p>
          <w:p w:rsidR="00F23ABA" w:rsidRPr="00F23ABA" w:rsidRDefault="00F23ABA" w:rsidP="00F23ABA">
            <w:pPr>
              <w:jc w:val="both"/>
              <w:rPr>
                <w:rFonts w:cs="Arial"/>
                <w:sz w:val="22"/>
                <w:szCs w:val="22"/>
              </w:rPr>
            </w:pPr>
          </w:p>
          <w:p w:rsidR="00F23ABA" w:rsidRPr="00F23ABA" w:rsidRDefault="00F23ABA" w:rsidP="00F23ABA">
            <w:pPr>
              <w:pStyle w:val="ListParagraph"/>
              <w:numPr>
                <w:ilvl w:val="0"/>
                <w:numId w:val="13"/>
              </w:numPr>
              <w:jc w:val="both"/>
              <w:rPr>
                <w:rFonts w:cs="Arial"/>
                <w:sz w:val="22"/>
                <w:szCs w:val="22"/>
              </w:rPr>
            </w:pPr>
            <w:r w:rsidRPr="00F23ABA">
              <w:rPr>
                <w:rFonts w:cs="Arial"/>
                <w:sz w:val="22"/>
                <w:szCs w:val="22"/>
              </w:rPr>
              <w:t>Revalued or impaired and the gains are written off</w:t>
            </w:r>
          </w:p>
          <w:p w:rsidR="00F23ABA" w:rsidRPr="00F23ABA" w:rsidRDefault="00F23ABA" w:rsidP="00F23ABA">
            <w:pPr>
              <w:pStyle w:val="ListParagraph"/>
              <w:numPr>
                <w:ilvl w:val="0"/>
                <w:numId w:val="13"/>
              </w:numPr>
              <w:jc w:val="both"/>
              <w:rPr>
                <w:rFonts w:cs="Arial"/>
                <w:sz w:val="22"/>
                <w:szCs w:val="22"/>
              </w:rPr>
            </w:pPr>
            <w:r w:rsidRPr="00F23ABA">
              <w:rPr>
                <w:rFonts w:cs="Arial"/>
                <w:sz w:val="22"/>
                <w:szCs w:val="22"/>
              </w:rPr>
              <w:t>Used in the provision of services and the gains are consumed through depreciation; or</w:t>
            </w:r>
          </w:p>
          <w:p w:rsidR="00F23ABA" w:rsidRDefault="00F23ABA" w:rsidP="00F23ABA">
            <w:pPr>
              <w:pStyle w:val="ListParagraph"/>
              <w:numPr>
                <w:ilvl w:val="0"/>
                <w:numId w:val="13"/>
              </w:numPr>
              <w:jc w:val="both"/>
              <w:rPr>
                <w:rFonts w:cs="Arial"/>
                <w:sz w:val="22"/>
                <w:szCs w:val="22"/>
              </w:rPr>
            </w:pPr>
            <w:r w:rsidRPr="00F23ABA">
              <w:rPr>
                <w:rFonts w:cs="Arial"/>
                <w:sz w:val="22"/>
                <w:szCs w:val="22"/>
              </w:rPr>
              <w:t>Disposed of, and the gains are realised</w:t>
            </w:r>
          </w:p>
          <w:p w:rsidR="00F23ABA" w:rsidRPr="00F23ABA" w:rsidRDefault="00F23ABA" w:rsidP="00F23ABA">
            <w:pPr>
              <w:pStyle w:val="ListParagraph"/>
              <w:jc w:val="both"/>
              <w:rPr>
                <w:rFonts w:cs="Arial"/>
                <w:sz w:val="22"/>
                <w:szCs w:val="22"/>
              </w:rPr>
            </w:pPr>
          </w:p>
          <w:p w:rsidR="00F23ABA" w:rsidRPr="00F23ABA" w:rsidRDefault="00F23ABA" w:rsidP="00F23ABA">
            <w:pPr>
              <w:jc w:val="both"/>
              <w:rPr>
                <w:rFonts w:cs="Arial"/>
                <w:sz w:val="22"/>
                <w:szCs w:val="22"/>
              </w:rPr>
            </w:pPr>
            <w:r w:rsidRPr="00F23ABA">
              <w:rPr>
                <w:rFonts w:cs="Arial"/>
                <w:sz w:val="22"/>
                <w:szCs w:val="22"/>
              </w:rPr>
              <w:t>The reserve contains only gains accumulated since 1st April 2007, the date that the reserve was created. Accumulated gains arising before that date are consolidated into the balance on the Capital adjustment Account.</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11.2</w:t>
            </w:r>
          </w:p>
        </w:tc>
        <w:tc>
          <w:tcPr>
            <w:tcW w:w="7667" w:type="dxa"/>
          </w:tcPr>
          <w:p w:rsidR="00F23ABA" w:rsidRPr="00F23ABA" w:rsidRDefault="00F23ABA" w:rsidP="00F23ABA">
            <w:pPr>
              <w:jc w:val="both"/>
              <w:rPr>
                <w:rFonts w:cs="Arial"/>
                <w:sz w:val="22"/>
                <w:szCs w:val="22"/>
              </w:rPr>
            </w:pPr>
            <w:r w:rsidRPr="00F23ABA">
              <w:rPr>
                <w:rFonts w:cs="Arial"/>
                <w:b/>
                <w:sz w:val="22"/>
                <w:szCs w:val="22"/>
              </w:rPr>
              <w:t>Financial Instruments Adjustment Account</w:t>
            </w:r>
            <w:r w:rsidRPr="00F23ABA">
              <w:rPr>
                <w:rFonts w:cs="Arial"/>
                <w:sz w:val="22"/>
                <w:szCs w:val="22"/>
              </w:rPr>
              <w:t xml:space="preserve"> - The Financial Instruments Adjustment Account holds the timing differences arising from the arrangements for accounting for income and expenses relating to certain financial instruments. The </w:t>
            </w:r>
            <w:r w:rsidR="0056633A">
              <w:rPr>
                <w:rFonts w:cs="Arial"/>
                <w:sz w:val="22"/>
                <w:szCs w:val="22"/>
              </w:rPr>
              <w:t xml:space="preserve">Mayor, in their role as </w:t>
            </w:r>
            <w:r w:rsidRPr="00F23ABA">
              <w:rPr>
                <w:rFonts w:cs="Arial"/>
                <w:sz w:val="22"/>
                <w:szCs w:val="22"/>
              </w:rPr>
              <w:t>Police and Crime Commissioner</w:t>
            </w:r>
            <w:r w:rsidR="0056633A">
              <w:rPr>
                <w:rFonts w:cs="Arial"/>
                <w:sz w:val="22"/>
                <w:szCs w:val="22"/>
              </w:rPr>
              <w:t>,</w:t>
            </w:r>
            <w:r w:rsidRPr="00F23ABA">
              <w:rPr>
                <w:rFonts w:cs="Arial"/>
                <w:sz w:val="22"/>
                <w:szCs w:val="22"/>
              </w:rPr>
              <w:t xml:space="preserve"> used the account to manage premiums and discounts received on the early redemption of loans and accounting adjustments in relation to Effective Interest Rates.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11.3</w:t>
            </w:r>
          </w:p>
        </w:tc>
        <w:tc>
          <w:tcPr>
            <w:tcW w:w="7667" w:type="dxa"/>
          </w:tcPr>
          <w:p w:rsidR="00F23ABA" w:rsidRDefault="00F23ABA" w:rsidP="00F23ABA">
            <w:pPr>
              <w:jc w:val="both"/>
              <w:rPr>
                <w:rFonts w:cs="Arial"/>
                <w:sz w:val="22"/>
                <w:szCs w:val="22"/>
              </w:rPr>
            </w:pPr>
            <w:r w:rsidRPr="00F23ABA">
              <w:rPr>
                <w:rFonts w:cs="Arial"/>
                <w:b/>
                <w:sz w:val="22"/>
                <w:szCs w:val="22"/>
              </w:rPr>
              <w:t>Capital Adjustment Account</w:t>
            </w:r>
            <w:r w:rsidRPr="00F23ABA">
              <w:rPr>
                <w:rFonts w:cs="Arial"/>
                <w:sz w:val="22"/>
                <w:szCs w:val="22"/>
              </w:rPr>
              <w:t xml:space="preserve"> - The Capital Adjustment Account absorbs the timing differences arising from the different arrangements for accounting for the consumption of non-current assets and for financing the acquisition, construction or enhancement of these assets under statutory provisions. The account is debited with the cost of acquisition, construction or enhancement as depreciation; impairment losses and amortisation are charged to the CIES (with reconciling postings from the Revaluation Reserve to convert fair value figures to a historical cost basis). The Account is credited with the amounts set aside by the </w:t>
            </w:r>
            <w:r w:rsidR="0056633A">
              <w:rPr>
                <w:rFonts w:cs="Arial"/>
                <w:sz w:val="22"/>
                <w:szCs w:val="22"/>
              </w:rPr>
              <w:t xml:space="preserve">Mayor, in their role as </w:t>
            </w:r>
            <w:r w:rsidRPr="00F23ABA">
              <w:rPr>
                <w:rFonts w:cs="Arial"/>
                <w:sz w:val="22"/>
                <w:szCs w:val="22"/>
              </w:rPr>
              <w:t>Police and Crime Commissioner</w:t>
            </w:r>
            <w:r w:rsidR="0056633A">
              <w:rPr>
                <w:rFonts w:cs="Arial"/>
                <w:sz w:val="22"/>
                <w:szCs w:val="22"/>
              </w:rPr>
              <w:t>,</w:t>
            </w:r>
            <w:r w:rsidRPr="00F23ABA">
              <w:rPr>
                <w:rFonts w:cs="Arial"/>
                <w:sz w:val="22"/>
                <w:szCs w:val="22"/>
              </w:rPr>
              <w:t xml:space="preserve"> as finance for the costs of acquisition, construction and enhancement.</w:t>
            </w:r>
          </w:p>
          <w:p w:rsidR="00F23ABA" w:rsidRDefault="00F23ABA" w:rsidP="00F23ABA">
            <w:pPr>
              <w:jc w:val="both"/>
              <w:rPr>
                <w:rFonts w:cs="Arial"/>
                <w:sz w:val="22"/>
                <w:szCs w:val="22"/>
              </w:rPr>
            </w:pPr>
          </w:p>
          <w:p w:rsidR="00F23ABA" w:rsidRPr="00F23ABA" w:rsidRDefault="00F23ABA" w:rsidP="00F23ABA">
            <w:pPr>
              <w:jc w:val="both"/>
              <w:rPr>
                <w:rFonts w:cs="Arial"/>
                <w:sz w:val="22"/>
                <w:szCs w:val="22"/>
              </w:rPr>
            </w:pPr>
            <w:r w:rsidRPr="00F23ABA">
              <w:rPr>
                <w:rFonts w:cs="Arial"/>
                <w:sz w:val="22"/>
                <w:szCs w:val="22"/>
              </w:rPr>
              <w:t>The account contains accumulated gains and losses on Investment Properties that have yet to be consumed by the PCC. The account also contains revaluation gains accumulated on Property Plant and Equipment from periods prior to 1st April 2007, the date on which the Revaluation Reserve was created to hold such gains.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11.4</w:t>
            </w:r>
          </w:p>
        </w:tc>
        <w:tc>
          <w:tcPr>
            <w:tcW w:w="7667" w:type="dxa"/>
          </w:tcPr>
          <w:p w:rsidR="00F23ABA" w:rsidRPr="00F23ABA" w:rsidRDefault="00F23ABA" w:rsidP="0056633A">
            <w:pPr>
              <w:jc w:val="both"/>
              <w:rPr>
                <w:rFonts w:cs="Arial"/>
                <w:sz w:val="22"/>
                <w:szCs w:val="22"/>
              </w:rPr>
            </w:pPr>
            <w:r w:rsidRPr="00F23ABA">
              <w:rPr>
                <w:rFonts w:cs="Arial"/>
                <w:b/>
                <w:sz w:val="22"/>
                <w:szCs w:val="22"/>
              </w:rPr>
              <w:t>Pensions Reserve</w:t>
            </w:r>
            <w:r w:rsidRPr="00F23ABA">
              <w:rPr>
                <w:rFonts w:cs="Arial"/>
                <w:sz w:val="22"/>
                <w:szCs w:val="22"/>
              </w:rPr>
              <w:t xml:space="preserve"> - The pensions reserve absorbs the timing differences arising from different arrangements for accounting for post-employment benefits and funding benefits in accordance with statuto</w:t>
            </w:r>
            <w:r w:rsidR="0056633A">
              <w:rPr>
                <w:rFonts w:cs="Arial"/>
                <w:sz w:val="22"/>
                <w:szCs w:val="22"/>
              </w:rPr>
              <w:t>ry provisions.  The Mayor</w:t>
            </w:r>
            <w:r w:rsidRPr="00F23ABA">
              <w:rPr>
                <w:rFonts w:cs="Arial"/>
                <w:sz w:val="22"/>
                <w:szCs w:val="22"/>
              </w:rPr>
              <w:t xml:space="preserve"> accounted for post-employment benefits in the Comprehensive Income and Expenditure Statement as the benefits are earned by employees accruing years of service, updating the liabilities recognised to reflect inflation, changing assumptions and investment returns on any resources set aside to meet the costs.  However, statutory arrangements require benefits earned to b</w:t>
            </w:r>
            <w:r w:rsidR="0056633A">
              <w:rPr>
                <w:rFonts w:cs="Arial"/>
                <w:sz w:val="22"/>
                <w:szCs w:val="22"/>
              </w:rPr>
              <w:t>e financed, as the Mayor</w:t>
            </w:r>
            <w:r w:rsidRPr="00F23ABA">
              <w:rPr>
                <w:rFonts w:cs="Arial"/>
                <w:sz w:val="22"/>
                <w:szCs w:val="22"/>
              </w:rPr>
              <w:t xml:space="preserve"> makes employer’s contributions to pension funds, or eventually pay any pensions for which it is directly responsible. The debit balance on the pensions reserve therefore shows a substantial shortfall in the benefits earned by past and current employees and the resources the </w:t>
            </w:r>
            <w:r w:rsidR="0056633A">
              <w:rPr>
                <w:rFonts w:cs="Arial"/>
                <w:sz w:val="22"/>
                <w:szCs w:val="22"/>
              </w:rPr>
              <w:t xml:space="preserve">Mayor </w:t>
            </w:r>
            <w:r w:rsidRPr="00F23ABA">
              <w:rPr>
                <w:rFonts w:cs="Arial"/>
                <w:sz w:val="22"/>
                <w:szCs w:val="22"/>
              </w:rPr>
              <w:t>has set aside to meet them.  The statutory arrangements will ensure that funding will have been set aside by the time the benefits come to be paid.</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11.5</w:t>
            </w:r>
          </w:p>
        </w:tc>
        <w:tc>
          <w:tcPr>
            <w:tcW w:w="7667" w:type="dxa"/>
          </w:tcPr>
          <w:p w:rsidR="00F23ABA" w:rsidRPr="00F23ABA" w:rsidRDefault="00F23ABA" w:rsidP="005D4B47">
            <w:pPr>
              <w:jc w:val="both"/>
              <w:rPr>
                <w:rFonts w:cs="Arial"/>
                <w:sz w:val="22"/>
                <w:szCs w:val="22"/>
              </w:rPr>
            </w:pPr>
            <w:r w:rsidRPr="00F23ABA">
              <w:rPr>
                <w:rFonts w:cs="Arial"/>
                <w:b/>
                <w:sz w:val="22"/>
                <w:szCs w:val="22"/>
              </w:rPr>
              <w:t>Collection Fund Adjustment Account</w:t>
            </w:r>
            <w:r w:rsidRPr="00F23ABA">
              <w:rPr>
                <w:rFonts w:cs="Arial"/>
                <w:sz w:val="22"/>
                <w:szCs w:val="22"/>
              </w:rPr>
              <w:t xml:space="preserve"> - The Collection Fund Adjustment Account manages the differences arising from the recognition of the police portion of council tax income (precept) in the Comprehensive Income and Expenditure Statement as it falls due from council tax payers compared with the statutory arrangements for paying across amounts to the </w:t>
            </w:r>
            <w:r w:rsidR="005D4B47">
              <w:rPr>
                <w:rFonts w:cs="Arial"/>
                <w:sz w:val="22"/>
                <w:szCs w:val="22"/>
              </w:rPr>
              <w:t xml:space="preserve">Combined Authority </w:t>
            </w:r>
            <w:r w:rsidRPr="00F23ABA">
              <w:rPr>
                <w:rFonts w:cs="Arial"/>
                <w:sz w:val="22"/>
                <w:szCs w:val="22"/>
              </w:rPr>
              <w:t>from billing authorities.</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Pr="00F23ABA" w:rsidRDefault="00F23ABA"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11.6</w:t>
            </w:r>
          </w:p>
        </w:tc>
        <w:tc>
          <w:tcPr>
            <w:tcW w:w="7667" w:type="dxa"/>
          </w:tcPr>
          <w:p w:rsidR="00F23ABA" w:rsidRPr="00F23ABA" w:rsidRDefault="00F23ABA" w:rsidP="0056633A">
            <w:pPr>
              <w:jc w:val="both"/>
              <w:rPr>
                <w:rFonts w:cs="Arial"/>
                <w:sz w:val="22"/>
                <w:szCs w:val="22"/>
              </w:rPr>
            </w:pPr>
            <w:r w:rsidRPr="00F23ABA">
              <w:rPr>
                <w:rFonts w:cs="Arial"/>
                <w:b/>
                <w:sz w:val="22"/>
                <w:szCs w:val="22"/>
              </w:rPr>
              <w:t>Deferred Capital Receipts Reserve</w:t>
            </w:r>
            <w:r w:rsidRPr="00F23ABA">
              <w:rPr>
                <w:rFonts w:cs="Arial"/>
                <w:sz w:val="22"/>
                <w:szCs w:val="22"/>
              </w:rPr>
              <w:t xml:space="preserve"> - Deferred Capital Receipts Reserve holds the gains recognised on the disposal of non-current assets but for which the cash settlement has yet to take place.  Un</w:t>
            </w:r>
            <w:r w:rsidR="0056633A">
              <w:rPr>
                <w:rFonts w:cs="Arial"/>
                <w:sz w:val="22"/>
                <w:szCs w:val="22"/>
              </w:rPr>
              <w:t xml:space="preserve">der statutory arrangements, the Mayor </w:t>
            </w:r>
            <w:r w:rsidRPr="00F23ABA">
              <w:rPr>
                <w:rFonts w:cs="Arial"/>
                <w:sz w:val="22"/>
                <w:szCs w:val="22"/>
              </w:rPr>
              <w:t>does not treat these gains as usable for financing new capital expenditure until they are backed by cash receipts. When the deferred cash settlement eventually takes place, amounts are transferred to the Capital Receipts Reserve.</w:t>
            </w: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p>
        </w:tc>
        <w:tc>
          <w:tcPr>
            <w:tcW w:w="7667" w:type="dxa"/>
          </w:tcPr>
          <w:p w:rsidR="00F23ABA" w:rsidRDefault="00F23ABA" w:rsidP="00F23ABA">
            <w:pPr>
              <w:jc w:val="both"/>
              <w:rPr>
                <w:rFonts w:cs="Arial"/>
                <w:sz w:val="22"/>
                <w:szCs w:val="22"/>
              </w:rPr>
            </w:pPr>
          </w:p>
          <w:p w:rsidR="008A2998" w:rsidRDefault="008A2998" w:rsidP="00F23ABA">
            <w:pPr>
              <w:jc w:val="both"/>
              <w:rPr>
                <w:rFonts w:cs="Arial"/>
                <w:sz w:val="22"/>
                <w:szCs w:val="22"/>
              </w:rPr>
            </w:pPr>
          </w:p>
          <w:p w:rsidR="008A2998" w:rsidRDefault="008A2998" w:rsidP="00F23ABA">
            <w:pPr>
              <w:jc w:val="both"/>
              <w:rPr>
                <w:rFonts w:cs="Arial"/>
                <w:sz w:val="22"/>
                <w:szCs w:val="22"/>
              </w:rPr>
            </w:pPr>
          </w:p>
          <w:p w:rsidR="008A2998" w:rsidRDefault="008A2998" w:rsidP="00F23ABA">
            <w:pPr>
              <w:jc w:val="both"/>
              <w:rPr>
                <w:rFonts w:cs="Arial"/>
                <w:sz w:val="22"/>
                <w:szCs w:val="22"/>
              </w:rPr>
            </w:pPr>
          </w:p>
          <w:p w:rsidR="008A2998" w:rsidRPr="00F23ABA" w:rsidRDefault="008A2998" w:rsidP="00F23ABA">
            <w:pPr>
              <w:jc w:val="both"/>
              <w:rPr>
                <w:rFonts w:cs="Arial"/>
                <w:sz w:val="22"/>
                <w:szCs w:val="22"/>
              </w:rPr>
            </w:pPr>
          </w:p>
        </w:tc>
      </w:tr>
      <w:tr w:rsidR="00F23ABA" w:rsidTr="0097492F">
        <w:tc>
          <w:tcPr>
            <w:tcW w:w="704" w:type="dxa"/>
          </w:tcPr>
          <w:p w:rsidR="00F23ABA" w:rsidRPr="00D539CD" w:rsidRDefault="00F23ABA">
            <w:pPr>
              <w:rPr>
                <w:rFonts w:cs="Arial"/>
                <w:b/>
                <w:sz w:val="22"/>
                <w:szCs w:val="22"/>
              </w:rPr>
            </w:pPr>
          </w:p>
        </w:tc>
        <w:tc>
          <w:tcPr>
            <w:tcW w:w="645" w:type="dxa"/>
          </w:tcPr>
          <w:p w:rsidR="00F23ABA" w:rsidRDefault="00F23ABA" w:rsidP="00463C7F">
            <w:pPr>
              <w:rPr>
                <w:rFonts w:cs="Arial"/>
                <w:sz w:val="22"/>
                <w:szCs w:val="22"/>
              </w:rPr>
            </w:pPr>
            <w:r>
              <w:rPr>
                <w:rFonts w:cs="Arial"/>
                <w:sz w:val="22"/>
                <w:szCs w:val="22"/>
              </w:rPr>
              <w:t>11.7</w:t>
            </w:r>
          </w:p>
        </w:tc>
        <w:tc>
          <w:tcPr>
            <w:tcW w:w="7667" w:type="dxa"/>
          </w:tcPr>
          <w:p w:rsidR="00F23ABA" w:rsidRPr="00F23ABA" w:rsidRDefault="00F23ABA" w:rsidP="005D4B47">
            <w:pPr>
              <w:jc w:val="both"/>
              <w:rPr>
                <w:rFonts w:cs="Arial"/>
                <w:sz w:val="22"/>
                <w:szCs w:val="22"/>
              </w:rPr>
            </w:pPr>
            <w:r w:rsidRPr="00F23ABA">
              <w:rPr>
                <w:rFonts w:cs="Arial"/>
                <w:b/>
                <w:sz w:val="22"/>
                <w:szCs w:val="22"/>
              </w:rPr>
              <w:t>Accumulated Absences Account</w:t>
            </w:r>
            <w:r w:rsidRPr="00F23ABA">
              <w:rPr>
                <w:rFonts w:cs="Arial"/>
                <w:sz w:val="22"/>
                <w:szCs w:val="22"/>
              </w:rPr>
              <w:t xml:space="preserve"> - The accumulated absences account absorbs the differences that would otherwise arise on the General Fund Balance from accruing for compensated absences earned but not taken in the year e.g. annual leave entitlement carried forward at </w:t>
            </w:r>
            <w:r w:rsidR="005D4B47">
              <w:rPr>
                <w:rFonts w:cs="Arial"/>
                <w:sz w:val="22"/>
                <w:szCs w:val="22"/>
              </w:rPr>
              <w:t>1 April of a new financial year</w:t>
            </w:r>
            <w:r w:rsidRPr="00F23ABA">
              <w:rPr>
                <w:rFonts w:cs="Arial"/>
                <w:sz w:val="22"/>
                <w:szCs w:val="22"/>
              </w:rPr>
              <w:t>.  Statutory arrangements require that the impact on the General Fund balance is neutralised by transfers to or from the Account.</w:t>
            </w:r>
          </w:p>
        </w:tc>
      </w:tr>
    </w:tbl>
    <w:p w:rsidR="00081BB0" w:rsidRPr="00F23ABA" w:rsidRDefault="00081BB0" w:rsidP="00F23ABA">
      <w:pPr>
        <w:rPr>
          <w:rFonts w:eastAsia="Times New Roman" w:cs="Arial"/>
          <w:b/>
          <w:bCs w:val="0"/>
          <w:sz w:val="22"/>
          <w:szCs w:val="22"/>
          <w:lang w:eastAsia="en-GB"/>
        </w:rPr>
        <w:sectPr w:rsidR="00081BB0" w:rsidRPr="00F23ABA" w:rsidSect="00826B3B">
          <w:footerReference w:type="default" r:id="rId10"/>
          <w:pgSz w:w="11906" w:h="16838"/>
          <w:pgMar w:top="1440" w:right="1440" w:bottom="1440" w:left="1440" w:header="708" w:footer="708" w:gutter="0"/>
          <w:cols w:space="708"/>
          <w:docGrid w:linePitch="360"/>
        </w:sectPr>
      </w:pPr>
    </w:p>
    <w:p w:rsidR="0082527D" w:rsidRPr="00551A81" w:rsidRDefault="00432CEB" w:rsidP="00551A81">
      <w:pPr>
        <w:ind w:left="10800" w:firstLine="720"/>
        <w:rPr>
          <w:rFonts w:cs="Arial"/>
          <w:b/>
          <w:sz w:val="22"/>
          <w:szCs w:val="22"/>
        </w:rPr>
      </w:pPr>
      <w:r w:rsidRPr="00551A81">
        <w:rPr>
          <w:rFonts w:cs="Arial"/>
          <w:b/>
          <w:sz w:val="22"/>
          <w:szCs w:val="22"/>
        </w:rPr>
        <w:t>Appendix 1</w:t>
      </w:r>
    </w:p>
    <w:p w:rsidR="00551A81" w:rsidRDefault="00551A81" w:rsidP="00551A81">
      <w:pPr>
        <w:ind w:left="10800" w:firstLine="720"/>
        <w:rPr>
          <w:rFonts w:cs="Arial"/>
          <w:sz w:val="22"/>
          <w:szCs w:val="22"/>
        </w:rPr>
      </w:pPr>
    </w:p>
    <w:p w:rsidR="00551A81" w:rsidRDefault="00551A81" w:rsidP="00551A81">
      <w:pPr>
        <w:rPr>
          <w:rFonts w:cs="Arial"/>
          <w:sz w:val="22"/>
          <w:szCs w:val="22"/>
        </w:rPr>
      </w:pPr>
      <w:r>
        <w:rPr>
          <w:rFonts w:cs="Arial"/>
          <w:sz w:val="22"/>
          <w:szCs w:val="22"/>
        </w:rPr>
        <w:t>The table below shows the movement in reserve over the medium term and demonstrates a 50% reduction in earmarked reserves over the medium term with a further 24% a contractually committed beyond the medium term.</w:t>
      </w:r>
      <w:r w:rsidR="008A2998">
        <w:rPr>
          <w:rFonts w:cs="Arial"/>
          <w:sz w:val="22"/>
          <w:szCs w:val="22"/>
        </w:rPr>
        <w:t xml:space="preserve"> </w:t>
      </w:r>
    </w:p>
    <w:p w:rsidR="00551A81" w:rsidRDefault="00551A81" w:rsidP="00551A81">
      <w:pPr>
        <w:jc w:val="both"/>
        <w:rPr>
          <w:rFonts w:cs="Arial"/>
          <w:sz w:val="22"/>
          <w:szCs w:val="22"/>
        </w:rPr>
      </w:pPr>
    </w:p>
    <w:p w:rsidR="00432CEB" w:rsidRDefault="00432CEB" w:rsidP="0082527D">
      <w:pPr>
        <w:rPr>
          <w:rFonts w:cs="Arial"/>
          <w:sz w:val="22"/>
          <w:szCs w:val="22"/>
        </w:rPr>
      </w:pPr>
    </w:p>
    <w:tbl>
      <w:tblPr>
        <w:tblW w:w="13060" w:type="dxa"/>
        <w:tblLook w:val="04A0" w:firstRow="1" w:lastRow="0" w:firstColumn="1" w:lastColumn="0" w:noHBand="0" w:noVBand="1"/>
      </w:tblPr>
      <w:tblGrid>
        <w:gridCol w:w="2320"/>
        <w:gridCol w:w="1020"/>
        <w:gridCol w:w="1020"/>
        <w:gridCol w:w="1020"/>
        <w:gridCol w:w="1020"/>
        <w:gridCol w:w="1020"/>
        <w:gridCol w:w="1020"/>
        <w:gridCol w:w="1020"/>
        <w:gridCol w:w="1020"/>
        <w:gridCol w:w="1020"/>
        <w:gridCol w:w="1560"/>
      </w:tblGrid>
      <w:tr w:rsidR="0097492F" w:rsidRPr="0097492F" w:rsidTr="0097492F">
        <w:trPr>
          <w:trHeight w:val="300"/>
        </w:trPr>
        <w:tc>
          <w:tcPr>
            <w:tcW w:w="232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8" w:space="0" w:color="auto"/>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2017/18</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2018/19</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2019/20</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2020/21</w:t>
            </w:r>
          </w:p>
        </w:tc>
        <w:tc>
          <w:tcPr>
            <w:tcW w:w="2040" w:type="dxa"/>
            <w:gridSpan w:val="2"/>
            <w:tcBorders>
              <w:top w:val="single" w:sz="8" w:space="0" w:color="auto"/>
              <w:left w:val="nil"/>
              <w:bottom w:val="single" w:sz="8" w:space="0" w:color="auto"/>
              <w:right w:val="single" w:sz="8" w:space="0" w:color="000000"/>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2021/22</w:t>
            </w:r>
          </w:p>
        </w:tc>
        <w:tc>
          <w:tcPr>
            <w:tcW w:w="1560" w:type="dxa"/>
            <w:tcBorders>
              <w:top w:val="single" w:sz="8" w:space="0" w:color="auto"/>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r>
      <w:tr w:rsidR="0097492F" w:rsidRPr="0097492F" w:rsidTr="0097492F">
        <w:trPr>
          <w:trHeight w:val="566"/>
        </w:trPr>
        <w:tc>
          <w:tcPr>
            <w:tcW w:w="2320" w:type="dxa"/>
            <w:tcBorders>
              <w:top w:val="nil"/>
              <w:left w:val="single" w:sz="8" w:space="0" w:color="auto"/>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31.03.18</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In year use</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31.03.19</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In year use</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31.03.20</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In year use</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31.03.21</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In year use</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31.03.22</w:t>
            </w:r>
          </w:p>
        </w:tc>
        <w:tc>
          <w:tcPr>
            <w:tcW w:w="1560" w:type="dxa"/>
            <w:vMerge w:val="restart"/>
            <w:tcBorders>
              <w:top w:val="nil"/>
              <w:left w:val="single" w:sz="8" w:space="0" w:color="auto"/>
              <w:bottom w:val="single" w:sz="8" w:space="0" w:color="000000"/>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Contractually committed after 2023</w:t>
            </w:r>
          </w:p>
        </w:tc>
      </w:tr>
      <w:tr w:rsidR="0097492F" w:rsidRPr="0097492F" w:rsidTr="0097492F">
        <w:trPr>
          <w:trHeight w:val="292"/>
        </w:trPr>
        <w:tc>
          <w:tcPr>
            <w:tcW w:w="2320" w:type="dxa"/>
            <w:tcBorders>
              <w:top w:val="nil"/>
              <w:left w:val="single" w:sz="8" w:space="0" w:color="auto"/>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xml:space="preserve">Actual </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Balance</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Balance</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Balance</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Balance</w:t>
            </w:r>
          </w:p>
        </w:tc>
        <w:tc>
          <w:tcPr>
            <w:tcW w:w="1560" w:type="dxa"/>
            <w:vMerge/>
            <w:tcBorders>
              <w:top w:val="nil"/>
              <w:left w:val="single" w:sz="8" w:space="0" w:color="auto"/>
              <w:bottom w:val="single" w:sz="8" w:space="0" w:color="000000"/>
              <w:right w:val="single" w:sz="8" w:space="0" w:color="auto"/>
            </w:tcBorders>
            <w:vAlign w:val="center"/>
            <w:hideMark/>
          </w:tcPr>
          <w:p w:rsidR="0097492F" w:rsidRPr="0097492F" w:rsidRDefault="0097492F" w:rsidP="0097492F">
            <w:pPr>
              <w:rPr>
                <w:rFonts w:eastAsia="Times New Roman" w:cs="Arial"/>
                <w:b/>
                <w:color w:val="000000"/>
                <w:sz w:val="20"/>
                <w:szCs w:val="20"/>
                <w:lang w:val="en-US"/>
              </w:rPr>
            </w:pPr>
          </w:p>
        </w:tc>
      </w:tr>
      <w:tr w:rsidR="0097492F" w:rsidRPr="0097492F" w:rsidTr="0097492F">
        <w:trPr>
          <w:trHeight w:val="300"/>
        </w:trPr>
        <w:tc>
          <w:tcPr>
            <w:tcW w:w="2320" w:type="dxa"/>
            <w:tcBorders>
              <w:top w:val="nil"/>
              <w:left w:val="single" w:sz="8" w:space="0" w:color="auto"/>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Earmarked Reserves:</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single" w:sz="8" w:space="0" w:color="auto"/>
              <w:right w:val="single" w:sz="8" w:space="0" w:color="auto"/>
            </w:tcBorders>
            <w:shd w:val="clear" w:color="auto" w:fill="auto"/>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single" w:sz="8" w:space="0" w:color="auto"/>
              <w:right w:val="single" w:sz="8" w:space="0" w:color="auto"/>
            </w:tcBorders>
            <w:shd w:val="clear" w:color="auto" w:fill="auto"/>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single" w:sz="8" w:space="0" w:color="auto"/>
              <w:right w:val="single" w:sz="8" w:space="0" w:color="auto"/>
            </w:tcBorders>
            <w:shd w:val="clear" w:color="auto" w:fill="auto"/>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020" w:type="dxa"/>
            <w:tcBorders>
              <w:top w:val="nil"/>
              <w:left w:val="nil"/>
              <w:bottom w:val="single" w:sz="8" w:space="0" w:color="auto"/>
              <w:right w:val="single" w:sz="8" w:space="0" w:color="auto"/>
            </w:tcBorders>
            <w:shd w:val="clear" w:color="auto" w:fill="auto"/>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£m</w:t>
            </w:r>
          </w:p>
        </w:tc>
        <w:tc>
          <w:tcPr>
            <w:tcW w:w="1560" w:type="dxa"/>
            <w:vMerge/>
            <w:tcBorders>
              <w:top w:val="nil"/>
              <w:left w:val="single" w:sz="8" w:space="0" w:color="auto"/>
              <w:bottom w:val="single" w:sz="8" w:space="0" w:color="000000"/>
              <w:right w:val="single" w:sz="8" w:space="0" w:color="auto"/>
            </w:tcBorders>
            <w:vAlign w:val="center"/>
            <w:hideMark/>
          </w:tcPr>
          <w:p w:rsidR="0097492F" w:rsidRPr="0097492F" w:rsidRDefault="0097492F" w:rsidP="0097492F">
            <w:pPr>
              <w:rPr>
                <w:rFonts w:eastAsia="Times New Roman" w:cs="Arial"/>
                <w:b/>
                <w:color w:val="000000"/>
                <w:sz w:val="20"/>
                <w:szCs w:val="20"/>
                <w:lang w:val="en-US"/>
              </w:rPr>
            </w:pPr>
          </w:p>
        </w:tc>
      </w:tr>
      <w:tr w:rsidR="0097492F" w:rsidRPr="0097492F" w:rsidTr="0097492F">
        <w:trPr>
          <w:trHeight w:val="300"/>
        </w:trPr>
        <w:tc>
          <w:tcPr>
            <w:tcW w:w="2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Budgetary risks</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5.4</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-1.4</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4</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-1.4</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2.6</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-0.8</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1.8</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1.8</w:t>
            </w:r>
          </w:p>
        </w:tc>
        <w:tc>
          <w:tcPr>
            <w:tcW w:w="156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r>
      <w:tr w:rsidR="0097492F" w:rsidRPr="0097492F" w:rsidTr="0097492F">
        <w:trPr>
          <w:trHeight w:val="506"/>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xml:space="preserve">Support for medium term budget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9.8</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-3.9</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5.9</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-1.1</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4.8</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-0.9</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3.9</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-0.7</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3.2</w:t>
            </w:r>
          </w:p>
        </w:tc>
        <w:tc>
          <w:tcPr>
            <w:tcW w:w="156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2</w:t>
            </w:r>
          </w:p>
        </w:tc>
      </w:tr>
      <w:tr w:rsidR="0097492F" w:rsidRPr="0097492F" w:rsidTr="0097492F">
        <w:trPr>
          <w:trHeight w:val="30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Police and crime plan</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16.8</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-3.7</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13.1</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-2.1</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11</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10</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-0.2</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9.8</w:t>
            </w:r>
          </w:p>
        </w:tc>
        <w:tc>
          <w:tcPr>
            <w:tcW w:w="156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r>
      <w:tr w:rsidR="0097492F" w:rsidRPr="0097492F" w:rsidTr="0097492F">
        <w:trPr>
          <w:trHeight w:val="300"/>
        </w:trPr>
        <w:tc>
          <w:tcPr>
            <w:tcW w:w="2320" w:type="dxa"/>
            <w:tcBorders>
              <w:top w:val="nil"/>
              <w:left w:val="single" w:sz="8" w:space="0" w:color="auto"/>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Capital expenditure</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2.2</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-2.2</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w:t>
            </w:r>
          </w:p>
        </w:tc>
        <w:tc>
          <w:tcPr>
            <w:tcW w:w="102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nil"/>
              <w:left w:val="nil"/>
              <w:bottom w:val="single" w:sz="8" w:space="0" w:color="auto"/>
              <w:right w:val="single" w:sz="8" w:space="0" w:color="auto"/>
            </w:tcBorders>
            <w:shd w:val="clear" w:color="000000" w:fill="D9D9D9"/>
            <w:vAlign w:val="center"/>
            <w:hideMark/>
          </w:tcPr>
          <w:p w:rsidR="0097492F" w:rsidRPr="0097492F" w:rsidRDefault="0097492F" w:rsidP="0097492F">
            <w:pPr>
              <w:jc w:val="right"/>
              <w:rPr>
                <w:rFonts w:eastAsia="Times New Roman" w:cs="Arial"/>
                <w:bCs w:val="0"/>
                <w:color w:val="000000"/>
                <w:sz w:val="20"/>
                <w:szCs w:val="20"/>
                <w:lang w:val="en-US"/>
              </w:rPr>
            </w:pPr>
            <w:r w:rsidRPr="0097492F">
              <w:rPr>
                <w:rFonts w:eastAsia="Times New Roman" w:cs="Arial"/>
                <w:bCs w:val="0"/>
                <w:color w:val="000000"/>
                <w:sz w:val="20"/>
                <w:szCs w:val="20"/>
                <w:lang w:val="en-US"/>
              </w:rPr>
              <w:t>0</w:t>
            </w:r>
          </w:p>
        </w:tc>
        <w:tc>
          <w:tcPr>
            <w:tcW w:w="1560" w:type="dxa"/>
            <w:tcBorders>
              <w:top w:val="nil"/>
              <w:left w:val="nil"/>
              <w:bottom w:val="single" w:sz="8" w:space="0" w:color="auto"/>
              <w:right w:val="single" w:sz="8" w:space="0" w:color="auto"/>
            </w:tcBorders>
            <w:shd w:val="clear" w:color="auto" w:fill="auto"/>
            <w:vAlign w:val="center"/>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r>
      <w:tr w:rsidR="0097492F" w:rsidRPr="0097492F" w:rsidTr="0097492F">
        <w:trPr>
          <w:trHeight w:val="498"/>
        </w:trPr>
        <w:tc>
          <w:tcPr>
            <w:tcW w:w="2320" w:type="dxa"/>
            <w:tcBorders>
              <w:top w:val="nil"/>
              <w:left w:val="single" w:sz="8" w:space="0" w:color="auto"/>
              <w:bottom w:val="nil"/>
              <w:right w:val="single" w:sz="8"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SUB-TOTAL (Earmarked)</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34.2</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-11.2</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23</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-4.6</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18.4</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-2.7</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15.7</w:t>
            </w:r>
          </w:p>
        </w:tc>
        <w:tc>
          <w:tcPr>
            <w:tcW w:w="1020" w:type="dxa"/>
            <w:tcBorders>
              <w:top w:val="nil"/>
              <w:left w:val="nil"/>
              <w:bottom w:val="nil"/>
              <w:right w:val="single" w:sz="8" w:space="0" w:color="auto"/>
            </w:tcBorders>
            <w:shd w:val="clear" w:color="auto" w:fill="auto"/>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-0.9</w:t>
            </w:r>
          </w:p>
        </w:tc>
        <w:tc>
          <w:tcPr>
            <w:tcW w:w="1020" w:type="dxa"/>
            <w:tcBorders>
              <w:top w:val="nil"/>
              <w:left w:val="nil"/>
              <w:bottom w:val="nil"/>
              <w:right w:val="single" w:sz="8" w:space="0" w:color="auto"/>
            </w:tcBorders>
            <w:shd w:val="clear" w:color="000000" w:fill="D9D9D9"/>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14.8</w:t>
            </w:r>
          </w:p>
        </w:tc>
        <w:tc>
          <w:tcPr>
            <w:tcW w:w="1560" w:type="dxa"/>
            <w:tcBorders>
              <w:top w:val="nil"/>
              <w:left w:val="nil"/>
              <w:bottom w:val="nil"/>
              <w:right w:val="single" w:sz="8" w:space="0" w:color="auto"/>
            </w:tcBorders>
            <w:shd w:val="clear" w:color="auto" w:fill="auto"/>
            <w:vAlign w:val="center"/>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w:t>
            </w:r>
          </w:p>
        </w:tc>
      </w:tr>
      <w:tr w:rsidR="0097492F" w:rsidRPr="0097492F" w:rsidTr="0097492F">
        <w:trPr>
          <w:trHeight w:val="292"/>
        </w:trPr>
        <w:tc>
          <w:tcPr>
            <w:tcW w:w="23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Cs w:val="0"/>
                <w:color w:val="000000"/>
                <w:sz w:val="20"/>
                <w:szCs w:val="20"/>
                <w:lang w:val="en-US"/>
              </w:rPr>
            </w:pPr>
            <w:r w:rsidRPr="0097492F">
              <w:rPr>
                <w:rFonts w:eastAsia="Times New Roman" w:cs="Arial"/>
                <w:bCs w:val="0"/>
                <w:color w:val="000000"/>
                <w:sz w:val="20"/>
                <w:szCs w:val="20"/>
                <w:lang w:val="en-US"/>
              </w:rPr>
              <w:t> </w:t>
            </w:r>
          </w:p>
        </w:tc>
      </w:tr>
      <w:tr w:rsidR="0097492F" w:rsidRPr="0097492F" w:rsidTr="0097492F">
        <w:trPr>
          <w:trHeight w:val="609"/>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PFI Reserve</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12.3</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-0.8</w:t>
            </w:r>
          </w:p>
        </w:tc>
        <w:tc>
          <w:tcPr>
            <w:tcW w:w="1020" w:type="dxa"/>
            <w:tcBorders>
              <w:top w:val="nil"/>
              <w:left w:val="nil"/>
              <w:bottom w:val="single" w:sz="4" w:space="0" w:color="auto"/>
              <w:right w:val="single" w:sz="4" w:space="0" w:color="auto"/>
            </w:tcBorders>
            <w:shd w:val="clear" w:color="000000" w:fill="D9D9D9"/>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11.5</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-0.8</w:t>
            </w:r>
          </w:p>
        </w:tc>
        <w:tc>
          <w:tcPr>
            <w:tcW w:w="1020" w:type="dxa"/>
            <w:tcBorders>
              <w:top w:val="nil"/>
              <w:left w:val="nil"/>
              <w:bottom w:val="single" w:sz="4" w:space="0" w:color="auto"/>
              <w:right w:val="single" w:sz="4" w:space="0" w:color="auto"/>
            </w:tcBorders>
            <w:shd w:val="clear" w:color="000000" w:fill="D9D9D9"/>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10.7</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-0.8</w:t>
            </w:r>
          </w:p>
        </w:tc>
        <w:tc>
          <w:tcPr>
            <w:tcW w:w="1020" w:type="dxa"/>
            <w:tcBorders>
              <w:top w:val="nil"/>
              <w:left w:val="nil"/>
              <w:bottom w:val="single" w:sz="4" w:space="0" w:color="auto"/>
              <w:right w:val="single" w:sz="4" w:space="0" w:color="auto"/>
            </w:tcBorders>
            <w:shd w:val="clear" w:color="000000" w:fill="D9D9D9"/>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9.9</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-0.8</w:t>
            </w:r>
          </w:p>
        </w:tc>
        <w:tc>
          <w:tcPr>
            <w:tcW w:w="1020" w:type="dxa"/>
            <w:tcBorders>
              <w:top w:val="nil"/>
              <w:left w:val="nil"/>
              <w:bottom w:val="single" w:sz="4" w:space="0" w:color="auto"/>
              <w:right w:val="single" w:sz="4" w:space="0" w:color="auto"/>
            </w:tcBorders>
            <w:shd w:val="clear" w:color="000000" w:fill="D9D9D9"/>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9.1</w:t>
            </w:r>
          </w:p>
        </w:tc>
        <w:tc>
          <w:tcPr>
            <w:tcW w:w="156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9.1</w:t>
            </w:r>
          </w:p>
        </w:tc>
      </w:tr>
      <w:tr w:rsidR="0097492F" w:rsidRPr="0097492F" w:rsidTr="0097492F">
        <w:trPr>
          <w:trHeight w:val="498"/>
        </w:trPr>
        <w:tc>
          <w:tcPr>
            <w:tcW w:w="2320" w:type="dxa"/>
            <w:tcBorders>
              <w:top w:val="nil"/>
              <w:left w:val="single" w:sz="4" w:space="0" w:color="auto"/>
              <w:bottom w:val="single" w:sz="4" w:space="0" w:color="auto"/>
              <w:right w:val="single" w:sz="4" w:space="0" w:color="auto"/>
            </w:tcBorders>
            <w:shd w:val="clear" w:color="auto" w:fill="auto"/>
            <w:vAlign w:val="center"/>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TOTAL EXCL GENERAL</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46.5</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-12</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34.5</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-5.4</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29.1</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-3.5</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25.6</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-1.7</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23.9</w:t>
            </w:r>
          </w:p>
        </w:tc>
        <w:tc>
          <w:tcPr>
            <w:tcW w:w="156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11.1</w:t>
            </w:r>
          </w:p>
        </w:tc>
      </w:tr>
      <w:tr w:rsidR="0097492F" w:rsidRPr="0097492F" w:rsidTr="0097492F">
        <w:trPr>
          <w:trHeight w:val="292"/>
        </w:trPr>
        <w:tc>
          <w:tcPr>
            <w:tcW w:w="2320" w:type="dxa"/>
            <w:tcBorders>
              <w:top w:val="nil"/>
              <w:left w:val="nil"/>
              <w:bottom w:val="nil"/>
              <w:right w:val="nil"/>
            </w:tcBorders>
            <w:shd w:val="clear" w:color="auto" w:fill="auto"/>
            <w:vAlign w:val="center"/>
            <w:hideMark/>
          </w:tcPr>
          <w:p w:rsidR="0097492F" w:rsidRPr="0097492F" w:rsidRDefault="0097492F" w:rsidP="0097492F">
            <w:pPr>
              <w:jc w:val="right"/>
              <w:rPr>
                <w:rFonts w:eastAsia="Times New Roman" w:cs="Arial"/>
                <w:b/>
                <w:color w:val="00000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02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c>
          <w:tcPr>
            <w:tcW w:w="1560" w:type="dxa"/>
            <w:tcBorders>
              <w:top w:val="nil"/>
              <w:left w:val="nil"/>
              <w:bottom w:val="nil"/>
              <w:right w:val="nil"/>
            </w:tcBorders>
            <w:shd w:val="clear" w:color="auto" w:fill="auto"/>
            <w:noWrap/>
            <w:vAlign w:val="bottom"/>
            <w:hideMark/>
          </w:tcPr>
          <w:p w:rsidR="0097492F" w:rsidRPr="0097492F" w:rsidRDefault="0097492F" w:rsidP="0097492F">
            <w:pPr>
              <w:rPr>
                <w:rFonts w:ascii="Times New Roman" w:eastAsia="Times New Roman" w:hAnsi="Times New Roman"/>
                <w:bCs w:val="0"/>
                <w:sz w:val="20"/>
                <w:szCs w:val="20"/>
                <w:lang w:val="en-US"/>
              </w:rPr>
            </w:pPr>
          </w:p>
        </w:tc>
      </w:tr>
      <w:tr w:rsidR="0097492F" w:rsidRPr="0097492F" w:rsidTr="0097492F">
        <w:trPr>
          <w:trHeight w:val="515"/>
        </w:trPr>
        <w:tc>
          <w:tcPr>
            <w:tcW w:w="2320" w:type="dxa"/>
            <w:tcBorders>
              <w:top w:val="single" w:sz="4" w:space="0" w:color="auto"/>
              <w:left w:val="single" w:sz="4" w:space="0" w:color="auto"/>
              <w:bottom w:val="single" w:sz="4" w:space="0" w:color="auto"/>
              <w:right w:val="single" w:sz="4" w:space="0" w:color="auto"/>
            </w:tcBorders>
            <w:shd w:val="clear" w:color="000000" w:fill="D9D9D9"/>
            <w:vAlign w:val="bottom"/>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General &amp; Insurance reserves</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29.1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29.1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29.1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29.1</w:t>
            </w:r>
          </w:p>
        </w:tc>
        <w:tc>
          <w:tcPr>
            <w:tcW w:w="102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c>
          <w:tcPr>
            <w:tcW w:w="1020" w:type="dxa"/>
            <w:tcBorders>
              <w:top w:val="single" w:sz="4" w:space="0" w:color="auto"/>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eastAsia="Times New Roman" w:cs="Arial"/>
                <w:b/>
                <w:color w:val="000000"/>
                <w:sz w:val="20"/>
                <w:szCs w:val="20"/>
                <w:lang w:val="en-US"/>
              </w:rPr>
            </w:pPr>
            <w:r w:rsidRPr="0097492F">
              <w:rPr>
                <w:rFonts w:eastAsia="Times New Roman" w:cs="Arial"/>
                <w:b/>
                <w:color w:val="000000"/>
                <w:sz w:val="20"/>
                <w:szCs w:val="20"/>
                <w:lang w:val="en-US"/>
              </w:rPr>
              <w:t>29.1</w:t>
            </w:r>
          </w:p>
        </w:tc>
        <w:tc>
          <w:tcPr>
            <w:tcW w:w="1560" w:type="dxa"/>
            <w:tcBorders>
              <w:top w:val="single" w:sz="4" w:space="0" w:color="auto"/>
              <w:left w:val="nil"/>
              <w:bottom w:val="single" w:sz="4" w:space="0" w:color="auto"/>
              <w:right w:val="single" w:sz="4" w:space="0" w:color="auto"/>
            </w:tcBorders>
            <w:shd w:val="clear" w:color="auto" w:fill="auto"/>
            <w:noWrap/>
            <w:vAlign w:val="bottom"/>
            <w:hideMark/>
          </w:tcPr>
          <w:p w:rsidR="0097492F" w:rsidRPr="0097492F" w:rsidRDefault="0097492F" w:rsidP="0097492F">
            <w:pPr>
              <w:rPr>
                <w:rFonts w:eastAsia="Times New Roman" w:cs="Arial"/>
                <w:b/>
                <w:color w:val="000000"/>
                <w:sz w:val="20"/>
                <w:szCs w:val="20"/>
                <w:lang w:val="en-US"/>
              </w:rPr>
            </w:pPr>
            <w:r w:rsidRPr="0097492F">
              <w:rPr>
                <w:rFonts w:eastAsia="Times New Roman" w:cs="Arial"/>
                <w:b/>
                <w:color w:val="000000"/>
                <w:sz w:val="20"/>
                <w:szCs w:val="20"/>
                <w:lang w:val="en-US"/>
              </w:rPr>
              <w:t> </w:t>
            </w:r>
          </w:p>
        </w:tc>
      </w:tr>
    </w:tbl>
    <w:p w:rsidR="0090545F" w:rsidRDefault="0090545F" w:rsidP="0082527D">
      <w:pPr>
        <w:rPr>
          <w:rFonts w:cs="Arial"/>
          <w:sz w:val="22"/>
          <w:szCs w:val="22"/>
        </w:rPr>
      </w:pPr>
    </w:p>
    <w:p w:rsidR="0090545F" w:rsidRPr="0090545F" w:rsidRDefault="0090545F" w:rsidP="0090545F">
      <w:pPr>
        <w:rPr>
          <w:rFonts w:cs="Arial"/>
          <w:sz w:val="22"/>
          <w:szCs w:val="22"/>
        </w:rPr>
      </w:pPr>
    </w:p>
    <w:p w:rsidR="0090545F" w:rsidRDefault="0090545F" w:rsidP="0090545F">
      <w:pPr>
        <w:rPr>
          <w:rFonts w:cs="Arial"/>
          <w:sz w:val="22"/>
          <w:szCs w:val="22"/>
        </w:rPr>
      </w:pPr>
    </w:p>
    <w:p w:rsidR="0090545F" w:rsidRDefault="0090545F" w:rsidP="0090545F">
      <w:pPr>
        <w:rPr>
          <w:rFonts w:cs="Arial"/>
          <w:sz w:val="22"/>
          <w:szCs w:val="22"/>
        </w:rPr>
      </w:pPr>
    </w:p>
    <w:p w:rsidR="00551A81" w:rsidRDefault="00551A81" w:rsidP="0090545F">
      <w:pPr>
        <w:rPr>
          <w:rFonts w:cs="Arial"/>
          <w:sz w:val="22"/>
          <w:szCs w:val="22"/>
        </w:rPr>
      </w:pPr>
    </w:p>
    <w:p w:rsidR="00551A81" w:rsidRDefault="00551A81" w:rsidP="0090545F">
      <w:pPr>
        <w:rPr>
          <w:rFonts w:cs="Arial"/>
          <w:sz w:val="22"/>
          <w:szCs w:val="22"/>
        </w:rPr>
      </w:pPr>
    </w:p>
    <w:p w:rsidR="00551A81" w:rsidRDefault="00551A81" w:rsidP="0090545F">
      <w:pPr>
        <w:rPr>
          <w:rFonts w:cs="Arial"/>
          <w:sz w:val="22"/>
          <w:szCs w:val="22"/>
        </w:rPr>
      </w:pPr>
    </w:p>
    <w:p w:rsidR="00551A81" w:rsidRDefault="00551A81" w:rsidP="0090545F">
      <w:pPr>
        <w:rPr>
          <w:rFonts w:cs="Arial"/>
          <w:sz w:val="22"/>
          <w:szCs w:val="22"/>
        </w:rPr>
      </w:pPr>
    </w:p>
    <w:p w:rsidR="00551A81" w:rsidRDefault="00551A81" w:rsidP="0090545F">
      <w:pPr>
        <w:rPr>
          <w:rFonts w:cs="Arial"/>
          <w:sz w:val="22"/>
          <w:szCs w:val="22"/>
        </w:rPr>
      </w:pPr>
    </w:p>
    <w:p w:rsidR="0090545F" w:rsidRPr="00551A81" w:rsidRDefault="0090545F" w:rsidP="00551A81">
      <w:pPr>
        <w:ind w:left="12240"/>
        <w:rPr>
          <w:rFonts w:cs="Arial"/>
          <w:b/>
          <w:sz w:val="22"/>
          <w:szCs w:val="22"/>
        </w:rPr>
      </w:pPr>
      <w:r w:rsidRPr="00551A81">
        <w:rPr>
          <w:rFonts w:cs="Arial"/>
          <w:b/>
          <w:sz w:val="22"/>
          <w:szCs w:val="22"/>
        </w:rPr>
        <w:t>Appendix 2</w:t>
      </w:r>
    </w:p>
    <w:p w:rsidR="00551A81" w:rsidRDefault="00551A81" w:rsidP="0090545F">
      <w:pPr>
        <w:rPr>
          <w:rFonts w:cs="Arial"/>
          <w:sz w:val="22"/>
          <w:szCs w:val="22"/>
        </w:rPr>
      </w:pPr>
    </w:p>
    <w:p w:rsidR="00551A81" w:rsidRDefault="00551A81" w:rsidP="0090545F">
      <w:pPr>
        <w:rPr>
          <w:rFonts w:cs="Arial"/>
          <w:sz w:val="22"/>
          <w:szCs w:val="22"/>
        </w:rPr>
      </w:pPr>
      <w:r>
        <w:rPr>
          <w:rFonts w:cs="Arial"/>
          <w:sz w:val="22"/>
          <w:szCs w:val="22"/>
        </w:rPr>
        <w:t>The table below categorises the reserves as per Home Office guidance</w:t>
      </w:r>
    </w:p>
    <w:tbl>
      <w:tblPr>
        <w:tblW w:w="9200" w:type="dxa"/>
        <w:tblLook w:val="04A0" w:firstRow="1" w:lastRow="0" w:firstColumn="1" w:lastColumn="0" w:noHBand="0" w:noVBand="1"/>
      </w:tblPr>
      <w:tblGrid>
        <w:gridCol w:w="4100"/>
        <w:gridCol w:w="1020"/>
        <w:gridCol w:w="1020"/>
        <w:gridCol w:w="1020"/>
        <w:gridCol w:w="1020"/>
        <w:gridCol w:w="1020"/>
      </w:tblGrid>
      <w:tr w:rsidR="0097492F" w:rsidRPr="0097492F" w:rsidTr="0097492F">
        <w:trPr>
          <w:trHeight w:val="1098"/>
        </w:trPr>
        <w:tc>
          <w:tcPr>
            <w:tcW w:w="4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7492F" w:rsidRPr="0097492F" w:rsidRDefault="0097492F" w:rsidP="0097492F">
            <w:pPr>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 </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97492F" w:rsidRPr="0097492F" w:rsidRDefault="0097492F" w:rsidP="0097492F">
            <w:pPr>
              <w:jc w:val="center"/>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Balance as at 1.4.18     £m</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97492F" w:rsidRPr="0097492F" w:rsidRDefault="0097492F" w:rsidP="0097492F">
            <w:pPr>
              <w:jc w:val="center"/>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18/19         £m</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97492F" w:rsidRPr="0097492F" w:rsidRDefault="0097492F" w:rsidP="0097492F">
            <w:pPr>
              <w:jc w:val="center"/>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 xml:space="preserve">19/20            £m </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97492F" w:rsidRPr="0097492F" w:rsidRDefault="0097492F" w:rsidP="0097492F">
            <w:pPr>
              <w:jc w:val="center"/>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20/21            £m</w:t>
            </w:r>
          </w:p>
        </w:tc>
        <w:tc>
          <w:tcPr>
            <w:tcW w:w="1020" w:type="dxa"/>
            <w:tcBorders>
              <w:top w:val="single" w:sz="4" w:space="0" w:color="auto"/>
              <w:left w:val="nil"/>
              <w:bottom w:val="single" w:sz="4" w:space="0" w:color="auto"/>
              <w:right w:val="single" w:sz="4" w:space="0" w:color="auto"/>
            </w:tcBorders>
            <w:shd w:val="clear" w:color="auto" w:fill="auto"/>
            <w:vAlign w:val="bottom"/>
            <w:hideMark/>
          </w:tcPr>
          <w:p w:rsidR="0097492F" w:rsidRPr="0097492F" w:rsidRDefault="0097492F" w:rsidP="0097492F">
            <w:pPr>
              <w:jc w:val="center"/>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21/22              £m</w:t>
            </w:r>
          </w:p>
        </w:tc>
      </w:tr>
      <w:tr w:rsidR="0097492F" w:rsidRPr="0097492F" w:rsidTr="0097492F">
        <w:trPr>
          <w:trHeight w:val="815"/>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7492F" w:rsidRPr="0097492F" w:rsidRDefault="0097492F" w:rsidP="0097492F">
            <w:pPr>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Funding for projects &amp; programmes over the period of the current MTFP</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26.2</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14.2</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8.8</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5.3</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3.6</w:t>
            </w:r>
          </w:p>
        </w:tc>
      </w:tr>
      <w:tr w:rsidR="0097492F" w:rsidRPr="0097492F" w:rsidTr="0097492F">
        <w:trPr>
          <w:trHeight w:val="686"/>
        </w:trPr>
        <w:tc>
          <w:tcPr>
            <w:tcW w:w="4100" w:type="dxa"/>
            <w:tcBorders>
              <w:top w:val="nil"/>
              <w:left w:val="single" w:sz="4" w:space="0" w:color="auto"/>
              <w:bottom w:val="single" w:sz="4" w:space="0" w:color="auto"/>
              <w:right w:val="single" w:sz="4" w:space="0" w:color="auto"/>
            </w:tcBorders>
            <w:shd w:val="clear" w:color="auto" w:fill="auto"/>
            <w:vAlign w:val="center"/>
            <w:hideMark/>
          </w:tcPr>
          <w:p w:rsidR="0097492F" w:rsidRPr="0097492F" w:rsidRDefault="0097492F" w:rsidP="0097492F">
            <w:pPr>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Funding for projects &amp; programmes beyond the current MTFP</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20.3</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20.3</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20.3</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20.3</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20.3</w:t>
            </w:r>
          </w:p>
        </w:tc>
      </w:tr>
      <w:tr w:rsidR="0097492F" w:rsidRPr="0097492F" w:rsidTr="0097492F">
        <w:trPr>
          <w:trHeight w:val="566"/>
        </w:trPr>
        <w:tc>
          <w:tcPr>
            <w:tcW w:w="4100" w:type="dxa"/>
            <w:tcBorders>
              <w:top w:val="nil"/>
              <w:left w:val="single" w:sz="4" w:space="0" w:color="auto"/>
              <w:bottom w:val="single" w:sz="4" w:space="0" w:color="auto"/>
              <w:right w:val="single" w:sz="4" w:space="0" w:color="auto"/>
            </w:tcBorders>
            <w:shd w:val="clear" w:color="auto" w:fill="auto"/>
            <w:noWrap/>
            <w:vAlign w:val="bottom"/>
            <w:hideMark/>
          </w:tcPr>
          <w:p w:rsidR="0097492F" w:rsidRPr="0097492F" w:rsidRDefault="0097492F" w:rsidP="0097492F">
            <w:pPr>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General Contingency (incl insurance)</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29.1</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29.1</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29.1</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29.1</w:t>
            </w:r>
          </w:p>
        </w:tc>
        <w:tc>
          <w:tcPr>
            <w:tcW w:w="1020" w:type="dxa"/>
            <w:tcBorders>
              <w:top w:val="nil"/>
              <w:left w:val="nil"/>
              <w:bottom w:val="single" w:sz="4" w:space="0" w:color="auto"/>
              <w:right w:val="single" w:sz="4" w:space="0" w:color="auto"/>
            </w:tcBorders>
            <w:shd w:val="clear" w:color="auto" w:fill="auto"/>
            <w:noWrap/>
            <w:vAlign w:val="bottom"/>
            <w:hideMark/>
          </w:tcPr>
          <w:p w:rsidR="0097492F" w:rsidRPr="0097492F" w:rsidRDefault="0097492F" w:rsidP="0097492F">
            <w:pPr>
              <w:jc w:val="right"/>
              <w:rPr>
                <w:rFonts w:ascii="Calibri" w:eastAsia="Times New Roman" w:hAnsi="Calibri" w:cs="Calibri"/>
                <w:bCs w:val="0"/>
                <w:color w:val="000000"/>
                <w:sz w:val="22"/>
                <w:szCs w:val="22"/>
                <w:lang w:val="en-US"/>
              </w:rPr>
            </w:pPr>
            <w:r w:rsidRPr="0097492F">
              <w:rPr>
                <w:rFonts w:ascii="Calibri" w:eastAsia="Times New Roman" w:hAnsi="Calibri" w:cs="Calibri"/>
                <w:bCs w:val="0"/>
                <w:color w:val="000000"/>
                <w:sz w:val="22"/>
                <w:szCs w:val="22"/>
                <w:lang w:val="en-US"/>
              </w:rPr>
              <w:t>29.1</w:t>
            </w:r>
          </w:p>
        </w:tc>
      </w:tr>
      <w:tr w:rsidR="0097492F" w:rsidRPr="0097492F" w:rsidTr="0097492F">
        <w:trPr>
          <w:trHeight w:val="703"/>
        </w:trPr>
        <w:tc>
          <w:tcPr>
            <w:tcW w:w="4100" w:type="dxa"/>
            <w:tcBorders>
              <w:top w:val="nil"/>
              <w:left w:val="single" w:sz="4" w:space="0" w:color="auto"/>
              <w:bottom w:val="single" w:sz="4" w:space="0" w:color="auto"/>
              <w:right w:val="single" w:sz="4" w:space="0" w:color="auto"/>
            </w:tcBorders>
            <w:shd w:val="clear" w:color="000000" w:fill="D9D9D9"/>
            <w:noWrap/>
            <w:vAlign w:val="bottom"/>
            <w:hideMark/>
          </w:tcPr>
          <w:p w:rsidR="0097492F" w:rsidRPr="0097492F" w:rsidRDefault="0097492F" w:rsidP="0097492F">
            <w:pPr>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TOTAL</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75.6</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63.6</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58.2</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54.7</w:t>
            </w:r>
          </w:p>
        </w:tc>
        <w:tc>
          <w:tcPr>
            <w:tcW w:w="1020" w:type="dxa"/>
            <w:tcBorders>
              <w:top w:val="nil"/>
              <w:left w:val="nil"/>
              <w:bottom w:val="single" w:sz="4" w:space="0" w:color="auto"/>
              <w:right w:val="single" w:sz="4" w:space="0" w:color="auto"/>
            </w:tcBorders>
            <w:shd w:val="clear" w:color="000000" w:fill="D9D9D9"/>
            <w:noWrap/>
            <w:vAlign w:val="bottom"/>
            <w:hideMark/>
          </w:tcPr>
          <w:p w:rsidR="0097492F" w:rsidRPr="0097492F" w:rsidRDefault="0097492F" w:rsidP="0097492F">
            <w:pPr>
              <w:jc w:val="right"/>
              <w:rPr>
                <w:rFonts w:ascii="Calibri" w:eastAsia="Times New Roman" w:hAnsi="Calibri" w:cs="Calibri"/>
                <w:b/>
                <w:color w:val="000000"/>
                <w:sz w:val="22"/>
                <w:szCs w:val="22"/>
                <w:lang w:val="en-US"/>
              </w:rPr>
            </w:pPr>
            <w:r w:rsidRPr="0097492F">
              <w:rPr>
                <w:rFonts w:ascii="Calibri" w:eastAsia="Times New Roman" w:hAnsi="Calibri" w:cs="Calibri"/>
                <w:b/>
                <w:color w:val="000000"/>
                <w:sz w:val="22"/>
                <w:szCs w:val="22"/>
                <w:lang w:val="en-US"/>
              </w:rPr>
              <w:t>53.0</w:t>
            </w:r>
          </w:p>
        </w:tc>
      </w:tr>
    </w:tbl>
    <w:p w:rsidR="00551A81" w:rsidRDefault="00551A81" w:rsidP="0090545F">
      <w:pPr>
        <w:rPr>
          <w:rFonts w:cs="Arial"/>
          <w:sz w:val="22"/>
          <w:szCs w:val="22"/>
        </w:rPr>
      </w:pPr>
    </w:p>
    <w:p w:rsidR="00551A81" w:rsidRPr="0090545F" w:rsidRDefault="00551A81" w:rsidP="0090545F">
      <w:pPr>
        <w:rPr>
          <w:rFonts w:cs="Arial"/>
          <w:sz w:val="22"/>
          <w:szCs w:val="22"/>
        </w:rPr>
      </w:pPr>
    </w:p>
    <w:sectPr w:rsidR="00551A81" w:rsidRPr="0090545F" w:rsidSect="00081BB0">
      <w:pgSz w:w="16838" w:h="11906" w:orient="landscape"/>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25F3" w:rsidRDefault="00A025F3" w:rsidP="002E0757">
      <w:r>
        <w:separator/>
      </w:r>
    </w:p>
  </w:endnote>
  <w:endnote w:type="continuationSeparator" w:id="0">
    <w:p w:rsidR="00A025F3" w:rsidRDefault="00A025F3" w:rsidP="002E07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7E3B" w:rsidRDefault="00A67E3B">
    <w:pPr>
      <w:pStyle w:val="Footer"/>
      <w:jc w:val="center"/>
    </w:pPr>
    <w:r>
      <w:fldChar w:fldCharType="begin"/>
    </w:r>
    <w:r>
      <w:instrText xml:space="preserve"> PAGE   \* MERGEFORMAT </w:instrText>
    </w:r>
    <w:r>
      <w:fldChar w:fldCharType="separate"/>
    </w:r>
    <w:r w:rsidR="00D63568">
      <w:rPr>
        <w:noProof/>
      </w:rPr>
      <w:t>9</w:t>
    </w:r>
    <w:r>
      <w:rPr>
        <w:noProof/>
      </w:rPr>
      <w:fldChar w:fldCharType="end"/>
    </w:r>
  </w:p>
  <w:p w:rsidR="00A67E3B" w:rsidRDefault="00A67E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25F3" w:rsidRDefault="00A025F3" w:rsidP="002E0757">
      <w:r>
        <w:separator/>
      </w:r>
    </w:p>
  </w:footnote>
  <w:footnote w:type="continuationSeparator" w:id="0">
    <w:p w:rsidR="00A025F3" w:rsidRDefault="00A025F3" w:rsidP="002E07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BB30CE"/>
    <w:multiLevelType w:val="hybridMultilevel"/>
    <w:tmpl w:val="50F2AEBA"/>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A093781"/>
    <w:multiLevelType w:val="hybridMultilevel"/>
    <w:tmpl w:val="4A32C8E2"/>
    <w:lvl w:ilvl="0" w:tplc="B2E21470">
      <w:start w:val="8"/>
      <w:numFmt w:val="bullet"/>
      <w:lvlText w:val=""/>
      <w:lvlJc w:val="left"/>
      <w:pPr>
        <w:ind w:left="720" w:hanging="360"/>
      </w:pPr>
      <w:rPr>
        <w:rFonts w:ascii="Symbol" w:eastAsia="Calibri"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4A54D0"/>
    <w:multiLevelType w:val="hybridMultilevel"/>
    <w:tmpl w:val="FD72AB6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0DA6878"/>
    <w:multiLevelType w:val="hybridMultilevel"/>
    <w:tmpl w:val="3CF4A934"/>
    <w:lvl w:ilvl="0" w:tplc="1704689A">
      <w:start w:val="8"/>
      <w:numFmt w:val="bullet"/>
      <w:lvlText w:val=""/>
      <w:lvlJc w:val="left"/>
      <w:pPr>
        <w:ind w:left="720" w:hanging="360"/>
      </w:pPr>
      <w:rPr>
        <w:rFonts w:ascii="Wingdings" w:eastAsia="Calibri" w:hAnsi="Wingding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01B97"/>
    <w:multiLevelType w:val="hybridMultilevel"/>
    <w:tmpl w:val="5F36F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EE52A2D"/>
    <w:multiLevelType w:val="multilevel"/>
    <w:tmpl w:val="6F80FF58"/>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43210B76"/>
    <w:multiLevelType w:val="multilevel"/>
    <w:tmpl w:val="A292435C"/>
    <w:lvl w:ilvl="0">
      <w:start w:val="1"/>
      <w:numFmt w:val="decimal"/>
      <w:lvlText w:val="%1."/>
      <w:lvlJc w:val="left"/>
      <w:pPr>
        <w:ind w:left="720" w:hanging="360"/>
      </w:pPr>
      <w:rPr>
        <w:rFonts w:hint="default"/>
      </w:rPr>
    </w:lvl>
    <w:lvl w:ilvl="1">
      <w:start w:val="1"/>
      <w:numFmt w:val="decimal"/>
      <w:isLgl/>
      <w:lvlText w:val="%1.%2"/>
      <w:lvlJc w:val="left"/>
      <w:pPr>
        <w:ind w:left="284" w:hanging="227"/>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4CBB5CF8"/>
    <w:multiLevelType w:val="hybridMultilevel"/>
    <w:tmpl w:val="DA569E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1684F45"/>
    <w:multiLevelType w:val="hybridMultilevel"/>
    <w:tmpl w:val="8A382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E114D2A"/>
    <w:multiLevelType w:val="hybridMultilevel"/>
    <w:tmpl w:val="FCE8F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E147A7"/>
    <w:multiLevelType w:val="hybridMultilevel"/>
    <w:tmpl w:val="0E08BA94"/>
    <w:lvl w:ilvl="0" w:tplc="08090001">
      <w:start w:val="1"/>
      <w:numFmt w:val="bullet"/>
      <w:lvlText w:val=""/>
      <w:lvlJc w:val="left"/>
      <w:pPr>
        <w:ind w:left="4823" w:hanging="360"/>
      </w:pPr>
      <w:rPr>
        <w:rFonts w:ascii="Symbol" w:hAnsi="Symbol" w:hint="default"/>
      </w:rPr>
    </w:lvl>
    <w:lvl w:ilvl="1" w:tplc="08090003">
      <w:start w:val="1"/>
      <w:numFmt w:val="bullet"/>
      <w:lvlText w:val="o"/>
      <w:lvlJc w:val="left"/>
      <w:pPr>
        <w:ind w:left="5543" w:hanging="360"/>
      </w:pPr>
      <w:rPr>
        <w:rFonts w:ascii="Courier New" w:hAnsi="Courier New" w:cs="Courier New" w:hint="default"/>
      </w:rPr>
    </w:lvl>
    <w:lvl w:ilvl="2" w:tplc="08090005" w:tentative="1">
      <w:start w:val="1"/>
      <w:numFmt w:val="bullet"/>
      <w:lvlText w:val=""/>
      <w:lvlJc w:val="left"/>
      <w:pPr>
        <w:ind w:left="6263" w:hanging="360"/>
      </w:pPr>
      <w:rPr>
        <w:rFonts w:ascii="Wingdings" w:hAnsi="Wingdings" w:hint="default"/>
      </w:rPr>
    </w:lvl>
    <w:lvl w:ilvl="3" w:tplc="08090001" w:tentative="1">
      <w:start w:val="1"/>
      <w:numFmt w:val="bullet"/>
      <w:lvlText w:val=""/>
      <w:lvlJc w:val="left"/>
      <w:pPr>
        <w:ind w:left="6983" w:hanging="360"/>
      </w:pPr>
      <w:rPr>
        <w:rFonts w:ascii="Symbol" w:hAnsi="Symbol" w:hint="default"/>
      </w:rPr>
    </w:lvl>
    <w:lvl w:ilvl="4" w:tplc="08090003" w:tentative="1">
      <w:start w:val="1"/>
      <w:numFmt w:val="bullet"/>
      <w:lvlText w:val="o"/>
      <w:lvlJc w:val="left"/>
      <w:pPr>
        <w:ind w:left="7703" w:hanging="360"/>
      </w:pPr>
      <w:rPr>
        <w:rFonts w:ascii="Courier New" w:hAnsi="Courier New" w:cs="Courier New" w:hint="default"/>
      </w:rPr>
    </w:lvl>
    <w:lvl w:ilvl="5" w:tplc="08090005" w:tentative="1">
      <w:start w:val="1"/>
      <w:numFmt w:val="bullet"/>
      <w:lvlText w:val=""/>
      <w:lvlJc w:val="left"/>
      <w:pPr>
        <w:ind w:left="8423" w:hanging="360"/>
      </w:pPr>
      <w:rPr>
        <w:rFonts w:ascii="Wingdings" w:hAnsi="Wingdings" w:hint="default"/>
      </w:rPr>
    </w:lvl>
    <w:lvl w:ilvl="6" w:tplc="08090001" w:tentative="1">
      <w:start w:val="1"/>
      <w:numFmt w:val="bullet"/>
      <w:lvlText w:val=""/>
      <w:lvlJc w:val="left"/>
      <w:pPr>
        <w:ind w:left="9143" w:hanging="360"/>
      </w:pPr>
      <w:rPr>
        <w:rFonts w:ascii="Symbol" w:hAnsi="Symbol" w:hint="default"/>
      </w:rPr>
    </w:lvl>
    <w:lvl w:ilvl="7" w:tplc="08090003" w:tentative="1">
      <w:start w:val="1"/>
      <w:numFmt w:val="bullet"/>
      <w:lvlText w:val="o"/>
      <w:lvlJc w:val="left"/>
      <w:pPr>
        <w:ind w:left="9863" w:hanging="360"/>
      </w:pPr>
      <w:rPr>
        <w:rFonts w:ascii="Courier New" w:hAnsi="Courier New" w:cs="Courier New" w:hint="default"/>
      </w:rPr>
    </w:lvl>
    <w:lvl w:ilvl="8" w:tplc="08090005" w:tentative="1">
      <w:start w:val="1"/>
      <w:numFmt w:val="bullet"/>
      <w:lvlText w:val=""/>
      <w:lvlJc w:val="left"/>
      <w:pPr>
        <w:ind w:left="10583" w:hanging="360"/>
      </w:pPr>
      <w:rPr>
        <w:rFonts w:ascii="Wingdings" w:hAnsi="Wingdings" w:hint="default"/>
      </w:rPr>
    </w:lvl>
  </w:abstractNum>
  <w:abstractNum w:abstractNumId="11" w15:restartNumberingAfterBreak="0">
    <w:nsid w:val="7BE83450"/>
    <w:multiLevelType w:val="hybridMultilevel"/>
    <w:tmpl w:val="F810457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7F762902"/>
    <w:multiLevelType w:val="hybridMultilevel"/>
    <w:tmpl w:val="F05A5016"/>
    <w:lvl w:ilvl="0" w:tplc="08090001">
      <w:start w:val="1"/>
      <w:numFmt w:val="bullet"/>
      <w:lvlText w:val=""/>
      <w:lvlJc w:val="left"/>
      <w:pPr>
        <w:ind w:left="1572" w:hanging="360"/>
      </w:pPr>
      <w:rPr>
        <w:rFonts w:ascii="Symbol" w:hAnsi="Symbol" w:hint="default"/>
      </w:rPr>
    </w:lvl>
    <w:lvl w:ilvl="1" w:tplc="08090003" w:tentative="1">
      <w:start w:val="1"/>
      <w:numFmt w:val="bullet"/>
      <w:lvlText w:val="o"/>
      <w:lvlJc w:val="left"/>
      <w:pPr>
        <w:ind w:left="2292" w:hanging="360"/>
      </w:pPr>
      <w:rPr>
        <w:rFonts w:ascii="Courier New" w:hAnsi="Courier New" w:cs="Courier New" w:hint="default"/>
      </w:rPr>
    </w:lvl>
    <w:lvl w:ilvl="2" w:tplc="08090005" w:tentative="1">
      <w:start w:val="1"/>
      <w:numFmt w:val="bullet"/>
      <w:lvlText w:val=""/>
      <w:lvlJc w:val="left"/>
      <w:pPr>
        <w:ind w:left="3012" w:hanging="360"/>
      </w:pPr>
      <w:rPr>
        <w:rFonts w:ascii="Wingdings" w:hAnsi="Wingdings" w:hint="default"/>
      </w:rPr>
    </w:lvl>
    <w:lvl w:ilvl="3" w:tplc="08090001" w:tentative="1">
      <w:start w:val="1"/>
      <w:numFmt w:val="bullet"/>
      <w:lvlText w:val=""/>
      <w:lvlJc w:val="left"/>
      <w:pPr>
        <w:ind w:left="3732" w:hanging="360"/>
      </w:pPr>
      <w:rPr>
        <w:rFonts w:ascii="Symbol" w:hAnsi="Symbol" w:hint="default"/>
      </w:rPr>
    </w:lvl>
    <w:lvl w:ilvl="4" w:tplc="08090003" w:tentative="1">
      <w:start w:val="1"/>
      <w:numFmt w:val="bullet"/>
      <w:lvlText w:val="o"/>
      <w:lvlJc w:val="left"/>
      <w:pPr>
        <w:ind w:left="4452" w:hanging="360"/>
      </w:pPr>
      <w:rPr>
        <w:rFonts w:ascii="Courier New" w:hAnsi="Courier New" w:cs="Courier New" w:hint="default"/>
      </w:rPr>
    </w:lvl>
    <w:lvl w:ilvl="5" w:tplc="08090005" w:tentative="1">
      <w:start w:val="1"/>
      <w:numFmt w:val="bullet"/>
      <w:lvlText w:val=""/>
      <w:lvlJc w:val="left"/>
      <w:pPr>
        <w:ind w:left="5172" w:hanging="360"/>
      </w:pPr>
      <w:rPr>
        <w:rFonts w:ascii="Wingdings" w:hAnsi="Wingdings" w:hint="default"/>
      </w:rPr>
    </w:lvl>
    <w:lvl w:ilvl="6" w:tplc="08090001" w:tentative="1">
      <w:start w:val="1"/>
      <w:numFmt w:val="bullet"/>
      <w:lvlText w:val=""/>
      <w:lvlJc w:val="left"/>
      <w:pPr>
        <w:ind w:left="5892" w:hanging="360"/>
      </w:pPr>
      <w:rPr>
        <w:rFonts w:ascii="Symbol" w:hAnsi="Symbol" w:hint="default"/>
      </w:rPr>
    </w:lvl>
    <w:lvl w:ilvl="7" w:tplc="08090003" w:tentative="1">
      <w:start w:val="1"/>
      <w:numFmt w:val="bullet"/>
      <w:lvlText w:val="o"/>
      <w:lvlJc w:val="left"/>
      <w:pPr>
        <w:ind w:left="6612" w:hanging="360"/>
      </w:pPr>
      <w:rPr>
        <w:rFonts w:ascii="Courier New" w:hAnsi="Courier New" w:cs="Courier New" w:hint="default"/>
      </w:rPr>
    </w:lvl>
    <w:lvl w:ilvl="8" w:tplc="08090005" w:tentative="1">
      <w:start w:val="1"/>
      <w:numFmt w:val="bullet"/>
      <w:lvlText w:val=""/>
      <w:lvlJc w:val="left"/>
      <w:pPr>
        <w:ind w:left="7332" w:hanging="360"/>
      </w:pPr>
      <w:rPr>
        <w:rFonts w:ascii="Wingdings" w:hAnsi="Wingdings" w:hint="default"/>
      </w:rPr>
    </w:lvl>
  </w:abstractNum>
  <w:num w:numId="1">
    <w:abstractNumId w:val="6"/>
  </w:num>
  <w:num w:numId="2">
    <w:abstractNumId w:val="1"/>
  </w:num>
  <w:num w:numId="3">
    <w:abstractNumId w:val="3"/>
  </w:num>
  <w:num w:numId="4">
    <w:abstractNumId w:val="10"/>
  </w:num>
  <w:num w:numId="5">
    <w:abstractNumId w:val="12"/>
  </w:num>
  <w:num w:numId="6">
    <w:abstractNumId w:val="5"/>
  </w:num>
  <w:num w:numId="7">
    <w:abstractNumId w:val="2"/>
  </w:num>
  <w:num w:numId="8">
    <w:abstractNumId w:val="7"/>
  </w:num>
  <w:num w:numId="9">
    <w:abstractNumId w:val="0"/>
  </w:num>
  <w:num w:numId="10">
    <w:abstractNumId w:val="11"/>
  </w:num>
  <w:num w:numId="11">
    <w:abstractNumId w:val="9"/>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4D0"/>
    <w:rsid w:val="00034756"/>
    <w:rsid w:val="00057245"/>
    <w:rsid w:val="000622F8"/>
    <w:rsid w:val="00081BB0"/>
    <w:rsid w:val="00085411"/>
    <w:rsid w:val="00125240"/>
    <w:rsid w:val="00134454"/>
    <w:rsid w:val="00136958"/>
    <w:rsid w:val="00152D07"/>
    <w:rsid w:val="00161D78"/>
    <w:rsid w:val="002E0757"/>
    <w:rsid w:val="00355584"/>
    <w:rsid w:val="00367C50"/>
    <w:rsid w:val="00384C35"/>
    <w:rsid w:val="00432CEB"/>
    <w:rsid w:val="004422EF"/>
    <w:rsid w:val="0046141E"/>
    <w:rsid w:val="00463C7F"/>
    <w:rsid w:val="004E44AB"/>
    <w:rsid w:val="004F1E05"/>
    <w:rsid w:val="00525765"/>
    <w:rsid w:val="00551A81"/>
    <w:rsid w:val="0056633A"/>
    <w:rsid w:val="005B7933"/>
    <w:rsid w:val="005D4B47"/>
    <w:rsid w:val="005F759F"/>
    <w:rsid w:val="00621A2E"/>
    <w:rsid w:val="00621E14"/>
    <w:rsid w:val="006F0A57"/>
    <w:rsid w:val="0082527D"/>
    <w:rsid w:val="00826406"/>
    <w:rsid w:val="00826B3B"/>
    <w:rsid w:val="008A2998"/>
    <w:rsid w:val="0090545F"/>
    <w:rsid w:val="0090577A"/>
    <w:rsid w:val="009164D0"/>
    <w:rsid w:val="0093105C"/>
    <w:rsid w:val="009624CC"/>
    <w:rsid w:val="009651FB"/>
    <w:rsid w:val="0097492F"/>
    <w:rsid w:val="009F5C76"/>
    <w:rsid w:val="009F5E7B"/>
    <w:rsid w:val="00A025F3"/>
    <w:rsid w:val="00A41BFB"/>
    <w:rsid w:val="00A67E3B"/>
    <w:rsid w:val="00AD7558"/>
    <w:rsid w:val="00AF6666"/>
    <w:rsid w:val="00BA23B5"/>
    <w:rsid w:val="00BA54D6"/>
    <w:rsid w:val="00BA73BE"/>
    <w:rsid w:val="00C11B61"/>
    <w:rsid w:val="00C216A4"/>
    <w:rsid w:val="00C97167"/>
    <w:rsid w:val="00CC53F3"/>
    <w:rsid w:val="00CF6E6B"/>
    <w:rsid w:val="00D04E38"/>
    <w:rsid w:val="00D43C5D"/>
    <w:rsid w:val="00D539CD"/>
    <w:rsid w:val="00D63568"/>
    <w:rsid w:val="00DA2711"/>
    <w:rsid w:val="00DC3788"/>
    <w:rsid w:val="00DC6F2A"/>
    <w:rsid w:val="00DD1124"/>
    <w:rsid w:val="00DD6320"/>
    <w:rsid w:val="00E02B9C"/>
    <w:rsid w:val="00E30B62"/>
    <w:rsid w:val="00E622D1"/>
    <w:rsid w:val="00E767B6"/>
    <w:rsid w:val="00E84E12"/>
    <w:rsid w:val="00F23ABA"/>
    <w:rsid w:val="00F35A45"/>
    <w:rsid w:val="00F35F0B"/>
    <w:rsid w:val="00F42164"/>
    <w:rsid w:val="00F42804"/>
    <w:rsid w:val="00FE5C5E"/>
    <w:rsid w:val="00FF14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F939159-A4CB-47D6-94F8-0E7B2C6B7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51FB"/>
    <w:rPr>
      <w:bCs/>
      <w:sz w:val="24"/>
      <w:szCs w:val="26"/>
      <w:lang w:eastAsia="en-US"/>
    </w:rPr>
  </w:style>
  <w:style w:type="paragraph" w:styleId="Heading1">
    <w:name w:val="heading 1"/>
    <w:basedOn w:val="Normal"/>
    <w:next w:val="Normal"/>
    <w:link w:val="Heading1Char"/>
    <w:qFormat/>
    <w:rsid w:val="00826406"/>
    <w:pPr>
      <w:keepNext/>
      <w:tabs>
        <w:tab w:val="left" w:pos="567"/>
        <w:tab w:val="left" w:pos="1134"/>
        <w:tab w:val="left" w:pos="2977"/>
        <w:tab w:val="left" w:pos="3261"/>
        <w:tab w:val="right" w:pos="6237"/>
      </w:tabs>
      <w:jc w:val="both"/>
      <w:outlineLvl w:val="0"/>
    </w:pPr>
    <w:rPr>
      <w:rFonts w:eastAsia="Times New Roman"/>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64D0"/>
    <w:pPr>
      <w:ind w:left="720"/>
      <w:contextualSpacing/>
    </w:pPr>
  </w:style>
  <w:style w:type="paragraph" w:styleId="Header">
    <w:name w:val="header"/>
    <w:basedOn w:val="Normal"/>
    <w:link w:val="HeaderChar"/>
    <w:uiPriority w:val="99"/>
    <w:semiHidden/>
    <w:unhideWhenUsed/>
    <w:rsid w:val="002E0757"/>
    <w:pPr>
      <w:tabs>
        <w:tab w:val="center" w:pos="4513"/>
        <w:tab w:val="right" w:pos="9026"/>
      </w:tabs>
    </w:pPr>
  </w:style>
  <w:style w:type="character" w:customStyle="1" w:styleId="HeaderChar">
    <w:name w:val="Header Char"/>
    <w:basedOn w:val="DefaultParagraphFont"/>
    <w:link w:val="Header"/>
    <w:uiPriority w:val="99"/>
    <w:semiHidden/>
    <w:rsid w:val="002E0757"/>
    <w:rPr>
      <w:bCs/>
      <w:sz w:val="24"/>
      <w:szCs w:val="26"/>
      <w:lang w:eastAsia="en-US"/>
    </w:rPr>
  </w:style>
  <w:style w:type="paragraph" w:styleId="Footer">
    <w:name w:val="footer"/>
    <w:basedOn w:val="Normal"/>
    <w:link w:val="FooterChar"/>
    <w:uiPriority w:val="99"/>
    <w:unhideWhenUsed/>
    <w:rsid w:val="002E0757"/>
    <w:pPr>
      <w:tabs>
        <w:tab w:val="center" w:pos="4513"/>
        <w:tab w:val="right" w:pos="9026"/>
      </w:tabs>
    </w:pPr>
  </w:style>
  <w:style w:type="character" w:customStyle="1" w:styleId="FooterChar">
    <w:name w:val="Footer Char"/>
    <w:basedOn w:val="DefaultParagraphFont"/>
    <w:link w:val="Footer"/>
    <w:uiPriority w:val="99"/>
    <w:rsid w:val="002E0757"/>
    <w:rPr>
      <w:bCs/>
      <w:sz w:val="24"/>
      <w:szCs w:val="26"/>
      <w:lang w:eastAsia="en-US"/>
    </w:rPr>
  </w:style>
  <w:style w:type="paragraph" w:styleId="BalloonText">
    <w:name w:val="Balloon Text"/>
    <w:basedOn w:val="Normal"/>
    <w:link w:val="BalloonTextChar"/>
    <w:uiPriority w:val="99"/>
    <w:semiHidden/>
    <w:unhideWhenUsed/>
    <w:rsid w:val="00034756"/>
    <w:rPr>
      <w:rFonts w:ascii="Tahoma" w:hAnsi="Tahoma" w:cs="Tahoma"/>
      <w:sz w:val="16"/>
      <w:szCs w:val="16"/>
    </w:rPr>
  </w:style>
  <w:style w:type="character" w:customStyle="1" w:styleId="BalloonTextChar">
    <w:name w:val="Balloon Text Char"/>
    <w:basedOn w:val="DefaultParagraphFont"/>
    <w:link w:val="BalloonText"/>
    <w:uiPriority w:val="99"/>
    <w:semiHidden/>
    <w:rsid w:val="00034756"/>
    <w:rPr>
      <w:rFonts w:ascii="Tahoma" w:hAnsi="Tahoma" w:cs="Tahoma"/>
      <w:bCs/>
      <w:sz w:val="16"/>
      <w:szCs w:val="16"/>
      <w:lang w:eastAsia="en-US"/>
    </w:rPr>
  </w:style>
  <w:style w:type="character" w:customStyle="1" w:styleId="Heading1Char">
    <w:name w:val="Heading 1 Char"/>
    <w:basedOn w:val="DefaultParagraphFont"/>
    <w:link w:val="Heading1"/>
    <w:rsid w:val="00826406"/>
    <w:rPr>
      <w:rFonts w:eastAsia="Times New Roman"/>
      <w:b/>
      <w:bCs/>
      <w:sz w:val="24"/>
      <w:u w:val="single"/>
      <w:lang w:eastAsia="en-US"/>
    </w:rPr>
  </w:style>
  <w:style w:type="table" w:styleId="TableGrid">
    <w:name w:val="Table Grid"/>
    <w:basedOn w:val="TableNormal"/>
    <w:uiPriority w:val="59"/>
    <w:rsid w:val="00CF6E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3053034">
      <w:bodyDiv w:val="1"/>
      <w:marLeft w:val="0"/>
      <w:marRight w:val="0"/>
      <w:marTop w:val="0"/>
      <w:marBottom w:val="0"/>
      <w:divBdr>
        <w:top w:val="none" w:sz="0" w:space="0" w:color="auto"/>
        <w:left w:val="none" w:sz="0" w:space="0" w:color="auto"/>
        <w:bottom w:val="none" w:sz="0" w:space="0" w:color="auto"/>
        <w:right w:val="none" w:sz="0" w:space="0" w:color="auto"/>
      </w:divBdr>
    </w:div>
    <w:div w:id="424813525">
      <w:bodyDiv w:val="1"/>
      <w:marLeft w:val="0"/>
      <w:marRight w:val="0"/>
      <w:marTop w:val="0"/>
      <w:marBottom w:val="0"/>
      <w:divBdr>
        <w:top w:val="none" w:sz="0" w:space="0" w:color="auto"/>
        <w:left w:val="none" w:sz="0" w:space="0" w:color="auto"/>
        <w:bottom w:val="none" w:sz="0" w:space="0" w:color="auto"/>
        <w:right w:val="none" w:sz="0" w:space="0" w:color="auto"/>
      </w:divBdr>
    </w:div>
    <w:div w:id="1093669613">
      <w:bodyDiv w:val="1"/>
      <w:marLeft w:val="0"/>
      <w:marRight w:val="0"/>
      <w:marTop w:val="0"/>
      <w:marBottom w:val="0"/>
      <w:divBdr>
        <w:top w:val="none" w:sz="0" w:space="0" w:color="auto"/>
        <w:left w:val="none" w:sz="0" w:space="0" w:color="auto"/>
        <w:bottom w:val="none" w:sz="0" w:space="0" w:color="auto"/>
        <w:right w:val="none" w:sz="0" w:space="0" w:color="auto"/>
      </w:divBdr>
    </w:div>
    <w:div w:id="1301349650">
      <w:bodyDiv w:val="1"/>
      <w:marLeft w:val="0"/>
      <w:marRight w:val="0"/>
      <w:marTop w:val="0"/>
      <w:marBottom w:val="0"/>
      <w:divBdr>
        <w:top w:val="none" w:sz="0" w:space="0" w:color="auto"/>
        <w:left w:val="none" w:sz="0" w:space="0" w:color="auto"/>
        <w:bottom w:val="none" w:sz="0" w:space="0" w:color="auto"/>
        <w:right w:val="none" w:sz="0" w:space="0" w:color="auto"/>
      </w:divBdr>
    </w:div>
    <w:div w:id="1814251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32BE8D-D64F-42AF-B113-390E588776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2344</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Salford City Council</Company>
  <LinksUpToDate>false</LinksUpToDate>
  <CharactersWithSpaces>15674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Bill Wilkinson</dc:creator>
  <cp:lastModifiedBy>Stephenson, Jayne</cp:lastModifiedBy>
  <cp:revision>2</cp:revision>
  <cp:lastPrinted>2018-06-13T11:11:00Z</cp:lastPrinted>
  <dcterms:created xsi:type="dcterms:W3CDTF">2018-07-03T10:02:00Z</dcterms:created>
  <dcterms:modified xsi:type="dcterms:W3CDTF">2018-07-03T10:02:00Z</dcterms:modified>
</cp:coreProperties>
</file>