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7E1E" w14:textId="77777777" w:rsidR="00A946C1" w:rsidRDefault="00C73F4B" w:rsidP="00316969">
      <w:pPr>
        <w:pStyle w:val="Heading1"/>
        <w:spacing w:before="0" w:after="0"/>
      </w:pPr>
      <w:r>
        <w:rPr>
          <w:noProof/>
        </w:rPr>
        <w:drawing>
          <wp:inline distT="0" distB="0" distL="0" distR="0" wp14:anchorId="627E8BF1" wp14:editId="2BCB8D9E">
            <wp:extent cx="5943600" cy="183769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8"/>
                    <a:stretch>
                      <a:fillRect/>
                    </a:stretch>
                  </pic:blipFill>
                  <pic:spPr>
                    <a:xfrm>
                      <a:off x="0" y="0"/>
                      <a:ext cx="5943600" cy="1837690"/>
                    </a:xfrm>
                    <a:prstGeom prst="rect">
                      <a:avLst/>
                    </a:prstGeom>
                  </pic:spPr>
                </pic:pic>
              </a:graphicData>
            </a:graphic>
          </wp:inline>
        </w:drawing>
      </w:r>
    </w:p>
    <w:p w14:paraId="07E41BAB" w14:textId="77777777" w:rsidR="00A946C1" w:rsidRDefault="00A946C1" w:rsidP="00316969">
      <w:pPr>
        <w:pStyle w:val="Heading1"/>
        <w:spacing w:before="0" w:after="0"/>
      </w:pPr>
    </w:p>
    <w:p w14:paraId="55062FA2" w14:textId="77777777" w:rsidR="00EF369B" w:rsidRDefault="00EF369B" w:rsidP="00C73F4B">
      <w:pPr>
        <w:pStyle w:val="Heading1"/>
        <w:spacing w:before="0" w:after="0"/>
        <w:jc w:val="center"/>
        <w:rPr>
          <w:rStyle w:val="Hyperlink"/>
          <w:color w:val="auto"/>
          <w:sz w:val="28"/>
          <w:szCs w:val="28"/>
        </w:rPr>
      </w:pPr>
      <w:bookmarkStart w:id="0" w:name="_Toc454871974"/>
    </w:p>
    <w:p w14:paraId="695E42C0" w14:textId="77777777" w:rsidR="00316969" w:rsidRPr="00C73F4B" w:rsidRDefault="001721F0" w:rsidP="00C73F4B">
      <w:pPr>
        <w:pStyle w:val="Heading1"/>
        <w:spacing w:before="0" w:after="0"/>
        <w:jc w:val="center"/>
        <w:rPr>
          <w:rStyle w:val="Hyperlink"/>
          <w:color w:val="auto"/>
          <w:sz w:val="28"/>
          <w:szCs w:val="28"/>
        </w:rPr>
      </w:pPr>
      <w:r>
        <w:rPr>
          <w:rStyle w:val="Hyperlink"/>
          <w:color w:val="auto"/>
          <w:sz w:val="28"/>
          <w:szCs w:val="28"/>
        </w:rPr>
        <w:t xml:space="preserve">Policy on the Management of Unreasonable Complainant Behaviour </w:t>
      </w:r>
      <w:bookmarkEnd w:id="0"/>
    </w:p>
    <w:p w14:paraId="6033A4FA" w14:textId="77777777" w:rsidR="00316969" w:rsidRDefault="00316969" w:rsidP="00316969"/>
    <w:sdt>
      <w:sdtPr>
        <w:rPr>
          <w:rFonts w:ascii="Calibri" w:eastAsia="Calibri" w:hAnsi="Calibri" w:cs="Calibri"/>
          <w:color w:val="000000"/>
          <w:sz w:val="22"/>
          <w:szCs w:val="22"/>
          <w:lang w:val="en-US" w:eastAsia="en-US"/>
        </w:rPr>
        <w:id w:val="-1411926766"/>
        <w:docPartObj>
          <w:docPartGallery w:val="Table of Contents"/>
        </w:docPartObj>
      </w:sdtPr>
      <w:sdtEndPr/>
      <w:sdtContent>
        <w:p w14:paraId="384CF3DF" w14:textId="77777777" w:rsidR="00C73F4B" w:rsidRPr="00C73F4B" w:rsidRDefault="00C73F4B" w:rsidP="00C73F4B">
          <w:pPr>
            <w:keepNext/>
            <w:keepLines/>
            <w:spacing w:line="259" w:lineRule="auto"/>
            <w:ind w:left="-5" w:hanging="10"/>
            <w:outlineLvl w:val="1"/>
            <w:rPr>
              <w:rFonts w:eastAsia="Arial"/>
              <w:color w:val="808080"/>
              <w:sz w:val="32"/>
              <w:szCs w:val="22"/>
              <w:lang w:val="en-US" w:eastAsia="en-US"/>
            </w:rPr>
          </w:pPr>
          <w:r w:rsidRPr="00C73F4B">
            <w:rPr>
              <w:rFonts w:eastAsia="Arial"/>
              <w:b/>
              <w:color w:val="808080"/>
              <w:szCs w:val="22"/>
              <w:lang w:val="en-US" w:eastAsia="en-US"/>
            </w:rPr>
            <w:t xml:space="preserve">CONTENTS </w:t>
          </w:r>
        </w:p>
        <w:p w14:paraId="7B347ECF" w14:textId="77777777" w:rsidR="00C73F4B" w:rsidRPr="00123E00" w:rsidRDefault="00C73F4B" w:rsidP="00C73F4B">
          <w:pPr>
            <w:spacing w:line="259" w:lineRule="auto"/>
            <w:rPr>
              <w:rFonts w:ascii="Calibri" w:eastAsia="Calibri" w:hAnsi="Calibri" w:cs="Calibri"/>
              <w:sz w:val="22"/>
              <w:szCs w:val="22"/>
              <w:lang w:val="en-US" w:eastAsia="en-US"/>
            </w:rPr>
          </w:pPr>
          <w:r w:rsidRPr="00C73F4B">
            <w:rPr>
              <w:rFonts w:eastAsia="Arial"/>
              <w:color w:val="2F2F2F"/>
              <w:szCs w:val="22"/>
              <w:lang w:val="en-US" w:eastAsia="en-US"/>
            </w:rPr>
            <w:t xml:space="preserve"> </w:t>
          </w:r>
        </w:p>
        <w:p w14:paraId="27F1D25F" w14:textId="77777777" w:rsidR="001721F0" w:rsidRPr="00123E00" w:rsidRDefault="001721F0" w:rsidP="00C73F4B">
          <w:pPr>
            <w:pStyle w:val="ListParagraph"/>
            <w:numPr>
              <w:ilvl w:val="0"/>
              <w:numId w:val="7"/>
            </w:numPr>
          </w:pPr>
          <w:r w:rsidRPr="00123E00">
            <w:t xml:space="preserve">Introduction </w:t>
          </w:r>
        </w:p>
        <w:p w14:paraId="03205411" w14:textId="77777777" w:rsidR="00425EB8" w:rsidRPr="00123E00" w:rsidRDefault="004A1AB3" w:rsidP="00C73F4B">
          <w:pPr>
            <w:pStyle w:val="ListParagraph"/>
            <w:numPr>
              <w:ilvl w:val="0"/>
              <w:numId w:val="7"/>
            </w:numPr>
          </w:pPr>
          <w:r w:rsidRPr="00123E00">
            <w:t>Policy aims and principles</w:t>
          </w:r>
        </w:p>
        <w:p w14:paraId="0A45C395" w14:textId="77777777" w:rsidR="00C73F4B" w:rsidRPr="00123E00" w:rsidRDefault="006C582A" w:rsidP="00C73F4B">
          <w:pPr>
            <w:pStyle w:val="ListParagraph"/>
            <w:numPr>
              <w:ilvl w:val="0"/>
              <w:numId w:val="7"/>
            </w:numPr>
          </w:pPr>
          <w:hyperlink w:anchor="_7.1_Definition" w:history="1">
            <w:r w:rsidR="00C73F4B" w:rsidRPr="00123E00">
              <w:rPr>
                <w:rStyle w:val="Hyperlink"/>
                <w:color w:val="auto"/>
              </w:rPr>
              <w:t>Definition</w:t>
            </w:r>
          </w:hyperlink>
          <w:r w:rsidR="00391E43" w:rsidRPr="00123E00">
            <w:rPr>
              <w:rStyle w:val="Hyperlink"/>
              <w:color w:val="auto"/>
            </w:rPr>
            <w:t xml:space="preserve"> of unreasonable complainant behaviour</w:t>
          </w:r>
        </w:p>
        <w:p w14:paraId="316CCF79" w14:textId="77777777" w:rsidR="00C73F4B" w:rsidRPr="00123E00" w:rsidRDefault="006C582A" w:rsidP="00C73F4B">
          <w:pPr>
            <w:pStyle w:val="ListParagraph"/>
            <w:numPr>
              <w:ilvl w:val="0"/>
              <w:numId w:val="7"/>
            </w:numPr>
            <w:rPr>
              <w:rStyle w:val="Hyperlink"/>
              <w:color w:val="auto"/>
              <w:u w:val="none"/>
            </w:rPr>
          </w:pPr>
          <w:hyperlink w:anchor="_8.2_What_actions" w:history="1">
            <w:r w:rsidR="00425EB8" w:rsidRPr="00123E00">
              <w:rPr>
                <w:rStyle w:val="Hyperlink"/>
                <w:color w:val="auto"/>
              </w:rPr>
              <w:t>Examples</w:t>
            </w:r>
          </w:hyperlink>
          <w:r w:rsidR="00391E43" w:rsidRPr="00123E00">
            <w:rPr>
              <w:rStyle w:val="Hyperlink"/>
              <w:color w:val="auto"/>
            </w:rPr>
            <w:t xml:space="preserve"> of u</w:t>
          </w:r>
          <w:r w:rsidR="009E1866" w:rsidRPr="00123E00">
            <w:rPr>
              <w:rStyle w:val="Hyperlink"/>
              <w:color w:val="auto"/>
            </w:rPr>
            <w:t xml:space="preserve">nreasonable </w:t>
          </w:r>
          <w:r w:rsidR="00391E43" w:rsidRPr="00123E00">
            <w:rPr>
              <w:rStyle w:val="Hyperlink"/>
              <w:color w:val="auto"/>
            </w:rPr>
            <w:t>complainant behaviour</w:t>
          </w:r>
          <w:r w:rsidR="00425EB8" w:rsidRPr="00123E00">
            <w:rPr>
              <w:rStyle w:val="Hyperlink"/>
              <w:color w:val="auto"/>
            </w:rPr>
            <w:t xml:space="preserve"> </w:t>
          </w:r>
        </w:p>
        <w:p w14:paraId="36602319" w14:textId="58C5935C" w:rsidR="00391E43" w:rsidRPr="00123E00" w:rsidRDefault="00807087" w:rsidP="00C73F4B">
          <w:pPr>
            <w:pStyle w:val="ListParagraph"/>
            <w:numPr>
              <w:ilvl w:val="0"/>
              <w:numId w:val="7"/>
            </w:numPr>
          </w:pPr>
          <w:r w:rsidRPr="00123E00">
            <w:t>Procedure for invoking this policy</w:t>
          </w:r>
        </w:p>
        <w:p w14:paraId="212F51FC" w14:textId="77777777" w:rsidR="00C73F4B" w:rsidRPr="00123E00" w:rsidRDefault="006C582A" w:rsidP="00C73F4B">
          <w:pPr>
            <w:pStyle w:val="ListParagraph"/>
            <w:numPr>
              <w:ilvl w:val="0"/>
              <w:numId w:val="7"/>
            </w:numPr>
          </w:pPr>
          <w:hyperlink w:anchor="_8.3__" w:history="1">
            <w:r w:rsidR="00425EB8" w:rsidRPr="00123E00">
              <w:rPr>
                <w:rStyle w:val="Hyperlink"/>
                <w:color w:val="auto"/>
              </w:rPr>
              <w:t>Options</w:t>
            </w:r>
          </w:hyperlink>
          <w:r w:rsidR="00391E43" w:rsidRPr="00123E00">
            <w:rPr>
              <w:rStyle w:val="Hyperlink"/>
              <w:color w:val="auto"/>
            </w:rPr>
            <w:t xml:space="preserve"> for a</w:t>
          </w:r>
          <w:r w:rsidR="00425EB8" w:rsidRPr="00123E00">
            <w:rPr>
              <w:rStyle w:val="Hyperlink"/>
              <w:color w:val="auto"/>
            </w:rPr>
            <w:t xml:space="preserve">ction </w:t>
          </w:r>
        </w:p>
        <w:p w14:paraId="2F68EEE3" w14:textId="77777777" w:rsidR="00316969" w:rsidRPr="00CF64F0" w:rsidRDefault="006C582A" w:rsidP="00391E43">
          <w:pPr>
            <w:pStyle w:val="ListParagraph"/>
            <w:numPr>
              <w:ilvl w:val="0"/>
              <w:numId w:val="7"/>
            </w:numPr>
          </w:pPr>
          <w:hyperlink w:anchor="_8.5_Further_Action" w:history="1">
            <w:r w:rsidR="00C73F4B" w:rsidRPr="00123E00">
              <w:rPr>
                <w:rStyle w:val="Hyperlink"/>
                <w:color w:val="auto"/>
              </w:rPr>
              <w:t>Further action</w:t>
            </w:r>
          </w:hyperlink>
        </w:p>
      </w:sdtContent>
    </w:sdt>
    <w:bookmarkStart w:id="1" w:name="_7.1_Definition" w:displacedByCustomXml="prev"/>
    <w:bookmarkEnd w:id="1" w:displacedByCustomXml="prev"/>
    <w:bookmarkStart w:id="2" w:name="_8.1_Definition" w:displacedByCustomXml="prev"/>
    <w:bookmarkEnd w:id="2" w:displacedByCustomXml="prev"/>
    <w:p w14:paraId="67A15919" w14:textId="77777777" w:rsidR="00391E43" w:rsidRDefault="00391E43" w:rsidP="00391E43">
      <w:pPr>
        <w:pStyle w:val="Heading2"/>
        <w:spacing w:before="0" w:after="0"/>
        <w:ind w:left="360"/>
      </w:pPr>
    </w:p>
    <w:p w14:paraId="33E3FDBB" w14:textId="77777777" w:rsidR="00391E43" w:rsidRDefault="00391E43" w:rsidP="00123E00">
      <w:pPr>
        <w:pStyle w:val="Heading2"/>
        <w:spacing w:before="0" w:after="0"/>
        <w:ind w:left="360"/>
        <w:jc w:val="both"/>
      </w:pPr>
    </w:p>
    <w:p w14:paraId="4C89CD1E" w14:textId="77777777" w:rsidR="001721F0" w:rsidRDefault="001721F0" w:rsidP="00123E00">
      <w:pPr>
        <w:pStyle w:val="Heading2"/>
        <w:numPr>
          <w:ilvl w:val="0"/>
          <w:numId w:val="11"/>
        </w:numPr>
        <w:spacing w:before="0" w:after="0"/>
        <w:jc w:val="both"/>
      </w:pPr>
      <w:r>
        <w:t xml:space="preserve">Introduction </w:t>
      </w:r>
    </w:p>
    <w:p w14:paraId="5D8EDE19" w14:textId="77777777" w:rsidR="001721F0" w:rsidRDefault="001721F0" w:rsidP="00123E00">
      <w:pPr>
        <w:jc w:val="both"/>
      </w:pPr>
    </w:p>
    <w:p w14:paraId="4CEB5BFE" w14:textId="56141146" w:rsidR="00437B68" w:rsidRDefault="00DB2085" w:rsidP="00123E00">
      <w:pPr>
        <w:jc w:val="both"/>
        <w:rPr>
          <w:szCs w:val="24"/>
        </w:rPr>
      </w:pPr>
      <w:r>
        <w:t xml:space="preserve">The Greater Manchester Combined Authority (‘GMCA’) is </w:t>
      </w:r>
      <w:r w:rsidR="001721F0" w:rsidRPr="00CF64F0">
        <w:t xml:space="preserve">committed to dealing with all complaints </w:t>
      </w:r>
      <w:r w:rsidR="001721F0">
        <w:t xml:space="preserve">in an open, </w:t>
      </w:r>
      <w:r w:rsidR="002261A5">
        <w:t>fair</w:t>
      </w:r>
      <w:r w:rsidR="001721F0">
        <w:t xml:space="preserve"> and proportionate </w:t>
      </w:r>
      <w:r w:rsidR="004A1AB3">
        <w:t>manner</w:t>
      </w:r>
      <w:r w:rsidR="001721F0">
        <w:t xml:space="preserve"> and </w:t>
      </w:r>
      <w:r w:rsidR="004A1AB3">
        <w:t xml:space="preserve">we </w:t>
      </w:r>
      <w:r w:rsidR="006C582A">
        <w:t>aim</w:t>
      </w:r>
      <w:bookmarkStart w:id="3" w:name="_GoBack"/>
      <w:bookmarkEnd w:id="3"/>
      <w:r w:rsidR="006C582A">
        <w:t xml:space="preserve"> </w:t>
      </w:r>
      <w:r w:rsidR="001721F0">
        <w:t xml:space="preserve">to </w:t>
      </w:r>
      <w:r w:rsidR="001721F0" w:rsidRPr="00CF64F0">
        <w:t xml:space="preserve">provide a high </w:t>
      </w:r>
      <w:r w:rsidR="001721F0" w:rsidRPr="00F72CAC">
        <w:rPr>
          <w:szCs w:val="24"/>
        </w:rPr>
        <w:t>quality service to those who make them.</w:t>
      </w:r>
      <w:r w:rsidR="001721F0">
        <w:rPr>
          <w:szCs w:val="24"/>
        </w:rPr>
        <w:t xml:space="preserve"> </w:t>
      </w:r>
      <w:r w:rsidR="003D553C">
        <w:rPr>
          <w:szCs w:val="24"/>
        </w:rPr>
        <w:t xml:space="preserve">The </w:t>
      </w:r>
      <w:r w:rsidR="00437B68">
        <w:rPr>
          <w:szCs w:val="24"/>
        </w:rPr>
        <w:t>GMCA has an established policy for dealing with complaints</w:t>
      </w:r>
      <w:r w:rsidR="00123E00">
        <w:rPr>
          <w:szCs w:val="24"/>
        </w:rPr>
        <w:t>.</w:t>
      </w:r>
    </w:p>
    <w:p w14:paraId="7C350339" w14:textId="77777777" w:rsidR="00437B68" w:rsidRDefault="00437B68" w:rsidP="00123E00">
      <w:pPr>
        <w:jc w:val="both"/>
        <w:rPr>
          <w:szCs w:val="24"/>
        </w:rPr>
      </w:pPr>
    </w:p>
    <w:p w14:paraId="18C9ADC0" w14:textId="2EB3228A" w:rsidR="00437B68" w:rsidRDefault="001721F0" w:rsidP="00123E00">
      <w:pPr>
        <w:jc w:val="both"/>
        <w:rPr>
          <w:szCs w:val="24"/>
        </w:rPr>
      </w:pPr>
      <w:r>
        <w:rPr>
          <w:szCs w:val="24"/>
        </w:rPr>
        <w:t xml:space="preserve">However, </w:t>
      </w:r>
      <w:r w:rsidR="00437B68">
        <w:rPr>
          <w:szCs w:val="24"/>
        </w:rPr>
        <w:t xml:space="preserve">we recognise that </w:t>
      </w:r>
      <w:r>
        <w:rPr>
          <w:szCs w:val="24"/>
        </w:rPr>
        <w:t xml:space="preserve">in </w:t>
      </w:r>
      <w:r w:rsidR="002261A5">
        <w:rPr>
          <w:szCs w:val="24"/>
        </w:rPr>
        <w:t>some</w:t>
      </w:r>
      <w:r>
        <w:rPr>
          <w:szCs w:val="24"/>
        </w:rPr>
        <w:t xml:space="preserve"> cases </w:t>
      </w:r>
      <w:r w:rsidR="002261A5">
        <w:rPr>
          <w:szCs w:val="24"/>
        </w:rPr>
        <w:t>individuals</w:t>
      </w:r>
      <w:r>
        <w:rPr>
          <w:szCs w:val="24"/>
        </w:rPr>
        <w:t xml:space="preserve"> may pursue their complaints in a way that is unreasonable</w:t>
      </w:r>
      <w:r w:rsidR="004A1AB3">
        <w:rPr>
          <w:szCs w:val="24"/>
        </w:rPr>
        <w:t xml:space="preserve">. Although these cases represent a small number of overall complaints, they can </w:t>
      </w:r>
      <w:r w:rsidR="0049407B">
        <w:rPr>
          <w:szCs w:val="24"/>
        </w:rPr>
        <w:t>cause considerable disruption for staff</w:t>
      </w:r>
      <w:r w:rsidR="00EF369B">
        <w:rPr>
          <w:rStyle w:val="FootnoteReference"/>
          <w:szCs w:val="24"/>
        </w:rPr>
        <w:footnoteReference w:id="1"/>
      </w:r>
      <w:r w:rsidR="0049407B">
        <w:rPr>
          <w:szCs w:val="24"/>
        </w:rPr>
        <w:t xml:space="preserve">, </w:t>
      </w:r>
      <w:r w:rsidR="004A1AB3">
        <w:rPr>
          <w:szCs w:val="24"/>
        </w:rPr>
        <w:t xml:space="preserve">generate a disproportionate amount of additional work and can </w:t>
      </w:r>
      <w:r w:rsidR="00606746">
        <w:rPr>
          <w:szCs w:val="24"/>
        </w:rPr>
        <w:t>sometimes</w:t>
      </w:r>
      <w:r w:rsidR="004A1AB3">
        <w:rPr>
          <w:szCs w:val="24"/>
        </w:rPr>
        <w:t xml:space="preserve"> </w:t>
      </w:r>
      <w:r w:rsidR="0049407B">
        <w:rPr>
          <w:szCs w:val="24"/>
        </w:rPr>
        <w:t>impact upon the wellbeing of our staff</w:t>
      </w:r>
      <w:r>
        <w:rPr>
          <w:szCs w:val="24"/>
        </w:rPr>
        <w:t xml:space="preserve">. </w:t>
      </w:r>
      <w:r w:rsidR="002261A5">
        <w:rPr>
          <w:szCs w:val="24"/>
        </w:rPr>
        <w:t xml:space="preserve">This policy </w:t>
      </w:r>
      <w:r w:rsidR="006B50FB">
        <w:rPr>
          <w:szCs w:val="24"/>
        </w:rPr>
        <w:t xml:space="preserve">describes the type of complainant behaviour which may be considered to be unreasonable and </w:t>
      </w:r>
      <w:r w:rsidR="004A1AB3">
        <w:rPr>
          <w:szCs w:val="24"/>
        </w:rPr>
        <w:t>GMCA’s</w:t>
      </w:r>
      <w:r w:rsidR="002250AF">
        <w:rPr>
          <w:szCs w:val="24"/>
        </w:rPr>
        <w:t xml:space="preserve"> </w:t>
      </w:r>
      <w:r w:rsidR="006B50FB">
        <w:rPr>
          <w:szCs w:val="24"/>
        </w:rPr>
        <w:t xml:space="preserve">approach when responding to such behaviour. </w:t>
      </w:r>
    </w:p>
    <w:p w14:paraId="0C1B64F6" w14:textId="77777777" w:rsidR="006B50FB" w:rsidRDefault="006B50FB" w:rsidP="00123E00">
      <w:pPr>
        <w:jc w:val="both"/>
        <w:rPr>
          <w:szCs w:val="24"/>
        </w:rPr>
      </w:pPr>
    </w:p>
    <w:p w14:paraId="11FCEC6A" w14:textId="77777777" w:rsidR="005F6C80" w:rsidRDefault="006B50FB" w:rsidP="00123E00">
      <w:pPr>
        <w:jc w:val="both"/>
        <w:rPr>
          <w:szCs w:val="24"/>
        </w:rPr>
      </w:pPr>
      <w:r>
        <w:rPr>
          <w:szCs w:val="24"/>
        </w:rPr>
        <w:t>This policy has been drafted with ref</w:t>
      </w:r>
      <w:r w:rsidR="00DE12A1">
        <w:rPr>
          <w:szCs w:val="24"/>
        </w:rPr>
        <w:t>erence to t</w:t>
      </w:r>
      <w:r>
        <w:rPr>
          <w:szCs w:val="24"/>
        </w:rPr>
        <w:t>he Local Government and Social Care Ombudsman’s “Guidance note on management of unreasonable com</w:t>
      </w:r>
      <w:r w:rsidR="00391E43">
        <w:rPr>
          <w:szCs w:val="24"/>
        </w:rPr>
        <w:t xml:space="preserve">plainant behaviour” (July 2014). </w:t>
      </w:r>
    </w:p>
    <w:p w14:paraId="2F065714" w14:textId="77777777" w:rsidR="001721F0" w:rsidRDefault="001721F0" w:rsidP="006562E4">
      <w:pPr>
        <w:rPr>
          <w:szCs w:val="24"/>
        </w:rPr>
      </w:pPr>
    </w:p>
    <w:p w14:paraId="2147796D" w14:textId="77777777" w:rsidR="001721F0" w:rsidRPr="001721F0" w:rsidRDefault="001721F0" w:rsidP="00123E00">
      <w:pPr>
        <w:jc w:val="both"/>
      </w:pPr>
    </w:p>
    <w:p w14:paraId="4E0A184C" w14:textId="77777777" w:rsidR="005F6C80" w:rsidRPr="00ED513B" w:rsidRDefault="002250AF" w:rsidP="00123E00">
      <w:pPr>
        <w:pStyle w:val="Heading2"/>
        <w:numPr>
          <w:ilvl w:val="0"/>
          <w:numId w:val="11"/>
        </w:numPr>
        <w:spacing w:before="0" w:after="0"/>
        <w:jc w:val="both"/>
      </w:pPr>
      <w:r w:rsidRPr="00ED513B">
        <w:t>Policy</w:t>
      </w:r>
      <w:r w:rsidR="005F6C80" w:rsidRPr="00ED513B">
        <w:t xml:space="preserve"> </w:t>
      </w:r>
      <w:r w:rsidR="004A1AB3" w:rsidRPr="00ED513B">
        <w:t>aims and p</w:t>
      </w:r>
      <w:r w:rsidR="005F6C80" w:rsidRPr="00ED513B">
        <w:t xml:space="preserve">rinciples </w:t>
      </w:r>
    </w:p>
    <w:p w14:paraId="7453034F" w14:textId="77777777" w:rsidR="00DE12A1" w:rsidRDefault="00DE12A1" w:rsidP="00123E00">
      <w:pPr>
        <w:jc w:val="both"/>
      </w:pPr>
    </w:p>
    <w:p w14:paraId="2FB2D686" w14:textId="77777777" w:rsidR="005F6C80" w:rsidRDefault="00894776" w:rsidP="00123E00">
      <w:pPr>
        <w:jc w:val="both"/>
      </w:pPr>
      <w:r>
        <w:t xml:space="preserve">This policy is governed by the following principals – </w:t>
      </w:r>
    </w:p>
    <w:p w14:paraId="7ADCB103" w14:textId="77777777" w:rsidR="00894776" w:rsidRPr="00F72CAC" w:rsidRDefault="00894776" w:rsidP="00123E00">
      <w:pPr>
        <w:jc w:val="both"/>
        <w:rPr>
          <w:szCs w:val="24"/>
        </w:rPr>
      </w:pPr>
    </w:p>
    <w:p w14:paraId="7F7FB43A" w14:textId="77777777" w:rsidR="005F6C80" w:rsidRPr="00F72CAC" w:rsidRDefault="005F6C80" w:rsidP="00123E00">
      <w:pPr>
        <w:numPr>
          <w:ilvl w:val="0"/>
          <w:numId w:val="5"/>
        </w:numPr>
        <w:autoSpaceDE w:val="0"/>
        <w:autoSpaceDN w:val="0"/>
        <w:adjustRightInd w:val="0"/>
        <w:jc w:val="both"/>
        <w:rPr>
          <w:color w:val="282526"/>
          <w:szCs w:val="24"/>
        </w:rPr>
      </w:pPr>
      <w:r w:rsidRPr="00F72CAC">
        <w:rPr>
          <w:color w:val="282526"/>
          <w:szCs w:val="24"/>
        </w:rPr>
        <w:t xml:space="preserve">All complainants </w:t>
      </w:r>
      <w:r>
        <w:rPr>
          <w:color w:val="282526"/>
          <w:szCs w:val="24"/>
        </w:rPr>
        <w:t>will be</w:t>
      </w:r>
      <w:r w:rsidR="007D3BE3">
        <w:rPr>
          <w:color w:val="282526"/>
          <w:szCs w:val="24"/>
        </w:rPr>
        <w:t xml:space="preserve"> treated fairly</w:t>
      </w:r>
      <w:r w:rsidRPr="00F72CAC">
        <w:rPr>
          <w:color w:val="282526"/>
          <w:szCs w:val="24"/>
        </w:rPr>
        <w:t xml:space="preserve"> and</w:t>
      </w:r>
      <w:r w:rsidR="007D3BE3">
        <w:rPr>
          <w:color w:val="282526"/>
          <w:szCs w:val="24"/>
        </w:rPr>
        <w:t xml:space="preserve"> with</w:t>
      </w:r>
      <w:r w:rsidRPr="00F72CAC">
        <w:rPr>
          <w:color w:val="282526"/>
          <w:szCs w:val="24"/>
        </w:rPr>
        <w:t xml:space="preserve"> respect.</w:t>
      </w:r>
    </w:p>
    <w:p w14:paraId="613203E3" w14:textId="77777777" w:rsidR="005F6C80" w:rsidRPr="00F72CAC" w:rsidRDefault="005F6C80" w:rsidP="00123E00">
      <w:pPr>
        <w:numPr>
          <w:ilvl w:val="0"/>
          <w:numId w:val="5"/>
        </w:numPr>
        <w:autoSpaceDE w:val="0"/>
        <w:autoSpaceDN w:val="0"/>
        <w:adjustRightInd w:val="0"/>
        <w:jc w:val="both"/>
        <w:rPr>
          <w:color w:val="282526"/>
          <w:szCs w:val="24"/>
        </w:rPr>
      </w:pPr>
      <w:r w:rsidRPr="00F72CAC">
        <w:rPr>
          <w:color w:val="282526"/>
          <w:szCs w:val="24"/>
        </w:rPr>
        <w:t xml:space="preserve">All complaints </w:t>
      </w:r>
      <w:r>
        <w:rPr>
          <w:color w:val="282526"/>
          <w:szCs w:val="24"/>
        </w:rPr>
        <w:t>will be</w:t>
      </w:r>
      <w:r w:rsidRPr="00F72CAC">
        <w:rPr>
          <w:color w:val="282526"/>
          <w:szCs w:val="24"/>
        </w:rPr>
        <w:t xml:space="preserve"> considered on their merits.</w:t>
      </w:r>
    </w:p>
    <w:p w14:paraId="56CC0E2E" w14:textId="77777777" w:rsidR="005F6C80" w:rsidRPr="00F72CAC" w:rsidRDefault="005F6C80" w:rsidP="00123E00">
      <w:pPr>
        <w:numPr>
          <w:ilvl w:val="0"/>
          <w:numId w:val="5"/>
        </w:numPr>
        <w:autoSpaceDE w:val="0"/>
        <w:autoSpaceDN w:val="0"/>
        <w:adjustRightInd w:val="0"/>
        <w:jc w:val="both"/>
        <w:rPr>
          <w:color w:val="282526"/>
          <w:szCs w:val="24"/>
        </w:rPr>
      </w:pPr>
      <w:r w:rsidRPr="00F72CAC">
        <w:rPr>
          <w:color w:val="282526"/>
          <w:szCs w:val="24"/>
        </w:rPr>
        <w:t xml:space="preserve">Unreasonable complainant </w:t>
      </w:r>
      <w:r w:rsidR="00606746">
        <w:rPr>
          <w:color w:val="282526"/>
          <w:szCs w:val="24"/>
        </w:rPr>
        <w:t>behaviour</w:t>
      </w:r>
      <w:r w:rsidRPr="00F72CAC">
        <w:rPr>
          <w:color w:val="282526"/>
          <w:szCs w:val="24"/>
        </w:rPr>
        <w:t xml:space="preserve"> does not preclude there being a valid issue.</w:t>
      </w:r>
    </w:p>
    <w:p w14:paraId="6D48D812" w14:textId="77777777" w:rsidR="005F6C80" w:rsidRPr="00F72CAC" w:rsidRDefault="005F6C80" w:rsidP="00123E00">
      <w:pPr>
        <w:numPr>
          <w:ilvl w:val="0"/>
          <w:numId w:val="5"/>
        </w:numPr>
        <w:autoSpaceDE w:val="0"/>
        <w:autoSpaceDN w:val="0"/>
        <w:adjustRightInd w:val="0"/>
        <w:jc w:val="both"/>
        <w:rPr>
          <w:color w:val="282526"/>
          <w:szCs w:val="24"/>
        </w:rPr>
      </w:pPr>
      <w:r w:rsidRPr="00F72CAC">
        <w:rPr>
          <w:color w:val="282526"/>
          <w:szCs w:val="24"/>
        </w:rPr>
        <w:t xml:space="preserve">The substance of a complaint </w:t>
      </w:r>
      <w:r w:rsidR="007D3BE3">
        <w:rPr>
          <w:color w:val="282526"/>
          <w:szCs w:val="24"/>
        </w:rPr>
        <w:t>will dictate</w:t>
      </w:r>
      <w:r w:rsidRPr="00F72CAC">
        <w:rPr>
          <w:color w:val="282526"/>
          <w:szCs w:val="24"/>
        </w:rPr>
        <w:t xml:space="preserve"> the level of resources dedicated to it, </w:t>
      </w:r>
      <w:r w:rsidR="007D3BE3">
        <w:rPr>
          <w:color w:val="282526"/>
          <w:szCs w:val="24"/>
        </w:rPr>
        <w:t>rather than</w:t>
      </w:r>
      <w:r w:rsidRPr="00F72CAC">
        <w:rPr>
          <w:color w:val="282526"/>
          <w:szCs w:val="24"/>
        </w:rPr>
        <w:t xml:space="preserve"> a complainant’s demands or behaviour.</w:t>
      </w:r>
    </w:p>
    <w:p w14:paraId="1E9610D2" w14:textId="77777777" w:rsidR="005F6C80" w:rsidRPr="00F72CAC" w:rsidRDefault="005F6C80" w:rsidP="00123E00">
      <w:pPr>
        <w:numPr>
          <w:ilvl w:val="0"/>
          <w:numId w:val="5"/>
        </w:numPr>
        <w:autoSpaceDE w:val="0"/>
        <w:autoSpaceDN w:val="0"/>
        <w:adjustRightInd w:val="0"/>
        <w:jc w:val="both"/>
        <w:rPr>
          <w:color w:val="282526"/>
          <w:szCs w:val="24"/>
        </w:rPr>
      </w:pPr>
      <w:r w:rsidRPr="00F72CAC">
        <w:rPr>
          <w:color w:val="282526"/>
          <w:szCs w:val="24"/>
        </w:rPr>
        <w:t xml:space="preserve">Staff safety and wellbeing </w:t>
      </w:r>
      <w:r w:rsidR="00DE12A1">
        <w:rPr>
          <w:color w:val="282526"/>
          <w:szCs w:val="24"/>
        </w:rPr>
        <w:t>is</w:t>
      </w:r>
      <w:r w:rsidRPr="00F72CAC">
        <w:rPr>
          <w:color w:val="282526"/>
          <w:szCs w:val="24"/>
        </w:rPr>
        <w:t xml:space="preserve"> paramount when dealing with unreasonable complainant </w:t>
      </w:r>
      <w:r w:rsidR="00606746">
        <w:rPr>
          <w:color w:val="282526"/>
          <w:szCs w:val="24"/>
        </w:rPr>
        <w:t>behaviour.</w:t>
      </w:r>
    </w:p>
    <w:p w14:paraId="7E0FF983" w14:textId="77777777" w:rsidR="005F6C80" w:rsidRPr="00F72CAC" w:rsidRDefault="005F6C80" w:rsidP="00123E00">
      <w:pPr>
        <w:numPr>
          <w:ilvl w:val="0"/>
          <w:numId w:val="5"/>
        </w:numPr>
        <w:autoSpaceDE w:val="0"/>
        <w:autoSpaceDN w:val="0"/>
        <w:adjustRightInd w:val="0"/>
        <w:jc w:val="both"/>
        <w:rPr>
          <w:color w:val="282526"/>
          <w:szCs w:val="24"/>
        </w:rPr>
      </w:pPr>
      <w:r w:rsidRPr="00F72CAC">
        <w:rPr>
          <w:color w:val="282526"/>
          <w:szCs w:val="24"/>
        </w:rPr>
        <w:lastRenderedPageBreak/>
        <w:t xml:space="preserve">The decision to change or restrict a complainant’s access to services as a result of their </w:t>
      </w:r>
      <w:r>
        <w:rPr>
          <w:color w:val="282526"/>
          <w:szCs w:val="24"/>
        </w:rPr>
        <w:t>behaviour</w:t>
      </w:r>
      <w:r w:rsidRPr="00F72CAC">
        <w:rPr>
          <w:color w:val="282526"/>
          <w:szCs w:val="24"/>
        </w:rPr>
        <w:t xml:space="preserve"> will only be made at a senior management level and in accordance with clearly defined policies and procedures. </w:t>
      </w:r>
    </w:p>
    <w:p w14:paraId="45E423C1" w14:textId="77777777" w:rsidR="005F6C80" w:rsidRPr="007D3BE3" w:rsidRDefault="005F6C80" w:rsidP="00123E00">
      <w:pPr>
        <w:numPr>
          <w:ilvl w:val="0"/>
          <w:numId w:val="5"/>
        </w:numPr>
        <w:autoSpaceDE w:val="0"/>
        <w:autoSpaceDN w:val="0"/>
        <w:adjustRightInd w:val="0"/>
        <w:jc w:val="both"/>
        <w:rPr>
          <w:szCs w:val="24"/>
        </w:rPr>
      </w:pPr>
      <w:r w:rsidRPr="00F72CAC">
        <w:rPr>
          <w:color w:val="282526"/>
          <w:szCs w:val="24"/>
        </w:rPr>
        <w:t xml:space="preserve">Senior managers will ensure relevant systems, policies and procedures are in place to manage complaints and that all staff who interact with complainants will receive training, guidance and direction about managing </w:t>
      </w:r>
      <w:r w:rsidR="007D3BE3">
        <w:rPr>
          <w:color w:val="282526"/>
          <w:szCs w:val="24"/>
        </w:rPr>
        <w:t>unreasonable</w:t>
      </w:r>
      <w:r w:rsidRPr="00F72CAC">
        <w:rPr>
          <w:color w:val="282526"/>
          <w:szCs w:val="24"/>
        </w:rPr>
        <w:t xml:space="preserve"> behaviour.</w:t>
      </w:r>
    </w:p>
    <w:p w14:paraId="5C3C850B" w14:textId="77777777" w:rsidR="00CE7FA3" w:rsidRDefault="00CE7FA3" w:rsidP="00123E00">
      <w:pPr>
        <w:autoSpaceDE w:val="0"/>
        <w:autoSpaceDN w:val="0"/>
        <w:adjustRightInd w:val="0"/>
        <w:jc w:val="both"/>
        <w:rPr>
          <w:color w:val="282526"/>
          <w:szCs w:val="24"/>
        </w:rPr>
      </w:pPr>
    </w:p>
    <w:p w14:paraId="18C8E059" w14:textId="77777777" w:rsidR="00CE7FA3" w:rsidRDefault="00CE7FA3" w:rsidP="00123E00">
      <w:pPr>
        <w:autoSpaceDE w:val="0"/>
        <w:autoSpaceDN w:val="0"/>
        <w:adjustRightInd w:val="0"/>
        <w:jc w:val="both"/>
        <w:rPr>
          <w:color w:val="282526"/>
          <w:szCs w:val="24"/>
        </w:rPr>
      </w:pPr>
      <w:r>
        <w:rPr>
          <w:color w:val="282526"/>
          <w:szCs w:val="24"/>
        </w:rPr>
        <w:t xml:space="preserve">This policy aims to </w:t>
      </w:r>
      <w:r w:rsidR="007D3BE3">
        <w:rPr>
          <w:color w:val="282526"/>
          <w:szCs w:val="24"/>
        </w:rPr>
        <w:t>describe</w:t>
      </w:r>
      <w:r w:rsidR="00ED513B">
        <w:rPr>
          <w:color w:val="282526"/>
          <w:szCs w:val="24"/>
        </w:rPr>
        <w:t xml:space="preserve"> - </w:t>
      </w:r>
    </w:p>
    <w:p w14:paraId="6D5378A4" w14:textId="77777777" w:rsidR="00CE7FA3" w:rsidRDefault="00CE7FA3" w:rsidP="00123E00">
      <w:pPr>
        <w:autoSpaceDE w:val="0"/>
        <w:autoSpaceDN w:val="0"/>
        <w:adjustRightInd w:val="0"/>
        <w:jc w:val="both"/>
        <w:rPr>
          <w:color w:val="282526"/>
          <w:szCs w:val="24"/>
        </w:rPr>
      </w:pPr>
    </w:p>
    <w:p w14:paraId="36482244" w14:textId="77777777" w:rsidR="00CE7FA3" w:rsidRDefault="00ED513B" w:rsidP="00123E00">
      <w:pPr>
        <w:pStyle w:val="ListParagraph"/>
        <w:numPr>
          <w:ilvl w:val="0"/>
          <w:numId w:val="9"/>
        </w:numPr>
        <w:autoSpaceDE w:val="0"/>
        <w:autoSpaceDN w:val="0"/>
        <w:adjustRightInd w:val="0"/>
        <w:jc w:val="both"/>
        <w:rPr>
          <w:szCs w:val="24"/>
        </w:rPr>
      </w:pPr>
      <w:r>
        <w:rPr>
          <w:szCs w:val="24"/>
        </w:rPr>
        <w:t>the</w:t>
      </w:r>
      <w:r w:rsidR="0020766F">
        <w:rPr>
          <w:szCs w:val="24"/>
        </w:rPr>
        <w:t xml:space="preserve"> type</w:t>
      </w:r>
      <w:r w:rsidR="00CE7FA3">
        <w:rPr>
          <w:szCs w:val="24"/>
        </w:rPr>
        <w:t xml:space="preserve"> of behaviour which fall</w:t>
      </w:r>
      <w:r w:rsidR="0020766F">
        <w:rPr>
          <w:szCs w:val="24"/>
        </w:rPr>
        <w:t>s</w:t>
      </w:r>
      <w:r w:rsidR="00CE7FA3">
        <w:rPr>
          <w:szCs w:val="24"/>
        </w:rPr>
        <w:t xml:space="preserve"> within the scope of this policy; </w:t>
      </w:r>
    </w:p>
    <w:p w14:paraId="085759C2" w14:textId="77777777" w:rsidR="00CE7FA3" w:rsidRDefault="00ED513B" w:rsidP="00123E00">
      <w:pPr>
        <w:pStyle w:val="ListParagraph"/>
        <w:numPr>
          <w:ilvl w:val="0"/>
          <w:numId w:val="9"/>
        </w:numPr>
        <w:autoSpaceDE w:val="0"/>
        <w:autoSpaceDN w:val="0"/>
        <w:adjustRightInd w:val="0"/>
        <w:jc w:val="both"/>
        <w:rPr>
          <w:szCs w:val="24"/>
        </w:rPr>
      </w:pPr>
      <w:r>
        <w:rPr>
          <w:szCs w:val="24"/>
        </w:rPr>
        <w:t>the</w:t>
      </w:r>
      <w:r w:rsidR="00CE7FA3">
        <w:rPr>
          <w:szCs w:val="24"/>
        </w:rPr>
        <w:t xml:space="preserve"> process for making a decision to invoke the policy, which is consistent, transparent and reasonable;  </w:t>
      </w:r>
    </w:p>
    <w:p w14:paraId="1A1B0CCB" w14:textId="77777777" w:rsidR="00CE7FA3" w:rsidRDefault="00ED513B" w:rsidP="00123E00">
      <w:pPr>
        <w:pStyle w:val="ListParagraph"/>
        <w:numPr>
          <w:ilvl w:val="0"/>
          <w:numId w:val="9"/>
        </w:numPr>
        <w:autoSpaceDE w:val="0"/>
        <w:autoSpaceDN w:val="0"/>
        <w:adjustRightInd w:val="0"/>
        <w:jc w:val="both"/>
        <w:rPr>
          <w:szCs w:val="24"/>
        </w:rPr>
      </w:pPr>
      <w:r>
        <w:rPr>
          <w:szCs w:val="24"/>
        </w:rPr>
        <w:t>the</w:t>
      </w:r>
      <w:r w:rsidR="00CE7FA3">
        <w:rPr>
          <w:szCs w:val="24"/>
        </w:rPr>
        <w:t xml:space="preserve"> type of action which may be taken by GMCA in response to unreasonable complainant behaviour. </w:t>
      </w:r>
    </w:p>
    <w:p w14:paraId="1AC68CC2" w14:textId="77777777" w:rsidR="005F6C80" w:rsidRPr="005F6C80" w:rsidRDefault="005F6C80" w:rsidP="00123E00">
      <w:pPr>
        <w:jc w:val="both"/>
      </w:pPr>
    </w:p>
    <w:p w14:paraId="4E12AD1E" w14:textId="77777777" w:rsidR="00316969" w:rsidRPr="00CF64F0" w:rsidRDefault="0049407B" w:rsidP="00123E00">
      <w:pPr>
        <w:pStyle w:val="Heading2"/>
        <w:numPr>
          <w:ilvl w:val="0"/>
          <w:numId w:val="11"/>
        </w:numPr>
        <w:spacing w:before="0" w:after="0"/>
        <w:jc w:val="both"/>
      </w:pPr>
      <w:r w:rsidRPr="0049407B">
        <w:t>Definition</w:t>
      </w:r>
      <w:r w:rsidR="00CE7FA3" w:rsidRPr="00EF369B">
        <w:t xml:space="preserve"> of ‘unreasonable complainant behaviour’</w:t>
      </w:r>
    </w:p>
    <w:p w14:paraId="3D882C0B" w14:textId="77777777" w:rsidR="00316969" w:rsidRPr="00CF64F0" w:rsidRDefault="00316969" w:rsidP="00123E00">
      <w:pPr>
        <w:ind w:right="-476"/>
        <w:jc w:val="both"/>
      </w:pPr>
    </w:p>
    <w:p w14:paraId="2C0E7B2A" w14:textId="77777777" w:rsidR="007F4544" w:rsidRDefault="006B50FB" w:rsidP="00123E00">
      <w:pPr>
        <w:ind w:right="-476"/>
        <w:jc w:val="both"/>
      </w:pPr>
      <w:r>
        <w:t xml:space="preserve">This policy </w:t>
      </w:r>
      <w:r w:rsidR="0020766F">
        <w:t>covers ‘unreasonable complainant</w:t>
      </w:r>
      <w:r>
        <w:t xml:space="preserve"> behaviour’ which may include</w:t>
      </w:r>
      <w:r w:rsidR="00ED513B">
        <w:t xml:space="preserve"> one or two isolated incidents </w:t>
      </w:r>
      <w:r>
        <w:t xml:space="preserve">as well as ‘unreasonably persistent behaviour’ which more usually involves a </w:t>
      </w:r>
      <w:r w:rsidR="005F6C80">
        <w:t>build-up</w:t>
      </w:r>
      <w:r w:rsidR="00D03DB1">
        <w:t xml:space="preserve"> of behaviour</w:t>
      </w:r>
      <w:r w:rsidR="005F6C80">
        <w:t xml:space="preserve"> or incidents</w:t>
      </w:r>
      <w:r>
        <w:t xml:space="preserve"> over a longer period of time. </w:t>
      </w:r>
    </w:p>
    <w:p w14:paraId="4297B394" w14:textId="77777777" w:rsidR="007F4544" w:rsidRDefault="007F4544" w:rsidP="00123E00">
      <w:pPr>
        <w:ind w:right="-476"/>
        <w:jc w:val="both"/>
      </w:pPr>
    </w:p>
    <w:p w14:paraId="50D10CE1" w14:textId="77777777" w:rsidR="00ED513B" w:rsidRDefault="005F6C80" w:rsidP="00123E00">
      <w:pPr>
        <w:ind w:right="-476"/>
        <w:jc w:val="both"/>
        <w:rPr>
          <w:szCs w:val="24"/>
        </w:rPr>
      </w:pPr>
      <w:r>
        <w:t xml:space="preserve">For GMCA’s purposes </w:t>
      </w:r>
      <w:r w:rsidR="002250AF">
        <w:t>‘</w:t>
      </w:r>
      <w:r>
        <w:rPr>
          <w:szCs w:val="24"/>
        </w:rPr>
        <w:t>unreasonable</w:t>
      </w:r>
      <w:r w:rsidR="00ED513B">
        <w:rPr>
          <w:szCs w:val="24"/>
        </w:rPr>
        <w:t xml:space="preserve"> complainant behaviour’ is behaviour </w:t>
      </w:r>
      <w:r w:rsidR="0020766F">
        <w:rPr>
          <w:szCs w:val="24"/>
        </w:rPr>
        <w:t xml:space="preserve">of a person </w:t>
      </w:r>
      <w:r w:rsidR="00ED513B">
        <w:rPr>
          <w:szCs w:val="24"/>
        </w:rPr>
        <w:t xml:space="preserve">which, </w:t>
      </w:r>
      <w:r>
        <w:rPr>
          <w:szCs w:val="24"/>
        </w:rPr>
        <w:t xml:space="preserve">because of </w:t>
      </w:r>
      <w:r w:rsidR="00ED513B">
        <w:rPr>
          <w:szCs w:val="24"/>
        </w:rPr>
        <w:t>its</w:t>
      </w:r>
      <w:r>
        <w:rPr>
          <w:szCs w:val="24"/>
        </w:rPr>
        <w:t xml:space="preserve"> nature or frequency</w:t>
      </w:r>
      <w:r w:rsidR="00ED513B">
        <w:rPr>
          <w:szCs w:val="24"/>
        </w:rPr>
        <w:t xml:space="preserve"> – </w:t>
      </w:r>
    </w:p>
    <w:p w14:paraId="7EE804F4" w14:textId="77777777" w:rsidR="00ED513B" w:rsidRDefault="00ED513B" w:rsidP="00123E00">
      <w:pPr>
        <w:ind w:right="-476"/>
        <w:jc w:val="both"/>
        <w:rPr>
          <w:szCs w:val="24"/>
        </w:rPr>
      </w:pPr>
    </w:p>
    <w:p w14:paraId="2612F017" w14:textId="77777777" w:rsidR="00ED513B" w:rsidRPr="00ED513B" w:rsidRDefault="005F6C80" w:rsidP="00123E00">
      <w:pPr>
        <w:pStyle w:val="ListParagraph"/>
        <w:numPr>
          <w:ilvl w:val="0"/>
          <w:numId w:val="10"/>
        </w:numPr>
        <w:ind w:right="-476"/>
        <w:jc w:val="both"/>
        <w:rPr>
          <w:szCs w:val="24"/>
        </w:rPr>
      </w:pPr>
      <w:r w:rsidRPr="00ED513B">
        <w:rPr>
          <w:szCs w:val="24"/>
        </w:rPr>
        <w:t>hinder</w:t>
      </w:r>
      <w:r w:rsidR="00ED513B" w:rsidRPr="00ED513B">
        <w:rPr>
          <w:szCs w:val="24"/>
        </w:rPr>
        <w:t>s GMCA’s</w:t>
      </w:r>
      <w:r w:rsidRPr="00ED513B">
        <w:rPr>
          <w:szCs w:val="24"/>
        </w:rPr>
        <w:t xml:space="preserve"> </w:t>
      </w:r>
      <w:r w:rsidR="0020766F">
        <w:rPr>
          <w:szCs w:val="24"/>
        </w:rPr>
        <w:t>consideration of that person’s complaint</w:t>
      </w:r>
      <w:r w:rsidR="0049407B">
        <w:rPr>
          <w:szCs w:val="24"/>
        </w:rPr>
        <w:t>, or other people’s complaints: and/or</w:t>
      </w:r>
      <w:r w:rsidR="0020766F">
        <w:rPr>
          <w:szCs w:val="24"/>
        </w:rPr>
        <w:t xml:space="preserve"> which</w:t>
      </w:r>
    </w:p>
    <w:p w14:paraId="3F91681D" w14:textId="0F4BB6D1" w:rsidR="00ED513B" w:rsidRDefault="00ED513B" w:rsidP="00123E00">
      <w:pPr>
        <w:pStyle w:val="ListParagraph"/>
        <w:numPr>
          <w:ilvl w:val="0"/>
          <w:numId w:val="10"/>
        </w:numPr>
        <w:ind w:right="-476"/>
        <w:jc w:val="both"/>
        <w:rPr>
          <w:szCs w:val="24"/>
        </w:rPr>
      </w:pPr>
      <w:r>
        <w:rPr>
          <w:szCs w:val="24"/>
        </w:rPr>
        <w:t>adversely affects GMCA’s ability to do its work</w:t>
      </w:r>
      <w:r w:rsidR="008F016A">
        <w:rPr>
          <w:szCs w:val="24"/>
        </w:rPr>
        <w:t xml:space="preserve"> and provide services to others.</w:t>
      </w:r>
      <w:r>
        <w:rPr>
          <w:szCs w:val="24"/>
        </w:rPr>
        <w:t xml:space="preserve"> </w:t>
      </w:r>
    </w:p>
    <w:p w14:paraId="5F2E9C71" w14:textId="1BBDE3FB" w:rsidR="00316969" w:rsidRPr="007631AC" w:rsidRDefault="005F6C80" w:rsidP="007631AC">
      <w:pPr>
        <w:ind w:left="420" w:right="-476"/>
        <w:rPr>
          <w:szCs w:val="24"/>
        </w:rPr>
      </w:pPr>
      <w:r w:rsidRPr="0049407B">
        <w:rPr>
          <w:szCs w:val="24"/>
        </w:rPr>
        <w:t xml:space="preserve"> </w:t>
      </w:r>
    </w:p>
    <w:bookmarkStart w:id="4" w:name="_8.2_What_actions"/>
    <w:bookmarkEnd w:id="4"/>
    <w:p w14:paraId="1A347FAF" w14:textId="77777777" w:rsidR="00316969" w:rsidRPr="00CF64F0" w:rsidRDefault="005F6C80" w:rsidP="00123E00">
      <w:pPr>
        <w:pStyle w:val="Heading2"/>
        <w:numPr>
          <w:ilvl w:val="0"/>
          <w:numId w:val="11"/>
        </w:numPr>
        <w:spacing w:before="0" w:after="0"/>
        <w:jc w:val="both"/>
      </w:pPr>
      <w:r w:rsidRPr="00CF64F0">
        <w:lastRenderedPageBreak/>
        <w:fldChar w:fldCharType="begin"/>
      </w:r>
      <w:r w:rsidRPr="00CF64F0">
        <w:instrText xml:space="preserve"> HYPERLINK  \l "_SECTION_8_–_" </w:instrText>
      </w:r>
      <w:r w:rsidRPr="00CF64F0">
        <w:fldChar w:fldCharType="separate"/>
      </w:r>
      <w:r w:rsidRPr="00EF369B">
        <w:t xml:space="preserve">Examples of unreasonable </w:t>
      </w:r>
      <w:r w:rsidR="0049407B" w:rsidRPr="00EF369B">
        <w:t xml:space="preserve">complainant </w:t>
      </w:r>
      <w:r w:rsidRPr="00EF369B">
        <w:t>behaviour</w:t>
      </w:r>
      <w:r w:rsidRPr="00CF64F0">
        <w:fldChar w:fldCharType="end"/>
      </w:r>
    </w:p>
    <w:p w14:paraId="6B130DE0" w14:textId="77777777" w:rsidR="00316969" w:rsidRPr="00CF64F0" w:rsidRDefault="00316969" w:rsidP="00316969"/>
    <w:p w14:paraId="55083825" w14:textId="77777777" w:rsidR="00316969" w:rsidRPr="00CF64F0" w:rsidRDefault="005F6C80" w:rsidP="00123E00">
      <w:pPr>
        <w:jc w:val="both"/>
      </w:pPr>
      <w:r>
        <w:t>Some</w:t>
      </w:r>
      <w:r w:rsidR="00316969" w:rsidRPr="00CF64F0">
        <w:t xml:space="preserve"> examples of behaviour </w:t>
      </w:r>
      <w:r>
        <w:t xml:space="preserve">which may fall within the </w:t>
      </w:r>
      <w:r w:rsidR="002250AF">
        <w:t xml:space="preserve">scope </w:t>
      </w:r>
      <w:r>
        <w:t>of this policy are set out below.</w:t>
      </w:r>
      <w:r w:rsidR="00316969" w:rsidRPr="00CF64F0">
        <w:t xml:space="preserve"> This is </w:t>
      </w:r>
      <w:r>
        <w:t>not an</w:t>
      </w:r>
      <w:r w:rsidR="00316969" w:rsidRPr="00CF64F0">
        <w:t xml:space="preserve"> exhaustive list: </w:t>
      </w:r>
    </w:p>
    <w:p w14:paraId="375EC154" w14:textId="77777777" w:rsidR="00316969" w:rsidRPr="00CF64F0" w:rsidRDefault="00316969" w:rsidP="00123E00">
      <w:pPr>
        <w:jc w:val="both"/>
        <w:rPr>
          <w:i/>
        </w:rPr>
      </w:pPr>
    </w:p>
    <w:p w14:paraId="492B7DD8" w14:textId="77777777" w:rsidR="00316969" w:rsidRPr="00CF64F0" w:rsidRDefault="00316969" w:rsidP="00123E00">
      <w:pPr>
        <w:numPr>
          <w:ilvl w:val="0"/>
          <w:numId w:val="4"/>
        </w:numPr>
        <w:jc w:val="both"/>
      </w:pPr>
      <w:r w:rsidRPr="00CF64F0">
        <w:t xml:space="preserve">Refusing to specify the grounds of a complaint, despite offers of </w:t>
      </w:r>
      <w:r w:rsidR="002C0730">
        <w:t xml:space="preserve">help; </w:t>
      </w:r>
    </w:p>
    <w:p w14:paraId="2487A881" w14:textId="77777777" w:rsidR="00316969" w:rsidRPr="00CF64F0" w:rsidRDefault="00316969" w:rsidP="00123E00">
      <w:pPr>
        <w:numPr>
          <w:ilvl w:val="0"/>
          <w:numId w:val="4"/>
        </w:numPr>
        <w:jc w:val="both"/>
      </w:pPr>
      <w:r w:rsidRPr="00CF64F0">
        <w:t>Refusing to co-operate with the complaints investigation process</w:t>
      </w:r>
      <w:r w:rsidR="002C0730">
        <w:t xml:space="preserve">; </w:t>
      </w:r>
    </w:p>
    <w:p w14:paraId="035818F6" w14:textId="77777777" w:rsidR="00316969" w:rsidRPr="00CF64F0" w:rsidRDefault="00316969" w:rsidP="00123E00">
      <w:pPr>
        <w:numPr>
          <w:ilvl w:val="0"/>
          <w:numId w:val="4"/>
        </w:numPr>
        <w:jc w:val="both"/>
      </w:pPr>
      <w:r w:rsidRPr="00CF64F0">
        <w:t>Refusing to accept that issues are not within the remit of a complaints procedure despite having been provided with information about the procedure’s scope</w:t>
      </w:r>
      <w:r w:rsidR="005F6C80">
        <w:t xml:space="preserve">; </w:t>
      </w:r>
    </w:p>
    <w:p w14:paraId="65C23C67" w14:textId="77777777" w:rsidR="00316969" w:rsidRPr="00CF64F0" w:rsidRDefault="00316969" w:rsidP="00123E00">
      <w:pPr>
        <w:numPr>
          <w:ilvl w:val="0"/>
          <w:numId w:val="4"/>
        </w:numPr>
        <w:jc w:val="both"/>
      </w:pPr>
      <w:r w:rsidRPr="00CF64F0">
        <w:t>Insisting on the complaint being dealt with in ways that are incompatible with the adopted complaints procedure or with good practice</w:t>
      </w:r>
      <w:r w:rsidR="005F6C80">
        <w:t>;</w:t>
      </w:r>
    </w:p>
    <w:p w14:paraId="67942D9B" w14:textId="77777777" w:rsidR="00316969" w:rsidRPr="00CF64F0" w:rsidRDefault="00316969" w:rsidP="00123E00">
      <w:pPr>
        <w:numPr>
          <w:ilvl w:val="0"/>
          <w:numId w:val="4"/>
        </w:numPr>
        <w:jc w:val="both"/>
      </w:pPr>
      <w:r w:rsidRPr="00CF64F0">
        <w:t xml:space="preserve">Making </w:t>
      </w:r>
      <w:r w:rsidR="005F6C80">
        <w:t>unjustified</w:t>
      </w:r>
      <w:r w:rsidRPr="00CF64F0">
        <w:t xml:space="preserve"> complaints about the staff </w:t>
      </w:r>
      <w:r w:rsidR="005F6C80">
        <w:t xml:space="preserve">who are trying to deal with the issues and </w:t>
      </w:r>
      <w:r w:rsidRPr="00CF64F0">
        <w:t>seeking to have them replaced</w:t>
      </w:r>
      <w:r w:rsidR="005F6C80">
        <w:t xml:space="preserve">; </w:t>
      </w:r>
    </w:p>
    <w:p w14:paraId="3AA68C9E" w14:textId="77777777" w:rsidR="00316969" w:rsidRPr="00CF64F0" w:rsidRDefault="00316969" w:rsidP="00123E00">
      <w:pPr>
        <w:numPr>
          <w:ilvl w:val="0"/>
          <w:numId w:val="4"/>
        </w:numPr>
        <w:jc w:val="both"/>
      </w:pPr>
      <w:r w:rsidRPr="00CF64F0">
        <w:t>Changing the basis of the complaint as the investigation proceeds and/or denying statements he or she made at an earlier stage</w:t>
      </w:r>
      <w:r w:rsidR="005F6C80">
        <w:t xml:space="preserve">; </w:t>
      </w:r>
    </w:p>
    <w:p w14:paraId="226D6629" w14:textId="77777777" w:rsidR="002C0730" w:rsidRDefault="00316969" w:rsidP="00123E00">
      <w:pPr>
        <w:numPr>
          <w:ilvl w:val="0"/>
          <w:numId w:val="4"/>
        </w:numPr>
        <w:jc w:val="both"/>
      </w:pPr>
      <w:r w:rsidRPr="00CF64F0">
        <w:t xml:space="preserve">Introducing trivial or irrelevant new information </w:t>
      </w:r>
      <w:r w:rsidR="002C0730">
        <w:t xml:space="preserve">at a later stage </w:t>
      </w:r>
      <w:r w:rsidRPr="00CF64F0">
        <w:t xml:space="preserve">which the complainant expects to be taken into account and commented on, </w:t>
      </w:r>
    </w:p>
    <w:p w14:paraId="59F507C9" w14:textId="77777777" w:rsidR="00316969" w:rsidRPr="00CF64F0" w:rsidRDefault="002C0730" w:rsidP="00123E00">
      <w:pPr>
        <w:numPr>
          <w:ilvl w:val="0"/>
          <w:numId w:val="4"/>
        </w:numPr>
        <w:jc w:val="both"/>
      </w:pPr>
      <w:r>
        <w:t>R</w:t>
      </w:r>
      <w:r w:rsidR="00316969" w:rsidRPr="00CF64F0">
        <w:t xml:space="preserve">aising </w:t>
      </w:r>
      <w:r w:rsidR="0021073C">
        <w:t>many</w:t>
      </w:r>
      <w:r w:rsidR="00316969" w:rsidRPr="00CF64F0">
        <w:t xml:space="preserve"> detailed but unimportant questions and insisting they are all answered</w:t>
      </w:r>
      <w:r w:rsidR="0021073C">
        <w:t xml:space="preserve">; </w:t>
      </w:r>
    </w:p>
    <w:p w14:paraId="2838A282" w14:textId="77777777" w:rsidR="00316969" w:rsidRPr="00CF64F0" w:rsidRDefault="00316969" w:rsidP="00123E00">
      <w:pPr>
        <w:numPr>
          <w:ilvl w:val="0"/>
          <w:numId w:val="4"/>
        </w:numPr>
        <w:jc w:val="both"/>
      </w:pPr>
      <w:r w:rsidRPr="00CF64F0">
        <w:t>Electronically recording meetings and conversations without the prior knowledge and consent of the other persons involved</w:t>
      </w:r>
      <w:r w:rsidR="0021073C">
        <w:t>;</w:t>
      </w:r>
    </w:p>
    <w:p w14:paraId="1FBF0BB4" w14:textId="77777777" w:rsidR="00316969" w:rsidRPr="00CF64F0" w:rsidRDefault="00316969" w:rsidP="00123E00">
      <w:pPr>
        <w:numPr>
          <w:ilvl w:val="0"/>
          <w:numId w:val="4"/>
        </w:numPr>
        <w:jc w:val="both"/>
      </w:pPr>
      <w:r w:rsidRPr="00CF64F0">
        <w:t>Adopting a 'scatter</w:t>
      </w:r>
      <w:r w:rsidR="0021073C">
        <w:t xml:space="preserve"> </w:t>
      </w:r>
      <w:r w:rsidRPr="00CF64F0">
        <w:t xml:space="preserve">gun' approach: pursuing </w:t>
      </w:r>
      <w:r w:rsidR="0021073C">
        <w:t xml:space="preserve">parallel </w:t>
      </w:r>
      <w:r w:rsidRPr="00CF64F0">
        <w:t xml:space="preserve">complaints </w:t>
      </w:r>
      <w:r w:rsidR="0021073C">
        <w:t xml:space="preserve">on the same issue </w:t>
      </w:r>
      <w:r w:rsidRPr="00CF64F0">
        <w:t xml:space="preserve">with </w:t>
      </w:r>
      <w:r w:rsidR="002C0730">
        <w:t>GMCA</w:t>
      </w:r>
      <w:r w:rsidRPr="00CF64F0">
        <w:t xml:space="preserve"> and </w:t>
      </w:r>
      <w:r w:rsidR="0021073C">
        <w:t xml:space="preserve">various </w:t>
      </w:r>
      <w:r w:rsidR="002C0730">
        <w:t xml:space="preserve">other </w:t>
      </w:r>
      <w:r w:rsidR="0021073C">
        <w:t xml:space="preserve">organisations, for example </w:t>
      </w:r>
      <w:r w:rsidRPr="00CF64F0">
        <w:t>with a Member of Parliament/a councillor/</w:t>
      </w:r>
      <w:r w:rsidR="00EF369B">
        <w:t>GMCA’s</w:t>
      </w:r>
      <w:r w:rsidRPr="00CF64F0">
        <w:t xml:space="preserve"> independent auditor/the Standards Board/local police/solicitors/the </w:t>
      </w:r>
      <w:r w:rsidR="00EF369B">
        <w:t xml:space="preserve">Local Government and Social Care </w:t>
      </w:r>
      <w:r w:rsidRPr="00CF64F0">
        <w:t xml:space="preserve">Ombudsman. </w:t>
      </w:r>
    </w:p>
    <w:p w14:paraId="7F30ADE3" w14:textId="5FCCED85" w:rsidR="00316969" w:rsidRPr="00CF64F0" w:rsidRDefault="00316969" w:rsidP="00123E00">
      <w:pPr>
        <w:numPr>
          <w:ilvl w:val="0"/>
          <w:numId w:val="4"/>
        </w:numPr>
        <w:jc w:val="both"/>
      </w:pPr>
      <w:r w:rsidRPr="00CF64F0">
        <w:t xml:space="preserve">Making excessive demands on the time and resources of staff </w:t>
      </w:r>
      <w:r w:rsidR="002C0730">
        <w:t>with lengthy or excessive phone</w:t>
      </w:r>
      <w:r w:rsidR="00517644">
        <w:t xml:space="preserve"> </w:t>
      </w:r>
      <w:r w:rsidR="002C0730">
        <w:t>calls, e</w:t>
      </w:r>
      <w:r w:rsidRPr="00CF64F0">
        <w:t xml:space="preserve">mails to numerous </w:t>
      </w:r>
      <w:r w:rsidR="002C0730">
        <w:t>GMCA</w:t>
      </w:r>
      <w:r w:rsidR="002C0730" w:rsidRPr="00CF64F0">
        <w:t xml:space="preserve"> </w:t>
      </w:r>
      <w:r w:rsidRPr="00CF64F0">
        <w:t xml:space="preserve">staff, </w:t>
      </w:r>
      <w:r w:rsidR="0021073C">
        <w:t>generating</w:t>
      </w:r>
      <w:r w:rsidR="0021073C" w:rsidRPr="00CF64F0">
        <w:t xml:space="preserve"> </w:t>
      </w:r>
      <w:r w:rsidR="0084784A">
        <w:t>detailed l</w:t>
      </w:r>
      <w:r w:rsidRPr="00CF64F0">
        <w:t>etters every few days and expecting immediate responses</w:t>
      </w:r>
      <w:r w:rsidR="0021073C">
        <w:t xml:space="preserve">; </w:t>
      </w:r>
    </w:p>
    <w:p w14:paraId="098BD1D5" w14:textId="77777777" w:rsidR="002C0730" w:rsidRDefault="00316969" w:rsidP="00123E00">
      <w:pPr>
        <w:numPr>
          <w:ilvl w:val="0"/>
          <w:numId w:val="4"/>
        </w:numPr>
        <w:jc w:val="both"/>
      </w:pPr>
      <w:r w:rsidRPr="00CF64F0">
        <w:lastRenderedPageBreak/>
        <w:t xml:space="preserve">Submitting repeat complaints, with </w:t>
      </w:r>
      <w:r w:rsidR="0021073C">
        <w:t xml:space="preserve">minor </w:t>
      </w:r>
      <w:r w:rsidRPr="00CF64F0">
        <w:t>additions/variations the complainant insists make these 'new' complaints</w:t>
      </w:r>
      <w:r w:rsidR="002C0730">
        <w:t>;</w:t>
      </w:r>
    </w:p>
    <w:p w14:paraId="53FD8F4D" w14:textId="77777777" w:rsidR="00316969" w:rsidRPr="00CF64F0" w:rsidRDefault="00316969" w:rsidP="00123E00">
      <w:pPr>
        <w:numPr>
          <w:ilvl w:val="0"/>
          <w:numId w:val="4"/>
        </w:numPr>
        <w:jc w:val="both"/>
      </w:pPr>
      <w:r w:rsidRPr="00CF64F0">
        <w:t>Refusing to accept the decision – repeatedly arguing the point</w:t>
      </w:r>
      <w:r w:rsidR="002C0730">
        <w:t>s with no new evidence</w:t>
      </w:r>
      <w:r w:rsidRPr="00CF64F0">
        <w:t xml:space="preserve"> and complaining about the decision (particularly when there remains scope for the complainant to escalate the complaint to the next formal stage e.g. </w:t>
      </w:r>
      <w:r w:rsidR="00EF369B">
        <w:t>the Local Government and Social Care Ombudsman)</w:t>
      </w:r>
      <w:r w:rsidR="0021073C">
        <w:t xml:space="preserve">; </w:t>
      </w:r>
      <w:r w:rsidRPr="00CF64F0">
        <w:t xml:space="preserve"> </w:t>
      </w:r>
    </w:p>
    <w:p w14:paraId="416F5C48" w14:textId="77777777" w:rsidR="00316969" w:rsidRPr="00CF64F0" w:rsidRDefault="00316969" w:rsidP="00123E00">
      <w:pPr>
        <w:numPr>
          <w:ilvl w:val="0"/>
          <w:numId w:val="4"/>
        </w:numPr>
        <w:jc w:val="both"/>
        <w:rPr>
          <w:szCs w:val="24"/>
          <w:lang w:eastAsia="en-US"/>
        </w:rPr>
      </w:pPr>
      <w:r w:rsidRPr="00CF64F0">
        <w:t xml:space="preserve">Making a complaint which in </w:t>
      </w:r>
      <w:r w:rsidR="002C0730">
        <w:t>GMCA’s</w:t>
      </w:r>
      <w:r w:rsidR="0021073C" w:rsidRPr="00CF64F0">
        <w:t xml:space="preserve"> </w:t>
      </w:r>
      <w:r w:rsidRPr="00CF64F0">
        <w:t>reasonable opinion is unfounded, unreasonable or trivial and</w:t>
      </w:r>
      <w:r w:rsidR="00D2232C">
        <w:t>/or</w:t>
      </w:r>
      <w:r w:rsidRPr="00CF64F0">
        <w:t xml:space="preserve"> </w:t>
      </w:r>
      <w:r w:rsidR="00D2232C">
        <w:t xml:space="preserve">is </w:t>
      </w:r>
      <w:r w:rsidRPr="00CF64F0">
        <w:t xml:space="preserve">made with the intention of wasting </w:t>
      </w:r>
      <w:r w:rsidR="002C0730">
        <w:t>GMCA officer</w:t>
      </w:r>
      <w:r w:rsidR="0084784A" w:rsidRPr="00CF64F0">
        <w:t xml:space="preserve"> </w:t>
      </w:r>
      <w:r w:rsidR="00D2232C">
        <w:t>time and resources and/or prevents</w:t>
      </w:r>
      <w:r w:rsidRPr="00CF64F0">
        <w:rPr>
          <w:szCs w:val="24"/>
          <w:lang w:eastAsia="en-US"/>
        </w:rPr>
        <w:t xml:space="preserve"> </w:t>
      </w:r>
      <w:r w:rsidR="002C0730">
        <w:rPr>
          <w:szCs w:val="24"/>
          <w:lang w:eastAsia="en-US"/>
        </w:rPr>
        <w:t>GMCA</w:t>
      </w:r>
      <w:r w:rsidR="0084784A" w:rsidRPr="00CF64F0">
        <w:rPr>
          <w:szCs w:val="24"/>
          <w:lang w:eastAsia="en-US"/>
        </w:rPr>
        <w:t xml:space="preserve"> </w:t>
      </w:r>
      <w:r w:rsidRPr="00CF64F0">
        <w:rPr>
          <w:szCs w:val="24"/>
          <w:lang w:eastAsia="en-US"/>
        </w:rPr>
        <w:t>from carryin</w:t>
      </w:r>
      <w:r w:rsidR="00D2232C">
        <w:rPr>
          <w:szCs w:val="24"/>
          <w:lang w:eastAsia="en-US"/>
        </w:rPr>
        <w:t>g out its business, or harasses</w:t>
      </w:r>
      <w:r w:rsidRPr="00CF64F0">
        <w:rPr>
          <w:szCs w:val="24"/>
          <w:lang w:eastAsia="en-US"/>
        </w:rPr>
        <w:t xml:space="preserve"> </w:t>
      </w:r>
      <w:r w:rsidR="002C0730">
        <w:rPr>
          <w:szCs w:val="24"/>
          <w:lang w:eastAsia="en-US"/>
        </w:rPr>
        <w:t>GMCA</w:t>
      </w:r>
      <w:r w:rsidR="00D03DB1" w:rsidRPr="00CF64F0">
        <w:rPr>
          <w:szCs w:val="24"/>
          <w:lang w:eastAsia="en-US"/>
        </w:rPr>
        <w:t xml:space="preserve"> </w:t>
      </w:r>
      <w:r w:rsidRPr="00CF64F0">
        <w:rPr>
          <w:szCs w:val="24"/>
          <w:lang w:eastAsia="en-US"/>
        </w:rPr>
        <w:t>staff, or</w:t>
      </w:r>
      <w:r w:rsidR="00D2232C">
        <w:rPr>
          <w:szCs w:val="24"/>
          <w:lang w:eastAsia="en-US"/>
        </w:rPr>
        <w:t xml:space="preserve"> which</w:t>
      </w:r>
      <w:r w:rsidRPr="00CF64F0">
        <w:rPr>
          <w:szCs w:val="24"/>
          <w:lang w:eastAsia="en-US"/>
        </w:rPr>
        <w:t xml:space="preserve"> is otherwise made in bad faith</w:t>
      </w:r>
      <w:r w:rsidR="0084784A">
        <w:rPr>
          <w:szCs w:val="24"/>
          <w:lang w:eastAsia="en-US"/>
        </w:rPr>
        <w:t xml:space="preserve">. </w:t>
      </w:r>
      <w:r w:rsidRPr="00CF64F0">
        <w:rPr>
          <w:szCs w:val="24"/>
          <w:lang w:eastAsia="en-US"/>
        </w:rPr>
        <w:t xml:space="preserve">      </w:t>
      </w:r>
    </w:p>
    <w:p w14:paraId="683411CB" w14:textId="77777777" w:rsidR="00316969" w:rsidRPr="00CF64F0" w:rsidRDefault="00316969" w:rsidP="00123E00">
      <w:pPr>
        <w:ind w:right="-476"/>
        <w:jc w:val="both"/>
      </w:pPr>
    </w:p>
    <w:p w14:paraId="309B7835" w14:textId="60A23A42" w:rsidR="00316969" w:rsidRPr="00CF64F0" w:rsidRDefault="00EF369B" w:rsidP="00123E00">
      <w:pPr>
        <w:jc w:val="both"/>
        <w:rPr>
          <w:szCs w:val="24"/>
          <w:lang w:eastAsia="en-US"/>
        </w:rPr>
      </w:pPr>
      <w:r>
        <w:rPr>
          <w:szCs w:val="24"/>
          <w:lang w:eastAsia="en-US"/>
        </w:rPr>
        <w:t xml:space="preserve">In addition to the above, </w:t>
      </w:r>
      <w:r w:rsidR="002C0730">
        <w:rPr>
          <w:szCs w:val="24"/>
          <w:lang w:eastAsia="en-US"/>
        </w:rPr>
        <w:t>GMCA</w:t>
      </w:r>
      <w:r w:rsidR="00D03DB1">
        <w:rPr>
          <w:szCs w:val="24"/>
          <w:lang w:eastAsia="en-US"/>
        </w:rPr>
        <w:t xml:space="preserve"> </w:t>
      </w:r>
      <w:r w:rsidR="00316969" w:rsidRPr="00CF64F0">
        <w:rPr>
          <w:szCs w:val="24"/>
          <w:lang w:eastAsia="en-US"/>
        </w:rPr>
        <w:t>does not expect staff to tolerate behaviour</w:t>
      </w:r>
      <w:r w:rsidR="003D553C">
        <w:rPr>
          <w:szCs w:val="24"/>
          <w:lang w:eastAsia="en-US"/>
        </w:rPr>
        <w:t xml:space="preserve"> </w:t>
      </w:r>
      <w:r w:rsidR="00316969" w:rsidRPr="00CF64F0">
        <w:rPr>
          <w:szCs w:val="24"/>
          <w:lang w:eastAsia="en-US"/>
        </w:rPr>
        <w:t>which is abusive, offensive or threatening and may include:</w:t>
      </w:r>
    </w:p>
    <w:p w14:paraId="575F4C77" w14:textId="77777777" w:rsidR="00316969" w:rsidRPr="00CF64F0" w:rsidRDefault="00316969" w:rsidP="00123E00">
      <w:pPr>
        <w:jc w:val="both"/>
        <w:rPr>
          <w:szCs w:val="24"/>
          <w:lang w:eastAsia="en-US"/>
        </w:rPr>
      </w:pPr>
    </w:p>
    <w:p w14:paraId="7E054872" w14:textId="77777777" w:rsidR="00316969" w:rsidRPr="00CF64F0" w:rsidRDefault="00316969" w:rsidP="00123E00">
      <w:pPr>
        <w:numPr>
          <w:ilvl w:val="0"/>
          <w:numId w:val="3"/>
        </w:numPr>
        <w:ind w:left="720"/>
        <w:contextualSpacing/>
        <w:jc w:val="both"/>
        <w:rPr>
          <w:szCs w:val="24"/>
          <w:lang w:eastAsia="en-US"/>
        </w:rPr>
      </w:pPr>
      <w:r w:rsidRPr="00CF64F0">
        <w:rPr>
          <w:szCs w:val="24"/>
          <w:lang w:eastAsia="en-US"/>
        </w:rPr>
        <w:t>Using abusive</w:t>
      </w:r>
      <w:r w:rsidR="0084784A">
        <w:rPr>
          <w:szCs w:val="24"/>
          <w:lang w:eastAsia="en-US"/>
        </w:rPr>
        <w:t>, offensive</w:t>
      </w:r>
      <w:r w:rsidRPr="00CF64F0">
        <w:rPr>
          <w:szCs w:val="24"/>
          <w:lang w:eastAsia="en-US"/>
        </w:rPr>
        <w:t xml:space="preserve"> or foul language on the telephone or in writing (including emails and social media)</w:t>
      </w:r>
      <w:r w:rsidR="00D2232C">
        <w:rPr>
          <w:szCs w:val="24"/>
          <w:lang w:eastAsia="en-US"/>
        </w:rPr>
        <w:t>;</w:t>
      </w:r>
    </w:p>
    <w:p w14:paraId="2BB927BD" w14:textId="77777777" w:rsidR="00316969" w:rsidRPr="00CF64F0" w:rsidRDefault="00316969" w:rsidP="00123E00">
      <w:pPr>
        <w:numPr>
          <w:ilvl w:val="0"/>
          <w:numId w:val="3"/>
        </w:numPr>
        <w:ind w:left="720"/>
        <w:contextualSpacing/>
        <w:jc w:val="both"/>
        <w:rPr>
          <w:szCs w:val="24"/>
          <w:lang w:eastAsia="en-US"/>
        </w:rPr>
      </w:pPr>
      <w:r w:rsidRPr="00CF64F0">
        <w:rPr>
          <w:szCs w:val="24"/>
          <w:lang w:eastAsia="en-US"/>
        </w:rPr>
        <w:t>Using abusive or foul language face to face</w:t>
      </w:r>
      <w:r w:rsidR="00D2232C">
        <w:rPr>
          <w:szCs w:val="24"/>
          <w:lang w:eastAsia="en-US"/>
        </w:rPr>
        <w:t xml:space="preserve">; </w:t>
      </w:r>
    </w:p>
    <w:p w14:paraId="79364DE8" w14:textId="77777777" w:rsidR="00316969" w:rsidRPr="00CF64F0" w:rsidRDefault="00316969" w:rsidP="00123E00">
      <w:pPr>
        <w:numPr>
          <w:ilvl w:val="0"/>
          <w:numId w:val="3"/>
        </w:numPr>
        <w:ind w:left="720"/>
        <w:contextualSpacing/>
        <w:jc w:val="both"/>
        <w:rPr>
          <w:szCs w:val="24"/>
          <w:lang w:eastAsia="en-US"/>
        </w:rPr>
      </w:pPr>
      <w:r w:rsidRPr="00CF64F0">
        <w:rPr>
          <w:szCs w:val="24"/>
          <w:lang w:eastAsia="en-US"/>
        </w:rPr>
        <w:t xml:space="preserve">Sending multiple emails </w:t>
      </w:r>
      <w:r w:rsidR="00D2232C">
        <w:rPr>
          <w:szCs w:val="24"/>
          <w:lang w:eastAsia="en-US"/>
        </w:rPr>
        <w:t>to</w:t>
      </w:r>
      <w:r w:rsidRPr="00CF64F0">
        <w:rPr>
          <w:szCs w:val="24"/>
          <w:lang w:eastAsia="en-US"/>
        </w:rPr>
        <w:t xml:space="preserve"> one </w:t>
      </w:r>
      <w:r w:rsidR="00D2232C">
        <w:rPr>
          <w:szCs w:val="24"/>
          <w:lang w:eastAsia="en-US"/>
        </w:rPr>
        <w:t>member of staff;</w:t>
      </w:r>
    </w:p>
    <w:p w14:paraId="3357ABBA" w14:textId="77777777" w:rsidR="00316969" w:rsidRPr="00CF64F0" w:rsidRDefault="00316969" w:rsidP="00123E00">
      <w:pPr>
        <w:numPr>
          <w:ilvl w:val="0"/>
          <w:numId w:val="3"/>
        </w:numPr>
        <w:ind w:left="720"/>
        <w:contextualSpacing/>
        <w:jc w:val="both"/>
        <w:rPr>
          <w:szCs w:val="24"/>
          <w:lang w:eastAsia="en-US"/>
        </w:rPr>
      </w:pPr>
      <w:r>
        <w:rPr>
          <w:szCs w:val="24"/>
          <w:lang w:eastAsia="en-US"/>
        </w:rPr>
        <w:t>Leaving multiple voicemails</w:t>
      </w:r>
      <w:r w:rsidRPr="00CF64F0">
        <w:rPr>
          <w:szCs w:val="24"/>
          <w:lang w:eastAsia="en-US"/>
        </w:rPr>
        <w:t xml:space="preserve"> for one </w:t>
      </w:r>
      <w:r w:rsidR="00D2232C">
        <w:rPr>
          <w:szCs w:val="24"/>
          <w:lang w:eastAsia="en-US"/>
        </w:rPr>
        <w:t>member of staff;</w:t>
      </w:r>
    </w:p>
    <w:p w14:paraId="4563CE85" w14:textId="77777777" w:rsidR="00316969" w:rsidRPr="00CF64F0" w:rsidRDefault="00D2232C" w:rsidP="00123E00">
      <w:pPr>
        <w:numPr>
          <w:ilvl w:val="0"/>
          <w:numId w:val="3"/>
        </w:numPr>
        <w:ind w:left="720"/>
        <w:contextualSpacing/>
        <w:jc w:val="both"/>
        <w:rPr>
          <w:szCs w:val="24"/>
          <w:lang w:eastAsia="en-US"/>
        </w:rPr>
      </w:pPr>
      <w:r>
        <w:rPr>
          <w:szCs w:val="24"/>
          <w:lang w:eastAsia="en-US"/>
        </w:rPr>
        <w:t xml:space="preserve">Making direct threats; </w:t>
      </w:r>
    </w:p>
    <w:p w14:paraId="20F696E4" w14:textId="77777777" w:rsidR="00316969" w:rsidRPr="00CF64F0" w:rsidRDefault="00316969" w:rsidP="00123E00">
      <w:pPr>
        <w:numPr>
          <w:ilvl w:val="0"/>
          <w:numId w:val="3"/>
        </w:numPr>
        <w:ind w:left="720"/>
        <w:contextualSpacing/>
        <w:jc w:val="both"/>
        <w:rPr>
          <w:szCs w:val="24"/>
          <w:lang w:eastAsia="en-US"/>
        </w:rPr>
      </w:pPr>
      <w:r w:rsidRPr="00CF64F0">
        <w:rPr>
          <w:szCs w:val="24"/>
          <w:lang w:eastAsia="en-US"/>
        </w:rPr>
        <w:t>Directly verbally insulting staff or making derogatory comments about them.</w:t>
      </w:r>
    </w:p>
    <w:p w14:paraId="2F0762C0" w14:textId="77777777" w:rsidR="00316969" w:rsidRPr="00CF64F0" w:rsidRDefault="00316969" w:rsidP="00123E00">
      <w:pPr>
        <w:jc w:val="both"/>
        <w:rPr>
          <w:szCs w:val="24"/>
          <w:lang w:eastAsia="en-US"/>
        </w:rPr>
      </w:pPr>
    </w:p>
    <w:p w14:paraId="496422E3" w14:textId="17BCC2CC" w:rsidR="00316969" w:rsidRDefault="003D553C" w:rsidP="00123E00">
      <w:pPr>
        <w:jc w:val="both"/>
        <w:rPr>
          <w:szCs w:val="24"/>
          <w:lang w:eastAsia="en-US"/>
        </w:rPr>
      </w:pPr>
      <w:r>
        <w:rPr>
          <w:szCs w:val="24"/>
          <w:lang w:eastAsia="en-US"/>
        </w:rPr>
        <w:t>If appropriate s</w:t>
      </w:r>
      <w:r w:rsidR="00316969" w:rsidRPr="00CF64F0">
        <w:rPr>
          <w:szCs w:val="24"/>
          <w:lang w:eastAsia="en-US"/>
        </w:rPr>
        <w:t xml:space="preserve">taff </w:t>
      </w:r>
      <w:r>
        <w:rPr>
          <w:szCs w:val="24"/>
          <w:lang w:eastAsia="en-US"/>
        </w:rPr>
        <w:t>may also</w:t>
      </w:r>
      <w:r w:rsidR="00BF6B66">
        <w:rPr>
          <w:szCs w:val="24"/>
          <w:lang w:eastAsia="en-US"/>
        </w:rPr>
        <w:t>,</w:t>
      </w:r>
      <w:r>
        <w:rPr>
          <w:szCs w:val="24"/>
          <w:lang w:eastAsia="en-US"/>
        </w:rPr>
        <w:t xml:space="preserve"> in </w:t>
      </w:r>
      <w:r w:rsidR="00391E43">
        <w:rPr>
          <w:szCs w:val="24"/>
          <w:lang w:eastAsia="en-US"/>
        </w:rPr>
        <w:t>consider</w:t>
      </w:r>
      <w:r>
        <w:rPr>
          <w:szCs w:val="24"/>
          <w:lang w:eastAsia="en-US"/>
        </w:rPr>
        <w:t>ing whether behaviour is unreasonable</w:t>
      </w:r>
      <w:r w:rsidR="00BF6B66">
        <w:rPr>
          <w:szCs w:val="24"/>
          <w:lang w:eastAsia="en-US"/>
        </w:rPr>
        <w:t xml:space="preserve"> and excessive in nature,</w:t>
      </w:r>
      <w:r>
        <w:rPr>
          <w:szCs w:val="24"/>
          <w:lang w:eastAsia="en-US"/>
        </w:rPr>
        <w:t xml:space="preserve"> assess</w:t>
      </w:r>
      <w:r w:rsidR="00391E43">
        <w:rPr>
          <w:szCs w:val="24"/>
          <w:lang w:eastAsia="en-US"/>
        </w:rPr>
        <w:t xml:space="preserve"> other contact </w:t>
      </w:r>
      <w:r w:rsidR="00BF6B66">
        <w:rPr>
          <w:szCs w:val="24"/>
          <w:lang w:eastAsia="en-US"/>
        </w:rPr>
        <w:t xml:space="preserve">made </w:t>
      </w:r>
      <w:r w:rsidR="00391E43">
        <w:rPr>
          <w:szCs w:val="24"/>
          <w:lang w:eastAsia="en-US"/>
        </w:rPr>
        <w:t>with GMCA</w:t>
      </w:r>
      <w:r w:rsidR="00316969" w:rsidRPr="00CF64F0">
        <w:rPr>
          <w:szCs w:val="24"/>
          <w:lang w:eastAsia="en-US"/>
        </w:rPr>
        <w:t>, such as through</w:t>
      </w:r>
      <w:r>
        <w:rPr>
          <w:szCs w:val="24"/>
          <w:lang w:eastAsia="en-US"/>
        </w:rPr>
        <w:t xml:space="preserve"> requests for information</w:t>
      </w:r>
      <w:r w:rsidR="00316969" w:rsidRPr="00CF64F0">
        <w:rPr>
          <w:szCs w:val="24"/>
          <w:lang w:eastAsia="en-US"/>
        </w:rPr>
        <w:t>, when</w:t>
      </w:r>
      <w:r w:rsidR="00391E43">
        <w:rPr>
          <w:szCs w:val="24"/>
          <w:lang w:eastAsia="en-US"/>
        </w:rPr>
        <w:t xml:space="preserve"> considering whether to treat complainant behaviour as </w:t>
      </w:r>
      <w:r w:rsidR="00316969" w:rsidRPr="00CF64F0">
        <w:rPr>
          <w:szCs w:val="24"/>
          <w:lang w:eastAsia="en-US"/>
        </w:rPr>
        <w:t>unre</w:t>
      </w:r>
      <w:r w:rsidR="00391E43">
        <w:rPr>
          <w:szCs w:val="24"/>
          <w:lang w:eastAsia="en-US"/>
        </w:rPr>
        <w:t>asonable</w:t>
      </w:r>
      <w:r w:rsidR="00316969" w:rsidRPr="00CF64F0">
        <w:rPr>
          <w:szCs w:val="24"/>
          <w:lang w:eastAsia="en-US"/>
        </w:rPr>
        <w:t xml:space="preserve">. </w:t>
      </w:r>
    </w:p>
    <w:p w14:paraId="595BEA8F" w14:textId="409C02FC" w:rsidR="00316969" w:rsidRPr="00CF64F0" w:rsidRDefault="00316969" w:rsidP="00123E00">
      <w:pPr>
        <w:ind w:right="-476"/>
        <w:jc w:val="both"/>
      </w:pPr>
    </w:p>
    <w:p w14:paraId="3642661D" w14:textId="77777777" w:rsidR="00A16336" w:rsidRDefault="00A16336" w:rsidP="00123E00">
      <w:pPr>
        <w:pStyle w:val="Heading2"/>
        <w:numPr>
          <w:ilvl w:val="0"/>
          <w:numId w:val="11"/>
        </w:numPr>
        <w:spacing w:before="0" w:after="0"/>
        <w:jc w:val="both"/>
      </w:pPr>
      <w:bookmarkStart w:id="5" w:name="_8.3__"/>
      <w:bookmarkEnd w:id="5"/>
      <w:r>
        <w:t>Procedure for invoking this policy</w:t>
      </w:r>
    </w:p>
    <w:p w14:paraId="2C542B2C" w14:textId="77777777" w:rsidR="003E51C1" w:rsidRDefault="003E51C1" w:rsidP="00123E00">
      <w:pPr>
        <w:ind w:right="-476"/>
        <w:jc w:val="both"/>
      </w:pPr>
    </w:p>
    <w:p w14:paraId="3408F926" w14:textId="77777777" w:rsidR="0044384A" w:rsidRPr="00CF64F0" w:rsidRDefault="009D2A98" w:rsidP="00123E00">
      <w:pPr>
        <w:tabs>
          <w:tab w:val="left" w:pos="1440"/>
          <w:tab w:val="left" w:pos="2160"/>
          <w:tab w:val="left" w:pos="2880"/>
          <w:tab w:val="left" w:pos="3600"/>
          <w:tab w:val="left" w:pos="4320"/>
          <w:tab w:val="left" w:pos="5040"/>
          <w:tab w:val="left" w:pos="5760"/>
          <w:tab w:val="left" w:pos="6480"/>
          <w:tab w:val="left" w:pos="7200"/>
          <w:tab w:val="left" w:pos="7920"/>
        </w:tabs>
        <w:jc w:val="both"/>
        <w:rPr>
          <w:color w:val="000000"/>
          <w:szCs w:val="24"/>
        </w:rPr>
      </w:pPr>
      <w:r>
        <w:lastRenderedPageBreak/>
        <w:t xml:space="preserve">Before taking any action under this policy, </w:t>
      </w:r>
      <w:r w:rsidR="00E42241">
        <w:t xml:space="preserve">staff </w:t>
      </w:r>
      <w:r>
        <w:t xml:space="preserve">must ensure that any complaint is being or has been investigated properly, that communications with the complainant have been adequate and that the complainant is not now providing any significant new information that might affect the organisation’s view on the complaint.  </w:t>
      </w:r>
    </w:p>
    <w:p w14:paraId="6FE0D417" w14:textId="371C5EB3" w:rsidR="00A16336" w:rsidRDefault="00A16336" w:rsidP="00123E00">
      <w:pPr>
        <w:ind w:right="-476"/>
        <w:jc w:val="both"/>
      </w:pPr>
    </w:p>
    <w:p w14:paraId="1F3567A6" w14:textId="77777777" w:rsidR="00A16336" w:rsidRPr="00A16336" w:rsidRDefault="00A16336" w:rsidP="00123E00">
      <w:pPr>
        <w:ind w:right="-476"/>
        <w:jc w:val="both"/>
        <w:rPr>
          <w:b/>
        </w:rPr>
      </w:pPr>
      <w:r w:rsidRPr="00A16336">
        <w:rPr>
          <w:b/>
        </w:rPr>
        <w:t>Stage 1</w:t>
      </w:r>
      <w:r w:rsidR="0096582A">
        <w:rPr>
          <w:b/>
        </w:rPr>
        <w:t xml:space="preserve"> – issuing a warning</w:t>
      </w:r>
    </w:p>
    <w:p w14:paraId="5ED6175B" w14:textId="77777777" w:rsidR="00A16336" w:rsidRDefault="00A16336" w:rsidP="00123E00">
      <w:pPr>
        <w:ind w:right="-476"/>
        <w:jc w:val="both"/>
      </w:pPr>
    </w:p>
    <w:p w14:paraId="564AE5E8" w14:textId="69D2D49B" w:rsidR="00A16336" w:rsidRDefault="00A16336" w:rsidP="00123E00">
      <w:pPr>
        <w:ind w:right="-476"/>
        <w:jc w:val="both"/>
      </w:pPr>
      <w:r>
        <w:t>If staff consider that the behaviour of a complainant falls within the scope of this policy they should notify the</w:t>
      </w:r>
      <w:r w:rsidR="00517644">
        <w:t xml:space="preserve"> Head </w:t>
      </w:r>
      <w:r>
        <w:t xml:space="preserve">of the service </w:t>
      </w:r>
      <w:r w:rsidR="00C85F70">
        <w:t xml:space="preserve">associated with the complaint, describing and providing sufficient examples of the behaviour concerned, why it is considered to be unreasonable and </w:t>
      </w:r>
      <w:r>
        <w:t xml:space="preserve">why they consider that the policy should be invoked. </w:t>
      </w:r>
      <w:r w:rsidR="00C85F70">
        <w:t xml:space="preserve">Emails and correspondence may be provided to the </w:t>
      </w:r>
      <w:r w:rsidR="008F016A">
        <w:t>Head of the service</w:t>
      </w:r>
      <w:r w:rsidR="00C85F70">
        <w:t xml:space="preserve"> as further evidence. </w:t>
      </w:r>
    </w:p>
    <w:p w14:paraId="1262EC0C" w14:textId="77777777" w:rsidR="00A16336" w:rsidRDefault="00A16336" w:rsidP="00123E00">
      <w:pPr>
        <w:ind w:right="-476"/>
        <w:jc w:val="both"/>
      </w:pPr>
    </w:p>
    <w:p w14:paraId="78063803" w14:textId="13F2A095" w:rsidR="00A16336" w:rsidRDefault="008D0A9E" w:rsidP="00123E00">
      <w:pPr>
        <w:jc w:val="both"/>
        <w:rPr>
          <w:szCs w:val="24"/>
        </w:rPr>
      </w:pPr>
      <w:r>
        <w:t>The</w:t>
      </w:r>
      <w:r w:rsidR="00517644">
        <w:t xml:space="preserve"> Head </w:t>
      </w:r>
      <w:r w:rsidR="00A16336">
        <w:t xml:space="preserve">of the service associated with the complaint </w:t>
      </w:r>
      <w:r>
        <w:t xml:space="preserve">will then consult with the </w:t>
      </w:r>
      <w:r w:rsidR="00A16336">
        <w:rPr>
          <w:szCs w:val="24"/>
        </w:rPr>
        <w:t>Monitoring Officer</w:t>
      </w:r>
      <w:r>
        <w:rPr>
          <w:szCs w:val="24"/>
        </w:rPr>
        <w:t xml:space="preserve"> of GMCA before deciding whether to issue a written </w:t>
      </w:r>
      <w:r w:rsidR="00A16336">
        <w:rPr>
          <w:szCs w:val="24"/>
        </w:rPr>
        <w:t xml:space="preserve">warning to the complainant. </w:t>
      </w:r>
      <w:r>
        <w:rPr>
          <w:szCs w:val="24"/>
        </w:rPr>
        <w:t xml:space="preserve">Any written warning that is issued must </w:t>
      </w:r>
      <w:r w:rsidR="00A16336">
        <w:rPr>
          <w:szCs w:val="24"/>
        </w:rPr>
        <w:t xml:space="preserve">explain why </w:t>
      </w:r>
      <w:r>
        <w:rPr>
          <w:szCs w:val="24"/>
        </w:rPr>
        <w:t>the complainant’s</w:t>
      </w:r>
      <w:r w:rsidR="00A16336">
        <w:rPr>
          <w:szCs w:val="24"/>
        </w:rPr>
        <w:t xml:space="preserve"> behaviour is </w:t>
      </w:r>
      <w:r>
        <w:rPr>
          <w:szCs w:val="24"/>
        </w:rPr>
        <w:t>considered to be unreasonable and will</w:t>
      </w:r>
      <w:r w:rsidR="00A16336">
        <w:rPr>
          <w:szCs w:val="24"/>
        </w:rPr>
        <w:t xml:space="preserve"> request that he/she change this behaviour. The complainant should </w:t>
      </w:r>
      <w:r>
        <w:rPr>
          <w:szCs w:val="24"/>
        </w:rPr>
        <w:t xml:space="preserve">also </w:t>
      </w:r>
      <w:r w:rsidR="00A16336">
        <w:rPr>
          <w:szCs w:val="24"/>
        </w:rPr>
        <w:t xml:space="preserve">be warned </w:t>
      </w:r>
      <w:r>
        <w:rPr>
          <w:szCs w:val="24"/>
        </w:rPr>
        <w:t xml:space="preserve">that this policy will be invoked should the unreasonable behaviour continue. </w:t>
      </w:r>
      <w:r w:rsidR="00A16336">
        <w:rPr>
          <w:szCs w:val="24"/>
        </w:rPr>
        <w:t xml:space="preserve"> </w:t>
      </w:r>
      <w:r w:rsidR="00C85F70">
        <w:rPr>
          <w:szCs w:val="24"/>
        </w:rPr>
        <w:t xml:space="preserve">A copy of this policy should be included with the written warning. </w:t>
      </w:r>
    </w:p>
    <w:p w14:paraId="219FB903" w14:textId="77777777" w:rsidR="00A16336" w:rsidRDefault="00A16336" w:rsidP="00123E00">
      <w:pPr>
        <w:jc w:val="both"/>
        <w:rPr>
          <w:szCs w:val="24"/>
        </w:rPr>
      </w:pPr>
      <w:r>
        <w:rPr>
          <w:szCs w:val="24"/>
        </w:rPr>
        <w:tab/>
      </w:r>
    </w:p>
    <w:p w14:paraId="07896D8D" w14:textId="553C2352" w:rsidR="00A16336" w:rsidRDefault="00A16336" w:rsidP="00123E00">
      <w:pPr>
        <w:jc w:val="both"/>
        <w:rPr>
          <w:szCs w:val="24"/>
        </w:rPr>
      </w:pPr>
      <w:r>
        <w:rPr>
          <w:szCs w:val="24"/>
        </w:rPr>
        <w:t xml:space="preserve">If the behaviour </w:t>
      </w:r>
      <w:r w:rsidR="006C3299">
        <w:rPr>
          <w:szCs w:val="24"/>
        </w:rPr>
        <w:t xml:space="preserve">of the complainant </w:t>
      </w:r>
      <w:r>
        <w:rPr>
          <w:szCs w:val="24"/>
        </w:rPr>
        <w:t xml:space="preserve">is so extreme or it threatens the immediate safety and </w:t>
      </w:r>
      <w:r w:rsidR="006C3299">
        <w:rPr>
          <w:szCs w:val="24"/>
        </w:rPr>
        <w:t xml:space="preserve">welfare of staff the </w:t>
      </w:r>
      <w:r w:rsidR="00517644">
        <w:rPr>
          <w:szCs w:val="24"/>
        </w:rPr>
        <w:t>Head</w:t>
      </w:r>
      <w:r w:rsidR="006C3299">
        <w:rPr>
          <w:szCs w:val="24"/>
        </w:rPr>
        <w:t xml:space="preserve"> of the service associated with the complaint may proceed directly to Stage 2 without issuing a written warning. Alternatively GMCA may consider other options </w:t>
      </w:r>
      <w:r>
        <w:rPr>
          <w:szCs w:val="24"/>
        </w:rPr>
        <w:t>including poli</w:t>
      </w:r>
      <w:r w:rsidR="006C3299">
        <w:rPr>
          <w:szCs w:val="24"/>
        </w:rPr>
        <w:t>ce involvement or legal action and i</w:t>
      </w:r>
      <w:r>
        <w:rPr>
          <w:szCs w:val="24"/>
        </w:rPr>
        <w:t xml:space="preserve">n such cases </w:t>
      </w:r>
      <w:r w:rsidR="008D0A9E">
        <w:rPr>
          <w:szCs w:val="24"/>
        </w:rPr>
        <w:t xml:space="preserve">GMCA does not need to issue a </w:t>
      </w:r>
      <w:r w:rsidR="006C3299">
        <w:rPr>
          <w:szCs w:val="24"/>
        </w:rPr>
        <w:t xml:space="preserve">written warning to the complainant. </w:t>
      </w:r>
    </w:p>
    <w:p w14:paraId="3E3C7C4F" w14:textId="77777777" w:rsidR="00A16336" w:rsidRDefault="00A16336" w:rsidP="00123E00">
      <w:pPr>
        <w:ind w:right="-476"/>
        <w:jc w:val="both"/>
      </w:pPr>
    </w:p>
    <w:p w14:paraId="3179C47B" w14:textId="77777777" w:rsidR="00A16336" w:rsidRPr="006C3299" w:rsidRDefault="0096582A" w:rsidP="00123E00">
      <w:pPr>
        <w:ind w:right="-476"/>
        <w:jc w:val="both"/>
        <w:rPr>
          <w:b/>
        </w:rPr>
      </w:pPr>
      <w:r w:rsidRPr="006C3299">
        <w:rPr>
          <w:b/>
        </w:rPr>
        <w:t xml:space="preserve">Stage 2 </w:t>
      </w:r>
      <w:r w:rsidR="006C3299">
        <w:rPr>
          <w:b/>
        </w:rPr>
        <w:t xml:space="preserve">– taking action </w:t>
      </w:r>
    </w:p>
    <w:p w14:paraId="27737E19" w14:textId="77777777" w:rsidR="00A16336" w:rsidRDefault="00A16336" w:rsidP="00123E00">
      <w:pPr>
        <w:ind w:right="-476"/>
        <w:jc w:val="both"/>
      </w:pPr>
      <w:r>
        <w:tab/>
      </w:r>
    </w:p>
    <w:p w14:paraId="14B94FA3" w14:textId="2152B873" w:rsidR="00A16336" w:rsidRDefault="006C3299" w:rsidP="00123E00">
      <w:pPr>
        <w:ind w:right="-476"/>
        <w:jc w:val="both"/>
      </w:pPr>
      <w:r>
        <w:lastRenderedPageBreak/>
        <w:t xml:space="preserve">If a complainant continues to behave unreasonably following receipt of a written warning, the </w:t>
      </w:r>
      <w:r w:rsidR="00517644">
        <w:t>Head</w:t>
      </w:r>
      <w:r>
        <w:t xml:space="preserve"> of the service area associated with the complaint, in consultation with the </w:t>
      </w:r>
      <w:r>
        <w:rPr>
          <w:szCs w:val="24"/>
        </w:rPr>
        <w:t xml:space="preserve">Monitoring Officer of GMCA, will decide what action to take to manage the unreasonable behaviour. </w:t>
      </w:r>
    </w:p>
    <w:p w14:paraId="2430EFCA" w14:textId="77777777" w:rsidR="003E51C1" w:rsidRDefault="003E51C1" w:rsidP="00316969">
      <w:pPr>
        <w:ind w:right="-476"/>
      </w:pPr>
    </w:p>
    <w:p w14:paraId="046BEE7B" w14:textId="77777777" w:rsidR="0084784A" w:rsidRDefault="006C3299" w:rsidP="00123E00">
      <w:pPr>
        <w:ind w:right="-476"/>
        <w:jc w:val="both"/>
      </w:pPr>
      <w:r>
        <w:t>Any action</w:t>
      </w:r>
      <w:r w:rsidR="003E51C1">
        <w:t xml:space="preserve"> taken should be proportionate to the nature and frequency of the complainant’s current contacts. The following options may be suitable, taking the complainant’s behaviour </w:t>
      </w:r>
      <w:r>
        <w:t xml:space="preserve">and circumstances into account: </w:t>
      </w:r>
    </w:p>
    <w:p w14:paraId="3BA88CD9" w14:textId="77777777" w:rsidR="00316969" w:rsidRPr="00CF64F0" w:rsidRDefault="00316969" w:rsidP="00123E00">
      <w:pPr>
        <w:jc w:val="both"/>
        <w:rPr>
          <w:sz w:val="16"/>
          <w:szCs w:val="16"/>
        </w:rPr>
      </w:pPr>
    </w:p>
    <w:p w14:paraId="4C302218" w14:textId="77777777" w:rsidR="009D2A98" w:rsidRDefault="009D2A98"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 xml:space="preserve">Placing limits on the number and </w:t>
      </w:r>
      <w:r w:rsidR="00E42241">
        <w:rPr>
          <w:szCs w:val="24"/>
        </w:rPr>
        <w:t>duration</w:t>
      </w:r>
      <w:r w:rsidR="0044384A">
        <w:rPr>
          <w:szCs w:val="24"/>
        </w:rPr>
        <w:t xml:space="preserve"> of contacts with staff</w:t>
      </w:r>
      <w:r w:rsidR="00E42241">
        <w:rPr>
          <w:szCs w:val="24"/>
        </w:rPr>
        <w:t xml:space="preserve"> </w:t>
      </w:r>
      <w:r>
        <w:rPr>
          <w:szCs w:val="24"/>
        </w:rPr>
        <w:t xml:space="preserve">per week or month; </w:t>
      </w:r>
    </w:p>
    <w:p w14:paraId="6D98D493" w14:textId="77777777" w:rsidR="009D2A98" w:rsidRDefault="009D2A98"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 xml:space="preserve">Offering a restricted time slot for necessary calls; </w:t>
      </w:r>
    </w:p>
    <w:p w14:paraId="1B1FEDC9" w14:textId="77777777" w:rsidR="009D2A98" w:rsidRDefault="009D2A98"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9D2A98">
        <w:rPr>
          <w:szCs w:val="24"/>
        </w:rPr>
        <w:t xml:space="preserve">Limiting the complainant to one medium of contact (for example telephone, letter, email </w:t>
      </w:r>
      <w:r w:rsidR="00E42241" w:rsidRPr="009D2A98">
        <w:rPr>
          <w:szCs w:val="24"/>
        </w:rPr>
        <w:t>etc.</w:t>
      </w:r>
      <w:r w:rsidRPr="009D2A98">
        <w:rPr>
          <w:szCs w:val="24"/>
        </w:rPr>
        <w:t xml:space="preserve">); </w:t>
      </w:r>
    </w:p>
    <w:p w14:paraId="32F1FE87" w14:textId="77777777" w:rsidR="00E42241" w:rsidRDefault="009D2A98"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R</w:t>
      </w:r>
      <w:r w:rsidR="00316969" w:rsidRPr="009D2A98">
        <w:rPr>
          <w:szCs w:val="24"/>
        </w:rPr>
        <w:t xml:space="preserve">equiring </w:t>
      </w:r>
      <w:r>
        <w:rPr>
          <w:szCs w:val="24"/>
        </w:rPr>
        <w:t>the complain</w:t>
      </w:r>
      <w:r w:rsidR="0044384A">
        <w:rPr>
          <w:szCs w:val="24"/>
        </w:rPr>
        <w:t>ant</w:t>
      </w:r>
      <w:r>
        <w:rPr>
          <w:szCs w:val="24"/>
        </w:rPr>
        <w:t xml:space="preserve"> to communicate only with a named member of staff; </w:t>
      </w:r>
    </w:p>
    <w:p w14:paraId="08BE57F7" w14:textId="77777777" w:rsidR="006A5091" w:rsidRDefault="00E42241"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 xml:space="preserve">Requiring any personal contacts to take place in the presence of a witness and in a suitable location; </w:t>
      </w:r>
    </w:p>
    <w:p w14:paraId="094146D2" w14:textId="77777777" w:rsidR="00316969" w:rsidRDefault="006A5091"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 xml:space="preserve">Requiring the complainant to enter into an agreement about their future behaviour before their case proceeds; </w:t>
      </w:r>
    </w:p>
    <w:p w14:paraId="2846A096" w14:textId="77777777" w:rsidR="00E8374F" w:rsidRPr="009D2A98" w:rsidRDefault="00E8374F" w:rsidP="00123E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 xml:space="preserve">Where a decision on the complaint has been made, telling the complainant that future correspondence will be read by a designated person and placed on file but not acknowledged, unless it contains material new information. </w:t>
      </w:r>
    </w:p>
    <w:p w14:paraId="388B5A1B" w14:textId="77777777" w:rsidR="00316969" w:rsidRPr="00CF64F0" w:rsidRDefault="00316969" w:rsidP="00123E00">
      <w:pPr>
        <w:jc w:val="both"/>
      </w:pPr>
    </w:p>
    <w:p w14:paraId="550C9FD0" w14:textId="77777777" w:rsidR="00E8374F" w:rsidRDefault="00E8374F" w:rsidP="00123E00">
      <w:pPr>
        <w:jc w:val="both"/>
        <w:rPr>
          <w:szCs w:val="24"/>
        </w:rPr>
      </w:pPr>
      <w:r>
        <w:rPr>
          <w:szCs w:val="24"/>
        </w:rPr>
        <w:t xml:space="preserve">The above list is not exhaustive. </w:t>
      </w:r>
      <w:r w:rsidR="006A5091">
        <w:rPr>
          <w:szCs w:val="24"/>
        </w:rPr>
        <w:t xml:space="preserve">Other suitable options may also be considered in light of the complainant’s circumstances. </w:t>
      </w:r>
    </w:p>
    <w:p w14:paraId="605BDEE1" w14:textId="77777777" w:rsidR="00E8374F" w:rsidRDefault="00E8374F" w:rsidP="00123E00">
      <w:pPr>
        <w:jc w:val="both"/>
        <w:rPr>
          <w:szCs w:val="24"/>
        </w:rPr>
      </w:pPr>
    </w:p>
    <w:p w14:paraId="3F82424B" w14:textId="3C183122" w:rsidR="00DE12A1" w:rsidRDefault="00DE12A1" w:rsidP="00123E00">
      <w:pPr>
        <w:jc w:val="both"/>
      </w:pPr>
      <w:r>
        <w:rPr>
          <w:szCs w:val="24"/>
        </w:rPr>
        <w:t xml:space="preserve">If a decision has been made to </w:t>
      </w:r>
      <w:r w:rsidR="00E8374F">
        <w:rPr>
          <w:szCs w:val="24"/>
        </w:rPr>
        <w:t>apply restrictions to the complainant’s contact with GMCA staff</w:t>
      </w:r>
      <w:r>
        <w:rPr>
          <w:szCs w:val="24"/>
        </w:rPr>
        <w:t xml:space="preserve">, </w:t>
      </w:r>
      <w:r w:rsidR="00E8374F">
        <w:t xml:space="preserve">the </w:t>
      </w:r>
      <w:r w:rsidR="008F016A">
        <w:t>H</w:t>
      </w:r>
      <w:r w:rsidR="00517644">
        <w:t>ead</w:t>
      </w:r>
      <w:r w:rsidR="00E8374F">
        <w:t xml:space="preserve"> of the service area associated with the complaint</w:t>
      </w:r>
      <w:r w:rsidR="00E8374F">
        <w:rPr>
          <w:szCs w:val="24"/>
        </w:rPr>
        <w:t xml:space="preserve"> </w:t>
      </w:r>
      <w:r>
        <w:rPr>
          <w:szCs w:val="24"/>
        </w:rPr>
        <w:t xml:space="preserve">will write to the complainant </w:t>
      </w:r>
      <w:r w:rsidR="00E8374F">
        <w:rPr>
          <w:szCs w:val="24"/>
        </w:rPr>
        <w:t xml:space="preserve">to explain </w:t>
      </w:r>
      <w:r>
        <w:rPr>
          <w:szCs w:val="24"/>
        </w:rPr>
        <w:t>why the decision has been taken, what i</w:t>
      </w:r>
      <w:r w:rsidR="00E8374F">
        <w:rPr>
          <w:szCs w:val="24"/>
        </w:rPr>
        <w:t xml:space="preserve">t means for </w:t>
      </w:r>
      <w:r w:rsidR="00E8374F">
        <w:rPr>
          <w:szCs w:val="24"/>
        </w:rPr>
        <w:lastRenderedPageBreak/>
        <w:t xml:space="preserve">his or her contact </w:t>
      </w:r>
      <w:r>
        <w:rPr>
          <w:szCs w:val="24"/>
        </w:rPr>
        <w:t xml:space="preserve">with </w:t>
      </w:r>
      <w:r w:rsidR="00E8374F">
        <w:rPr>
          <w:szCs w:val="24"/>
        </w:rPr>
        <w:t>GMCA</w:t>
      </w:r>
      <w:r>
        <w:rPr>
          <w:szCs w:val="24"/>
        </w:rPr>
        <w:t>, how long any restrictions will last</w:t>
      </w:r>
      <w:r w:rsidR="00E8374F">
        <w:rPr>
          <w:szCs w:val="24"/>
        </w:rPr>
        <w:t xml:space="preserve"> and/or when they will be reviewed</w:t>
      </w:r>
      <w:r w:rsidR="00C85F70">
        <w:rPr>
          <w:szCs w:val="24"/>
        </w:rPr>
        <w:t xml:space="preserve">, </w:t>
      </w:r>
      <w:r>
        <w:rPr>
          <w:szCs w:val="24"/>
        </w:rPr>
        <w:t>and the right of the complainant to refer the matter to the Local Government and Social Care Ombudsman</w:t>
      </w:r>
      <w:r w:rsidR="00E8374F">
        <w:rPr>
          <w:szCs w:val="24"/>
        </w:rPr>
        <w:t xml:space="preserve">. </w:t>
      </w:r>
    </w:p>
    <w:p w14:paraId="033607F3" w14:textId="77777777" w:rsidR="00DE12A1" w:rsidRDefault="00DE12A1" w:rsidP="00123E00">
      <w:pPr>
        <w:jc w:val="both"/>
      </w:pPr>
    </w:p>
    <w:p w14:paraId="4ADB9A71" w14:textId="77777777" w:rsidR="00316969" w:rsidRDefault="00316969" w:rsidP="00123E00">
      <w:pPr>
        <w:jc w:val="both"/>
      </w:pPr>
      <w:r w:rsidRPr="00CF64F0">
        <w:t xml:space="preserve">If, in addition to any regulation of access, a decision is taken not to pursue the complaint under the Complaints Policy, this must also be put in writing to the complainant along with the reasons for the decision.  </w:t>
      </w:r>
    </w:p>
    <w:p w14:paraId="65C0BE7D" w14:textId="77777777" w:rsidR="00E8374F" w:rsidRPr="00CF64F0" w:rsidRDefault="00E8374F" w:rsidP="00123E00">
      <w:pPr>
        <w:jc w:val="both"/>
      </w:pPr>
    </w:p>
    <w:p w14:paraId="2E589F4C" w14:textId="77777777" w:rsidR="00316969" w:rsidRPr="00E8374F" w:rsidRDefault="00316969" w:rsidP="00123E00">
      <w:pPr>
        <w:jc w:val="both"/>
      </w:pPr>
      <w:r w:rsidRPr="00CF64F0">
        <w:t xml:space="preserve">New complaints from </w:t>
      </w:r>
      <w:r w:rsidR="00E8374F">
        <w:t>individuals</w:t>
      </w:r>
      <w:r w:rsidRPr="00CF64F0">
        <w:t xml:space="preserve"> who have </w:t>
      </w:r>
      <w:r w:rsidR="00E8374F">
        <w:t xml:space="preserve">are subject to action under this policy </w:t>
      </w:r>
      <w:r w:rsidRPr="00CF64F0">
        <w:t xml:space="preserve">will be treated on their merits.  </w:t>
      </w:r>
    </w:p>
    <w:p w14:paraId="18E3F0F1" w14:textId="77777777" w:rsidR="006562E4" w:rsidRDefault="006562E4" w:rsidP="00123E00">
      <w:pPr>
        <w:pStyle w:val="Heading2"/>
        <w:spacing w:before="0" w:after="0"/>
        <w:jc w:val="both"/>
      </w:pPr>
      <w:bookmarkStart w:id="6" w:name="_8.4__Informing"/>
      <w:bookmarkStart w:id="7" w:name="_8.5_Further_Action"/>
      <w:bookmarkEnd w:id="6"/>
      <w:bookmarkEnd w:id="7"/>
    </w:p>
    <w:p w14:paraId="7B9F0837" w14:textId="77777777" w:rsidR="00316969" w:rsidRPr="00CF64F0" w:rsidRDefault="00316969" w:rsidP="00123E00">
      <w:pPr>
        <w:pStyle w:val="Heading2"/>
        <w:numPr>
          <w:ilvl w:val="0"/>
          <w:numId w:val="11"/>
        </w:numPr>
        <w:spacing w:before="0" w:after="0"/>
        <w:jc w:val="both"/>
      </w:pPr>
      <w:bookmarkStart w:id="8" w:name="_Toc454871979"/>
      <w:r w:rsidRPr="00E8374F">
        <w:t>Further action</w:t>
      </w:r>
      <w:bookmarkEnd w:id="8"/>
    </w:p>
    <w:p w14:paraId="1F0B2ECD" w14:textId="77777777" w:rsidR="00316969" w:rsidRPr="00CF64F0" w:rsidRDefault="00316969" w:rsidP="00123E00">
      <w:pPr>
        <w:jc w:val="both"/>
      </w:pPr>
    </w:p>
    <w:p w14:paraId="0B0F3C07" w14:textId="77777777" w:rsidR="008F298D" w:rsidRDefault="00316969" w:rsidP="00123E00">
      <w:pPr>
        <w:jc w:val="both"/>
      </w:pPr>
      <w:r w:rsidRPr="00CF64F0">
        <w:t xml:space="preserve">If </w:t>
      </w:r>
      <w:r w:rsidR="00DE12A1">
        <w:t xml:space="preserve">the </w:t>
      </w:r>
      <w:r w:rsidRPr="00CF64F0">
        <w:t xml:space="preserve">complainant fails to adhere to </w:t>
      </w:r>
      <w:r w:rsidR="00C85F70">
        <w:t>any</w:t>
      </w:r>
      <w:r w:rsidRPr="00CF64F0">
        <w:t xml:space="preserve"> conditions regulating his/ her contact with </w:t>
      </w:r>
      <w:r w:rsidR="00E8374F">
        <w:t>GMCA</w:t>
      </w:r>
      <w:r w:rsidR="00C85F70">
        <w:t xml:space="preserve"> and/</w:t>
      </w:r>
      <w:r w:rsidRPr="00CF64F0">
        <w:t xml:space="preserve">or uses or threatens violence against </w:t>
      </w:r>
      <w:r w:rsidR="00DE12A1">
        <w:t>staff</w:t>
      </w:r>
      <w:r w:rsidRPr="00CF64F0">
        <w:t xml:space="preserve">, then the matter should be referred to </w:t>
      </w:r>
      <w:r>
        <w:t xml:space="preserve">the </w:t>
      </w:r>
      <w:r w:rsidR="00E8374F">
        <w:t xml:space="preserve">GMCA </w:t>
      </w:r>
      <w:r>
        <w:t>Monitoring Officer</w:t>
      </w:r>
      <w:r w:rsidR="00E8374F">
        <w:t xml:space="preserve"> for advice as to</w:t>
      </w:r>
      <w:r w:rsidRPr="00CF64F0">
        <w:t xml:space="preserve"> the most appropriate and proportionate action</w:t>
      </w:r>
      <w:r w:rsidR="00C85F70">
        <w:t xml:space="preserve"> to be taken</w:t>
      </w:r>
      <w:r w:rsidRPr="00CF64F0">
        <w:t xml:space="preserve">, which may include </w:t>
      </w:r>
      <w:r w:rsidR="00E8374F">
        <w:t xml:space="preserve">civil or criminal </w:t>
      </w:r>
      <w:r w:rsidRPr="00CF64F0">
        <w:t xml:space="preserve">legal proceedings (e.g. ASBO and/ </w:t>
      </w:r>
      <w:r>
        <w:t xml:space="preserve">or injunction proceedings).  </w:t>
      </w:r>
    </w:p>
    <w:sectPr w:rsidR="008F298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D230" w14:textId="77777777" w:rsidR="00A946C1" w:rsidRDefault="00A946C1" w:rsidP="00A946C1">
      <w:r>
        <w:separator/>
      </w:r>
    </w:p>
  </w:endnote>
  <w:endnote w:type="continuationSeparator" w:id="0">
    <w:p w14:paraId="4E499F0E" w14:textId="77777777" w:rsidR="00A946C1" w:rsidRDefault="00A946C1" w:rsidP="00A9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F290" w14:textId="6A033EDE" w:rsidR="00C73F4B" w:rsidRPr="00C73F4B" w:rsidRDefault="00C73F4B" w:rsidP="00C73F4B">
    <w:pPr>
      <w:tabs>
        <w:tab w:val="left" w:pos="8130"/>
        <w:tab w:val="right" w:pos="9765"/>
      </w:tabs>
      <w:spacing w:line="259" w:lineRule="auto"/>
      <w:ind w:right="111"/>
      <w:rPr>
        <w:rFonts w:ascii="Calibri" w:eastAsia="Calibri" w:hAnsi="Calibri" w:cs="Calibri"/>
        <w:color w:val="000000"/>
        <w:sz w:val="22"/>
        <w:szCs w:val="22"/>
        <w:lang w:val="en-US" w:eastAsia="en-US"/>
      </w:rPr>
    </w:pPr>
    <w:r w:rsidRPr="00C73F4B">
      <w:rPr>
        <w:rFonts w:ascii="Calibri" w:eastAsia="Calibri" w:hAnsi="Calibri" w:cs="Calibri"/>
        <w:color w:val="000000"/>
        <w:sz w:val="22"/>
        <w:szCs w:val="22"/>
        <w:lang w:val="en-US" w:eastAsia="en-US"/>
      </w:rPr>
      <w:tab/>
    </w:r>
    <w:r w:rsidRPr="00C73F4B">
      <w:rPr>
        <w:rFonts w:ascii="Calibri" w:eastAsia="Calibri" w:hAnsi="Calibri" w:cs="Calibri"/>
        <w:color w:val="000000"/>
        <w:sz w:val="22"/>
        <w:szCs w:val="22"/>
        <w:lang w:val="en-US" w:eastAsia="en-US"/>
      </w:rPr>
      <w:tab/>
    </w:r>
    <w:r w:rsidRPr="00C73F4B">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76813B9F" wp14:editId="56D93660">
              <wp:simplePos x="0" y="0"/>
              <wp:positionH relativeFrom="page">
                <wp:posOffset>640080</wp:posOffset>
              </wp:positionH>
              <wp:positionV relativeFrom="page">
                <wp:posOffset>10173919</wp:posOffset>
              </wp:positionV>
              <wp:extent cx="6274308" cy="6096"/>
              <wp:effectExtent l="0" t="0" r="0" b="0"/>
              <wp:wrapSquare wrapText="bothSides"/>
              <wp:docPr id="5468" name="Group 5468"/>
              <wp:cNvGraphicFramePr/>
              <a:graphic xmlns:a="http://schemas.openxmlformats.org/drawingml/2006/main">
                <a:graphicData uri="http://schemas.microsoft.com/office/word/2010/wordprocessingGroup">
                  <wpg:wgp>
                    <wpg:cNvGrpSpPr/>
                    <wpg:grpSpPr>
                      <a:xfrm>
                        <a:off x="0" y="0"/>
                        <a:ext cx="6274308" cy="6096"/>
                        <a:chOff x="0" y="0"/>
                        <a:chExt cx="6274308" cy="6096"/>
                      </a:xfrm>
                    </wpg:grpSpPr>
                    <wps:wsp>
                      <wps:cNvPr id="5940" name="Shape 5940"/>
                      <wps:cNvSpPr/>
                      <wps:spPr>
                        <a:xfrm>
                          <a:off x="0" y="0"/>
                          <a:ext cx="6274308" cy="9144"/>
                        </a:xfrm>
                        <a:custGeom>
                          <a:avLst/>
                          <a:gdLst/>
                          <a:ahLst/>
                          <a:cxnLst/>
                          <a:rect l="0" t="0" r="0" b="0"/>
                          <a:pathLst>
                            <a:path w="6274308" h="9144">
                              <a:moveTo>
                                <a:pt x="0" y="0"/>
                              </a:moveTo>
                              <a:lnTo>
                                <a:pt x="6274308" y="0"/>
                              </a:lnTo>
                              <a:lnTo>
                                <a:pt x="6274308"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FCDFDD1" id="Group 5468" o:spid="_x0000_s1026" style="position:absolute;margin-left:50.4pt;margin-top:801.1pt;width:494.05pt;height:.5pt;z-index:251659264;mso-position-horizontal-relative:page;mso-position-vertical-relative:page" coordsize="62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">
              <v:shape id="Shape 5940" o:spid="_x0000_s1027" style="position:absolute;width:62743;height:91;visibility:visible;mso-wrap-style:square;v-text-anchor:top" coordsize="62743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qMMA&#10;AADdAAAADwAAAGRycy9kb3ducmV2LnhtbERPz2vCMBS+C/4P4Q1207RlDu2M0gqD7SRzitdn89Z0&#10;bV5Kk2n33y8HYceP7/d6O9pOXGnwjWMF6TwBQVw53XCt4Pj5OluC8AFZY+eYFPySh+1mOlljrt2N&#10;P+h6CLWIIexzVGBC6HMpfWXIop+7njhyX26wGCIcaqkHvMVw28ksSZ6lxYZjg8Gedoaq9vBjFejL&#10;Kdu/F66sdZstz9+p6ReXUqnHh7F4ARFoDP/iu/tNK1isnuL++CY+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mqMMAAADdAAAADwAAAAAAAAAAAAAAAACYAgAAZHJzL2Rv&#10;d25yZXYueG1sUEsFBgAAAAAEAAQA9QAAAIgDAAAAAA==&#10;" path="m,l6274308,r,9144l,9144,,e" fillcolor="#d9d9d9" stroked="f" strokeweight="0">
                <v:stroke miterlimit="83231f" joinstyle="miter"/>
                <v:path arrowok="t" textboxrect="0,0,6274308,9144"/>
              </v:shape>
              <w10:wrap type="square" anchorx="page" anchory="page"/>
            </v:group>
          </w:pict>
        </mc:Fallback>
      </mc:AlternateContent>
    </w:r>
    <w:r w:rsidRPr="00C73F4B">
      <w:rPr>
        <w:rFonts w:ascii="Calibri" w:eastAsia="Calibri" w:hAnsi="Calibri" w:cs="Calibri"/>
        <w:color w:val="000000"/>
        <w:sz w:val="22"/>
        <w:szCs w:val="22"/>
        <w:lang w:val="en-US" w:eastAsia="en-US"/>
      </w:rPr>
      <w:fldChar w:fldCharType="begin"/>
    </w:r>
    <w:r w:rsidRPr="00C73F4B">
      <w:rPr>
        <w:rFonts w:ascii="Calibri" w:eastAsia="Calibri" w:hAnsi="Calibri" w:cs="Calibri"/>
        <w:color w:val="000000"/>
        <w:sz w:val="22"/>
        <w:szCs w:val="22"/>
        <w:lang w:val="en-US" w:eastAsia="en-US"/>
      </w:rPr>
      <w:instrText xml:space="preserve"> PAGE   \* MERGEFORMAT </w:instrText>
    </w:r>
    <w:r w:rsidRPr="00C73F4B">
      <w:rPr>
        <w:rFonts w:ascii="Calibri" w:eastAsia="Calibri" w:hAnsi="Calibri" w:cs="Calibri"/>
        <w:color w:val="000000"/>
        <w:sz w:val="22"/>
        <w:szCs w:val="22"/>
        <w:lang w:val="en-US" w:eastAsia="en-US"/>
      </w:rPr>
      <w:fldChar w:fldCharType="separate"/>
    </w:r>
    <w:r w:rsidR="006C582A" w:rsidRPr="006C582A">
      <w:rPr>
        <w:rFonts w:eastAsia="Arial"/>
        <w:noProof/>
        <w:color w:val="000000"/>
        <w:sz w:val="22"/>
        <w:szCs w:val="22"/>
        <w:lang w:val="en-US" w:eastAsia="en-US"/>
      </w:rPr>
      <w:t>5</w:t>
    </w:r>
    <w:r w:rsidRPr="00C73F4B">
      <w:rPr>
        <w:rFonts w:eastAsia="Arial"/>
        <w:color w:val="000000"/>
        <w:sz w:val="22"/>
        <w:szCs w:val="22"/>
        <w:lang w:val="en-US" w:eastAsia="en-US"/>
      </w:rPr>
      <w:fldChar w:fldCharType="end"/>
    </w:r>
    <w:r w:rsidRPr="00C73F4B">
      <w:rPr>
        <w:rFonts w:eastAsia="Arial"/>
        <w:color w:val="000000"/>
        <w:sz w:val="22"/>
        <w:szCs w:val="22"/>
        <w:lang w:val="en-US" w:eastAsia="en-US"/>
      </w:rPr>
      <w:t xml:space="preserve"> | </w:t>
    </w:r>
    <w:r w:rsidRPr="00C73F4B">
      <w:rPr>
        <w:rFonts w:eastAsia="Arial"/>
        <w:color w:val="7F7F7F"/>
        <w:sz w:val="22"/>
        <w:szCs w:val="22"/>
        <w:lang w:val="en-US" w:eastAsia="en-US"/>
      </w:rPr>
      <w:t>P a g e</w:t>
    </w:r>
    <w:r w:rsidRPr="00C73F4B">
      <w:rPr>
        <w:rFonts w:eastAsia="Arial"/>
        <w:color w:val="000000"/>
        <w:sz w:val="22"/>
        <w:szCs w:val="22"/>
        <w:lang w:val="en-US" w:eastAsia="en-US"/>
      </w:rPr>
      <w:t xml:space="preserve"> </w:t>
    </w:r>
  </w:p>
  <w:p w14:paraId="33692E7E" w14:textId="3424F806" w:rsidR="00A946C1" w:rsidRPr="00A946C1" w:rsidRDefault="00A946C1" w:rsidP="00A946C1">
    <w:pPr>
      <w:pStyle w:val="Footer"/>
      <w:jc w:val="right"/>
      <w:rPr>
        <w:sz w:val="20"/>
      </w:rPr>
    </w:pPr>
    <w:r w:rsidRPr="00A946C1">
      <w:rPr>
        <w:sz w:val="20"/>
      </w:rPr>
      <w:t xml:space="preserve">Last updated </w:t>
    </w:r>
    <w:r w:rsidR="005A7EF3">
      <w:rPr>
        <w:sz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2607" w14:textId="77777777" w:rsidR="00A946C1" w:rsidRDefault="00A946C1" w:rsidP="00A946C1">
      <w:r>
        <w:separator/>
      </w:r>
    </w:p>
  </w:footnote>
  <w:footnote w:type="continuationSeparator" w:id="0">
    <w:p w14:paraId="5F5D2DFF" w14:textId="77777777" w:rsidR="00A946C1" w:rsidRDefault="00A946C1" w:rsidP="00A946C1">
      <w:r>
        <w:continuationSeparator/>
      </w:r>
    </w:p>
  </w:footnote>
  <w:footnote w:id="1">
    <w:p w14:paraId="6607F0BE" w14:textId="77777777" w:rsidR="00EF369B" w:rsidRDefault="00EF369B">
      <w:pPr>
        <w:pStyle w:val="FootnoteText"/>
      </w:pPr>
      <w:r>
        <w:rPr>
          <w:rStyle w:val="FootnoteReference"/>
        </w:rPr>
        <w:footnoteRef/>
      </w:r>
      <w:r>
        <w:t xml:space="preserve"> For the purposes of this policy the term ‘staff’ includes officers and members of GMCA.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9CD"/>
    <w:multiLevelType w:val="hybridMultilevel"/>
    <w:tmpl w:val="7DC6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58D7"/>
    <w:multiLevelType w:val="multilevel"/>
    <w:tmpl w:val="C79671D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2D0B9C"/>
    <w:multiLevelType w:val="hybridMultilevel"/>
    <w:tmpl w:val="1F54439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45D2E26"/>
    <w:multiLevelType w:val="multilevel"/>
    <w:tmpl w:val="C498B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62532A"/>
    <w:multiLevelType w:val="hybridMultilevel"/>
    <w:tmpl w:val="779C1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674E96"/>
    <w:multiLevelType w:val="hybridMultilevel"/>
    <w:tmpl w:val="4FC6D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C0891"/>
    <w:multiLevelType w:val="hybridMultilevel"/>
    <w:tmpl w:val="AD228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B66A3"/>
    <w:multiLevelType w:val="hybridMultilevel"/>
    <w:tmpl w:val="B17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E6AE1"/>
    <w:multiLevelType w:val="hybridMultilevel"/>
    <w:tmpl w:val="214C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DA6459"/>
    <w:multiLevelType w:val="hybridMultilevel"/>
    <w:tmpl w:val="DE166F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FF4150E"/>
    <w:multiLevelType w:val="multilevel"/>
    <w:tmpl w:val="C498B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2"/>
  </w:num>
  <w:num w:numId="4">
    <w:abstractNumId w:val="4"/>
  </w:num>
  <w:num w:numId="5">
    <w:abstractNumId w:val="5"/>
  </w:num>
  <w:num w:numId="6">
    <w:abstractNumId w:val="10"/>
  </w:num>
  <w:num w:numId="7">
    <w:abstractNumId w:val="3"/>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69"/>
    <w:rsid w:val="00123E00"/>
    <w:rsid w:val="001721F0"/>
    <w:rsid w:val="0020766F"/>
    <w:rsid w:val="0021073C"/>
    <w:rsid w:val="002141C6"/>
    <w:rsid w:val="002250AF"/>
    <w:rsid w:val="002261A5"/>
    <w:rsid w:val="002C0730"/>
    <w:rsid w:val="002D24FB"/>
    <w:rsid w:val="00304520"/>
    <w:rsid w:val="00316969"/>
    <w:rsid w:val="00330394"/>
    <w:rsid w:val="00391E43"/>
    <w:rsid w:val="003D553C"/>
    <w:rsid w:val="003E51C1"/>
    <w:rsid w:val="00425EB8"/>
    <w:rsid w:val="00437B68"/>
    <w:rsid w:val="0044384A"/>
    <w:rsid w:val="00480CD9"/>
    <w:rsid w:val="0049407B"/>
    <w:rsid w:val="004A1AB3"/>
    <w:rsid w:val="004A7EC3"/>
    <w:rsid w:val="00517644"/>
    <w:rsid w:val="005A7EF3"/>
    <w:rsid w:val="005F6C80"/>
    <w:rsid w:val="00606746"/>
    <w:rsid w:val="006562E4"/>
    <w:rsid w:val="006A5091"/>
    <w:rsid w:val="006B50FB"/>
    <w:rsid w:val="006C3299"/>
    <w:rsid w:val="006C582A"/>
    <w:rsid w:val="007631AC"/>
    <w:rsid w:val="007D3BE3"/>
    <w:rsid w:val="007F4544"/>
    <w:rsid w:val="00807087"/>
    <w:rsid w:val="0084784A"/>
    <w:rsid w:val="00894776"/>
    <w:rsid w:val="008B5A11"/>
    <w:rsid w:val="008D0A9E"/>
    <w:rsid w:val="008F016A"/>
    <w:rsid w:val="0096582A"/>
    <w:rsid w:val="009766A5"/>
    <w:rsid w:val="009D2A98"/>
    <w:rsid w:val="009E1866"/>
    <w:rsid w:val="00A16336"/>
    <w:rsid w:val="00A946C1"/>
    <w:rsid w:val="00BF6B66"/>
    <w:rsid w:val="00C73F4B"/>
    <w:rsid w:val="00C85F70"/>
    <w:rsid w:val="00CE7FA3"/>
    <w:rsid w:val="00D03DB1"/>
    <w:rsid w:val="00D2232C"/>
    <w:rsid w:val="00DB2085"/>
    <w:rsid w:val="00DE12A1"/>
    <w:rsid w:val="00E009B6"/>
    <w:rsid w:val="00E42241"/>
    <w:rsid w:val="00E8374F"/>
    <w:rsid w:val="00ED513B"/>
    <w:rsid w:val="00EF369B"/>
    <w:rsid w:val="00FC3754"/>
    <w:rsid w:val="00FC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94CA"/>
  <w15:chartTrackingRefBased/>
  <w15:docId w15:val="{9FFCD743-E595-4D81-BD0B-365B28E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69"/>
    <w:pPr>
      <w:spacing w:after="0" w:line="240" w:lineRule="auto"/>
    </w:pPr>
    <w:rPr>
      <w:rFonts w:ascii="Arial" w:eastAsia="Times New Roman" w:hAnsi="Arial" w:cs="Arial"/>
      <w:sz w:val="24"/>
      <w:szCs w:val="20"/>
      <w:lang w:val="en-GB" w:eastAsia="en-GB"/>
    </w:rPr>
  </w:style>
  <w:style w:type="paragraph" w:styleId="Heading1">
    <w:name w:val="heading 1"/>
    <w:basedOn w:val="Normal"/>
    <w:next w:val="Normal"/>
    <w:link w:val="Heading1Char"/>
    <w:qFormat/>
    <w:rsid w:val="00316969"/>
    <w:pPr>
      <w:keepNext/>
      <w:spacing w:before="120" w:after="120"/>
      <w:outlineLvl w:val="0"/>
    </w:pPr>
    <w:rPr>
      <w:b/>
      <w:bCs/>
      <w:kern w:val="32"/>
      <w:sz w:val="32"/>
      <w:szCs w:val="32"/>
    </w:rPr>
  </w:style>
  <w:style w:type="paragraph" w:styleId="Heading2">
    <w:name w:val="heading 2"/>
    <w:basedOn w:val="Normal"/>
    <w:next w:val="Normal"/>
    <w:link w:val="Heading2Char"/>
    <w:qFormat/>
    <w:rsid w:val="00316969"/>
    <w:pPr>
      <w:keepNext/>
      <w:spacing w:before="12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969"/>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316969"/>
    <w:rPr>
      <w:rFonts w:ascii="Arial" w:eastAsia="Times New Roman" w:hAnsi="Arial" w:cs="Arial"/>
      <w:b/>
      <w:bCs/>
      <w:sz w:val="24"/>
      <w:szCs w:val="20"/>
      <w:lang w:val="en-GB" w:eastAsia="en-GB"/>
    </w:rPr>
  </w:style>
  <w:style w:type="paragraph" w:styleId="Header">
    <w:name w:val="header"/>
    <w:basedOn w:val="Normal"/>
    <w:link w:val="HeaderChar"/>
    <w:rsid w:val="00316969"/>
    <w:pPr>
      <w:tabs>
        <w:tab w:val="center" w:pos="4153"/>
        <w:tab w:val="right" w:pos="8306"/>
      </w:tabs>
    </w:pPr>
  </w:style>
  <w:style w:type="character" w:customStyle="1" w:styleId="HeaderChar">
    <w:name w:val="Header Char"/>
    <w:basedOn w:val="DefaultParagraphFont"/>
    <w:link w:val="Header"/>
    <w:rsid w:val="00316969"/>
    <w:rPr>
      <w:rFonts w:ascii="Arial" w:eastAsia="Times New Roman" w:hAnsi="Arial" w:cs="Arial"/>
      <w:sz w:val="24"/>
      <w:szCs w:val="20"/>
      <w:lang w:val="en-GB" w:eastAsia="en-GB"/>
    </w:rPr>
  </w:style>
  <w:style w:type="character" w:styleId="Hyperlink">
    <w:name w:val="Hyperlink"/>
    <w:rsid w:val="00316969"/>
    <w:rPr>
      <w:color w:val="0000FF"/>
      <w:u w:val="single"/>
    </w:rPr>
  </w:style>
  <w:style w:type="paragraph" w:styleId="ListParagraph">
    <w:name w:val="List Paragraph"/>
    <w:basedOn w:val="Normal"/>
    <w:uiPriority w:val="34"/>
    <w:qFormat/>
    <w:rsid w:val="00316969"/>
    <w:pPr>
      <w:ind w:left="720"/>
      <w:contextualSpacing/>
    </w:pPr>
  </w:style>
  <w:style w:type="paragraph" w:styleId="Footer">
    <w:name w:val="footer"/>
    <w:basedOn w:val="Normal"/>
    <w:link w:val="FooterChar"/>
    <w:uiPriority w:val="99"/>
    <w:unhideWhenUsed/>
    <w:rsid w:val="00A946C1"/>
    <w:pPr>
      <w:tabs>
        <w:tab w:val="center" w:pos="4680"/>
        <w:tab w:val="right" w:pos="9360"/>
      </w:tabs>
    </w:pPr>
  </w:style>
  <w:style w:type="character" w:customStyle="1" w:styleId="FooterChar">
    <w:name w:val="Footer Char"/>
    <w:basedOn w:val="DefaultParagraphFont"/>
    <w:link w:val="Footer"/>
    <w:uiPriority w:val="99"/>
    <w:rsid w:val="00A946C1"/>
    <w:rPr>
      <w:rFonts w:ascii="Arial" w:eastAsia="Times New Roman" w:hAnsi="Arial" w:cs="Arial"/>
      <w:sz w:val="24"/>
      <w:szCs w:val="20"/>
      <w:lang w:val="en-GB" w:eastAsia="en-GB"/>
    </w:rPr>
  </w:style>
  <w:style w:type="paragraph" w:styleId="BalloonText">
    <w:name w:val="Balloon Text"/>
    <w:basedOn w:val="Normal"/>
    <w:link w:val="BalloonTextChar"/>
    <w:uiPriority w:val="99"/>
    <w:semiHidden/>
    <w:unhideWhenUsed/>
    <w:rsid w:val="0017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F0"/>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EF369B"/>
    <w:rPr>
      <w:sz w:val="20"/>
    </w:rPr>
  </w:style>
  <w:style w:type="character" w:customStyle="1" w:styleId="FootnoteTextChar">
    <w:name w:val="Footnote Text Char"/>
    <w:basedOn w:val="DefaultParagraphFont"/>
    <w:link w:val="FootnoteText"/>
    <w:uiPriority w:val="99"/>
    <w:semiHidden/>
    <w:rsid w:val="00EF369B"/>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EF369B"/>
    <w:rPr>
      <w:vertAlign w:val="superscript"/>
    </w:rPr>
  </w:style>
  <w:style w:type="character" w:styleId="CommentReference">
    <w:name w:val="annotation reference"/>
    <w:basedOn w:val="DefaultParagraphFont"/>
    <w:uiPriority w:val="99"/>
    <w:semiHidden/>
    <w:unhideWhenUsed/>
    <w:rsid w:val="00C85F70"/>
    <w:rPr>
      <w:sz w:val="16"/>
      <w:szCs w:val="16"/>
    </w:rPr>
  </w:style>
  <w:style w:type="paragraph" w:styleId="CommentText">
    <w:name w:val="annotation text"/>
    <w:basedOn w:val="Normal"/>
    <w:link w:val="CommentTextChar"/>
    <w:uiPriority w:val="99"/>
    <w:semiHidden/>
    <w:unhideWhenUsed/>
    <w:rsid w:val="00C85F70"/>
    <w:rPr>
      <w:sz w:val="20"/>
    </w:rPr>
  </w:style>
  <w:style w:type="character" w:customStyle="1" w:styleId="CommentTextChar">
    <w:name w:val="Comment Text Char"/>
    <w:basedOn w:val="DefaultParagraphFont"/>
    <w:link w:val="CommentText"/>
    <w:uiPriority w:val="99"/>
    <w:semiHidden/>
    <w:rsid w:val="00C85F70"/>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C85F70"/>
    <w:rPr>
      <w:b/>
      <w:bCs/>
    </w:rPr>
  </w:style>
  <w:style w:type="character" w:customStyle="1" w:styleId="CommentSubjectChar">
    <w:name w:val="Comment Subject Char"/>
    <w:basedOn w:val="CommentTextChar"/>
    <w:link w:val="CommentSubject"/>
    <w:uiPriority w:val="99"/>
    <w:semiHidden/>
    <w:rsid w:val="00C85F70"/>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80">
      <w:bodyDiv w:val="1"/>
      <w:marLeft w:val="0"/>
      <w:marRight w:val="0"/>
      <w:marTop w:val="0"/>
      <w:marBottom w:val="0"/>
      <w:divBdr>
        <w:top w:val="none" w:sz="0" w:space="0" w:color="auto"/>
        <w:left w:val="none" w:sz="0" w:space="0" w:color="auto"/>
        <w:bottom w:val="none" w:sz="0" w:space="0" w:color="auto"/>
        <w:right w:val="none" w:sz="0" w:space="0" w:color="auto"/>
      </w:divBdr>
      <w:divsChild>
        <w:div w:id="1412315802">
          <w:marLeft w:val="0"/>
          <w:marRight w:val="0"/>
          <w:marTop w:val="0"/>
          <w:marBottom w:val="0"/>
          <w:divBdr>
            <w:top w:val="none" w:sz="0" w:space="0" w:color="auto"/>
            <w:left w:val="none" w:sz="0" w:space="0" w:color="auto"/>
            <w:bottom w:val="none" w:sz="0" w:space="0" w:color="auto"/>
            <w:right w:val="none" w:sz="0" w:space="0" w:color="auto"/>
          </w:divBdr>
        </w:div>
        <w:div w:id="1162815875">
          <w:marLeft w:val="0"/>
          <w:marRight w:val="0"/>
          <w:marTop w:val="0"/>
          <w:marBottom w:val="0"/>
          <w:divBdr>
            <w:top w:val="none" w:sz="0" w:space="0" w:color="auto"/>
            <w:left w:val="none" w:sz="0" w:space="0" w:color="auto"/>
            <w:bottom w:val="none" w:sz="0" w:space="0" w:color="auto"/>
            <w:right w:val="none" w:sz="0" w:space="0" w:color="auto"/>
          </w:divBdr>
        </w:div>
        <w:div w:id="159078712">
          <w:marLeft w:val="0"/>
          <w:marRight w:val="0"/>
          <w:marTop w:val="0"/>
          <w:marBottom w:val="0"/>
          <w:divBdr>
            <w:top w:val="none" w:sz="0" w:space="0" w:color="auto"/>
            <w:left w:val="none" w:sz="0" w:space="0" w:color="auto"/>
            <w:bottom w:val="none" w:sz="0" w:space="0" w:color="auto"/>
            <w:right w:val="none" w:sz="0" w:space="0" w:color="auto"/>
          </w:divBdr>
        </w:div>
        <w:div w:id="1526673056">
          <w:marLeft w:val="0"/>
          <w:marRight w:val="0"/>
          <w:marTop w:val="0"/>
          <w:marBottom w:val="0"/>
          <w:divBdr>
            <w:top w:val="none" w:sz="0" w:space="0" w:color="auto"/>
            <w:left w:val="none" w:sz="0" w:space="0" w:color="auto"/>
            <w:bottom w:val="none" w:sz="0" w:space="0" w:color="auto"/>
            <w:right w:val="none" w:sz="0" w:space="0" w:color="auto"/>
          </w:divBdr>
        </w:div>
        <w:div w:id="1421411598">
          <w:marLeft w:val="0"/>
          <w:marRight w:val="0"/>
          <w:marTop w:val="0"/>
          <w:marBottom w:val="0"/>
          <w:divBdr>
            <w:top w:val="none" w:sz="0" w:space="0" w:color="auto"/>
            <w:left w:val="none" w:sz="0" w:space="0" w:color="auto"/>
            <w:bottom w:val="none" w:sz="0" w:space="0" w:color="auto"/>
            <w:right w:val="none" w:sz="0" w:space="0" w:color="auto"/>
          </w:divBdr>
        </w:div>
        <w:div w:id="1921406854">
          <w:marLeft w:val="0"/>
          <w:marRight w:val="0"/>
          <w:marTop w:val="0"/>
          <w:marBottom w:val="0"/>
          <w:divBdr>
            <w:top w:val="none" w:sz="0" w:space="0" w:color="auto"/>
            <w:left w:val="none" w:sz="0" w:space="0" w:color="auto"/>
            <w:bottom w:val="none" w:sz="0" w:space="0" w:color="auto"/>
            <w:right w:val="none" w:sz="0" w:space="0" w:color="auto"/>
          </w:divBdr>
        </w:div>
        <w:div w:id="2041975806">
          <w:marLeft w:val="0"/>
          <w:marRight w:val="0"/>
          <w:marTop w:val="0"/>
          <w:marBottom w:val="0"/>
          <w:divBdr>
            <w:top w:val="none" w:sz="0" w:space="0" w:color="auto"/>
            <w:left w:val="none" w:sz="0" w:space="0" w:color="auto"/>
            <w:bottom w:val="none" w:sz="0" w:space="0" w:color="auto"/>
            <w:right w:val="none" w:sz="0" w:space="0" w:color="auto"/>
          </w:divBdr>
        </w:div>
        <w:div w:id="1957710310">
          <w:marLeft w:val="0"/>
          <w:marRight w:val="0"/>
          <w:marTop w:val="0"/>
          <w:marBottom w:val="0"/>
          <w:divBdr>
            <w:top w:val="none" w:sz="0" w:space="0" w:color="auto"/>
            <w:left w:val="none" w:sz="0" w:space="0" w:color="auto"/>
            <w:bottom w:val="none" w:sz="0" w:space="0" w:color="auto"/>
            <w:right w:val="none" w:sz="0" w:space="0" w:color="auto"/>
          </w:divBdr>
        </w:div>
        <w:div w:id="272979373">
          <w:marLeft w:val="0"/>
          <w:marRight w:val="0"/>
          <w:marTop w:val="0"/>
          <w:marBottom w:val="0"/>
          <w:divBdr>
            <w:top w:val="none" w:sz="0" w:space="0" w:color="auto"/>
            <w:left w:val="none" w:sz="0" w:space="0" w:color="auto"/>
            <w:bottom w:val="none" w:sz="0" w:space="0" w:color="auto"/>
            <w:right w:val="none" w:sz="0" w:space="0" w:color="auto"/>
          </w:divBdr>
        </w:div>
        <w:div w:id="32077810">
          <w:marLeft w:val="0"/>
          <w:marRight w:val="0"/>
          <w:marTop w:val="0"/>
          <w:marBottom w:val="0"/>
          <w:divBdr>
            <w:top w:val="none" w:sz="0" w:space="0" w:color="auto"/>
            <w:left w:val="none" w:sz="0" w:space="0" w:color="auto"/>
            <w:bottom w:val="none" w:sz="0" w:space="0" w:color="auto"/>
            <w:right w:val="none" w:sz="0" w:space="0" w:color="auto"/>
          </w:divBdr>
        </w:div>
        <w:div w:id="666515211">
          <w:marLeft w:val="0"/>
          <w:marRight w:val="0"/>
          <w:marTop w:val="0"/>
          <w:marBottom w:val="0"/>
          <w:divBdr>
            <w:top w:val="none" w:sz="0" w:space="0" w:color="auto"/>
            <w:left w:val="none" w:sz="0" w:space="0" w:color="auto"/>
            <w:bottom w:val="none" w:sz="0" w:space="0" w:color="auto"/>
            <w:right w:val="none" w:sz="0" w:space="0" w:color="auto"/>
          </w:divBdr>
        </w:div>
        <w:div w:id="843279708">
          <w:marLeft w:val="0"/>
          <w:marRight w:val="0"/>
          <w:marTop w:val="0"/>
          <w:marBottom w:val="0"/>
          <w:divBdr>
            <w:top w:val="none" w:sz="0" w:space="0" w:color="auto"/>
            <w:left w:val="none" w:sz="0" w:space="0" w:color="auto"/>
            <w:bottom w:val="none" w:sz="0" w:space="0" w:color="auto"/>
            <w:right w:val="none" w:sz="0" w:space="0" w:color="auto"/>
          </w:divBdr>
        </w:div>
        <w:div w:id="2107578091">
          <w:marLeft w:val="0"/>
          <w:marRight w:val="0"/>
          <w:marTop w:val="0"/>
          <w:marBottom w:val="0"/>
          <w:divBdr>
            <w:top w:val="none" w:sz="0" w:space="0" w:color="auto"/>
            <w:left w:val="none" w:sz="0" w:space="0" w:color="auto"/>
            <w:bottom w:val="none" w:sz="0" w:space="0" w:color="auto"/>
            <w:right w:val="none" w:sz="0" w:space="0" w:color="auto"/>
          </w:divBdr>
        </w:div>
        <w:div w:id="825514939">
          <w:marLeft w:val="0"/>
          <w:marRight w:val="0"/>
          <w:marTop w:val="0"/>
          <w:marBottom w:val="0"/>
          <w:divBdr>
            <w:top w:val="none" w:sz="0" w:space="0" w:color="auto"/>
            <w:left w:val="none" w:sz="0" w:space="0" w:color="auto"/>
            <w:bottom w:val="none" w:sz="0" w:space="0" w:color="auto"/>
            <w:right w:val="none" w:sz="0" w:space="0" w:color="auto"/>
          </w:divBdr>
        </w:div>
        <w:div w:id="761486756">
          <w:marLeft w:val="0"/>
          <w:marRight w:val="0"/>
          <w:marTop w:val="0"/>
          <w:marBottom w:val="0"/>
          <w:divBdr>
            <w:top w:val="none" w:sz="0" w:space="0" w:color="auto"/>
            <w:left w:val="none" w:sz="0" w:space="0" w:color="auto"/>
            <w:bottom w:val="none" w:sz="0" w:space="0" w:color="auto"/>
            <w:right w:val="none" w:sz="0" w:space="0" w:color="auto"/>
          </w:divBdr>
        </w:div>
        <w:div w:id="31267637">
          <w:marLeft w:val="0"/>
          <w:marRight w:val="0"/>
          <w:marTop w:val="0"/>
          <w:marBottom w:val="0"/>
          <w:divBdr>
            <w:top w:val="none" w:sz="0" w:space="0" w:color="auto"/>
            <w:left w:val="none" w:sz="0" w:space="0" w:color="auto"/>
            <w:bottom w:val="none" w:sz="0" w:space="0" w:color="auto"/>
            <w:right w:val="none" w:sz="0" w:space="0" w:color="auto"/>
          </w:divBdr>
        </w:div>
        <w:div w:id="139411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EA58-A610-45E0-9526-F375ACB0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Nicola</dc:creator>
  <cp:keywords/>
  <dc:description/>
  <cp:lastModifiedBy>Ward, Nicola</cp:lastModifiedBy>
  <cp:revision>2</cp:revision>
  <cp:lastPrinted>2019-01-15T11:46:00Z</cp:lastPrinted>
  <dcterms:created xsi:type="dcterms:W3CDTF">2019-04-03T15:50:00Z</dcterms:created>
  <dcterms:modified xsi:type="dcterms:W3CDTF">2019-04-03T15:50:00Z</dcterms:modified>
</cp:coreProperties>
</file>