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29CF3" w14:textId="712BA41B" w:rsidR="004948D5" w:rsidRPr="0007572B" w:rsidRDefault="00FE3698" w:rsidP="0038082E">
      <w:pPr>
        <w:pStyle w:val="BodyText"/>
        <w:rPr>
          <w:sz w:val="48"/>
          <w:szCs w:val="48"/>
        </w:rPr>
      </w:pPr>
      <w:r w:rsidRPr="0007572B">
        <w:rPr>
          <w:sz w:val="48"/>
          <w:szCs w:val="48"/>
        </w:rPr>
        <w:t xml:space="preserve"> </w:t>
      </w:r>
    </w:p>
    <w:p w14:paraId="761CFB49" w14:textId="77777777" w:rsidR="00D64FA5" w:rsidRPr="0007572B" w:rsidRDefault="00D64FA5" w:rsidP="0038082E">
      <w:pPr>
        <w:pStyle w:val="BodyText"/>
        <w:jc w:val="center"/>
        <w:rPr>
          <w:sz w:val="48"/>
          <w:szCs w:val="48"/>
        </w:rPr>
      </w:pPr>
    </w:p>
    <w:p w14:paraId="50E10BF1" w14:textId="77777777" w:rsidR="00D64FA5" w:rsidRPr="0007572B" w:rsidRDefault="00D64FA5" w:rsidP="0038082E">
      <w:pPr>
        <w:pStyle w:val="BodyText"/>
        <w:jc w:val="center"/>
        <w:rPr>
          <w:sz w:val="48"/>
          <w:szCs w:val="48"/>
        </w:rPr>
      </w:pPr>
      <w:r w:rsidRPr="0007572B">
        <w:rPr>
          <w:noProof/>
          <w:sz w:val="48"/>
          <w:szCs w:val="48"/>
          <w:lang w:eastAsia="en-GB"/>
        </w:rPr>
        <w:drawing>
          <wp:inline distT="0" distB="0" distL="0" distR="0" wp14:anchorId="7552A856" wp14:editId="088FC370">
            <wp:extent cx="3378835" cy="1082675"/>
            <wp:effectExtent l="0" t="0" r="0" b="3175"/>
            <wp:docPr id="26" name="Picture 26" descr="GMCA Black logo expa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CA Black logo expand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8835" cy="1082675"/>
                    </a:xfrm>
                    <a:prstGeom prst="rect">
                      <a:avLst/>
                    </a:prstGeom>
                    <a:noFill/>
                  </pic:spPr>
                </pic:pic>
              </a:graphicData>
            </a:graphic>
          </wp:inline>
        </w:drawing>
      </w:r>
    </w:p>
    <w:p w14:paraId="6493F018" w14:textId="77777777" w:rsidR="00D64FA5" w:rsidRPr="0007572B" w:rsidRDefault="00D64FA5" w:rsidP="0038082E">
      <w:pPr>
        <w:pStyle w:val="BodyText"/>
        <w:jc w:val="center"/>
        <w:rPr>
          <w:sz w:val="48"/>
          <w:szCs w:val="48"/>
        </w:rPr>
      </w:pPr>
    </w:p>
    <w:p w14:paraId="1A6EB6DE" w14:textId="77777777" w:rsidR="00D64FA5" w:rsidRPr="0007572B" w:rsidRDefault="00D64FA5" w:rsidP="0038082E">
      <w:pPr>
        <w:pStyle w:val="BodyText"/>
        <w:jc w:val="center"/>
        <w:rPr>
          <w:sz w:val="48"/>
          <w:szCs w:val="48"/>
        </w:rPr>
      </w:pPr>
    </w:p>
    <w:p w14:paraId="39F21254" w14:textId="16B5EFF2" w:rsidR="008A40F2" w:rsidRPr="0007572B" w:rsidRDefault="008A40F2" w:rsidP="0038082E">
      <w:pPr>
        <w:rPr>
          <w:rFonts w:ascii="Arial" w:hAnsi="Arial" w:cs="Arial"/>
        </w:rPr>
      </w:pPr>
    </w:p>
    <w:p w14:paraId="5CC2C42B" w14:textId="36EC9ABC" w:rsidR="008A40F2" w:rsidRPr="0007572B" w:rsidRDefault="008A40F2" w:rsidP="0038082E">
      <w:pPr>
        <w:rPr>
          <w:rFonts w:ascii="Arial" w:hAnsi="Arial" w:cs="Arial"/>
        </w:rPr>
      </w:pPr>
    </w:p>
    <w:p w14:paraId="2DF8F477" w14:textId="42C74EB9" w:rsidR="008A40F2" w:rsidRPr="0007572B" w:rsidRDefault="008A40F2" w:rsidP="0038082E">
      <w:pPr>
        <w:rPr>
          <w:rFonts w:ascii="Arial" w:hAnsi="Arial" w:cs="Arial"/>
        </w:rPr>
      </w:pPr>
    </w:p>
    <w:p w14:paraId="7323F2B6" w14:textId="77777777" w:rsidR="008A40F2" w:rsidRPr="0007572B" w:rsidRDefault="008A40F2" w:rsidP="0038082E">
      <w:pPr>
        <w:rPr>
          <w:rFonts w:ascii="Arial" w:hAnsi="Arial" w:cs="Arial"/>
        </w:rPr>
      </w:pPr>
    </w:p>
    <w:p w14:paraId="76FC0757" w14:textId="77777777" w:rsidR="00D64FA5" w:rsidRPr="0007572B" w:rsidRDefault="00D64FA5" w:rsidP="0038082E">
      <w:pPr>
        <w:rPr>
          <w:rFonts w:ascii="Arial" w:hAnsi="Arial" w:cs="Arial"/>
        </w:rPr>
      </w:pPr>
    </w:p>
    <w:p w14:paraId="6470906C" w14:textId="77777777" w:rsidR="00F21EA7" w:rsidRDefault="00F21EA7" w:rsidP="0038082E">
      <w:pPr>
        <w:pStyle w:val="Heading1"/>
        <w:jc w:val="center"/>
      </w:pPr>
      <w:bookmarkStart w:id="0" w:name="_Toc109922573"/>
      <w:bookmarkStart w:id="1" w:name="_Toc92895135"/>
      <w:bookmarkStart w:id="2" w:name="_Toc109160253"/>
      <w:r>
        <w:t>DRAFT</w:t>
      </w:r>
      <w:bookmarkEnd w:id="0"/>
    </w:p>
    <w:p w14:paraId="5F1F507E" w14:textId="77777777" w:rsidR="00F21EA7" w:rsidRDefault="00F21EA7" w:rsidP="0038082E">
      <w:pPr>
        <w:pStyle w:val="Heading1"/>
        <w:jc w:val="center"/>
      </w:pPr>
    </w:p>
    <w:p w14:paraId="3DB28B71" w14:textId="2F154C5D" w:rsidR="00D64FA5" w:rsidRPr="0007572B" w:rsidRDefault="00D64FA5" w:rsidP="0038082E">
      <w:pPr>
        <w:pStyle w:val="Heading1"/>
        <w:jc w:val="center"/>
      </w:pPr>
      <w:bookmarkStart w:id="3" w:name="_Toc109922574"/>
      <w:r w:rsidRPr="0007572B">
        <w:t xml:space="preserve">Annual Statement </w:t>
      </w:r>
      <w:r w:rsidR="00A136CF">
        <w:br/>
      </w:r>
      <w:r w:rsidRPr="0007572B">
        <w:t>of Accounts</w:t>
      </w:r>
      <w:bookmarkEnd w:id="1"/>
      <w:bookmarkEnd w:id="2"/>
      <w:bookmarkEnd w:id="3"/>
      <w:r w:rsidR="00B86CD5">
        <w:br/>
      </w:r>
    </w:p>
    <w:p w14:paraId="57FD41CF" w14:textId="70A5E65B" w:rsidR="00D64FA5" w:rsidRDefault="00D64FA5" w:rsidP="0038082E">
      <w:pPr>
        <w:pStyle w:val="Heading1"/>
        <w:jc w:val="center"/>
      </w:pPr>
      <w:bookmarkStart w:id="4" w:name="_Toc92895136"/>
      <w:bookmarkStart w:id="5" w:name="_Toc109160254"/>
      <w:bookmarkStart w:id="6" w:name="_Toc109922575"/>
      <w:r w:rsidRPr="0007572B">
        <w:t>Year ended 31 March 202</w:t>
      </w:r>
      <w:bookmarkEnd w:id="4"/>
      <w:r w:rsidR="008E544B">
        <w:t>2</w:t>
      </w:r>
      <w:bookmarkEnd w:id="5"/>
      <w:bookmarkEnd w:id="6"/>
    </w:p>
    <w:p w14:paraId="27833190" w14:textId="77777777" w:rsidR="008E544B" w:rsidRPr="008E544B" w:rsidRDefault="008E544B" w:rsidP="008E544B"/>
    <w:p w14:paraId="29D28615" w14:textId="77777777" w:rsidR="00D64FA5" w:rsidRPr="0007572B" w:rsidRDefault="00D64FA5" w:rsidP="0038082E">
      <w:pPr>
        <w:jc w:val="center"/>
        <w:rPr>
          <w:rFonts w:ascii="Arial" w:hAnsi="Arial" w:cs="Arial"/>
          <w:sz w:val="48"/>
          <w:szCs w:val="48"/>
        </w:rPr>
      </w:pPr>
    </w:p>
    <w:p w14:paraId="66A327B9" w14:textId="55052341" w:rsidR="00932C40" w:rsidRPr="0007572B" w:rsidRDefault="00932C40" w:rsidP="0038082E">
      <w:pPr>
        <w:pStyle w:val="BodyText2"/>
        <w:rPr>
          <w:rFonts w:ascii="Arial" w:hAnsi="Arial" w:cs="Arial"/>
          <w:sz w:val="22"/>
          <w:szCs w:val="22"/>
        </w:rPr>
        <w:sectPr w:rsidR="00932C40" w:rsidRPr="0007572B" w:rsidSect="00FD0221">
          <w:footerReference w:type="even" r:id="rId9"/>
          <w:footerReference w:type="default" r:id="rId10"/>
          <w:pgSz w:w="11906" w:h="16838" w:code="9"/>
          <w:pgMar w:top="851" w:right="1286" w:bottom="1021" w:left="1440" w:header="709" w:footer="567" w:gutter="0"/>
          <w:pgNumType w:start="1"/>
          <w:cols w:space="708"/>
          <w:docGrid w:linePitch="360"/>
        </w:sectPr>
      </w:pPr>
    </w:p>
    <w:p w14:paraId="0616F38F" w14:textId="5E2FC645" w:rsidR="005F371A" w:rsidRPr="005F371A" w:rsidRDefault="005F371A" w:rsidP="0038082E">
      <w:pPr>
        <w:pStyle w:val="Heading2green"/>
      </w:pPr>
      <w:bookmarkStart w:id="7" w:name="_Toc92895137"/>
      <w:bookmarkStart w:id="8" w:name="_Toc109160255"/>
      <w:bookmarkStart w:id="9" w:name="_Toc109922576"/>
      <w:r w:rsidRPr="005F371A">
        <w:lastRenderedPageBreak/>
        <w:t>Contents Page</w:t>
      </w:r>
      <w:bookmarkEnd w:id="7"/>
      <w:bookmarkEnd w:id="8"/>
      <w:bookmarkEnd w:id="9"/>
    </w:p>
    <w:sdt>
      <w:sdtPr>
        <w:id w:val="-2081669147"/>
        <w:docPartObj>
          <w:docPartGallery w:val="Table of Contents"/>
          <w:docPartUnique/>
        </w:docPartObj>
      </w:sdtPr>
      <w:sdtEndPr>
        <w:rPr>
          <w:b/>
          <w:bCs/>
          <w:noProof/>
        </w:rPr>
      </w:sdtEndPr>
      <w:sdtContent>
        <w:p w14:paraId="21B2B7A5" w14:textId="77777777" w:rsidR="009E4264" w:rsidRDefault="009E4264" w:rsidP="00165CEE">
          <w:pPr>
            <w:pStyle w:val="TOC1"/>
            <w:tabs>
              <w:tab w:val="right" w:leader="dot" w:pos="9016"/>
            </w:tabs>
          </w:pPr>
        </w:p>
        <w:p w14:paraId="7DD61DF8" w14:textId="6E041C89" w:rsidR="005764D1" w:rsidRPr="00C626DB" w:rsidRDefault="0074597D" w:rsidP="00165CEE">
          <w:pPr>
            <w:pStyle w:val="TOC1"/>
            <w:tabs>
              <w:tab w:val="right" w:leader="dot" w:pos="9016"/>
            </w:tabs>
            <w:rPr>
              <w:rFonts w:ascii="Arial" w:eastAsiaTheme="minorEastAsia" w:hAnsi="Arial" w:cstheme="minorBidi"/>
              <w:noProof/>
              <w:szCs w:val="22"/>
              <w:lang w:eastAsia="en-GB"/>
            </w:rPr>
          </w:pPr>
          <w:r w:rsidRPr="00F21EA7">
            <w:rPr>
              <w:rFonts w:ascii="Arial" w:eastAsiaTheme="majorEastAsia" w:hAnsi="Arial" w:cs="Arial"/>
              <w:color w:val="2E74B5" w:themeColor="accent1" w:themeShade="BF"/>
              <w:lang w:val="en-US"/>
            </w:rPr>
            <w:fldChar w:fldCharType="begin"/>
          </w:r>
          <w:r w:rsidRPr="00F21EA7">
            <w:rPr>
              <w:rFonts w:ascii="Arial" w:hAnsi="Arial" w:cs="Arial"/>
            </w:rPr>
            <w:instrText xml:space="preserve"> TOC \o "1-3" \h \z \u </w:instrText>
          </w:r>
          <w:r w:rsidRPr="00F21EA7">
            <w:rPr>
              <w:rFonts w:ascii="Arial" w:eastAsiaTheme="majorEastAsia" w:hAnsi="Arial" w:cs="Arial"/>
              <w:color w:val="2E74B5" w:themeColor="accent1" w:themeShade="BF"/>
              <w:lang w:val="en-US"/>
            </w:rPr>
            <w:fldChar w:fldCharType="separate"/>
          </w:r>
          <w:hyperlink w:anchor="_Toc109922577" w:history="1">
            <w:r w:rsidR="005764D1" w:rsidRPr="00C626DB">
              <w:rPr>
                <w:rStyle w:val="Hyperlink"/>
                <w:rFonts w:ascii="Arial" w:hAnsi="Arial"/>
                <w:noProof/>
              </w:rPr>
              <w:t>Narrative Report by the Authority Treasurer</w:t>
            </w:r>
            <w:r w:rsidR="005764D1" w:rsidRPr="00C626DB">
              <w:rPr>
                <w:rFonts w:ascii="Arial" w:hAnsi="Arial"/>
                <w:noProof/>
                <w:webHidden/>
              </w:rPr>
              <w:tab/>
            </w:r>
            <w:r w:rsidR="005459E2">
              <w:rPr>
                <w:rFonts w:ascii="Arial" w:hAnsi="Arial"/>
                <w:noProof/>
                <w:webHidden/>
              </w:rPr>
              <w:t>5</w:t>
            </w:r>
          </w:hyperlink>
        </w:p>
        <w:p w14:paraId="604C0D2A" w14:textId="50AE9F84" w:rsidR="005764D1" w:rsidRPr="00C626DB" w:rsidRDefault="002061DD" w:rsidP="009B1276">
          <w:pPr>
            <w:pStyle w:val="TOC2"/>
            <w:tabs>
              <w:tab w:val="right" w:leader="dot" w:pos="9016"/>
            </w:tabs>
            <w:ind w:left="0"/>
            <w:rPr>
              <w:rFonts w:ascii="Arial" w:eastAsiaTheme="minorEastAsia" w:hAnsi="Arial" w:cstheme="minorBidi"/>
              <w:noProof/>
              <w:szCs w:val="22"/>
              <w:lang w:eastAsia="en-GB"/>
            </w:rPr>
          </w:pPr>
          <w:hyperlink w:anchor="_Toc109922596" w:history="1">
            <w:r w:rsidR="005764D1" w:rsidRPr="00C626DB">
              <w:rPr>
                <w:rStyle w:val="Hyperlink"/>
                <w:rFonts w:ascii="Arial" w:hAnsi="Arial"/>
                <w:noProof/>
              </w:rPr>
              <w:t>Statement of Responsibilities for the Statement of Accounts</w:t>
            </w:r>
            <w:r w:rsidR="005764D1" w:rsidRPr="00C626DB">
              <w:rPr>
                <w:rFonts w:ascii="Arial" w:hAnsi="Arial"/>
                <w:noProof/>
                <w:webHidden/>
              </w:rPr>
              <w:tab/>
            </w:r>
            <w:r w:rsidR="008C5F76">
              <w:rPr>
                <w:rFonts w:ascii="Arial" w:hAnsi="Arial"/>
                <w:noProof/>
                <w:webHidden/>
              </w:rPr>
              <w:t>39</w:t>
            </w:r>
          </w:hyperlink>
        </w:p>
        <w:p w14:paraId="7DC84A54" w14:textId="570EDFC0" w:rsidR="005764D1" w:rsidRPr="00C626DB" w:rsidRDefault="002061DD">
          <w:pPr>
            <w:pStyle w:val="TOC1"/>
            <w:tabs>
              <w:tab w:val="right" w:leader="dot" w:pos="9016"/>
            </w:tabs>
            <w:rPr>
              <w:rFonts w:ascii="Arial" w:eastAsiaTheme="minorEastAsia" w:hAnsi="Arial" w:cstheme="minorBidi"/>
              <w:noProof/>
              <w:szCs w:val="22"/>
              <w:lang w:eastAsia="en-GB"/>
            </w:rPr>
          </w:pPr>
          <w:hyperlink w:anchor="_Toc109922602" w:history="1">
            <w:r w:rsidR="005764D1" w:rsidRPr="00C626DB">
              <w:rPr>
                <w:rStyle w:val="Hyperlink"/>
                <w:rFonts w:ascii="Arial" w:hAnsi="Arial"/>
                <w:noProof/>
              </w:rPr>
              <w:t>Greater Manchester Combined Authority Single Entity Accounts</w:t>
            </w:r>
            <w:r w:rsidR="005764D1" w:rsidRPr="00C626DB">
              <w:rPr>
                <w:rFonts w:ascii="Arial" w:hAnsi="Arial"/>
                <w:noProof/>
                <w:webHidden/>
              </w:rPr>
              <w:tab/>
            </w:r>
            <w:r w:rsidR="00A621BB">
              <w:rPr>
                <w:rFonts w:ascii="Arial" w:hAnsi="Arial"/>
                <w:noProof/>
                <w:webHidden/>
              </w:rPr>
              <w:t>41</w:t>
            </w:r>
          </w:hyperlink>
        </w:p>
        <w:p w14:paraId="07D866AA" w14:textId="75C71A65" w:rsidR="005764D1" w:rsidRPr="00C626DB" w:rsidRDefault="002061DD">
          <w:pPr>
            <w:pStyle w:val="TOC2"/>
            <w:tabs>
              <w:tab w:val="right" w:leader="dot" w:pos="9016"/>
            </w:tabs>
            <w:rPr>
              <w:rFonts w:ascii="Arial" w:eastAsiaTheme="minorEastAsia" w:hAnsi="Arial" w:cstheme="minorBidi"/>
              <w:noProof/>
              <w:szCs w:val="22"/>
              <w:lang w:eastAsia="en-GB"/>
            </w:rPr>
          </w:pPr>
          <w:hyperlink w:anchor="_Toc109922603" w:history="1">
            <w:r w:rsidR="005764D1" w:rsidRPr="00C626DB">
              <w:rPr>
                <w:rStyle w:val="Hyperlink"/>
                <w:rFonts w:ascii="Arial" w:hAnsi="Arial"/>
                <w:noProof/>
              </w:rPr>
              <w:t>Financial Statements</w:t>
            </w:r>
            <w:r w:rsidR="005764D1" w:rsidRPr="00C626DB">
              <w:rPr>
                <w:rFonts w:ascii="Arial" w:hAnsi="Arial"/>
                <w:noProof/>
                <w:webHidden/>
              </w:rPr>
              <w:tab/>
            </w:r>
            <w:r w:rsidR="00A621BB">
              <w:rPr>
                <w:rFonts w:ascii="Arial" w:hAnsi="Arial"/>
                <w:noProof/>
                <w:webHidden/>
              </w:rPr>
              <w:t>41</w:t>
            </w:r>
          </w:hyperlink>
        </w:p>
        <w:p w14:paraId="13E73BD6" w14:textId="1B2B7BD8" w:rsidR="005764D1" w:rsidRPr="00C626DB" w:rsidRDefault="002061DD">
          <w:pPr>
            <w:pStyle w:val="TOC2"/>
            <w:tabs>
              <w:tab w:val="right" w:leader="dot" w:pos="9016"/>
            </w:tabs>
            <w:rPr>
              <w:rFonts w:ascii="Arial" w:eastAsiaTheme="minorEastAsia" w:hAnsi="Arial" w:cstheme="minorBidi"/>
              <w:noProof/>
              <w:szCs w:val="22"/>
              <w:lang w:eastAsia="en-GB"/>
            </w:rPr>
          </w:pPr>
          <w:hyperlink w:anchor="_Toc109922604" w:history="1">
            <w:r w:rsidR="005764D1" w:rsidRPr="00C626DB">
              <w:rPr>
                <w:rStyle w:val="Hyperlink"/>
                <w:rFonts w:ascii="Arial" w:hAnsi="Arial"/>
                <w:noProof/>
              </w:rPr>
              <w:t>Comprehensive Income and Expenditure Statement</w:t>
            </w:r>
            <w:r w:rsidR="005764D1" w:rsidRPr="00C626DB">
              <w:rPr>
                <w:rFonts w:ascii="Arial" w:hAnsi="Arial"/>
                <w:noProof/>
                <w:webHidden/>
              </w:rPr>
              <w:tab/>
            </w:r>
            <w:r w:rsidR="00816A69">
              <w:rPr>
                <w:rFonts w:ascii="Arial" w:hAnsi="Arial"/>
                <w:noProof/>
                <w:webHidden/>
              </w:rPr>
              <w:t>42</w:t>
            </w:r>
          </w:hyperlink>
        </w:p>
        <w:p w14:paraId="28EF3D70" w14:textId="54FFFBE3" w:rsidR="005764D1" w:rsidRPr="00C626DB" w:rsidRDefault="002061DD">
          <w:pPr>
            <w:pStyle w:val="TOC2"/>
            <w:tabs>
              <w:tab w:val="right" w:leader="dot" w:pos="9016"/>
            </w:tabs>
            <w:rPr>
              <w:rFonts w:ascii="Arial" w:eastAsiaTheme="minorEastAsia" w:hAnsi="Arial" w:cstheme="minorBidi"/>
              <w:noProof/>
              <w:szCs w:val="22"/>
              <w:lang w:eastAsia="en-GB"/>
            </w:rPr>
          </w:pPr>
          <w:hyperlink w:anchor="_Toc109922605" w:history="1">
            <w:r w:rsidR="005764D1" w:rsidRPr="00C626DB">
              <w:rPr>
                <w:rStyle w:val="Hyperlink"/>
                <w:rFonts w:ascii="Arial" w:hAnsi="Arial"/>
                <w:noProof/>
              </w:rPr>
              <w:t>Movement in Reserves Statement</w:t>
            </w:r>
            <w:r w:rsidR="005764D1" w:rsidRPr="00C626DB">
              <w:rPr>
                <w:rFonts w:ascii="Arial" w:hAnsi="Arial"/>
                <w:noProof/>
                <w:webHidden/>
              </w:rPr>
              <w:tab/>
            </w:r>
            <w:r w:rsidR="00816A69">
              <w:rPr>
                <w:rFonts w:ascii="Arial" w:hAnsi="Arial"/>
                <w:noProof/>
                <w:webHidden/>
              </w:rPr>
              <w:t>43</w:t>
            </w:r>
          </w:hyperlink>
        </w:p>
        <w:p w14:paraId="7D14AA1B" w14:textId="4E27F9C1" w:rsidR="005764D1" w:rsidRPr="00C626DB" w:rsidRDefault="002061DD">
          <w:pPr>
            <w:pStyle w:val="TOC2"/>
            <w:tabs>
              <w:tab w:val="right" w:leader="dot" w:pos="9016"/>
            </w:tabs>
            <w:rPr>
              <w:rFonts w:ascii="Arial" w:eastAsiaTheme="minorEastAsia" w:hAnsi="Arial" w:cstheme="minorBidi"/>
              <w:noProof/>
              <w:szCs w:val="22"/>
              <w:lang w:eastAsia="en-GB"/>
            </w:rPr>
          </w:pPr>
          <w:hyperlink w:anchor="_Toc109922606" w:history="1">
            <w:r w:rsidR="005764D1" w:rsidRPr="00C626DB">
              <w:rPr>
                <w:rStyle w:val="Hyperlink"/>
                <w:rFonts w:ascii="Arial" w:hAnsi="Arial"/>
                <w:noProof/>
              </w:rPr>
              <w:t>Balance Sheet</w:t>
            </w:r>
            <w:r w:rsidR="005764D1" w:rsidRPr="00C626DB">
              <w:rPr>
                <w:rFonts w:ascii="Arial" w:hAnsi="Arial"/>
                <w:noProof/>
                <w:webHidden/>
              </w:rPr>
              <w:tab/>
            </w:r>
            <w:r w:rsidR="00CC5310">
              <w:rPr>
                <w:rFonts w:ascii="Arial" w:hAnsi="Arial"/>
                <w:noProof/>
                <w:webHidden/>
              </w:rPr>
              <w:t>44</w:t>
            </w:r>
          </w:hyperlink>
        </w:p>
        <w:p w14:paraId="1CCEC566" w14:textId="413F74C1" w:rsidR="005764D1" w:rsidRPr="00C626DB" w:rsidRDefault="002061DD">
          <w:pPr>
            <w:pStyle w:val="TOC2"/>
            <w:tabs>
              <w:tab w:val="right" w:leader="dot" w:pos="9016"/>
            </w:tabs>
            <w:rPr>
              <w:rFonts w:ascii="Arial" w:eastAsiaTheme="minorEastAsia" w:hAnsi="Arial" w:cstheme="minorBidi"/>
              <w:noProof/>
              <w:szCs w:val="22"/>
              <w:lang w:eastAsia="en-GB"/>
            </w:rPr>
          </w:pPr>
          <w:hyperlink w:anchor="_Toc109922607" w:history="1">
            <w:r w:rsidR="005764D1" w:rsidRPr="00C626DB">
              <w:rPr>
                <w:rStyle w:val="Hyperlink"/>
                <w:rFonts w:ascii="Arial" w:hAnsi="Arial"/>
                <w:noProof/>
              </w:rPr>
              <w:t>Cash Flow Statement</w:t>
            </w:r>
            <w:r w:rsidR="005764D1" w:rsidRPr="00C626DB">
              <w:rPr>
                <w:rFonts w:ascii="Arial" w:hAnsi="Arial"/>
                <w:noProof/>
                <w:webHidden/>
              </w:rPr>
              <w:tab/>
            </w:r>
            <w:r w:rsidR="00CC5310">
              <w:rPr>
                <w:rFonts w:ascii="Arial" w:hAnsi="Arial"/>
                <w:noProof/>
                <w:webHidden/>
              </w:rPr>
              <w:t>45</w:t>
            </w:r>
          </w:hyperlink>
        </w:p>
        <w:p w14:paraId="437789A2" w14:textId="5ADCAF68" w:rsidR="005764D1" w:rsidRPr="00C626DB" w:rsidRDefault="002061DD">
          <w:pPr>
            <w:pStyle w:val="TOC2"/>
            <w:tabs>
              <w:tab w:val="right" w:leader="dot" w:pos="9016"/>
            </w:tabs>
            <w:rPr>
              <w:rFonts w:ascii="Arial" w:eastAsiaTheme="minorEastAsia" w:hAnsi="Arial" w:cstheme="minorBidi"/>
              <w:noProof/>
              <w:szCs w:val="22"/>
              <w:lang w:eastAsia="en-GB"/>
            </w:rPr>
          </w:pPr>
          <w:hyperlink w:anchor="_Toc109922608" w:history="1">
            <w:r w:rsidR="005764D1" w:rsidRPr="00C626DB">
              <w:rPr>
                <w:rStyle w:val="Hyperlink"/>
                <w:rFonts w:ascii="Arial" w:hAnsi="Arial"/>
                <w:noProof/>
              </w:rPr>
              <w:t>Single Entity Accounts</w:t>
            </w:r>
            <w:r w:rsidR="005764D1" w:rsidRPr="00C626DB">
              <w:rPr>
                <w:rFonts w:ascii="Arial" w:hAnsi="Arial"/>
                <w:noProof/>
                <w:webHidden/>
              </w:rPr>
              <w:tab/>
            </w:r>
            <w:r w:rsidR="00CC5310">
              <w:rPr>
                <w:rFonts w:ascii="Arial" w:hAnsi="Arial"/>
                <w:noProof/>
                <w:webHidden/>
              </w:rPr>
              <w:t>46</w:t>
            </w:r>
          </w:hyperlink>
        </w:p>
        <w:p w14:paraId="5BE7F2CD" w14:textId="5879676F" w:rsidR="005764D1" w:rsidRPr="00C626DB" w:rsidRDefault="002061DD">
          <w:pPr>
            <w:pStyle w:val="TOC2"/>
            <w:tabs>
              <w:tab w:val="right" w:leader="dot" w:pos="9016"/>
            </w:tabs>
            <w:rPr>
              <w:rFonts w:ascii="Arial" w:eastAsiaTheme="minorEastAsia" w:hAnsi="Arial" w:cstheme="minorBidi"/>
              <w:noProof/>
              <w:szCs w:val="22"/>
              <w:lang w:eastAsia="en-GB"/>
            </w:rPr>
          </w:pPr>
          <w:hyperlink w:anchor="_Toc109922609" w:history="1">
            <w:r w:rsidR="005764D1" w:rsidRPr="00C626DB">
              <w:rPr>
                <w:rStyle w:val="Hyperlink"/>
                <w:rFonts w:ascii="Arial" w:hAnsi="Arial"/>
                <w:noProof/>
              </w:rPr>
              <w:t>Notes to the Financial Statements</w:t>
            </w:r>
            <w:r w:rsidR="005764D1" w:rsidRPr="00C626DB">
              <w:rPr>
                <w:rFonts w:ascii="Arial" w:hAnsi="Arial"/>
                <w:noProof/>
                <w:webHidden/>
              </w:rPr>
              <w:tab/>
            </w:r>
            <w:r w:rsidR="00CC5310">
              <w:rPr>
                <w:rFonts w:ascii="Arial" w:hAnsi="Arial"/>
                <w:noProof/>
                <w:webHidden/>
              </w:rPr>
              <w:t>46</w:t>
            </w:r>
          </w:hyperlink>
        </w:p>
        <w:p w14:paraId="6C5A9257" w14:textId="6354A601"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10" w:history="1">
            <w:r w:rsidR="005764D1" w:rsidRPr="00C626DB">
              <w:rPr>
                <w:rStyle w:val="Hyperlink"/>
                <w:rFonts w:ascii="Arial" w:hAnsi="Arial"/>
                <w:noProof/>
              </w:rPr>
              <w:t>1 Accounting Concepts and Policies</w:t>
            </w:r>
            <w:r w:rsidR="005764D1" w:rsidRPr="00C626DB">
              <w:rPr>
                <w:rFonts w:ascii="Arial" w:hAnsi="Arial"/>
                <w:noProof/>
                <w:webHidden/>
              </w:rPr>
              <w:tab/>
            </w:r>
            <w:r w:rsidR="003C15F7">
              <w:rPr>
                <w:rFonts w:ascii="Arial" w:hAnsi="Arial"/>
                <w:noProof/>
                <w:webHidden/>
              </w:rPr>
              <w:t>46</w:t>
            </w:r>
          </w:hyperlink>
        </w:p>
        <w:p w14:paraId="69ACF4B6" w14:textId="5E0BD547"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11" w:history="1">
            <w:r w:rsidR="005764D1" w:rsidRPr="00C626DB">
              <w:rPr>
                <w:rStyle w:val="Hyperlink"/>
                <w:rFonts w:ascii="Arial" w:hAnsi="Arial"/>
                <w:noProof/>
              </w:rPr>
              <w:t>2 Critical Accounting</w:t>
            </w:r>
            <w:r w:rsidR="005764D1" w:rsidRPr="00C626DB">
              <w:rPr>
                <w:rStyle w:val="Hyperlink"/>
                <w:rFonts w:ascii="Arial" w:hAnsi="Arial"/>
                <w:noProof/>
                <w:spacing w:val="2"/>
              </w:rPr>
              <w:t xml:space="preserve"> </w:t>
            </w:r>
            <w:r w:rsidR="005764D1" w:rsidRPr="00C626DB">
              <w:rPr>
                <w:rStyle w:val="Hyperlink"/>
                <w:rFonts w:ascii="Arial" w:hAnsi="Arial"/>
                <w:noProof/>
              </w:rPr>
              <w:t>Judgements</w:t>
            </w:r>
            <w:r w:rsidR="005764D1" w:rsidRPr="00C626DB">
              <w:rPr>
                <w:rFonts w:ascii="Arial" w:hAnsi="Arial"/>
                <w:noProof/>
                <w:webHidden/>
              </w:rPr>
              <w:tab/>
            </w:r>
            <w:r w:rsidR="003C15F7">
              <w:rPr>
                <w:rFonts w:ascii="Arial" w:hAnsi="Arial"/>
                <w:noProof/>
                <w:webHidden/>
              </w:rPr>
              <w:t>66</w:t>
            </w:r>
          </w:hyperlink>
        </w:p>
        <w:p w14:paraId="2B34D38B" w14:textId="3F04F2D8"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12" w:history="1">
            <w:r w:rsidR="005764D1" w:rsidRPr="00C626DB">
              <w:rPr>
                <w:rStyle w:val="Hyperlink"/>
                <w:rFonts w:ascii="Arial" w:hAnsi="Arial"/>
                <w:noProof/>
              </w:rPr>
              <w:t>3 Key Sources of Estimation and</w:t>
            </w:r>
            <w:r w:rsidR="005764D1" w:rsidRPr="00C626DB">
              <w:rPr>
                <w:rStyle w:val="Hyperlink"/>
                <w:rFonts w:ascii="Arial" w:hAnsi="Arial"/>
                <w:noProof/>
                <w:spacing w:val="-5"/>
              </w:rPr>
              <w:t xml:space="preserve"> </w:t>
            </w:r>
            <w:r w:rsidR="005764D1" w:rsidRPr="00C626DB">
              <w:rPr>
                <w:rStyle w:val="Hyperlink"/>
                <w:rFonts w:ascii="Arial" w:hAnsi="Arial"/>
                <w:noProof/>
              </w:rPr>
              <w:t>Uncertainty</w:t>
            </w:r>
            <w:r w:rsidR="005764D1" w:rsidRPr="00C626DB">
              <w:rPr>
                <w:rFonts w:ascii="Arial" w:hAnsi="Arial"/>
                <w:noProof/>
                <w:webHidden/>
              </w:rPr>
              <w:tab/>
            </w:r>
            <w:r w:rsidR="003C15F7">
              <w:rPr>
                <w:rFonts w:ascii="Arial" w:hAnsi="Arial"/>
                <w:noProof/>
                <w:webHidden/>
              </w:rPr>
              <w:t>69</w:t>
            </w:r>
          </w:hyperlink>
        </w:p>
        <w:p w14:paraId="24A444C7" w14:textId="75B5F077"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13" w:history="1">
            <w:r w:rsidR="005764D1" w:rsidRPr="00C626DB">
              <w:rPr>
                <w:rStyle w:val="Hyperlink"/>
                <w:rFonts w:ascii="Arial" w:hAnsi="Arial"/>
                <w:noProof/>
              </w:rPr>
              <w:t>4 Impact of Accounting Standards issued b</w:t>
            </w:r>
            <w:r w:rsidR="005764D1" w:rsidRPr="00C626DB">
              <w:rPr>
                <w:rStyle w:val="Hyperlink"/>
                <w:rFonts w:ascii="Arial" w:hAnsi="Arial"/>
                <w:noProof/>
                <w:spacing w:val="-2"/>
              </w:rPr>
              <w:t>ut not y</w:t>
            </w:r>
            <w:r w:rsidR="005764D1" w:rsidRPr="00C626DB">
              <w:rPr>
                <w:rStyle w:val="Hyperlink"/>
                <w:rFonts w:ascii="Arial" w:hAnsi="Arial"/>
                <w:noProof/>
              </w:rPr>
              <w:t>et</w:t>
            </w:r>
            <w:r w:rsidR="005764D1" w:rsidRPr="00C626DB">
              <w:rPr>
                <w:rStyle w:val="Hyperlink"/>
                <w:rFonts w:ascii="Arial" w:hAnsi="Arial"/>
                <w:noProof/>
                <w:spacing w:val="5"/>
              </w:rPr>
              <w:t xml:space="preserve"> </w:t>
            </w:r>
            <w:r w:rsidR="005764D1" w:rsidRPr="00C626DB">
              <w:rPr>
                <w:rStyle w:val="Hyperlink"/>
                <w:rFonts w:ascii="Arial" w:hAnsi="Arial"/>
                <w:noProof/>
              </w:rPr>
              <w:t>Adopted</w:t>
            </w:r>
            <w:r w:rsidR="005764D1" w:rsidRPr="00C626DB">
              <w:rPr>
                <w:rFonts w:ascii="Arial" w:hAnsi="Arial"/>
                <w:noProof/>
                <w:webHidden/>
              </w:rPr>
              <w:tab/>
            </w:r>
            <w:r w:rsidR="003C15F7">
              <w:rPr>
                <w:rFonts w:ascii="Arial" w:hAnsi="Arial"/>
                <w:noProof/>
                <w:webHidden/>
              </w:rPr>
              <w:t>70</w:t>
            </w:r>
          </w:hyperlink>
        </w:p>
        <w:p w14:paraId="4CEF527F" w14:textId="1508944B"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14" w:history="1">
            <w:r w:rsidR="005764D1" w:rsidRPr="00C626DB">
              <w:rPr>
                <w:rStyle w:val="Hyperlink"/>
                <w:rFonts w:ascii="Arial" w:hAnsi="Arial"/>
                <w:noProof/>
              </w:rPr>
              <w:t>5 Events After the Reporting Period</w:t>
            </w:r>
            <w:r w:rsidR="005764D1" w:rsidRPr="00C626DB">
              <w:rPr>
                <w:rFonts w:ascii="Arial" w:hAnsi="Arial"/>
                <w:noProof/>
                <w:webHidden/>
              </w:rPr>
              <w:tab/>
            </w:r>
            <w:r w:rsidR="00E70184">
              <w:rPr>
                <w:rFonts w:ascii="Arial" w:hAnsi="Arial"/>
                <w:noProof/>
                <w:webHidden/>
              </w:rPr>
              <w:t>70</w:t>
            </w:r>
          </w:hyperlink>
        </w:p>
        <w:p w14:paraId="143CA190" w14:textId="10130273"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15" w:history="1">
            <w:r w:rsidR="005764D1" w:rsidRPr="00C626DB">
              <w:rPr>
                <w:rStyle w:val="Hyperlink"/>
                <w:rFonts w:ascii="Arial" w:hAnsi="Arial"/>
                <w:noProof/>
              </w:rPr>
              <w:t>6 Authorisation for the Issue of the Draft Statement of</w:t>
            </w:r>
            <w:r w:rsidR="005764D1" w:rsidRPr="00C626DB">
              <w:rPr>
                <w:rStyle w:val="Hyperlink"/>
                <w:rFonts w:ascii="Arial" w:hAnsi="Arial"/>
                <w:noProof/>
                <w:spacing w:val="2"/>
              </w:rPr>
              <w:t xml:space="preserve"> </w:t>
            </w:r>
            <w:r w:rsidR="005764D1" w:rsidRPr="00C626DB">
              <w:rPr>
                <w:rStyle w:val="Hyperlink"/>
                <w:rFonts w:ascii="Arial" w:hAnsi="Arial"/>
                <w:noProof/>
              </w:rPr>
              <w:t>Accounts</w:t>
            </w:r>
            <w:r w:rsidR="005764D1" w:rsidRPr="00C626DB">
              <w:rPr>
                <w:rFonts w:ascii="Arial" w:hAnsi="Arial"/>
                <w:noProof/>
                <w:webHidden/>
              </w:rPr>
              <w:tab/>
            </w:r>
            <w:r w:rsidR="00E70184">
              <w:rPr>
                <w:rFonts w:ascii="Arial" w:hAnsi="Arial"/>
                <w:noProof/>
                <w:webHidden/>
              </w:rPr>
              <w:t>70</w:t>
            </w:r>
          </w:hyperlink>
        </w:p>
        <w:p w14:paraId="750ED977" w14:textId="5678716C"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16" w:history="1">
            <w:r w:rsidR="005764D1" w:rsidRPr="00C626DB">
              <w:rPr>
                <w:rStyle w:val="Hyperlink"/>
                <w:rFonts w:ascii="Arial" w:hAnsi="Arial"/>
                <w:noProof/>
              </w:rPr>
              <w:t>7a Expenditure and Funding Analysis</w:t>
            </w:r>
            <w:r w:rsidR="005764D1" w:rsidRPr="00C626DB">
              <w:rPr>
                <w:rFonts w:ascii="Arial" w:hAnsi="Arial"/>
                <w:noProof/>
                <w:webHidden/>
              </w:rPr>
              <w:tab/>
            </w:r>
            <w:r w:rsidR="00E70184">
              <w:rPr>
                <w:rFonts w:ascii="Arial" w:hAnsi="Arial"/>
                <w:noProof/>
                <w:webHidden/>
              </w:rPr>
              <w:t>70</w:t>
            </w:r>
          </w:hyperlink>
        </w:p>
        <w:p w14:paraId="55B9A75C" w14:textId="05AEA553"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17" w:history="1">
            <w:r w:rsidR="005764D1" w:rsidRPr="00C626DB">
              <w:rPr>
                <w:rStyle w:val="Hyperlink"/>
                <w:rFonts w:ascii="Arial" w:hAnsi="Arial"/>
                <w:noProof/>
              </w:rPr>
              <w:t>7b Note to the Expenditure and Funding Analysis</w:t>
            </w:r>
            <w:r w:rsidR="005764D1" w:rsidRPr="00C626DB">
              <w:rPr>
                <w:rFonts w:ascii="Arial" w:hAnsi="Arial"/>
                <w:noProof/>
                <w:webHidden/>
              </w:rPr>
              <w:tab/>
            </w:r>
            <w:r w:rsidR="00E70184">
              <w:rPr>
                <w:rFonts w:ascii="Arial" w:hAnsi="Arial"/>
                <w:noProof/>
                <w:webHidden/>
              </w:rPr>
              <w:t>71</w:t>
            </w:r>
          </w:hyperlink>
        </w:p>
        <w:p w14:paraId="4E565B73" w14:textId="3B3BF5E5"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18" w:history="1">
            <w:r w:rsidR="005764D1" w:rsidRPr="00C626DB">
              <w:rPr>
                <w:rStyle w:val="Hyperlink"/>
                <w:rFonts w:ascii="Arial" w:hAnsi="Arial"/>
                <w:noProof/>
              </w:rPr>
              <w:t>8 Adjustments between Accounting Basis and Funding Basis under Regulations</w:t>
            </w:r>
            <w:r w:rsidR="005764D1" w:rsidRPr="00C626DB">
              <w:rPr>
                <w:rFonts w:ascii="Arial" w:hAnsi="Arial"/>
                <w:noProof/>
                <w:webHidden/>
              </w:rPr>
              <w:tab/>
            </w:r>
            <w:r w:rsidR="00E70184">
              <w:rPr>
                <w:rFonts w:ascii="Arial" w:hAnsi="Arial"/>
                <w:noProof/>
                <w:webHidden/>
              </w:rPr>
              <w:t>74</w:t>
            </w:r>
          </w:hyperlink>
        </w:p>
        <w:p w14:paraId="61FF1B40" w14:textId="58186C87"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19" w:history="1">
            <w:r w:rsidR="005764D1" w:rsidRPr="00C626DB">
              <w:rPr>
                <w:rStyle w:val="Hyperlink"/>
                <w:rFonts w:ascii="Arial" w:hAnsi="Arial"/>
                <w:noProof/>
              </w:rPr>
              <w:t>9 Transfers to/from Reserves</w:t>
            </w:r>
            <w:r w:rsidR="005764D1" w:rsidRPr="00C626DB">
              <w:rPr>
                <w:rFonts w:ascii="Arial" w:hAnsi="Arial"/>
                <w:noProof/>
                <w:webHidden/>
              </w:rPr>
              <w:tab/>
            </w:r>
            <w:r w:rsidR="00BD34D4">
              <w:rPr>
                <w:rFonts w:ascii="Arial" w:hAnsi="Arial"/>
                <w:noProof/>
                <w:webHidden/>
              </w:rPr>
              <w:t>76</w:t>
            </w:r>
          </w:hyperlink>
        </w:p>
        <w:p w14:paraId="12C5433D" w14:textId="33830EBD"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20" w:history="1">
            <w:r w:rsidR="005764D1" w:rsidRPr="00C626DB">
              <w:rPr>
                <w:rStyle w:val="Hyperlink"/>
                <w:rFonts w:ascii="Arial" w:hAnsi="Arial"/>
                <w:noProof/>
              </w:rPr>
              <w:t>10 Purpose of Earmarked Reserves</w:t>
            </w:r>
            <w:r w:rsidR="005764D1" w:rsidRPr="00C626DB">
              <w:rPr>
                <w:rFonts w:ascii="Arial" w:hAnsi="Arial"/>
                <w:noProof/>
                <w:webHidden/>
              </w:rPr>
              <w:tab/>
            </w:r>
            <w:r w:rsidR="00BD34D4">
              <w:rPr>
                <w:rFonts w:ascii="Arial" w:hAnsi="Arial"/>
                <w:noProof/>
                <w:webHidden/>
              </w:rPr>
              <w:t>77</w:t>
            </w:r>
          </w:hyperlink>
        </w:p>
        <w:p w14:paraId="34B13E99" w14:textId="214EAE70"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21" w:history="1">
            <w:r w:rsidR="005764D1" w:rsidRPr="00C626DB">
              <w:rPr>
                <w:rStyle w:val="Hyperlink"/>
                <w:rFonts w:ascii="Arial" w:hAnsi="Arial"/>
                <w:noProof/>
              </w:rPr>
              <w:t>11 Expenditure and Income Analysed by Nature</w:t>
            </w:r>
            <w:r w:rsidR="005764D1" w:rsidRPr="00C626DB">
              <w:rPr>
                <w:rFonts w:ascii="Arial" w:hAnsi="Arial"/>
                <w:noProof/>
                <w:webHidden/>
              </w:rPr>
              <w:tab/>
            </w:r>
            <w:r w:rsidR="00BD34D4">
              <w:rPr>
                <w:rFonts w:ascii="Arial" w:hAnsi="Arial"/>
                <w:noProof/>
                <w:webHidden/>
              </w:rPr>
              <w:t>81</w:t>
            </w:r>
          </w:hyperlink>
        </w:p>
        <w:p w14:paraId="0EBB3958" w14:textId="5C25341F"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22" w:history="1">
            <w:r w:rsidR="005764D1" w:rsidRPr="00C626DB">
              <w:rPr>
                <w:rStyle w:val="Hyperlink"/>
                <w:rFonts w:ascii="Arial" w:hAnsi="Arial"/>
                <w:noProof/>
              </w:rPr>
              <w:t>12 Revenue Expenditure Funded from Capital under Statute</w:t>
            </w:r>
            <w:r w:rsidR="005764D1" w:rsidRPr="00C626DB">
              <w:rPr>
                <w:rFonts w:ascii="Arial" w:hAnsi="Arial"/>
                <w:noProof/>
                <w:webHidden/>
              </w:rPr>
              <w:tab/>
            </w:r>
            <w:r w:rsidR="00BD34D4">
              <w:rPr>
                <w:rFonts w:ascii="Arial" w:hAnsi="Arial"/>
                <w:noProof/>
                <w:webHidden/>
              </w:rPr>
              <w:t>82</w:t>
            </w:r>
          </w:hyperlink>
        </w:p>
        <w:p w14:paraId="3F939C91" w14:textId="762F70A2"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23" w:history="1">
            <w:r w:rsidR="005764D1" w:rsidRPr="00C626DB">
              <w:rPr>
                <w:rStyle w:val="Hyperlink"/>
                <w:rFonts w:ascii="Arial" w:hAnsi="Arial"/>
                <w:noProof/>
              </w:rPr>
              <w:t>13 Grants and Contributions Credited to Comprehensive Income</w:t>
            </w:r>
            <w:r w:rsidR="005764D1" w:rsidRPr="00C626DB">
              <w:rPr>
                <w:rFonts w:ascii="Arial" w:hAnsi="Arial"/>
                <w:noProof/>
                <w:webHidden/>
              </w:rPr>
              <w:tab/>
            </w:r>
            <w:r w:rsidR="00BD5AC2">
              <w:rPr>
                <w:rFonts w:ascii="Arial" w:hAnsi="Arial"/>
                <w:noProof/>
                <w:webHidden/>
              </w:rPr>
              <w:t>83</w:t>
            </w:r>
          </w:hyperlink>
        </w:p>
        <w:p w14:paraId="1CEA37FA" w14:textId="1567D924"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24" w:history="1">
            <w:r w:rsidR="005764D1" w:rsidRPr="00C626DB">
              <w:rPr>
                <w:rStyle w:val="Hyperlink"/>
                <w:rFonts w:ascii="Arial" w:hAnsi="Arial"/>
                <w:noProof/>
              </w:rPr>
              <w:t>14 Grants and Contributions Received in Advance</w:t>
            </w:r>
            <w:r w:rsidR="005764D1" w:rsidRPr="00C626DB">
              <w:rPr>
                <w:rFonts w:ascii="Arial" w:hAnsi="Arial"/>
                <w:noProof/>
                <w:webHidden/>
              </w:rPr>
              <w:tab/>
            </w:r>
            <w:r w:rsidR="00BD5AC2">
              <w:rPr>
                <w:rFonts w:ascii="Arial" w:hAnsi="Arial"/>
                <w:noProof/>
                <w:webHidden/>
              </w:rPr>
              <w:t>85</w:t>
            </w:r>
          </w:hyperlink>
        </w:p>
        <w:p w14:paraId="6072285E" w14:textId="7C2E5BAF"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25" w:history="1">
            <w:r w:rsidR="005764D1" w:rsidRPr="00C626DB">
              <w:rPr>
                <w:rStyle w:val="Hyperlink"/>
                <w:rFonts w:ascii="Arial" w:hAnsi="Arial"/>
                <w:noProof/>
              </w:rPr>
              <w:t>15 Financing and Investment Income and Expenditure</w:t>
            </w:r>
            <w:r w:rsidR="005764D1" w:rsidRPr="00C626DB">
              <w:rPr>
                <w:rFonts w:ascii="Arial" w:hAnsi="Arial"/>
                <w:noProof/>
                <w:webHidden/>
              </w:rPr>
              <w:tab/>
            </w:r>
            <w:r w:rsidR="00BD5AC2">
              <w:rPr>
                <w:rFonts w:ascii="Arial" w:hAnsi="Arial"/>
                <w:noProof/>
                <w:webHidden/>
              </w:rPr>
              <w:t>86</w:t>
            </w:r>
          </w:hyperlink>
        </w:p>
        <w:p w14:paraId="168380FB" w14:textId="15798CCC"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26" w:history="1">
            <w:r w:rsidR="005764D1" w:rsidRPr="00C626DB">
              <w:rPr>
                <w:rStyle w:val="Hyperlink"/>
                <w:rFonts w:ascii="Arial" w:hAnsi="Arial"/>
                <w:noProof/>
              </w:rPr>
              <w:t>16 Taxation and Non-Specific Grant Income</w:t>
            </w:r>
            <w:r w:rsidR="005764D1" w:rsidRPr="00C626DB">
              <w:rPr>
                <w:rFonts w:ascii="Arial" w:hAnsi="Arial"/>
                <w:noProof/>
                <w:webHidden/>
              </w:rPr>
              <w:tab/>
            </w:r>
            <w:r w:rsidR="00BD5AC2">
              <w:rPr>
                <w:rFonts w:ascii="Arial" w:hAnsi="Arial"/>
                <w:noProof/>
                <w:webHidden/>
              </w:rPr>
              <w:t>86</w:t>
            </w:r>
          </w:hyperlink>
        </w:p>
        <w:p w14:paraId="4DF7E710" w14:textId="23079375"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27" w:history="1">
            <w:r w:rsidR="005764D1" w:rsidRPr="00C626DB">
              <w:rPr>
                <w:rStyle w:val="Hyperlink"/>
                <w:rFonts w:ascii="Arial" w:hAnsi="Arial"/>
                <w:noProof/>
              </w:rPr>
              <w:t>17 External Audit Fees</w:t>
            </w:r>
            <w:r w:rsidR="005764D1" w:rsidRPr="00C626DB">
              <w:rPr>
                <w:rFonts w:ascii="Arial" w:hAnsi="Arial"/>
                <w:noProof/>
                <w:webHidden/>
              </w:rPr>
              <w:tab/>
            </w:r>
            <w:r w:rsidR="003D29CB">
              <w:rPr>
                <w:rFonts w:ascii="Arial" w:hAnsi="Arial"/>
                <w:noProof/>
                <w:webHidden/>
              </w:rPr>
              <w:t>87</w:t>
            </w:r>
          </w:hyperlink>
        </w:p>
        <w:p w14:paraId="3A682E66" w14:textId="5729EC8B"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28" w:history="1">
            <w:r w:rsidR="005764D1" w:rsidRPr="00C626DB">
              <w:rPr>
                <w:rStyle w:val="Hyperlink"/>
                <w:rFonts w:ascii="Arial" w:hAnsi="Arial"/>
                <w:noProof/>
              </w:rPr>
              <w:t>18 Officer Remuneration</w:t>
            </w:r>
            <w:r w:rsidR="005764D1" w:rsidRPr="00C626DB">
              <w:rPr>
                <w:rFonts w:ascii="Arial" w:hAnsi="Arial"/>
                <w:noProof/>
                <w:webHidden/>
              </w:rPr>
              <w:tab/>
            </w:r>
            <w:r w:rsidR="003D29CB">
              <w:rPr>
                <w:rFonts w:ascii="Arial" w:hAnsi="Arial"/>
                <w:noProof/>
                <w:webHidden/>
              </w:rPr>
              <w:t>88</w:t>
            </w:r>
          </w:hyperlink>
        </w:p>
        <w:p w14:paraId="49C8D3E0" w14:textId="56F6EB64"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29" w:history="1">
            <w:r w:rsidR="005764D1" w:rsidRPr="00C626DB">
              <w:rPr>
                <w:rStyle w:val="Hyperlink"/>
                <w:rFonts w:ascii="Arial" w:hAnsi="Arial"/>
                <w:noProof/>
              </w:rPr>
              <w:t>19 Capital Expenditure and Capital Financing</w:t>
            </w:r>
            <w:r w:rsidR="005764D1" w:rsidRPr="00C626DB">
              <w:rPr>
                <w:rFonts w:ascii="Arial" w:hAnsi="Arial"/>
                <w:noProof/>
                <w:webHidden/>
              </w:rPr>
              <w:tab/>
            </w:r>
            <w:r w:rsidR="003D29CB">
              <w:rPr>
                <w:rFonts w:ascii="Arial" w:hAnsi="Arial"/>
                <w:noProof/>
                <w:webHidden/>
              </w:rPr>
              <w:t>90</w:t>
            </w:r>
          </w:hyperlink>
        </w:p>
        <w:p w14:paraId="38750387" w14:textId="727685EC"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30" w:history="1">
            <w:r w:rsidR="005764D1" w:rsidRPr="00C626DB">
              <w:rPr>
                <w:rStyle w:val="Hyperlink"/>
                <w:rFonts w:ascii="Arial" w:hAnsi="Arial"/>
                <w:noProof/>
              </w:rPr>
              <w:t>20 Property, Plant and Equipment Including Disposals</w:t>
            </w:r>
            <w:r w:rsidR="005764D1" w:rsidRPr="00C626DB">
              <w:rPr>
                <w:rFonts w:ascii="Arial" w:hAnsi="Arial"/>
                <w:noProof/>
                <w:webHidden/>
              </w:rPr>
              <w:tab/>
            </w:r>
            <w:r w:rsidR="003D29CB">
              <w:rPr>
                <w:rFonts w:ascii="Arial" w:hAnsi="Arial"/>
                <w:noProof/>
                <w:webHidden/>
              </w:rPr>
              <w:t>91</w:t>
            </w:r>
          </w:hyperlink>
        </w:p>
        <w:p w14:paraId="7C1532FF" w14:textId="03B17EC2"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31" w:history="1">
            <w:r w:rsidR="005764D1" w:rsidRPr="00C626DB">
              <w:rPr>
                <w:rStyle w:val="Hyperlink"/>
                <w:rFonts w:ascii="Arial" w:hAnsi="Arial"/>
                <w:noProof/>
              </w:rPr>
              <w:t>21 Intangible Assets</w:t>
            </w:r>
            <w:r w:rsidR="005764D1" w:rsidRPr="00C626DB">
              <w:rPr>
                <w:rFonts w:ascii="Arial" w:hAnsi="Arial"/>
                <w:noProof/>
                <w:webHidden/>
              </w:rPr>
              <w:tab/>
            </w:r>
            <w:r w:rsidR="003D29CB">
              <w:rPr>
                <w:rFonts w:ascii="Arial" w:hAnsi="Arial"/>
                <w:noProof/>
                <w:webHidden/>
              </w:rPr>
              <w:t>94</w:t>
            </w:r>
          </w:hyperlink>
        </w:p>
        <w:p w14:paraId="5452627D" w14:textId="3148C445"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32" w:history="1">
            <w:r w:rsidR="005764D1" w:rsidRPr="00C626DB">
              <w:rPr>
                <w:rStyle w:val="Hyperlink"/>
                <w:rFonts w:ascii="Arial" w:hAnsi="Arial"/>
                <w:noProof/>
              </w:rPr>
              <w:t>22 Short and Long Term Debtors</w:t>
            </w:r>
            <w:r w:rsidR="005764D1" w:rsidRPr="00C626DB">
              <w:rPr>
                <w:rFonts w:ascii="Arial" w:hAnsi="Arial"/>
                <w:noProof/>
                <w:webHidden/>
              </w:rPr>
              <w:tab/>
            </w:r>
            <w:r w:rsidR="00AA3041">
              <w:rPr>
                <w:rFonts w:ascii="Arial" w:hAnsi="Arial"/>
                <w:noProof/>
                <w:webHidden/>
              </w:rPr>
              <w:t>96</w:t>
            </w:r>
          </w:hyperlink>
        </w:p>
        <w:p w14:paraId="77992701" w14:textId="01B222E2"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33" w:history="1">
            <w:r w:rsidR="005764D1" w:rsidRPr="00C626DB">
              <w:rPr>
                <w:rStyle w:val="Hyperlink"/>
                <w:rFonts w:ascii="Arial" w:hAnsi="Arial"/>
                <w:noProof/>
              </w:rPr>
              <w:t>23 Cash and Cash Equivalents</w:t>
            </w:r>
            <w:r w:rsidR="005764D1" w:rsidRPr="00C626DB">
              <w:rPr>
                <w:rFonts w:ascii="Arial" w:hAnsi="Arial"/>
                <w:noProof/>
                <w:webHidden/>
              </w:rPr>
              <w:tab/>
            </w:r>
            <w:r w:rsidR="00AA3041">
              <w:rPr>
                <w:rFonts w:ascii="Arial" w:hAnsi="Arial"/>
                <w:noProof/>
                <w:webHidden/>
              </w:rPr>
              <w:t>96</w:t>
            </w:r>
          </w:hyperlink>
        </w:p>
        <w:p w14:paraId="497A4A26" w14:textId="3320F108"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34" w:history="1">
            <w:r w:rsidR="005764D1" w:rsidRPr="00C626DB">
              <w:rPr>
                <w:rStyle w:val="Hyperlink"/>
                <w:rFonts w:ascii="Arial" w:hAnsi="Arial"/>
                <w:noProof/>
              </w:rPr>
              <w:t>24 Short and Long Term Creditors</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_Toc109922634 \h </w:instrText>
            </w:r>
            <w:r w:rsidR="005764D1" w:rsidRPr="00C626DB">
              <w:rPr>
                <w:rFonts w:ascii="Arial" w:hAnsi="Arial"/>
                <w:noProof/>
                <w:webHidden/>
              </w:rPr>
            </w:r>
            <w:r w:rsidR="005764D1" w:rsidRPr="00C626DB">
              <w:rPr>
                <w:rFonts w:ascii="Arial" w:hAnsi="Arial"/>
                <w:noProof/>
                <w:webHidden/>
              </w:rPr>
              <w:fldChar w:fldCharType="separate"/>
            </w:r>
            <w:r w:rsidR="00AA3041">
              <w:rPr>
                <w:rFonts w:ascii="Arial" w:hAnsi="Arial"/>
                <w:noProof/>
                <w:webHidden/>
              </w:rPr>
              <w:t>98</w:t>
            </w:r>
            <w:r w:rsidR="005764D1" w:rsidRPr="00C626DB">
              <w:rPr>
                <w:rFonts w:ascii="Arial" w:hAnsi="Arial"/>
                <w:noProof/>
                <w:webHidden/>
              </w:rPr>
              <w:fldChar w:fldCharType="end"/>
            </w:r>
          </w:hyperlink>
        </w:p>
        <w:p w14:paraId="737B6626" w14:textId="7BD49273"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35" w:history="1">
            <w:r w:rsidR="005764D1" w:rsidRPr="00C626DB">
              <w:rPr>
                <w:rStyle w:val="Hyperlink"/>
                <w:rFonts w:ascii="Arial" w:hAnsi="Arial"/>
                <w:noProof/>
              </w:rPr>
              <w:t>25 Short and Long Term Provisions</w:t>
            </w:r>
            <w:r w:rsidR="005764D1" w:rsidRPr="00C626DB">
              <w:rPr>
                <w:rFonts w:ascii="Arial" w:hAnsi="Arial"/>
                <w:noProof/>
                <w:webHidden/>
              </w:rPr>
              <w:tab/>
            </w:r>
            <w:r w:rsidR="00AA3041">
              <w:rPr>
                <w:rFonts w:ascii="Arial" w:hAnsi="Arial"/>
                <w:noProof/>
                <w:webHidden/>
              </w:rPr>
              <w:t>99</w:t>
            </w:r>
          </w:hyperlink>
        </w:p>
        <w:p w14:paraId="600AB18B" w14:textId="609D0FE6"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36" w:history="1">
            <w:r w:rsidR="005764D1" w:rsidRPr="00C626DB">
              <w:rPr>
                <w:rStyle w:val="Hyperlink"/>
                <w:rFonts w:ascii="Arial" w:hAnsi="Arial"/>
                <w:noProof/>
              </w:rPr>
              <w:t>26 Short and Long Term Leases including PFI</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_Toc109922636 \h </w:instrText>
            </w:r>
            <w:r w:rsidR="005764D1" w:rsidRPr="00C626DB">
              <w:rPr>
                <w:rFonts w:ascii="Arial" w:hAnsi="Arial"/>
                <w:noProof/>
                <w:webHidden/>
              </w:rPr>
            </w:r>
            <w:r w:rsidR="005764D1" w:rsidRPr="00C626DB">
              <w:rPr>
                <w:rFonts w:ascii="Arial" w:hAnsi="Arial"/>
                <w:noProof/>
                <w:webHidden/>
              </w:rPr>
              <w:fldChar w:fldCharType="separate"/>
            </w:r>
            <w:r w:rsidR="005764D1" w:rsidRPr="00C626DB">
              <w:rPr>
                <w:rFonts w:ascii="Arial" w:hAnsi="Arial"/>
                <w:noProof/>
                <w:webHidden/>
              </w:rPr>
              <w:t>1</w:t>
            </w:r>
            <w:r w:rsidR="00C71B0C">
              <w:rPr>
                <w:rFonts w:ascii="Arial" w:hAnsi="Arial"/>
                <w:noProof/>
                <w:webHidden/>
              </w:rPr>
              <w:t>00</w:t>
            </w:r>
            <w:r w:rsidR="005764D1" w:rsidRPr="00C626DB">
              <w:rPr>
                <w:rFonts w:ascii="Arial" w:hAnsi="Arial"/>
                <w:noProof/>
                <w:webHidden/>
              </w:rPr>
              <w:fldChar w:fldCharType="end"/>
            </w:r>
          </w:hyperlink>
        </w:p>
        <w:p w14:paraId="154A1783" w14:textId="2085EABF"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37" w:history="1">
            <w:r w:rsidR="005764D1" w:rsidRPr="00C626DB">
              <w:rPr>
                <w:rStyle w:val="Hyperlink"/>
                <w:rFonts w:ascii="Arial" w:hAnsi="Arial"/>
                <w:noProof/>
              </w:rPr>
              <w:t>27 Short and Long Term Deferred Liabilities</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_Toc109922637 \h </w:instrText>
            </w:r>
            <w:r w:rsidR="005764D1" w:rsidRPr="00C626DB">
              <w:rPr>
                <w:rFonts w:ascii="Arial" w:hAnsi="Arial"/>
                <w:noProof/>
                <w:webHidden/>
              </w:rPr>
            </w:r>
            <w:r w:rsidR="005764D1" w:rsidRPr="00C626DB">
              <w:rPr>
                <w:rFonts w:ascii="Arial" w:hAnsi="Arial"/>
                <w:noProof/>
                <w:webHidden/>
              </w:rPr>
              <w:fldChar w:fldCharType="separate"/>
            </w:r>
            <w:r w:rsidR="005764D1" w:rsidRPr="00C626DB">
              <w:rPr>
                <w:rFonts w:ascii="Arial" w:hAnsi="Arial"/>
                <w:noProof/>
                <w:webHidden/>
              </w:rPr>
              <w:t>1</w:t>
            </w:r>
            <w:r w:rsidR="00C71B0C">
              <w:rPr>
                <w:rFonts w:ascii="Arial" w:hAnsi="Arial"/>
                <w:noProof/>
                <w:webHidden/>
              </w:rPr>
              <w:t>02</w:t>
            </w:r>
            <w:r w:rsidR="005764D1" w:rsidRPr="00C626DB">
              <w:rPr>
                <w:rFonts w:ascii="Arial" w:hAnsi="Arial"/>
                <w:noProof/>
                <w:webHidden/>
              </w:rPr>
              <w:fldChar w:fldCharType="end"/>
            </w:r>
          </w:hyperlink>
        </w:p>
        <w:p w14:paraId="5674B349" w14:textId="182F6BDE"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38" w:history="1">
            <w:r w:rsidR="005764D1" w:rsidRPr="00C626DB">
              <w:rPr>
                <w:rStyle w:val="Hyperlink"/>
                <w:rFonts w:ascii="Arial" w:hAnsi="Arial"/>
                <w:noProof/>
              </w:rPr>
              <w:t>28 Unusable Reserves</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_Toc109922638 \h </w:instrText>
            </w:r>
            <w:r w:rsidR="005764D1" w:rsidRPr="00C626DB">
              <w:rPr>
                <w:rFonts w:ascii="Arial" w:hAnsi="Arial"/>
                <w:noProof/>
                <w:webHidden/>
              </w:rPr>
            </w:r>
            <w:r w:rsidR="005764D1" w:rsidRPr="00C626DB">
              <w:rPr>
                <w:rFonts w:ascii="Arial" w:hAnsi="Arial"/>
                <w:noProof/>
                <w:webHidden/>
              </w:rPr>
              <w:fldChar w:fldCharType="separate"/>
            </w:r>
            <w:r w:rsidR="005764D1" w:rsidRPr="00C626DB">
              <w:rPr>
                <w:rFonts w:ascii="Arial" w:hAnsi="Arial"/>
                <w:noProof/>
                <w:webHidden/>
              </w:rPr>
              <w:t>10</w:t>
            </w:r>
            <w:r w:rsidR="00C71B0C">
              <w:rPr>
                <w:rFonts w:ascii="Arial" w:hAnsi="Arial"/>
                <w:noProof/>
                <w:webHidden/>
              </w:rPr>
              <w:t>3</w:t>
            </w:r>
            <w:r w:rsidR="005764D1" w:rsidRPr="00C626DB">
              <w:rPr>
                <w:rFonts w:ascii="Arial" w:hAnsi="Arial"/>
                <w:noProof/>
                <w:webHidden/>
              </w:rPr>
              <w:fldChar w:fldCharType="end"/>
            </w:r>
          </w:hyperlink>
        </w:p>
        <w:p w14:paraId="560EE849" w14:textId="6F9FB195"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39" w:history="1">
            <w:r w:rsidR="005764D1" w:rsidRPr="00C626DB">
              <w:rPr>
                <w:rStyle w:val="Hyperlink"/>
                <w:rFonts w:ascii="Arial" w:hAnsi="Arial"/>
                <w:noProof/>
              </w:rPr>
              <w:t>29 Financial Instruments</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_Toc109922639 \h </w:instrText>
            </w:r>
            <w:r w:rsidR="005764D1" w:rsidRPr="00C626DB">
              <w:rPr>
                <w:rFonts w:ascii="Arial" w:hAnsi="Arial"/>
                <w:noProof/>
                <w:webHidden/>
              </w:rPr>
            </w:r>
            <w:r w:rsidR="005764D1" w:rsidRPr="00C626DB">
              <w:rPr>
                <w:rFonts w:ascii="Arial" w:hAnsi="Arial"/>
                <w:noProof/>
                <w:webHidden/>
              </w:rPr>
              <w:fldChar w:fldCharType="separate"/>
            </w:r>
            <w:r w:rsidR="005764D1" w:rsidRPr="00C626DB">
              <w:rPr>
                <w:rFonts w:ascii="Arial" w:hAnsi="Arial"/>
                <w:noProof/>
                <w:webHidden/>
              </w:rPr>
              <w:t>1</w:t>
            </w:r>
            <w:r w:rsidR="00C71B0C">
              <w:rPr>
                <w:rFonts w:ascii="Arial" w:hAnsi="Arial"/>
                <w:noProof/>
                <w:webHidden/>
              </w:rPr>
              <w:t>06</w:t>
            </w:r>
            <w:r w:rsidR="005764D1" w:rsidRPr="00C626DB">
              <w:rPr>
                <w:rFonts w:ascii="Arial" w:hAnsi="Arial"/>
                <w:noProof/>
                <w:webHidden/>
              </w:rPr>
              <w:fldChar w:fldCharType="end"/>
            </w:r>
          </w:hyperlink>
        </w:p>
        <w:p w14:paraId="14F22086" w14:textId="10B04DA0"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40" w:history="1">
            <w:r w:rsidR="005764D1" w:rsidRPr="00C626DB">
              <w:rPr>
                <w:rStyle w:val="Hyperlink"/>
                <w:rFonts w:ascii="Arial" w:hAnsi="Arial"/>
                <w:noProof/>
              </w:rPr>
              <w:t>30 Nature and Extent of Risks Arising from Financial Instruments</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_Toc109922640 \h </w:instrText>
            </w:r>
            <w:r w:rsidR="005764D1" w:rsidRPr="00C626DB">
              <w:rPr>
                <w:rFonts w:ascii="Arial" w:hAnsi="Arial"/>
                <w:noProof/>
                <w:webHidden/>
              </w:rPr>
            </w:r>
            <w:r w:rsidR="005764D1" w:rsidRPr="00C626DB">
              <w:rPr>
                <w:rFonts w:ascii="Arial" w:hAnsi="Arial"/>
                <w:noProof/>
                <w:webHidden/>
              </w:rPr>
              <w:fldChar w:fldCharType="separate"/>
            </w:r>
            <w:r w:rsidR="005764D1" w:rsidRPr="00C626DB">
              <w:rPr>
                <w:rFonts w:ascii="Arial" w:hAnsi="Arial"/>
                <w:noProof/>
                <w:webHidden/>
              </w:rPr>
              <w:t>11</w:t>
            </w:r>
            <w:r w:rsidR="00FC7EAB">
              <w:rPr>
                <w:rFonts w:ascii="Arial" w:hAnsi="Arial"/>
                <w:noProof/>
                <w:webHidden/>
              </w:rPr>
              <w:t>1</w:t>
            </w:r>
            <w:r w:rsidR="005764D1" w:rsidRPr="00C626DB">
              <w:rPr>
                <w:rFonts w:ascii="Arial" w:hAnsi="Arial"/>
                <w:noProof/>
                <w:webHidden/>
              </w:rPr>
              <w:fldChar w:fldCharType="end"/>
            </w:r>
          </w:hyperlink>
        </w:p>
        <w:p w14:paraId="27D66CA7" w14:textId="6754E058"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41" w:history="1">
            <w:r w:rsidR="005764D1" w:rsidRPr="00C626DB">
              <w:rPr>
                <w:rStyle w:val="Hyperlink"/>
                <w:rFonts w:ascii="Arial" w:hAnsi="Arial"/>
                <w:noProof/>
              </w:rPr>
              <w:t>31 Related Party Transactions</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_Toc109922641 \h </w:instrText>
            </w:r>
            <w:r w:rsidR="005764D1" w:rsidRPr="00C626DB">
              <w:rPr>
                <w:rFonts w:ascii="Arial" w:hAnsi="Arial"/>
                <w:noProof/>
                <w:webHidden/>
              </w:rPr>
            </w:r>
            <w:r w:rsidR="005764D1" w:rsidRPr="00C626DB">
              <w:rPr>
                <w:rFonts w:ascii="Arial" w:hAnsi="Arial"/>
                <w:noProof/>
                <w:webHidden/>
              </w:rPr>
              <w:fldChar w:fldCharType="separate"/>
            </w:r>
            <w:r w:rsidR="005764D1" w:rsidRPr="00C626DB">
              <w:rPr>
                <w:rFonts w:ascii="Arial" w:hAnsi="Arial"/>
                <w:noProof/>
                <w:webHidden/>
              </w:rPr>
              <w:t>1</w:t>
            </w:r>
            <w:r w:rsidR="00FC7EAB">
              <w:rPr>
                <w:rFonts w:ascii="Arial" w:hAnsi="Arial"/>
                <w:noProof/>
                <w:webHidden/>
              </w:rPr>
              <w:t>17</w:t>
            </w:r>
            <w:r w:rsidR="005764D1" w:rsidRPr="00C626DB">
              <w:rPr>
                <w:rFonts w:ascii="Arial" w:hAnsi="Arial"/>
                <w:noProof/>
                <w:webHidden/>
              </w:rPr>
              <w:fldChar w:fldCharType="end"/>
            </w:r>
          </w:hyperlink>
        </w:p>
        <w:p w14:paraId="68131071" w14:textId="396116AA"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42" w:history="1">
            <w:r w:rsidR="005764D1" w:rsidRPr="00C626DB">
              <w:rPr>
                <w:rStyle w:val="Hyperlink"/>
                <w:rFonts w:ascii="Arial" w:hAnsi="Arial"/>
                <w:noProof/>
              </w:rPr>
              <w:t>32a Cash Flow Statement - Adjustments to Net Cash Flows from Operating Activities</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_Toc109922642 \h </w:instrText>
            </w:r>
            <w:r w:rsidR="005764D1" w:rsidRPr="00C626DB">
              <w:rPr>
                <w:rFonts w:ascii="Arial" w:hAnsi="Arial"/>
                <w:noProof/>
                <w:webHidden/>
              </w:rPr>
            </w:r>
            <w:r w:rsidR="005764D1" w:rsidRPr="00C626DB">
              <w:rPr>
                <w:rFonts w:ascii="Arial" w:hAnsi="Arial"/>
                <w:noProof/>
                <w:webHidden/>
              </w:rPr>
              <w:fldChar w:fldCharType="separate"/>
            </w:r>
            <w:r w:rsidR="005764D1" w:rsidRPr="00C626DB">
              <w:rPr>
                <w:rFonts w:ascii="Arial" w:hAnsi="Arial"/>
                <w:noProof/>
                <w:webHidden/>
              </w:rPr>
              <w:t>12</w:t>
            </w:r>
            <w:r w:rsidR="00A347F5">
              <w:rPr>
                <w:rFonts w:ascii="Arial" w:hAnsi="Arial"/>
                <w:noProof/>
                <w:webHidden/>
              </w:rPr>
              <w:t>1</w:t>
            </w:r>
            <w:r w:rsidR="005764D1" w:rsidRPr="00C626DB">
              <w:rPr>
                <w:rFonts w:ascii="Arial" w:hAnsi="Arial"/>
                <w:noProof/>
                <w:webHidden/>
              </w:rPr>
              <w:fldChar w:fldCharType="end"/>
            </w:r>
          </w:hyperlink>
        </w:p>
        <w:p w14:paraId="3E6AADB8" w14:textId="4E8C38BA"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43" w:history="1">
            <w:r w:rsidR="005764D1" w:rsidRPr="00C626DB">
              <w:rPr>
                <w:rStyle w:val="Hyperlink"/>
                <w:rFonts w:ascii="Arial" w:hAnsi="Arial"/>
                <w:noProof/>
              </w:rPr>
              <w:t>32b Cash Flow Statement - Investing Activities</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_Toc109922643 \h </w:instrText>
            </w:r>
            <w:r w:rsidR="005764D1" w:rsidRPr="00C626DB">
              <w:rPr>
                <w:rFonts w:ascii="Arial" w:hAnsi="Arial"/>
                <w:noProof/>
                <w:webHidden/>
              </w:rPr>
            </w:r>
            <w:r w:rsidR="005764D1" w:rsidRPr="00C626DB">
              <w:rPr>
                <w:rFonts w:ascii="Arial" w:hAnsi="Arial"/>
                <w:noProof/>
                <w:webHidden/>
              </w:rPr>
              <w:fldChar w:fldCharType="separate"/>
            </w:r>
            <w:r w:rsidR="005764D1" w:rsidRPr="00C626DB">
              <w:rPr>
                <w:rFonts w:ascii="Arial" w:hAnsi="Arial"/>
                <w:noProof/>
                <w:webHidden/>
              </w:rPr>
              <w:t>12</w:t>
            </w:r>
            <w:r w:rsidR="00A347F5">
              <w:rPr>
                <w:rFonts w:ascii="Arial" w:hAnsi="Arial"/>
                <w:noProof/>
                <w:webHidden/>
              </w:rPr>
              <w:t>1</w:t>
            </w:r>
            <w:r w:rsidR="005764D1" w:rsidRPr="00C626DB">
              <w:rPr>
                <w:rFonts w:ascii="Arial" w:hAnsi="Arial"/>
                <w:noProof/>
                <w:webHidden/>
              </w:rPr>
              <w:fldChar w:fldCharType="end"/>
            </w:r>
          </w:hyperlink>
        </w:p>
        <w:p w14:paraId="1D97508D" w14:textId="7C77AA34"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44" w:history="1">
            <w:r w:rsidR="005764D1" w:rsidRPr="00C626DB">
              <w:rPr>
                <w:rStyle w:val="Hyperlink"/>
                <w:rFonts w:ascii="Arial" w:hAnsi="Arial"/>
                <w:noProof/>
              </w:rPr>
              <w:t>32c Cash Flow Statement - Financing Activities</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_Toc109922644 \h </w:instrText>
            </w:r>
            <w:r w:rsidR="005764D1" w:rsidRPr="00C626DB">
              <w:rPr>
                <w:rFonts w:ascii="Arial" w:hAnsi="Arial"/>
                <w:noProof/>
                <w:webHidden/>
              </w:rPr>
            </w:r>
            <w:r w:rsidR="005764D1" w:rsidRPr="00C626DB">
              <w:rPr>
                <w:rFonts w:ascii="Arial" w:hAnsi="Arial"/>
                <w:noProof/>
                <w:webHidden/>
              </w:rPr>
              <w:fldChar w:fldCharType="separate"/>
            </w:r>
            <w:r w:rsidR="005764D1" w:rsidRPr="00C626DB">
              <w:rPr>
                <w:rFonts w:ascii="Arial" w:hAnsi="Arial"/>
                <w:noProof/>
                <w:webHidden/>
              </w:rPr>
              <w:t>12</w:t>
            </w:r>
            <w:r w:rsidR="00A347F5">
              <w:rPr>
                <w:rFonts w:ascii="Arial" w:hAnsi="Arial"/>
                <w:noProof/>
                <w:webHidden/>
              </w:rPr>
              <w:t>1</w:t>
            </w:r>
            <w:r w:rsidR="005764D1" w:rsidRPr="00C626DB">
              <w:rPr>
                <w:rFonts w:ascii="Arial" w:hAnsi="Arial"/>
                <w:noProof/>
                <w:webHidden/>
              </w:rPr>
              <w:fldChar w:fldCharType="end"/>
            </w:r>
          </w:hyperlink>
        </w:p>
        <w:p w14:paraId="50F9E97E" w14:textId="6EE93277"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45" w:history="1">
            <w:r w:rsidR="005764D1" w:rsidRPr="00C626DB">
              <w:rPr>
                <w:rStyle w:val="Hyperlink"/>
                <w:rFonts w:ascii="Arial" w:hAnsi="Arial"/>
                <w:noProof/>
              </w:rPr>
              <w:t>32d Cash Flow Statement – Reconciliation of Liabilities Arising from Financing Activities</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_Toc109922645 \h </w:instrText>
            </w:r>
            <w:r w:rsidR="005764D1" w:rsidRPr="00C626DB">
              <w:rPr>
                <w:rFonts w:ascii="Arial" w:hAnsi="Arial"/>
                <w:noProof/>
                <w:webHidden/>
              </w:rPr>
            </w:r>
            <w:r w:rsidR="005764D1" w:rsidRPr="00C626DB">
              <w:rPr>
                <w:rFonts w:ascii="Arial" w:hAnsi="Arial"/>
                <w:noProof/>
                <w:webHidden/>
              </w:rPr>
              <w:fldChar w:fldCharType="separate"/>
            </w:r>
            <w:r w:rsidR="005764D1" w:rsidRPr="00C626DB">
              <w:rPr>
                <w:rFonts w:ascii="Arial" w:hAnsi="Arial"/>
                <w:noProof/>
                <w:webHidden/>
              </w:rPr>
              <w:t>12</w:t>
            </w:r>
            <w:r w:rsidR="00A347F5">
              <w:rPr>
                <w:rFonts w:ascii="Arial" w:hAnsi="Arial"/>
                <w:noProof/>
                <w:webHidden/>
              </w:rPr>
              <w:t>2</w:t>
            </w:r>
            <w:r w:rsidR="005764D1" w:rsidRPr="00C626DB">
              <w:rPr>
                <w:rFonts w:ascii="Arial" w:hAnsi="Arial"/>
                <w:noProof/>
                <w:webHidden/>
              </w:rPr>
              <w:fldChar w:fldCharType="end"/>
            </w:r>
          </w:hyperlink>
        </w:p>
        <w:p w14:paraId="1E7F706D" w14:textId="13D1CF97"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46" w:history="1">
            <w:r w:rsidR="005764D1" w:rsidRPr="00C626DB">
              <w:rPr>
                <w:rStyle w:val="Hyperlink"/>
                <w:rFonts w:ascii="Arial" w:hAnsi="Arial"/>
                <w:noProof/>
              </w:rPr>
              <w:t>33 Defined Benefit Pension Schemes</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_Toc109922646 \h </w:instrText>
            </w:r>
            <w:r w:rsidR="005764D1" w:rsidRPr="00C626DB">
              <w:rPr>
                <w:rFonts w:ascii="Arial" w:hAnsi="Arial"/>
                <w:noProof/>
                <w:webHidden/>
              </w:rPr>
            </w:r>
            <w:r w:rsidR="005764D1" w:rsidRPr="00C626DB">
              <w:rPr>
                <w:rFonts w:ascii="Arial" w:hAnsi="Arial"/>
                <w:noProof/>
                <w:webHidden/>
              </w:rPr>
              <w:fldChar w:fldCharType="separate"/>
            </w:r>
            <w:r w:rsidR="005764D1" w:rsidRPr="00C626DB">
              <w:rPr>
                <w:rFonts w:ascii="Arial" w:hAnsi="Arial"/>
                <w:noProof/>
                <w:webHidden/>
              </w:rPr>
              <w:t>12</w:t>
            </w:r>
            <w:r w:rsidR="00A347F5">
              <w:rPr>
                <w:rFonts w:ascii="Arial" w:hAnsi="Arial"/>
                <w:noProof/>
                <w:webHidden/>
              </w:rPr>
              <w:t>2</w:t>
            </w:r>
            <w:r w:rsidR="005764D1" w:rsidRPr="00C626DB">
              <w:rPr>
                <w:rFonts w:ascii="Arial" w:hAnsi="Arial"/>
                <w:noProof/>
                <w:webHidden/>
              </w:rPr>
              <w:fldChar w:fldCharType="end"/>
            </w:r>
          </w:hyperlink>
        </w:p>
        <w:p w14:paraId="1A08BD6C" w14:textId="1DB77F1C"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47" w:history="1">
            <w:r w:rsidR="005764D1" w:rsidRPr="00C626DB">
              <w:rPr>
                <w:rStyle w:val="Hyperlink"/>
                <w:rFonts w:ascii="Arial" w:hAnsi="Arial"/>
                <w:noProof/>
              </w:rPr>
              <w:t>34 Mayoral General Fund</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_Toc109922647 \h </w:instrText>
            </w:r>
            <w:r w:rsidR="005764D1" w:rsidRPr="00C626DB">
              <w:rPr>
                <w:rFonts w:ascii="Arial" w:hAnsi="Arial"/>
                <w:noProof/>
                <w:webHidden/>
              </w:rPr>
            </w:r>
            <w:r w:rsidR="005764D1" w:rsidRPr="00C626DB">
              <w:rPr>
                <w:rFonts w:ascii="Arial" w:hAnsi="Arial"/>
                <w:noProof/>
                <w:webHidden/>
              </w:rPr>
              <w:fldChar w:fldCharType="separate"/>
            </w:r>
            <w:r w:rsidR="005764D1" w:rsidRPr="00C626DB">
              <w:rPr>
                <w:rFonts w:ascii="Arial" w:hAnsi="Arial"/>
                <w:noProof/>
                <w:webHidden/>
              </w:rPr>
              <w:t>1</w:t>
            </w:r>
            <w:r w:rsidR="00A347F5">
              <w:rPr>
                <w:rFonts w:ascii="Arial" w:hAnsi="Arial"/>
                <w:noProof/>
                <w:webHidden/>
              </w:rPr>
              <w:t>3</w:t>
            </w:r>
            <w:r w:rsidR="00756131">
              <w:rPr>
                <w:rFonts w:ascii="Arial" w:hAnsi="Arial"/>
                <w:noProof/>
                <w:webHidden/>
              </w:rPr>
              <w:t>0</w:t>
            </w:r>
            <w:r w:rsidR="005764D1" w:rsidRPr="00C626DB">
              <w:rPr>
                <w:rFonts w:ascii="Arial" w:hAnsi="Arial"/>
                <w:noProof/>
                <w:webHidden/>
              </w:rPr>
              <w:fldChar w:fldCharType="end"/>
            </w:r>
          </w:hyperlink>
        </w:p>
        <w:p w14:paraId="5C579812" w14:textId="04753371"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48" w:history="1">
            <w:r w:rsidR="005764D1" w:rsidRPr="00C626DB">
              <w:rPr>
                <w:rStyle w:val="Hyperlink"/>
                <w:rFonts w:ascii="Arial" w:hAnsi="Arial"/>
                <w:noProof/>
              </w:rPr>
              <w:t>35 Mayoral Police Fund</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_Toc109922648 \h </w:instrText>
            </w:r>
            <w:r w:rsidR="005764D1" w:rsidRPr="00C626DB">
              <w:rPr>
                <w:rFonts w:ascii="Arial" w:hAnsi="Arial"/>
                <w:noProof/>
                <w:webHidden/>
              </w:rPr>
            </w:r>
            <w:r w:rsidR="005764D1" w:rsidRPr="00C626DB">
              <w:rPr>
                <w:rFonts w:ascii="Arial" w:hAnsi="Arial"/>
                <w:noProof/>
                <w:webHidden/>
              </w:rPr>
              <w:fldChar w:fldCharType="separate"/>
            </w:r>
            <w:r w:rsidR="005764D1" w:rsidRPr="00C626DB">
              <w:rPr>
                <w:rFonts w:ascii="Arial" w:hAnsi="Arial"/>
                <w:noProof/>
                <w:webHidden/>
              </w:rPr>
              <w:t>13</w:t>
            </w:r>
            <w:r w:rsidR="00756131">
              <w:rPr>
                <w:rFonts w:ascii="Arial" w:hAnsi="Arial"/>
                <w:noProof/>
                <w:webHidden/>
              </w:rPr>
              <w:t>3</w:t>
            </w:r>
            <w:r w:rsidR="005764D1" w:rsidRPr="00C626DB">
              <w:rPr>
                <w:rFonts w:ascii="Arial" w:hAnsi="Arial"/>
                <w:noProof/>
                <w:webHidden/>
              </w:rPr>
              <w:fldChar w:fldCharType="end"/>
            </w:r>
          </w:hyperlink>
        </w:p>
        <w:p w14:paraId="2771E174" w14:textId="78B74E5A" w:rsidR="005764D1" w:rsidRPr="00C626DB" w:rsidRDefault="002061DD">
          <w:pPr>
            <w:pStyle w:val="TOC2"/>
            <w:tabs>
              <w:tab w:val="right" w:leader="dot" w:pos="9016"/>
            </w:tabs>
            <w:rPr>
              <w:rFonts w:ascii="Arial" w:eastAsiaTheme="minorEastAsia" w:hAnsi="Arial" w:cstheme="minorBidi"/>
              <w:noProof/>
              <w:szCs w:val="22"/>
              <w:lang w:eastAsia="en-GB"/>
            </w:rPr>
          </w:pPr>
          <w:hyperlink w:anchor="_Toc109922649" w:history="1">
            <w:r w:rsidR="005764D1" w:rsidRPr="00C626DB">
              <w:rPr>
                <w:rStyle w:val="Hyperlink"/>
                <w:rFonts w:ascii="Arial" w:hAnsi="Arial"/>
                <w:noProof/>
              </w:rPr>
              <w:t>Firefighters’ Pension Fund</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_Toc109922649 \h </w:instrText>
            </w:r>
            <w:r w:rsidR="005764D1" w:rsidRPr="00C626DB">
              <w:rPr>
                <w:rFonts w:ascii="Arial" w:hAnsi="Arial"/>
                <w:noProof/>
                <w:webHidden/>
              </w:rPr>
            </w:r>
            <w:r w:rsidR="005764D1" w:rsidRPr="00C626DB">
              <w:rPr>
                <w:rFonts w:ascii="Arial" w:hAnsi="Arial"/>
                <w:noProof/>
                <w:webHidden/>
              </w:rPr>
              <w:fldChar w:fldCharType="separate"/>
            </w:r>
            <w:r w:rsidR="005764D1" w:rsidRPr="00C626DB">
              <w:rPr>
                <w:rFonts w:ascii="Arial" w:hAnsi="Arial"/>
                <w:noProof/>
                <w:webHidden/>
              </w:rPr>
              <w:t>1</w:t>
            </w:r>
            <w:r w:rsidR="00756131">
              <w:rPr>
                <w:rFonts w:ascii="Arial" w:hAnsi="Arial"/>
                <w:noProof/>
                <w:webHidden/>
              </w:rPr>
              <w:t>38</w:t>
            </w:r>
            <w:r w:rsidR="005764D1" w:rsidRPr="00C626DB">
              <w:rPr>
                <w:rFonts w:ascii="Arial" w:hAnsi="Arial"/>
                <w:noProof/>
                <w:webHidden/>
              </w:rPr>
              <w:fldChar w:fldCharType="end"/>
            </w:r>
          </w:hyperlink>
        </w:p>
        <w:p w14:paraId="56E2DCBB" w14:textId="6DDB305E"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50" w:history="1">
            <w:r w:rsidR="005764D1" w:rsidRPr="00C626DB">
              <w:rPr>
                <w:rStyle w:val="Hyperlink"/>
                <w:rFonts w:ascii="Arial" w:hAnsi="Arial"/>
                <w:noProof/>
              </w:rPr>
              <w:t>Firefighters’ Pension Fund Account</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_Toc109922650 \h </w:instrText>
            </w:r>
            <w:r w:rsidR="005764D1" w:rsidRPr="00C626DB">
              <w:rPr>
                <w:rFonts w:ascii="Arial" w:hAnsi="Arial"/>
                <w:noProof/>
                <w:webHidden/>
              </w:rPr>
            </w:r>
            <w:r w:rsidR="005764D1" w:rsidRPr="00C626DB">
              <w:rPr>
                <w:rFonts w:ascii="Arial" w:hAnsi="Arial"/>
                <w:noProof/>
                <w:webHidden/>
              </w:rPr>
              <w:fldChar w:fldCharType="separate"/>
            </w:r>
            <w:r w:rsidR="005764D1" w:rsidRPr="00C626DB">
              <w:rPr>
                <w:rFonts w:ascii="Arial" w:hAnsi="Arial"/>
                <w:noProof/>
                <w:webHidden/>
              </w:rPr>
              <w:t>1</w:t>
            </w:r>
            <w:r w:rsidR="007A1C84">
              <w:rPr>
                <w:rFonts w:ascii="Arial" w:hAnsi="Arial"/>
                <w:noProof/>
                <w:webHidden/>
              </w:rPr>
              <w:t>38</w:t>
            </w:r>
            <w:r w:rsidR="005764D1" w:rsidRPr="00C626DB">
              <w:rPr>
                <w:rFonts w:ascii="Arial" w:hAnsi="Arial"/>
                <w:noProof/>
                <w:webHidden/>
              </w:rPr>
              <w:fldChar w:fldCharType="end"/>
            </w:r>
          </w:hyperlink>
        </w:p>
        <w:p w14:paraId="583AD79C" w14:textId="3D2C79BE"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51" w:history="1">
            <w:r w:rsidR="005764D1" w:rsidRPr="00C626DB">
              <w:rPr>
                <w:rStyle w:val="Hyperlink"/>
                <w:rFonts w:ascii="Arial" w:hAnsi="Arial"/>
                <w:noProof/>
              </w:rPr>
              <w:t>Net asset statement</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_Toc109922651 \h </w:instrText>
            </w:r>
            <w:r w:rsidR="005764D1" w:rsidRPr="00C626DB">
              <w:rPr>
                <w:rFonts w:ascii="Arial" w:hAnsi="Arial"/>
                <w:noProof/>
                <w:webHidden/>
              </w:rPr>
            </w:r>
            <w:r w:rsidR="005764D1" w:rsidRPr="00C626DB">
              <w:rPr>
                <w:rFonts w:ascii="Arial" w:hAnsi="Arial"/>
                <w:noProof/>
                <w:webHidden/>
              </w:rPr>
              <w:fldChar w:fldCharType="separate"/>
            </w:r>
            <w:r w:rsidR="005764D1" w:rsidRPr="00C626DB">
              <w:rPr>
                <w:rFonts w:ascii="Arial" w:hAnsi="Arial"/>
                <w:noProof/>
                <w:webHidden/>
              </w:rPr>
              <w:t>1</w:t>
            </w:r>
            <w:r w:rsidR="007A1C84">
              <w:rPr>
                <w:rFonts w:ascii="Arial" w:hAnsi="Arial"/>
                <w:noProof/>
                <w:webHidden/>
              </w:rPr>
              <w:t>38</w:t>
            </w:r>
            <w:r w:rsidR="005764D1" w:rsidRPr="00C626DB">
              <w:rPr>
                <w:rFonts w:ascii="Arial" w:hAnsi="Arial"/>
                <w:noProof/>
                <w:webHidden/>
              </w:rPr>
              <w:fldChar w:fldCharType="end"/>
            </w:r>
          </w:hyperlink>
        </w:p>
        <w:p w14:paraId="646E682B" w14:textId="4CFE4732" w:rsidR="005764D1" w:rsidRPr="00C626DB" w:rsidRDefault="002061DD">
          <w:pPr>
            <w:pStyle w:val="TOC1"/>
            <w:tabs>
              <w:tab w:val="right" w:leader="dot" w:pos="9016"/>
            </w:tabs>
            <w:rPr>
              <w:rFonts w:ascii="Arial" w:eastAsiaTheme="minorEastAsia" w:hAnsi="Arial" w:cstheme="minorBidi"/>
              <w:noProof/>
              <w:szCs w:val="22"/>
              <w:lang w:eastAsia="en-GB"/>
            </w:rPr>
          </w:pPr>
          <w:hyperlink w:anchor="_Toc109922652" w:history="1">
            <w:r w:rsidR="005764D1" w:rsidRPr="00C626DB">
              <w:rPr>
                <w:rStyle w:val="Hyperlink"/>
                <w:rFonts w:ascii="Arial" w:hAnsi="Arial"/>
                <w:noProof/>
              </w:rPr>
              <w:t>Greater Manchester Combined Authority - Group Accounts</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_Toc109922652 \h </w:instrText>
            </w:r>
            <w:r w:rsidR="005764D1" w:rsidRPr="00C626DB">
              <w:rPr>
                <w:rFonts w:ascii="Arial" w:hAnsi="Arial"/>
                <w:noProof/>
                <w:webHidden/>
              </w:rPr>
            </w:r>
            <w:r w:rsidR="005764D1" w:rsidRPr="00C626DB">
              <w:rPr>
                <w:rFonts w:ascii="Arial" w:hAnsi="Arial"/>
                <w:noProof/>
                <w:webHidden/>
              </w:rPr>
              <w:fldChar w:fldCharType="separate"/>
            </w:r>
            <w:r w:rsidR="005764D1" w:rsidRPr="00C626DB">
              <w:rPr>
                <w:rFonts w:ascii="Arial" w:hAnsi="Arial"/>
                <w:noProof/>
                <w:webHidden/>
              </w:rPr>
              <w:t>1</w:t>
            </w:r>
            <w:r w:rsidR="00B13465">
              <w:rPr>
                <w:rFonts w:ascii="Arial" w:hAnsi="Arial"/>
                <w:noProof/>
                <w:webHidden/>
              </w:rPr>
              <w:t>40</w:t>
            </w:r>
            <w:r w:rsidR="005764D1" w:rsidRPr="00C626DB">
              <w:rPr>
                <w:rFonts w:ascii="Arial" w:hAnsi="Arial"/>
                <w:noProof/>
                <w:webHidden/>
              </w:rPr>
              <w:fldChar w:fldCharType="end"/>
            </w:r>
          </w:hyperlink>
        </w:p>
        <w:p w14:paraId="6F617EBD" w14:textId="5EF92CD1" w:rsidR="005764D1" w:rsidRPr="00C626DB" w:rsidRDefault="002061DD">
          <w:pPr>
            <w:pStyle w:val="TOC1"/>
            <w:tabs>
              <w:tab w:val="right" w:leader="dot" w:pos="9016"/>
            </w:tabs>
            <w:rPr>
              <w:rFonts w:ascii="Arial" w:eastAsiaTheme="minorEastAsia" w:hAnsi="Arial" w:cstheme="minorBidi"/>
              <w:noProof/>
              <w:szCs w:val="22"/>
              <w:lang w:eastAsia="en-GB"/>
            </w:rPr>
          </w:pPr>
          <w:hyperlink w:anchor="_Toc109922659" w:history="1">
            <w:r w:rsidR="005764D1" w:rsidRPr="00C626DB">
              <w:rPr>
                <w:rStyle w:val="Hyperlink"/>
                <w:rFonts w:ascii="Arial" w:hAnsi="Arial"/>
                <w:noProof/>
              </w:rPr>
              <w:t>Greater Manchester Combined Authority – Group Financial Statements</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_Toc109922659 \h </w:instrText>
            </w:r>
            <w:r w:rsidR="005764D1" w:rsidRPr="00C626DB">
              <w:rPr>
                <w:rFonts w:ascii="Arial" w:hAnsi="Arial"/>
                <w:noProof/>
                <w:webHidden/>
              </w:rPr>
            </w:r>
            <w:r w:rsidR="005764D1" w:rsidRPr="00C626DB">
              <w:rPr>
                <w:rFonts w:ascii="Arial" w:hAnsi="Arial"/>
                <w:noProof/>
                <w:webHidden/>
              </w:rPr>
              <w:fldChar w:fldCharType="separate"/>
            </w:r>
            <w:r w:rsidR="005764D1" w:rsidRPr="00C626DB">
              <w:rPr>
                <w:rFonts w:ascii="Arial" w:hAnsi="Arial"/>
                <w:noProof/>
                <w:webHidden/>
              </w:rPr>
              <w:t>14</w:t>
            </w:r>
            <w:r w:rsidR="00CC7A30">
              <w:rPr>
                <w:rFonts w:ascii="Arial" w:hAnsi="Arial"/>
                <w:noProof/>
                <w:webHidden/>
              </w:rPr>
              <w:t>3</w:t>
            </w:r>
            <w:r w:rsidR="005764D1" w:rsidRPr="00C626DB">
              <w:rPr>
                <w:rFonts w:ascii="Arial" w:hAnsi="Arial"/>
                <w:noProof/>
                <w:webHidden/>
              </w:rPr>
              <w:fldChar w:fldCharType="end"/>
            </w:r>
          </w:hyperlink>
        </w:p>
        <w:p w14:paraId="0A481D49" w14:textId="67942F63" w:rsidR="005764D1" w:rsidRPr="00C626DB" w:rsidRDefault="002061DD">
          <w:pPr>
            <w:pStyle w:val="TOC2"/>
            <w:tabs>
              <w:tab w:val="right" w:leader="dot" w:pos="9016"/>
            </w:tabs>
            <w:rPr>
              <w:rFonts w:ascii="Arial" w:eastAsiaTheme="minorEastAsia" w:hAnsi="Arial" w:cstheme="minorBidi"/>
              <w:noProof/>
              <w:szCs w:val="22"/>
              <w:lang w:eastAsia="en-GB"/>
            </w:rPr>
          </w:pPr>
          <w:hyperlink w:anchor="_Toc109922660" w:history="1">
            <w:r w:rsidR="005764D1" w:rsidRPr="00C626DB">
              <w:rPr>
                <w:rStyle w:val="Hyperlink"/>
                <w:rFonts w:ascii="Arial" w:hAnsi="Arial"/>
                <w:noProof/>
              </w:rPr>
              <w:t>Group Comprehensive Income and Expenditure Statement</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_Toc109922660 \h </w:instrText>
            </w:r>
            <w:r w:rsidR="005764D1" w:rsidRPr="00C626DB">
              <w:rPr>
                <w:rFonts w:ascii="Arial" w:hAnsi="Arial"/>
                <w:noProof/>
                <w:webHidden/>
              </w:rPr>
            </w:r>
            <w:r w:rsidR="005764D1" w:rsidRPr="00C626DB">
              <w:rPr>
                <w:rFonts w:ascii="Arial" w:hAnsi="Arial"/>
                <w:noProof/>
                <w:webHidden/>
              </w:rPr>
              <w:fldChar w:fldCharType="separate"/>
            </w:r>
            <w:r w:rsidR="005764D1" w:rsidRPr="00C626DB">
              <w:rPr>
                <w:rFonts w:ascii="Arial" w:hAnsi="Arial"/>
                <w:noProof/>
                <w:webHidden/>
              </w:rPr>
              <w:t>14</w:t>
            </w:r>
            <w:r w:rsidR="00CC7A30">
              <w:rPr>
                <w:rFonts w:ascii="Arial" w:hAnsi="Arial"/>
                <w:noProof/>
                <w:webHidden/>
              </w:rPr>
              <w:t>4</w:t>
            </w:r>
            <w:r w:rsidR="005764D1" w:rsidRPr="00C626DB">
              <w:rPr>
                <w:rFonts w:ascii="Arial" w:hAnsi="Arial"/>
                <w:noProof/>
                <w:webHidden/>
              </w:rPr>
              <w:fldChar w:fldCharType="end"/>
            </w:r>
          </w:hyperlink>
        </w:p>
        <w:p w14:paraId="0B98407B" w14:textId="398AEDB1" w:rsidR="005764D1" w:rsidRPr="00C626DB" w:rsidRDefault="002061DD">
          <w:pPr>
            <w:pStyle w:val="TOC2"/>
            <w:tabs>
              <w:tab w:val="right" w:leader="dot" w:pos="9016"/>
            </w:tabs>
            <w:rPr>
              <w:rFonts w:ascii="Arial" w:eastAsiaTheme="minorEastAsia" w:hAnsi="Arial" w:cstheme="minorBidi"/>
              <w:noProof/>
              <w:szCs w:val="22"/>
              <w:lang w:eastAsia="en-GB"/>
            </w:rPr>
          </w:pPr>
          <w:hyperlink w:anchor="_Toc109922661" w:history="1">
            <w:r w:rsidR="005764D1" w:rsidRPr="00C626DB">
              <w:rPr>
                <w:rStyle w:val="Hyperlink"/>
                <w:rFonts w:ascii="Arial" w:hAnsi="Arial"/>
                <w:noProof/>
              </w:rPr>
              <w:t>Group Movement in Reserves Statement</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_Toc109922661 \h </w:instrText>
            </w:r>
            <w:r w:rsidR="005764D1" w:rsidRPr="00C626DB">
              <w:rPr>
                <w:rFonts w:ascii="Arial" w:hAnsi="Arial"/>
                <w:noProof/>
                <w:webHidden/>
              </w:rPr>
            </w:r>
            <w:r w:rsidR="005764D1" w:rsidRPr="00C626DB">
              <w:rPr>
                <w:rFonts w:ascii="Arial" w:hAnsi="Arial"/>
                <w:noProof/>
                <w:webHidden/>
              </w:rPr>
              <w:fldChar w:fldCharType="separate"/>
            </w:r>
            <w:r w:rsidR="005764D1" w:rsidRPr="00C626DB">
              <w:rPr>
                <w:rFonts w:ascii="Arial" w:hAnsi="Arial"/>
                <w:noProof/>
                <w:webHidden/>
              </w:rPr>
              <w:t>14</w:t>
            </w:r>
            <w:r w:rsidR="00923E75">
              <w:rPr>
                <w:rFonts w:ascii="Arial" w:hAnsi="Arial"/>
                <w:noProof/>
                <w:webHidden/>
              </w:rPr>
              <w:t>5</w:t>
            </w:r>
            <w:r w:rsidR="005764D1" w:rsidRPr="00C626DB">
              <w:rPr>
                <w:rFonts w:ascii="Arial" w:hAnsi="Arial"/>
                <w:noProof/>
                <w:webHidden/>
              </w:rPr>
              <w:fldChar w:fldCharType="end"/>
            </w:r>
          </w:hyperlink>
        </w:p>
        <w:p w14:paraId="6AEE62AE" w14:textId="5F8B2FD5" w:rsidR="005764D1" w:rsidRPr="00C626DB" w:rsidRDefault="002061DD">
          <w:pPr>
            <w:pStyle w:val="TOC2"/>
            <w:tabs>
              <w:tab w:val="right" w:leader="dot" w:pos="9016"/>
            </w:tabs>
            <w:rPr>
              <w:rFonts w:ascii="Arial" w:eastAsiaTheme="minorEastAsia" w:hAnsi="Arial" w:cstheme="minorBidi"/>
              <w:noProof/>
              <w:szCs w:val="22"/>
              <w:lang w:eastAsia="en-GB"/>
            </w:rPr>
          </w:pPr>
          <w:hyperlink w:anchor="_Toc109922662" w:history="1">
            <w:r w:rsidR="005764D1" w:rsidRPr="00C626DB">
              <w:rPr>
                <w:rStyle w:val="Hyperlink"/>
                <w:rFonts w:ascii="Arial" w:hAnsi="Arial"/>
                <w:noProof/>
              </w:rPr>
              <w:t>Group Balance Sheet</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_Toc109922662 \h </w:instrText>
            </w:r>
            <w:r w:rsidR="005764D1" w:rsidRPr="00C626DB">
              <w:rPr>
                <w:rFonts w:ascii="Arial" w:hAnsi="Arial"/>
                <w:noProof/>
                <w:webHidden/>
              </w:rPr>
            </w:r>
            <w:r w:rsidR="005764D1" w:rsidRPr="00C626DB">
              <w:rPr>
                <w:rFonts w:ascii="Arial" w:hAnsi="Arial"/>
                <w:noProof/>
                <w:webHidden/>
              </w:rPr>
              <w:fldChar w:fldCharType="separate"/>
            </w:r>
            <w:r w:rsidR="005764D1" w:rsidRPr="00C626DB">
              <w:rPr>
                <w:rFonts w:ascii="Arial" w:hAnsi="Arial"/>
                <w:noProof/>
                <w:webHidden/>
              </w:rPr>
              <w:t>14</w:t>
            </w:r>
            <w:r w:rsidR="00923E75">
              <w:rPr>
                <w:rFonts w:ascii="Arial" w:hAnsi="Arial"/>
                <w:noProof/>
                <w:webHidden/>
              </w:rPr>
              <w:t>6</w:t>
            </w:r>
            <w:r w:rsidR="005764D1" w:rsidRPr="00C626DB">
              <w:rPr>
                <w:rFonts w:ascii="Arial" w:hAnsi="Arial"/>
                <w:noProof/>
                <w:webHidden/>
              </w:rPr>
              <w:fldChar w:fldCharType="end"/>
            </w:r>
          </w:hyperlink>
        </w:p>
        <w:p w14:paraId="564CAFA9" w14:textId="4206F937" w:rsidR="005764D1" w:rsidRPr="00C626DB" w:rsidRDefault="002061DD">
          <w:pPr>
            <w:pStyle w:val="TOC2"/>
            <w:tabs>
              <w:tab w:val="right" w:leader="dot" w:pos="9016"/>
            </w:tabs>
            <w:rPr>
              <w:rFonts w:ascii="Arial" w:eastAsiaTheme="minorEastAsia" w:hAnsi="Arial" w:cstheme="minorBidi"/>
              <w:noProof/>
              <w:szCs w:val="22"/>
              <w:lang w:eastAsia="en-GB"/>
            </w:rPr>
          </w:pPr>
          <w:hyperlink w:anchor="_Toc109922663" w:history="1">
            <w:r w:rsidR="005764D1" w:rsidRPr="00C626DB">
              <w:rPr>
                <w:rStyle w:val="Hyperlink"/>
                <w:rFonts w:ascii="Arial" w:hAnsi="Arial"/>
                <w:noProof/>
              </w:rPr>
              <w:t>Group Cash Flow Statement</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_Toc109922663 \h </w:instrText>
            </w:r>
            <w:r w:rsidR="005764D1" w:rsidRPr="00C626DB">
              <w:rPr>
                <w:rFonts w:ascii="Arial" w:hAnsi="Arial"/>
                <w:noProof/>
                <w:webHidden/>
              </w:rPr>
            </w:r>
            <w:r w:rsidR="005764D1" w:rsidRPr="00C626DB">
              <w:rPr>
                <w:rFonts w:ascii="Arial" w:hAnsi="Arial"/>
                <w:noProof/>
                <w:webHidden/>
              </w:rPr>
              <w:fldChar w:fldCharType="separate"/>
            </w:r>
            <w:r w:rsidR="005764D1" w:rsidRPr="00C626DB">
              <w:rPr>
                <w:rFonts w:ascii="Arial" w:hAnsi="Arial"/>
                <w:noProof/>
                <w:webHidden/>
              </w:rPr>
              <w:t>1</w:t>
            </w:r>
            <w:r w:rsidR="00923E75">
              <w:rPr>
                <w:rFonts w:ascii="Arial" w:hAnsi="Arial"/>
                <w:noProof/>
                <w:webHidden/>
              </w:rPr>
              <w:t>47</w:t>
            </w:r>
            <w:r w:rsidR="005764D1" w:rsidRPr="00C626DB">
              <w:rPr>
                <w:rFonts w:ascii="Arial" w:hAnsi="Arial"/>
                <w:noProof/>
                <w:webHidden/>
              </w:rPr>
              <w:fldChar w:fldCharType="end"/>
            </w:r>
          </w:hyperlink>
        </w:p>
        <w:p w14:paraId="56FBC960" w14:textId="01AA7DE9" w:rsidR="005764D1" w:rsidRPr="00C626DB" w:rsidRDefault="002061DD">
          <w:pPr>
            <w:pStyle w:val="TOC1"/>
            <w:tabs>
              <w:tab w:val="right" w:leader="dot" w:pos="9016"/>
            </w:tabs>
            <w:rPr>
              <w:rFonts w:ascii="Arial" w:eastAsiaTheme="minorEastAsia" w:hAnsi="Arial" w:cstheme="minorBidi"/>
              <w:noProof/>
              <w:szCs w:val="22"/>
              <w:lang w:eastAsia="en-GB"/>
            </w:rPr>
          </w:pPr>
          <w:hyperlink w:anchor="_Toc109922664" w:history="1">
            <w:r w:rsidR="005764D1" w:rsidRPr="00C626DB">
              <w:rPr>
                <w:rStyle w:val="Hyperlink"/>
                <w:rFonts w:ascii="Arial" w:hAnsi="Arial"/>
                <w:noProof/>
              </w:rPr>
              <w:t>Notes to the Group Financial Statements</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_Toc109922664 \h </w:instrText>
            </w:r>
            <w:r w:rsidR="005764D1" w:rsidRPr="00C626DB">
              <w:rPr>
                <w:rFonts w:ascii="Arial" w:hAnsi="Arial"/>
                <w:noProof/>
                <w:webHidden/>
              </w:rPr>
            </w:r>
            <w:r w:rsidR="005764D1" w:rsidRPr="00C626DB">
              <w:rPr>
                <w:rFonts w:ascii="Arial" w:hAnsi="Arial"/>
                <w:noProof/>
                <w:webHidden/>
              </w:rPr>
              <w:fldChar w:fldCharType="separate"/>
            </w:r>
            <w:r w:rsidR="005764D1" w:rsidRPr="00C626DB">
              <w:rPr>
                <w:rFonts w:ascii="Arial" w:hAnsi="Arial"/>
                <w:noProof/>
                <w:webHidden/>
              </w:rPr>
              <w:t>1</w:t>
            </w:r>
            <w:r w:rsidR="00923E75">
              <w:rPr>
                <w:rFonts w:ascii="Arial" w:hAnsi="Arial"/>
                <w:noProof/>
                <w:webHidden/>
              </w:rPr>
              <w:t>48</w:t>
            </w:r>
            <w:r w:rsidR="005764D1" w:rsidRPr="00C626DB">
              <w:rPr>
                <w:rFonts w:ascii="Arial" w:hAnsi="Arial"/>
                <w:noProof/>
                <w:webHidden/>
              </w:rPr>
              <w:fldChar w:fldCharType="end"/>
            </w:r>
          </w:hyperlink>
        </w:p>
        <w:p w14:paraId="14693FB2" w14:textId="77CC3FF1"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65" w:history="1">
            <w:r w:rsidR="005764D1" w:rsidRPr="00C626DB">
              <w:rPr>
                <w:rStyle w:val="Hyperlink"/>
                <w:rFonts w:ascii="Arial" w:hAnsi="Arial"/>
                <w:noProof/>
              </w:rPr>
              <w:t>36 Group Accounting Policies</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_Toc109922665 \h </w:instrText>
            </w:r>
            <w:r w:rsidR="005764D1" w:rsidRPr="00C626DB">
              <w:rPr>
                <w:rFonts w:ascii="Arial" w:hAnsi="Arial"/>
                <w:noProof/>
                <w:webHidden/>
              </w:rPr>
            </w:r>
            <w:r w:rsidR="005764D1" w:rsidRPr="00C626DB">
              <w:rPr>
                <w:rFonts w:ascii="Arial" w:hAnsi="Arial"/>
                <w:noProof/>
                <w:webHidden/>
              </w:rPr>
              <w:fldChar w:fldCharType="separate"/>
            </w:r>
            <w:r w:rsidR="005764D1" w:rsidRPr="00C626DB">
              <w:rPr>
                <w:rFonts w:ascii="Arial" w:hAnsi="Arial"/>
                <w:noProof/>
                <w:webHidden/>
              </w:rPr>
              <w:t>1</w:t>
            </w:r>
            <w:r w:rsidR="00923E75">
              <w:rPr>
                <w:rFonts w:ascii="Arial" w:hAnsi="Arial"/>
                <w:noProof/>
                <w:webHidden/>
              </w:rPr>
              <w:t>49</w:t>
            </w:r>
            <w:r w:rsidR="005764D1" w:rsidRPr="00C626DB">
              <w:rPr>
                <w:rFonts w:ascii="Arial" w:hAnsi="Arial"/>
                <w:noProof/>
                <w:webHidden/>
              </w:rPr>
              <w:fldChar w:fldCharType="end"/>
            </w:r>
          </w:hyperlink>
        </w:p>
        <w:p w14:paraId="24BD3EA5" w14:textId="2CBA8BC2"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66" w:history="1">
            <w:r w:rsidR="005764D1" w:rsidRPr="00C626DB">
              <w:rPr>
                <w:rStyle w:val="Hyperlink"/>
                <w:rFonts w:ascii="Arial" w:hAnsi="Arial"/>
                <w:noProof/>
              </w:rPr>
              <w:t>37a Group Expenditure and Funding Analysis</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_Toc109922666 \h </w:instrText>
            </w:r>
            <w:r w:rsidR="005764D1" w:rsidRPr="00C626DB">
              <w:rPr>
                <w:rFonts w:ascii="Arial" w:hAnsi="Arial"/>
                <w:noProof/>
                <w:webHidden/>
              </w:rPr>
            </w:r>
            <w:r w:rsidR="005764D1" w:rsidRPr="00C626DB">
              <w:rPr>
                <w:rFonts w:ascii="Arial" w:hAnsi="Arial"/>
                <w:noProof/>
                <w:webHidden/>
              </w:rPr>
              <w:fldChar w:fldCharType="separate"/>
            </w:r>
            <w:r w:rsidR="005764D1" w:rsidRPr="00C626DB">
              <w:rPr>
                <w:rFonts w:ascii="Arial" w:hAnsi="Arial"/>
                <w:noProof/>
                <w:webHidden/>
              </w:rPr>
              <w:t>15</w:t>
            </w:r>
            <w:r w:rsidR="007477F7">
              <w:rPr>
                <w:rFonts w:ascii="Arial" w:hAnsi="Arial"/>
                <w:noProof/>
                <w:webHidden/>
              </w:rPr>
              <w:t>2</w:t>
            </w:r>
            <w:r w:rsidR="005764D1" w:rsidRPr="00C626DB">
              <w:rPr>
                <w:rFonts w:ascii="Arial" w:hAnsi="Arial"/>
                <w:noProof/>
                <w:webHidden/>
              </w:rPr>
              <w:fldChar w:fldCharType="end"/>
            </w:r>
          </w:hyperlink>
        </w:p>
        <w:p w14:paraId="0B191583" w14:textId="3EA871A4"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67" w:history="1">
            <w:r w:rsidR="005764D1" w:rsidRPr="00C626DB">
              <w:rPr>
                <w:rStyle w:val="Hyperlink"/>
                <w:rFonts w:ascii="Arial" w:hAnsi="Arial"/>
                <w:noProof/>
              </w:rPr>
              <w:t>37b Note to the Group Expenditure and Funding Analysis</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_Toc109922667 \h </w:instrText>
            </w:r>
            <w:r w:rsidR="005764D1" w:rsidRPr="00C626DB">
              <w:rPr>
                <w:rFonts w:ascii="Arial" w:hAnsi="Arial"/>
                <w:noProof/>
                <w:webHidden/>
              </w:rPr>
            </w:r>
            <w:r w:rsidR="005764D1" w:rsidRPr="00C626DB">
              <w:rPr>
                <w:rFonts w:ascii="Arial" w:hAnsi="Arial"/>
                <w:noProof/>
                <w:webHidden/>
              </w:rPr>
              <w:fldChar w:fldCharType="separate"/>
            </w:r>
            <w:r w:rsidR="005764D1" w:rsidRPr="00C626DB">
              <w:rPr>
                <w:rFonts w:ascii="Arial" w:hAnsi="Arial"/>
                <w:noProof/>
                <w:webHidden/>
              </w:rPr>
              <w:t>15</w:t>
            </w:r>
            <w:r w:rsidR="007477F7">
              <w:rPr>
                <w:rFonts w:ascii="Arial" w:hAnsi="Arial"/>
                <w:noProof/>
                <w:webHidden/>
              </w:rPr>
              <w:t>3</w:t>
            </w:r>
            <w:r w:rsidR="005764D1" w:rsidRPr="00C626DB">
              <w:rPr>
                <w:rFonts w:ascii="Arial" w:hAnsi="Arial"/>
                <w:noProof/>
                <w:webHidden/>
              </w:rPr>
              <w:fldChar w:fldCharType="end"/>
            </w:r>
          </w:hyperlink>
        </w:p>
        <w:p w14:paraId="5C5B06B3" w14:textId="62439008"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68" w:history="1">
            <w:r w:rsidR="005764D1" w:rsidRPr="00C626DB">
              <w:rPr>
                <w:rStyle w:val="Hyperlink"/>
                <w:rFonts w:ascii="Arial" w:hAnsi="Arial"/>
                <w:noProof/>
              </w:rPr>
              <w:t>38 Group Adjustments between Accounting Basis and Funding Basis under Regulations</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_Toc109922668 \h </w:instrText>
            </w:r>
            <w:r w:rsidR="005764D1" w:rsidRPr="00C626DB">
              <w:rPr>
                <w:rFonts w:ascii="Arial" w:hAnsi="Arial"/>
                <w:noProof/>
                <w:webHidden/>
              </w:rPr>
            </w:r>
            <w:r w:rsidR="005764D1" w:rsidRPr="00C626DB">
              <w:rPr>
                <w:rFonts w:ascii="Arial" w:hAnsi="Arial"/>
                <w:noProof/>
                <w:webHidden/>
              </w:rPr>
              <w:fldChar w:fldCharType="separate"/>
            </w:r>
            <w:r w:rsidR="005764D1" w:rsidRPr="00C626DB">
              <w:rPr>
                <w:rFonts w:ascii="Arial" w:hAnsi="Arial"/>
                <w:noProof/>
                <w:webHidden/>
              </w:rPr>
              <w:t>15</w:t>
            </w:r>
            <w:r w:rsidR="007477F7">
              <w:rPr>
                <w:rFonts w:ascii="Arial" w:hAnsi="Arial"/>
                <w:noProof/>
                <w:webHidden/>
              </w:rPr>
              <w:t>4</w:t>
            </w:r>
            <w:r w:rsidR="005764D1" w:rsidRPr="00C626DB">
              <w:rPr>
                <w:rFonts w:ascii="Arial" w:hAnsi="Arial"/>
                <w:noProof/>
                <w:webHidden/>
              </w:rPr>
              <w:fldChar w:fldCharType="end"/>
            </w:r>
          </w:hyperlink>
        </w:p>
        <w:p w14:paraId="2B1CDF24" w14:textId="0283C238"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69" w:history="1">
            <w:r w:rsidR="005764D1" w:rsidRPr="00C626DB">
              <w:rPr>
                <w:rStyle w:val="Hyperlink"/>
                <w:rFonts w:ascii="Arial" w:hAnsi="Arial"/>
                <w:noProof/>
              </w:rPr>
              <w:t>39 Transfers (to)/from Group Earmarked Reserves</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_Toc109922669 \h </w:instrText>
            </w:r>
            <w:r w:rsidR="005764D1" w:rsidRPr="00C626DB">
              <w:rPr>
                <w:rFonts w:ascii="Arial" w:hAnsi="Arial"/>
                <w:noProof/>
                <w:webHidden/>
              </w:rPr>
            </w:r>
            <w:r w:rsidR="005764D1" w:rsidRPr="00C626DB">
              <w:rPr>
                <w:rFonts w:ascii="Arial" w:hAnsi="Arial"/>
                <w:noProof/>
                <w:webHidden/>
              </w:rPr>
              <w:fldChar w:fldCharType="separate"/>
            </w:r>
            <w:r w:rsidR="005764D1" w:rsidRPr="00C626DB">
              <w:rPr>
                <w:rFonts w:ascii="Arial" w:hAnsi="Arial"/>
                <w:noProof/>
                <w:webHidden/>
              </w:rPr>
              <w:t>15</w:t>
            </w:r>
            <w:r w:rsidR="007477F7">
              <w:rPr>
                <w:rFonts w:ascii="Arial" w:hAnsi="Arial"/>
                <w:noProof/>
                <w:webHidden/>
              </w:rPr>
              <w:t>5</w:t>
            </w:r>
            <w:r w:rsidR="005764D1" w:rsidRPr="00C626DB">
              <w:rPr>
                <w:rFonts w:ascii="Arial" w:hAnsi="Arial"/>
                <w:noProof/>
                <w:webHidden/>
              </w:rPr>
              <w:fldChar w:fldCharType="end"/>
            </w:r>
          </w:hyperlink>
        </w:p>
        <w:p w14:paraId="2C61DEF3" w14:textId="688CF3FD"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71" w:history="1">
            <w:r w:rsidR="005764D1" w:rsidRPr="00C626DB">
              <w:rPr>
                <w:rStyle w:val="Hyperlink"/>
                <w:rFonts w:ascii="Arial" w:hAnsi="Arial"/>
                <w:noProof/>
              </w:rPr>
              <w:t>40 Purpose of Group Earmarked Reserves</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_Toc109922671 \h </w:instrText>
            </w:r>
            <w:r w:rsidR="005764D1" w:rsidRPr="00C626DB">
              <w:rPr>
                <w:rFonts w:ascii="Arial" w:hAnsi="Arial"/>
                <w:noProof/>
                <w:webHidden/>
              </w:rPr>
            </w:r>
            <w:r w:rsidR="005764D1" w:rsidRPr="00C626DB">
              <w:rPr>
                <w:rFonts w:ascii="Arial" w:hAnsi="Arial"/>
                <w:noProof/>
                <w:webHidden/>
              </w:rPr>
              <w:fldChar w:fldCharType="separate"/>
            </w:r>
            <w:r w:rsidR="005764D1" w:rsidRPr="00C626DB">
              <w:rPr>
                <w:rFonts w:ascii="Arial" w:hAnsi="Arial"/>
                <w:noProof/>
                <w:webHidden/>
              </w:rPr>
              <w:t>15</w:t>
            </w:r>
            <w:r w:rsidR="00A61B71">
              <w:rPr>
                <w:rFonts w:ascii="Arial" w:hAnsi="Arial"/>
                <w:noProof/>
                <w:webHidden/>
              </w:rPr>
              <w:t>6</w:t>
            </w:r>
            <w:r w:rsidR="005764D1" w:rsidRPr="00C626DB">
              <w:rPr>
                <w:rFonts w:ascii="Arial" w:hAnsi="Arial"/>
                <w:noProof/>
                <w:webHidden/>
              </w:rPr>
              <w:fldChar w:fldCharType="end"/>
            </w:r>
          </w:hyperlink>
        </w:p>
        <w:p w14:paraId="41B2CD7E" w14:textId="56E0A88E"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72" w:history="1">
            <w:r w:rsidR="005764D1" w:rsidRPr="00C626DB">
              <w:rPr>
                <w:rStyle w:val="Hyperlink"/>
                <w:rFonts w:ascii="Arial" w:hAnsi="Arial"/>
                <w:noProof/>
              </w:rPr>
              <w:t>41 Group Nature of Income and Expenditure</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_Toc109922672 \h </w:instrText>
            </w:r>
            <w:r w:rsidR="005764D1" w:rsidRPr="00C626DB">
              <w:rPr>
                <w:rFonts w:ascii="Arial" w:hAnsi="Arial"/>
                <w:noProof/>
                <w:webHidden/>
              </w:rPr>
            </w:r>
            <w:r w:rsidR="005764D1" w:rsidRPr="00C626DB">
              <w:rPr>
                <w:rFonts w:ascii="Arial" w:hAnsi="Arial"/>
                <w:noProof/>
                <w:webHidden/>
              </w:rPr>
              <w:fldChar w:fldCharType="separate"/>
            </w:r>
            <w:r w:rsidR="005764D1" w:rsidRPr="00C626DB">
              <w:rPr>
                <w:rFonts w:ascii="Arial" w:hAnsi="Arial"/>
                <w:noProof/>
                <w:webHidden/>
              </w:rPr>
              <w:t>1</w:t>
            </w:r>
            <w:r w:rsidR="00E33D12">
              <w:rPr>
                <w:rFonts w:ascii="Arial" w:hAnsi="Arial"/>
                <w:noProof/>
                <w:webHidden/>
              </w:rPr>
              <w:t>57</w:t>
            </w:r>
            <w:r w:rsidR="005764D1" w:rsidRPr="00C626DB">
              <w:rPr>
                <w:rFonts w:ascii="Arial" w:hAnsi="Arial"/>
                <w:noProof/>
                <w:webHidden/>
              </w:rPr>
              <w:fldChar w:fldCharType="end"/>
            </w:r>
          </w:hyperlink>
        </w:p>
        <w:p w14:paraId="038243FA" w14:textId="306179C7"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73" w:history="1">
            <w:r w:rsidR="005764D1" w:rsidRPr="00C626DB">
              <w:rPr>
                <w:rStyle w:val="Hyperlink"/>
                <w:rFonts w:ascii="Arial" w:hAnsi="Arial"/>
                <w:noProof/>
              </w:rPr>
              <w:t>42 Group Financing and Investment Expenditure and Income</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_Toc109922673 \h </w:instrText>
            </w:r>
            <w:r w:rsidR="005764D1" w:rsidRPr="00C626DB">
              <w:rPr>
                <w:rFonts w:ascii="Arial" w:hAnsi="Arial"/>
                <w:noProof/>
                <w:webHidden/>
              </w:rPr>
            </w:r>
            <w:r w:rsidR="005764D1" w:rsidRPr="00C626DB">
              <w:rPr>
                <w:rFonts w:ascii="Arial" w:hAnsi="Arial"/>
                <w:noProof/>
                <w:webHidden/>
              </w:rPr>
              <w:fldChar w:fldCharType="separate"/>
            </w:r>
            <w:r w:rsidR="005764D1" w:rsidRPr="00C626DB">
              <w:rPr>
                <w:rFonts w:ascii="Arial" w:hAnsi="Arial"/>
                <w:noProof/>
                <w:webHidden/>
              </w:rPr>
              <w:t>1</w:t>
            </w:r>
            <w:r w:rsidR="00E33D12">
              <w:rPr>
                <w:rFonts w:ascii="Arial" w:hAnsi="Arial"/>
                <w:noProof/>
                <w:webHidden/>
              </w:rPr>
              <w:t>58</w:t>
            </w:r>
            <w:r w:rsidR="005764D1" w:rsidRPr="00C626DB">
              <w:rPr>
                <w:rFonts w:ascii="Arial" w:hAnsi="Arial"/>
                <w:noProof/>
                <w:webHidden/>
              </w:rPr>
              <w:fldChar w:fldCharType="end"/>
            </w:r>
          </w:hyperlink>
        </w:p>
        <w:p w14:paraId="37768232" w14:textId="7228DEF3"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74" w:history="1">
            <w:r w:rsidR="005764D1" w:rsidRPr="00C626DB">
              <w:rPr>
                <w:rStyle w:val="Hyperlink"/>
                <w:rFonts w:ascii="Arial" w:hAnsi="Arial"/>
                <w:noProof/>
              </w:rPr>
              <w:t>43 Group Taxation and Non-Specific Grant Income</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_Toc109922674 \h </w:instrText>
            </w:r>
            <w:r w:rsidR="005764D1" w:rsidRPr="00C626DB">
              <w:rPr>
                <w:rFonts w:ascii="Arial" w:hAnsi="Arial"/>
                <w:noProof/>
                <w:webHidden/>
              </w:rPr>
            </w:r>
            <w:r w:rsidR="005764D1" w:rsidRPr="00C626DB">
              <w:rPr>
                <w:rFonts w:ascii="Arial" w:hAnsi="Arial"/>
                <w:noProof/>
                <w:webHidden/>
              </w:rPr>
              <w:fldChar w:fldCharType="separate"/>
            </w:r>
            <w:r w:rsidR="005764D1" w:rsidRPr="00C626DB">
              <w:rPr>
                <w:rFonts w:ascii="Arial" w:hAnsi="Arial"/>
                <w:noProof/>
                <w:webHidden/>
              </w:rPr>
              <w:t>1</w:t>
            </w:r>
            <w:r w:rsidR="00E33D12">
              <w:rPr>
                <w:rFonts w:ascii="Arial" w:hAnsi="Arial"/>
                <w:noProof/>
                <w:webHidden/>
              </w:rPr>
              <w:t>58</w:t>
            </w:r>
            <w:r w:rsidR="005764D1" w:rsidRPr="00C626DB">
              <w:rPr>
                <w:rFonts w:ascii="Arial" w:hAnsi="Arial"/>
                <w:noProof/>
                <w:webHidden/>
              </w:rPr>
              <w:fldChar w:fldCharType="end"/>
            </w:r>
          </w:hyperlink>
        </w:p>
        <w:p w14:paraId="586D90BA" w14:textId="4F8641F7"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75" w:history="1">
            <w:r w:rsidR="005764D1" w:rsidRPr="00C626DB">
              <w:rPr>
                <w:rStyle w:val="Hyperlink"/>
                <w:rFonts w:ascii="Arial" w:hAnsi="Arial"/>
                <w:noProof/>
              </w:rPr>
              <w:t>44 Group External Audit Fees</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_Toc109922675 \h </w:instrText>
            </w:r>
            <w:r w:rsidR="005764D1" w:rsidRPr="00C626DB">
              <w:rPr>
                <w:rFonts w:ascii="Arial" w:hAnsi="Arial"/>
                <w:noProof/>
                <w:webHidden/>
              </w:rPr>
            </w:r>
            <w:r w:rsidR="005764D1" w:rsidRPr="00C626DB">
              <w:rPr>
                <w:rFonts w:ascii="Arial" w:hAnsi="Arial"/>
                <w:noProof/>
                <w:webHidden/>
              </w:rPr>
              <w:fldChar w:fldCharType="separate"/>
            </w:r>
            <w:r w:rsidR="005764D1" w:rsidRPr="00C626DB">
              <w:rPr>
                <w:rFonts w:ascii="Arial" w:hAnsi="Arial"/>
                <w:noProof/>
                <w:webHidden/>
              </w:rPr>
              <w:t>1</w:t>
            </w:r>
            <w:r w:rsidR="00E33D12">
              <w:rPr>
                <w:rFonts w:ascii="Arial" w:hAnsi="Arial"/>
                <w:noProof/>
                <w:webHidden/>
              </w:rPr>
              <w:t>59</w:t>
            </w:r>
            <w:r w:rsidR="005764D1" w:rsidRPr="00C626DB">
              <w:rPr>
                <w:rFonts w:ascii="Arial" w:hAnsi="Arial"/>
                <w:noProof/>
                <w:webHidden/>
              </w:rPr>
              <w:fldChar w:fldCharType="end"/>
            </w:r>
          </w:hyperlink>
        </w:p>
        <w:p w14:paraId="7E56243B" w14:textId="249C1596"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76" w:history="1">
            <w:r w:rsidR="005764D1" w:rsidRPr="00C626DB">
              <w:rPr>
                <w:rStyle w:val="Hyperlink"/>
                <w:rFonts w:ascii="Arial" w:hAnsi="Arial"/>
                <w:noProof/>
              </w:rPr>
              <w:t>45 Group Officer Remuneration</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_Toc109922676 \h </w:instrText>
            </w:r>
            <w:r w:rsidR="005764D1" w:rsidRPr="00C626DB">
              <w:rPr>
                <w:rFonts w:ascii="Arial" w:hAnsi="Arial"/>
                <w:noProof/>
                <w:webHidden/>
              </w:rPr>
            </w:r>
            <w:r w:rsidR="005764D1" w:rsidRPr="00C626DB">
              <w:rPr>
                <w:rFonts w:ascii="Arial" w:hAnsi="Arial"/>
                <w:noProof/>
                <w:webHidden/>
              </w:rPr>
              <w:fldChar w:fldCharType="separate"/>
            </w:r>
            <w:r w:rsidR="005764D1" w:rsidRPr="00C626DB">
              <w:rPr>
                <w:rFonts w:ascii="Arial" w:hAnsi="Arial"/>
                <w:noProof/>
                <w:webHidden/>
              </w:rPr>
              <w:t>1</w:t>
            </w:r>
            <w:r w:rsidR="00D543DF">
              <w:rPr>
                <w:rFonts w:ascii="Arial" w:hAnsi="Arial"/>
                <w:noProof/>
                <w:webHidden/>
              </w:rPr>
              <w:t>59</w:t>
            </w:r>
            <w:r w:rsidR="005764D1" w:rsidRPr="00C626DB">
              <w:rPr>
                <w:rFonts w:ascii="Arial" w:hAnsi="Arial"/>
                <w:noProof/>
                <w:webHidden/>
              </w:rPr>
              <w:fldChar w:fldCharType="end"/>
            </w:r>
          </w:hyperlink>
        </w:p>
        <w:p w14:paraId="49B8E484" w14:textId="55306C34"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77" w:history="1">
            <w:r w:rsidR="005764D1" w:rsidRPr="00C626DB">
              <w:rPr>
                <w:rStyle w:val="Hyperlink"/>
                <w:rFonts w:ascii="Arial" w:hAnsi="Arial"/>
                <w:noProof/>
              </w:rPr>
              <w:t>46 Group Capital and Lease Commitments</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_Toc109922677 \h </w:instrText>
            </w:r>
            <w:r w:rsidR="005764D1" w:rsidRPr="00C626DB">
              <w:rPr>
                <w:rFonts w:ascii="Arial" w:hAnsi="Arial"/>
                <w:noProof/>
                <w:webHidden/>
              </w:rPr>
            </w:r>
            <w:r w:rsidR="005764D1" w:rsidRPr="00C626DB">
              <w:rPr>
                <w:rFonts w:ascii="Arial" w:hAnsi="Arial"/>
                <w:noProof/>
                <w:webHidden/>
              </w:rPr>
              <w:fldChar w:fldCharType="separate"/>
            </w:r>
            <w:r w:rsidR="005764D1" w:rsidRPr="00C626DB">
              <w:rPr>
                <w:rFonts w:ascii="Arial" w:hAnsi="Arial"/>
                <w:noProof/>
                <w:webHidden/>
              </w:rPr>
              <w:t>16</w:t>
            </w:r>
            <w:r w:rsidR="00D543DF">
              <w:rPr>
                <w:rFonts w:ascii="Arial" w:hAnsi="Arial"/>
                <w:noProof/>
                <w:webHidden/>
              </w:rPr>
              <w:t>2</w:t>
            </w:r>
            <w:r w:rsidR="005764D1" w:rsidRPr="00C626DB">
              <w:rPr>
                <w:rFonts w:ascii="Arial" w:hAnsi="Arial"/>
                <w:noProof/>
                <w:webHidden/>
              </w:rPr>
              <w:fldChar w:fldCharType="end"/>
            </w:r>
          </w:hyperlink>
        </w:p>
        <w:p w14:paraId="4F789B3E" w14:textId="57B10AA1" w:rsidR="005764D1" w:rsidRPr="00C626DB" w:rsidRDefault="002061DD" w:rsidP="00D543DF">
          <w:pPr>
            <w:pStyle w:val="TOC3"/>
            <w:tabs>
              <w:tab w:val="right" w:leader="dot" w:pos="9016"/>
            </w:tabs>
            <w:rPr>
              <w:rFonts w:ascii="Arial" w:eastAsiaTheme="minorEastAsia" w:hAnsi="Arial" w:cstheme="minorBidi"/>
              <w:noProof/>
              <w:szCs w:val="22"/>
              <w:lang w:eastAsia="en-GB"/>
            </w:rPr>
          </w:pPr>
          <w:hyperlink w:anchor="_Toc109922678" w:history="1">
            <w:r w:rsidR="005764D1" w:rsidRPr="00C626DB">
              <w:rPr>
                <w:rStyle w:val="Hyperlink"/>
                <w:rFonts w:ascii="Arial" w:hAnsi="Arial"/>
                <w:noProof/>
              </w:rPr>
              <w:t>47 Group Property, Plant and Equipment</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_Toc109922678 \h </w:instrText>
            </w:r>
            <w:r w:rsidR="005764D1" w:rsidRPr="00C626DB">
              <w:rPr>
                <w:rFonts w:ascii="Arial" w:hAnsi="Arial"/>
                <w:noProof/>
                <w:webHidden/>
              </w:rPr>
            </w:r>
            <w:r w:rsidR="005764D1" w:rsidRPr="00C626DB">
              <w:rPr>
                <w:rFonts w:ascii="Arial" w:hAnsi="Arial"/>
                <w:noProof/>
                <w:webHidden/>
              </w:rPr>
              <w:fldChar w:fldCharType="separate"/>
            </w:r>
            <w:r w:rsidR="005764D1" w:rsidRPr="00C626DB">
              <w:rPr>
                <w:rFonts w:ascii="Arial" w:hAnsi="Arial"/>
                <w:noProof/>
                <w:webHidden/>
              </w:rPr>
              <w:t>16</w:t>
            </w:r>
            <w:r w:rsidR="00D543DF">
              <w:rPr>
                <w:rFonts w:ascii="Arial" w:hAnsi="Arial"/>
                <w:noProof/>
                <w:webHidden/>
              </w:rPr>
              <w:t>3</w:t>
            </w:r>
            <w:r w:rsidR="005764D1" w:rsidRPr="00C626DB">
              <w:rPr>
                <w:rFonts w:ascii="Arial" w:hAnsi="Arial"/>
                <w:noProof/>
                <w:webHidden/>
              </w:rPr>
              <w:fldChar w:fldCharType="end"/>
            </w:r>
          </w:hyperlink>
        </w:p>
        <w:p w14:paraId="60E86A85" w14:textId="35BD981F"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80" w:history="1">
            <w:r w:rsidR="005764D1" w:rsidRPr="00C626DB">
              <w:rPr>
                <w:rStyle w:val="Hyperlink"/>
                <w:rFonts w:ascii="Arial" w:hAnsi="Arial"/>
                <w:noProof/>
              </w:rPr>
              <w:t>48 Group Intangible Assets</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_Toc109922680 \h </w:instrText>
            </w:r>
            <w:r w:rsidR="005764D1" w:rsidRPr="00C626DB">
              <w:rPr>
                <w:rFonts w:ascii="Arial" w:hAnsi="Arial"/>
                <w:noProof/>
                <w:webHidden/>
              </w:rPr>
            </w:r>
            <w:r w:rsidR="005764D1" w:rsidRPr="00C626DB">
              <w:rPr>
                <w:rFonts w:ascii="Arial" w:hAnsi="Arial"/>
                <w:noProof/>
                <w:webHidden/>
              </w:rPr>
              <w:fldChar w:fldCharType="separate"/>
            </w:r>
            <w:r w:rsidR="005764D1" w:rsidRPr="00C626DB">
              <w:rPr>
                <w:rFonts w:ascii="Arial" w:hAnsi="Arial"/>
                <w:noProof/>
                <w:webHidden/>
              </w:rPr>
              <w:t>16</w:t>
            </w:r>
            <w:r w:rsidR="00D543DF">
              <w:rPr>
                <w:rFonts w:ascii="Arial" w:hAnsi="Arial"/>
                <w:noProof/>
                <w:webHidden/>
              </w:rPr>
              <w:t>6</w:t>
            </w:r>
            <w:r w:rsidR="005764D1" w:rsidRPr="00C626DB">
              <w:rPr>
                <w:rFonts w:ascii="Arial" w:hAnsi="Arial"/>
                <w:noProof/>
                <w:webHidden/>
              </w:rPr>
              <w:fldChar w:fldCharType="end"/>
            </w:r>
          </w:hyperlink>
        </w:p>
        <w:p w14:paraId="4F4B57B8" w14:textId="73EA3C3B"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81" w:history="1">
            <w:r w:rsidR="005764D1" w:rsidRPr="00C626DB">
              <w:rPr>
                <w:rStyle w:val="Hyperlink"/>
                <w:rFonts w:ascii="Arial" w:hAnsi="Arial"/>
                <w:noProof/>
              </w:rPr>
              <w:t>49 Group Short and Long Term Debtors and Payments in Advance</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_Toc109922681 \h </w:instrText>
            </w:r>
            <w:r w:rsidR="005764D1" w:rsidRPr="00C626DB">
              <w:rPr>
                <w:rFonts w:ascii="Arial" w:hAnsi="Arial"/>
                <w:noProof/>
                <w:webHidden/>
              </w:rPr>
            </w:r>
            <w:r w:rsidR="005764D1" w:rsidRPr="00C626DB">
              <w:rPr>
                <w:rFonts w:ascii="Arial" w:hAnsi="Arial"/>
                <w:noProof/>
                <w:webHidden/>
              </w:rPr>
              <w:fldChar w:fldCharType="separate"/>
            </w:r>
            <w:r w:rsidR="005764D1" w:rsidRPr="00C626DB">
              <w:rPr>
                <w:rFonts w:ascii="Arial" w:hAnsi="Arial"/>
                <w:noProof/>
                <w:webHidden/>
              </w:rPr>
              <w:t>1</w:t>
            </w:r>
            <w:r w:rsidR="00D543DF">
              <w:rPr>
                <w:rFonts w:ascii="Arial" w:hAnsi="Arial"/>
                <w:noProof/>
                <w:webHidden/>
              </w:rPr>
              <w:t>67</w:t>
            </w:r>
            <w:r w:rsidR="005764D1" w:rsidRPr="00C626DB">
              <w:rPr>
                <w:rFonts w:ascii="Arial" w:hAnsi="Arial"/>
                <w:noProof/>
                <w:webHidden/>
              </w:rPr>
              <w:fldChar w:fldCharType="end"/>
            </w:r>
          </w:hyperlink>
        </w:p>
        <w:p w14:paraId="1870FACC" w14:textId="1592D250"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82" w:history="1">
            <w:r w:rsidR="005764D1" w:rsidRPr="00C626DB">
              <w:rPr>
                <w:rStyle w:val="Hyperlink"/>
                <w:rFonts w:ascii="Arial" w:hAnsi="Arial"/>
                <w:noProof/>
              </w:rPr>
              <w:t>50 Group Cash and Cash Equivalents</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_Toc109922682 \h </w:instrText>
            </w:r>
            <w:r w:rsidR="005764D1" w:rsidRPr="00C626DB">
              <w:rPr>
                <w:rFonts w:ascii="Arial" w:hAnsi="Arial"/>
                <w:noProof/>
                <w:webHidden/>
              </w:rPr>
            </w:r>
            <w:r w:rsidR="005764D1" w:rsidRPr="00C626DB">
              <w:rPr>
                <w:rFonts w:ascii="Arial" w:hAnsi="Arial"/>
                <w:noProof/>
                <w:webHidden/>
              </w:rPr>
              <w:fldChar w:fldCharType="separate"/>
            </w:r>
            <w:r w:rsidR="005764D1" w:rsidRPr="00C626DB">
              <w:rPr>
                <w:rFonts w:ascii="Arial" w:hAnsi="Arial"/>
                <w:noProof/>
                <w:webHidden/>
              </w:rPr>
              <w:t>1</w:t>
            </w:r>
            <w:r w:rsidR="001456FE">
              <w:rPr>
                <w:rFonts w:ascii="Arial" w:hAnsi="Arial"/>
                <w:noProof/>
                <w:webHidden/>
              </w:rPr>
              <w:t>67</w:t>
            </w:r>
            <w:r w:rsidR="005764D1" w:rsidRPr="00C626DB">
              <w:rPr>
                <w:rFonts w:ascii="Arial" w:hAnsi="Arial"/>
                <w:noProof/>
                <w:webHidden/>
              </w:rPr>
              <w:fldChar w:fldCharType="end"/>
            </w:r>
          </w:hyperlink>
        </w:p>
        <w:p w14:paraId="41522C7E" w14:textId="106EF572"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83" w:history="1">
            <w:r w:rsidR="005764D1" w:rsidRPr="00C626DB">
              <w:rPr>
                <w:rStyle w:val="Hyperlink"/>
                <w:rFonts w:ascii="Arial" w:hAnsi="Arial"/>
                <w:noProof/>
              </w:rPr>
              <w:t>51 Group Short Term Creditors</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_Toc109922683 \h </w:instrText>
            </w:r>
            <w:r w:rsidR="005764D1" w:rsidRPr="00C626DB">
              <w:rPr>
                <w:rFonts w:ascii="Arial" w:hAnsi="Arial"/>
                <w:noProof/>
                <w:webHidden/>
              </w:rPr>
            </w:r>
            <w:r w:rsidR="005764D1" w:rsidRPr="00C626DB">
              <w:rPr>
                <w:rFonts w:ascii="Arial" w:hAnsi="Arial"/>
                <w:noProof/>
                <w:webHidden/>
              </w:rPr>
              <w:fldChar w:fldCharType="separate"/>
            </w:r>
            <w:r w:rsidR="005764D1" w:rsidRPr="00C626DB">
              <w:rPr>
                <w:rFonts w:ascii="Arial" w:hAnsi="Arial"/>
                <w:noProof/>
                <w:webHidden/>
              </w:rPr>
              <w:t>1</w:t>
            </w:r>
            <w:r w:rsidR="001456FE">
              <w:rPr>
                <w:rFonts w:ascii="Arial" w:hAnsi="Arial"/>
                <w:noProof/>
                <w:webHidden/>
              </w:rPr>
              <w:t>67</w:t>
            </w:r>
            <w:r w:rsidR="005764D1" w:rsidRPr="00C626DB">
              <w:rPr>
                <w:rFonts w:ascii="Arial" w:hAnsi="Arial"/>
                <w:noProof/>
                <w:webHidden/>
              </w:rPr>
              <w:fldChar w:fldCharType="end"/>
            </w:r>
          </w:hyperlink>
        </w:p>
        <w:p w14:paraId="0881A316" w14:textId="000E00DB"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84" w:history="1">
            <w:r w:rsidR="005764D1" w:rsidRPr="00C626DB">
              <w:rPr>
                <w:rStyle w:val="Hyperlink"/>
                <w:rFonts w:ascii="Arial" w:hAnsi="Arial"/>
                <w:noProof/>
              </w:rPr>
              <w:t>52 Group Short and Long Term Provisions</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_Toc109922684 \h </w:instrText>
            </w:r>
            <w:r w:rsidR="005764D1" w:rsidRPr="00C626DB">
              <w:rPr>
                <w:rFonts w:ascii="Arial" w:hAnsi="Arial"/>
                <w:noProof/>
                <w:webHidden/>
              </w:rPr>
            </w:r>
            <w:r w:rsidR="005764D1" w:rsidRPr="00C626DB">
              <w:rPr>
                <w:rFonts w:ascii="Arial" w:hAnsi="Arial"/>
                <w:noProof/>
                <w:webHidden/>
              </w:rPr>
              <w:fldChar w:fldCharType="separate"/>
            </w:r>
            <w:r w:rsidR="005764D1" w:rsidRPr="00C626DB">
              <w:rPr>
                <w:rFonts w:ascii="Arial" w:hAnsi="Arial"/>
                <w:noProof/>
                <w:webHidden/>
              </w:rPr>
              <w:t>1</w:t>
            </w:r>
            <w:r w:rsidR="001456FE">
              <w:rPr>
                <w:rFonts w:ascii="Arial" w:hAnsi="Arial"/>
                <w:noProof/>
                <w:webHidden/>
              </w:rPr>
              <w:t>68</w:t>
            </w:r>
            <w:r w:rsidR="005764D1" w:rsidRPr="00C626DB">
              <w:rPr>
                <w:rFonts w:ascii="Arial" w:hAnsi="Arial"/>
                <w:noProof/>
                <w:webHidden/>
              </w:rPr>
              <w:fldChar w:fldCharType="end"/>
            </w:r>
          </w:hyperlink>
        </w:p>
        <w:p w14:paraId="705A3724" w14:textId="75489C44"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85" w:history="1">
            <w:r w:rsidR="005764D1" w:rsidRPr="00C626DB">
              <w:rPr>
                <w:rStyle w:val="Hyperlink"/>
                <w:rFonts w:ascii="Arial" w:hAnsi="Arial"/>
                <w:noProof/>
              </w:rPr>
              <w:t>53 Group Unusable Reserves</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_Toc109922685 \h </w:instrText>
            </w:r>
            <w:r w:rsidR="005764D1" w:rsidRPr="00C626DB">
              <w:rPr>
                <w:rFonts w:ascii="Arial" w:hAnsi="Arial"/>
                <w:noProof/>
                <w:webHidden/>
              </w:rPr>
            </w:r>
            <w:r w:rsidR="005764D1" w:rsidRPr="00C626DB">
              <w:rPr>
                <w:rFonts w:ascii="Arial" w:hAnsi="Arial"/>
                <w:noProof/>
                <w:webHidden/>
              </w:rPr>
              <w:fldChar w:fldCharType="separate"/>
            </w:r>
            <w:r w:rsidR="005764D1" w:rsidRPr="00C626DB">
              <w:rPr>
                <w:rFonts w:ascii="Arial" w:hAnsi="Arial"/>
                <w:noProof/>
                <w:webHidden/>
              </w:rPr>
              <w:t>1</w:t>
            </w:r>
            <w:r w:rsidR="001456FE">
              <w:rPr>
                <w:rFonts w:ascii="Arial" w:hAnsi="Arial"/>
                <w:noProof/>
                <w:webHidden/>
              </w:rPr>
              <w:t>69</w:t>
            </w:r>
            <w:r w:rsidR="005764D1" w:rsidRPr="00C626DB">
              <w:rPr>
                <w:rFonts w:ascii="Arial" w:hAnsi="Arial"/>
                <w:noProof/>
                <w:webHidden/>
              </w:rPr>
              <w:fldChar w:fldCharType="end"/>
            </w:r>
          </w:hyperlink>
        </w:p>
        <w:p w14:paraId="50024A1A" w14:textId="799F99F4"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86" w:history="1">
            <w:r w:rsidR="005764D1" w:rsidRPr="00C626DB">
              <w:rPr>
                <w:rStyle w:val="Hyperlink"/>
                <w:rFonts w:ascii="Arial" w:hAnsi="Arial"/>
                <w:noProof/>
              </w:rPr>
              <w:t>54 Group Contingent Liabilities</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_Toc109922686 \h </w:instrText>
            </w:r>
            <w:r w:rsidR="005764D1" w:rsidRPr="00C626DB">
              <w:rPr>
                <w:rFonts w:ascii="Arial" w:hAnsi="Arial"/>
                <w:noProof/>
                <w:webHidden/>
              </w:rPr>
            </w:r>
            <w:r w:rsidR="005764D1" w:rsidRPr="00C626DB">
              <w:rPr>
                <w:rFonts w:ascii="Arial" w:hAnsi="Arial"/>
                <w:noProof/>
                <w:webHidden/>
              </w:rPr>
              <w:fldChar w:fldCharType="separate"/>
            </w:r>
            <w:r w:rsidR="005764D1" w:rsidRPr="00C626DB">
              <w:rPr>
                <w:rFonts w:ascii="Arial" w:hAnsi="Arial"/>
                <w:noProof/>
                <w:webHidden/>
              </w:rPr>
              <w:t>17</w:t>
            </w:r>
            <w:r w:rsidR="001456FE">
              <w:rPr>
                <w:rFonts w:ascii="Arial" w:hAnsi="Arial"/>
                <w:noProof/>
                <w:webHidden/>
              </w:rPr>
              <w:t>1</w:t>
            </w:r>
            <w:r w:rsidR="005764D1" w:rsidRPr="00C626DB">
              <w:rPr>
                <w:rFonts w:ascii="Arial" w:hAnsi="Arial"/>
                <w:noProof/>
                <w:webHidden/>
              </w:rPr>
              <w:fldChar w:fldCharType="end"/>
            </w:r>
          </w:hyperlink>
        </w:p>
        <w:p w14:paraId="02E1A230" w14:textId="26BC1198"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87" w:history="1">
            <w:r w:rsidR="005764D1" w:rsidRPr="00C626DB">
              <w:rPr>
                <w:rStyle w:val="Hyperlink"/>
                <w:rFonts w:ascii="Arial" w:hAnsi="Arial"/>
                <w:noProof/>
              </w:rPr>
              <w:t>55 Group Financial Instruments</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_Toc109922687 \h </w:instrText>
            </w:r>
            <w:r w:rsidR="005764D1" w:rsidRPr="00C626DB">
              <w:rPr>
                <w:rFonts w:ascii="Arial" w:hAnsi="Arial"/>
                <w:noProof/>
                <w:webHidden/>
              </w:rPr>
            </w:r>
            <w:r w:rsidR="005764D1" w:rsidRPr="00C626DB">
              <w:rPr>
                <w:rFonts w:ascii="Arial" w:hAnsi="Arial"/>
                <w:noProof/>
                <w:webHidden/>
              </w:rPr>
              <w:fldChar w:fldCharType="separate"/>
            </w:r>
            <w:r w:rsidR="005764D1" w:rsidRPr="00C626DB">
              <w:rPr>
                <w:rFonts w:ascii="Arial" w:hAnsi="Arial"/>
                <w:noProof/>
                <w:webHidden/>
              </w:rPr>
              <w:t>17</w:t>
            </w:r>
            <w:r w:rsidR="001162A2">
              <w:rPr>
                <w:rFonts w:ascii="Arial" w:hAnsi="Arial"/>
                <w:noProof/>
                <w:webHidden/>
              </w:rPr>
              <w:t>1</w:t>
            </w:r>
            <w:r w:rsidR="005764D1" w:rsidRPr="00C626DB">
              <w:rPr>
                <w:rFonts w:ascii="Arial" w:hAnsi="Arial"/>
                <w:noProof/>
                <w:webHidden/>
              </w:rPr>
              <w:fldChar w:fldCharType="end"/>
            </w:r>
          </w:hyperlink>
        </w:p>
        <w:p w14:paraId="2517BDA4" w14:textId="2C90E702"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88" w:history="1">
            <w:r w:rsidR="005764D1" w:rsidRPr="00C626DB">
              <w:rPr>
                <w:rStyle w:val="Hyperlink"/>
                <w:rFonts w:ascii="Arial" w:hAnsi="Arial"/>
                <w:noProof/>
              </w:rPr>
              <w:t>56 Group Nature and Extent of Risks arising from Financial Instruments</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_Toc109922688 \h </w:instrText>
            </w:r>
            <w:r w:rsidR="005764D1" w:rsidRPr="00C626DB">
              <w:rPr>
                <w:rFonts w:ascii="Arial" w:hAnsi="Arial"/>
                <w:noProof/>
                <w:webHidden/>
              </w:rPr>
            </w:r>
            <w:r w:rsidR="005764D1" w:rsidRPr="00C626DB">
              <w:rPr>
                <w:rFonts w:ascii="Arial" w:hAnsi="Arial"/>
                <w:noProof/>
                <w:webHidden/>
              </w:rPr>
              <w:fldChar w:fldCharType="separate"/>
            </w:r>
            <w:r w:rsidR="005764D1" w:rsidRPr="00C626DB">
              <w:rPr>
                <w:rFonts w:ascii="Arial" w:hAnsi="Arial"/>
                <w:noProof/>
                <w:webHidden/>
              </w:rPr>
              <w:t>17</w:t>
            </w:r>
            <w:r w:rsidR="001162A2">
              <w:rPr>
                <w:rFonts w:ascii="Arial" w:hAnsi="Arial"/>
                <w:noProof/>
                <w:webHidden/>
              </w:rPr>
              <w:t>6</w:t>
            </w:r>
            <w:r w:rsidR="005764D1" w:rsidRPr="00C626DB">
              <w:rPr>
                <w:rFonts w:ascii="Arial" w:hAnsi="Arial"/>
                <w:noProof/>
                <w:webHidden/>
              </w:rPr>
              <w:fldChar w:fldCharType="end"/>
            </w:r>
          </w:hyperlink>
        </w:p>
        <w:p w14:paraId="1AD30AE2" w14:textId="15C5F3D3"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89" w:history="1">
            <w:r w:rsidR="005764D1" w:rsidRPr="00C626DB">
              <w:rPr>
                <w:rStyle w:val="Hyperlink"/>
                <w:rFonts w:ascii="Arial" w:hAnsi="Arial"/>
                <w:noProof/>
              </w:rPr>
              <w:t>57 Group Related Party Transactions</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_Toc109922689 \h </w:instrText>
            </w:r>
            <w:r w:rsidR="005764D1" w:rsidRPr="00C626DB">
              <w:rPr>
                <w:rFonts w:ascii="Arial" w:hAnsi="Arial"/>
                <w:noProof/>
                <w:webHidden/>
              </w:rPr>
            </w:r>
            <w:r w:rsidR="005764D1" w:rsidRPr="00C626DB">
              <w:rPr>
                <w:rFonts w:ascii="Arial" w:hAnsi="Arial"/>
                <w:noProof/>
                <w:webHidden/>
              </w:rPr>
              <w:fldChar w:fldCharType="separate"/>
            </w:r>
            <w:r w:rsidR="005764D1" w:rsidRPr="00C626DB">
              <w:rPr>
                <w:rFonts w:ascii="Arial" w:hAnsi="Arial"/>
                <w:noProof/>
                <w:webHidden/>
              </w:rPr>
              <w:t>1</w:t>
            </w:r>
            <w:r w:rsidR="00D83D2B">
              <w:rPr>
                <w:rFonts w:ascii="Arial" w:hAnsi="Arial"/>
                <w:noProof/>
                <w:webHidden/>
              </w:rPr>
              <w:t>77</w:t>
            </w:r>
            <w:r w:rsidR="005764D1" w:rsidRPr="00C626DB">
              <w:rPr>
                <w:rFonts w:ascii="Arial" w:hAnsi="Arial"/>
                <w:noProof/>
                <w:webHidden/>
              </w:rPr>
              <w:fldChar w:fldCharType="end"/>
            </w:r>
          </w:hyperlink>
        </w:p>
        <w:p w14:paraId="2D554377" w14:textId="725F601D"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90" w:history="1">
            <w:r w:rsidR="005764D1" w:rsidRPr="00C626DB">
              <w:rPr>
                <w:rStyle w:val="Hyperlink"/>
                <w:rFonts w:ascii="Arial" w:hAnsi="Arial"/>
                <w:noProof/>
              </w:rPr>
              <w:t>58a Group Cash Flow Statement - Adjustments to Net Cash Flows from Operating Activities</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_Toc109922690 \h </w:instrText>
            </w:r>
            <w:r w:rsidR="005764D1" w:rsidRPr="00C626DB">
              <w:rPr>
                <w:rFonts w:ascii="Arial" w:hAnsi="Arial"/>
                <w:noProof/>
                <w:webHidden/>
              </w:rPr>
            </w:r>
            <w:r w:rsidR="005764D1" w:rsidRPr="00C626DB">
              <w:rPr>
                <w:rFonts w:ascii="Arial" w:hAnsi="Arial"/>
                <w:noProof/>
                <w:webHidden/>
              </w:rPr>
              <w:fldChar w:fldCharType="separate"/>
            </w:r>
            <w:r w:rsidR="005764D1" w:rsidRPr="00C626DB">
              <w:rPr>
                <w:rFonts w:ascii="Arial" w:hAnsi="Arial"/>
                <w:noProof/>
                <w:webHidden/>
              </w:rPr>
              <w:t>1</w:t>
            </w:r>
            <w:r w:rsidR="00D83D2B">
              <w:rPr>
                <w:rFonts w:ascii="Arial" w:hAnsi="Arial"/>
                <w:noProof/>
                <w:webHidden/>
              </w:rPr>
              <w:t>78</w:t>
            </w:r>
            <w:r w:rsidR="005764D1" w:rsidRPr="00C626DB">
              <w:rPr>
                <w:rFonts w:ascii="Arial" w:hAnsi="Arial"/>
                <w:noProof/>
                <w:webHidden/>
              </w:rPr>
              <w:fldChar w:fldCharType="end"/>
            </w:r>
          </w:hyperlink>
        </w:p>
        <w:p w14:paraId="3B09EB05" w14:textId="3A47C5B8"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91" w:history="1">
            <w:r w:rsidR="005764D1" w:rsidRPr="00C626DB">
              <w:rPr>
                <w:rStyle w:val="Hyperlink"/>
                <w:rFonts w:ascii="Arial" w:hAnsi="Arial"/>
                <w:noProof/>
              </w:rPr>
              <w:t>58b Group Cash Flow Statement - Investing Activities</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_Toc109922691 \h </w:instrText>
            </w:r>
            <w:r w:rsidR="005764D1" w:rsidRPr="00C626DB">
              <w:rPr>
                <w:rFonts w:ascii="Arial" w:hAnsi="Arial"/>
                <w:noProof/>
                <w:webHidden/>
              </w:rPr>
            </w:r>
            <w:r w:rsidR="005764D1" w:rsidRPr="00C626DB">
              <w:rPr>
                <w:rFonts w:ascii="Arial" w:hAnsi="Arial"/>
                <w:noProof/>
                <w:webHidden/>
              </w:rPr>
              <w:fldChar w:fldCharType="separate"/>
            </w:r>
            <w:r w:rsidR="005764D1" w:rsidRPr="00C626DB">
              <w:rPr>
                <w:rFonts w:ascii="Arial" w:hAnsi="Arial"/>
                <w:noProof/>
                <w:webHidden/>
              </w:rPr>
              <w:t>1</w:t>
            </w:r>
            <w:r w:rsidR="00D83D2B">
              <w:rPr>
                <w:rFonts w:ascii="Arial" w:hAnsi="Arial"/>
                <w:noProof/>
                <w:webHidden/>
              </w:rPr>
              <w:t>78</w:t>
            </w:r>
            <w:r w:rsidR="005764D1" w:rsidRPr="00C626DB">
              <w:rPr>
                <w:rFonts w:ascii="Arial" w:hAnsi="Arial"/>
                <w:noProof/>
                <w:webHidden/>
              </w:rPr>
              <w:fldChar w:fldCharType="end"/>
            </w:r>
          </w:hyperlink>
        </w:p>
        <w:p w14:paraId="068A00E7" w14:textId="2662835E"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92" w:history="1">
            <w:r w:rsidR="005764D1" w:rsidRPr="00C626DB">
              <w:rPr>
                <w:rStyle w:val="Hyperlink"/>
                <w:rFonts w:ascii="Arial" w:hAnsi="Arial"/>
                <w:noProof/>
              </w:rPr>
              <w:t>58c Group Cash Flow Statement - Financing Activities</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_Toc109922692 \h </w:instrText>
            </w:r>
            <w:r w:rsidR="005764D1" w:rsidRPr="00C626DB">
              <w:rPr>
                <w:rFonts w:ascii="Arial" w:hAnsi="Arial"/>
                <w:noProof/>
                <w:webHidden/>
              </w:rPr>
            </w:r>
            <w:r w:rsidR="005764D1" w:rsidRPr="00C626DB">
              <w:rPr>
                <w:rFonts w:ascii="Arial" w:hAnsi="Arial"/>
                <w:noProof/>
                <w:webHidden/>
              </w:rPr>
              <w:fldChar w:fldCharType="separate"/>
            </w:r>
            <w:r w:rsidR="005764D1" w:rsidRPr="00C626DB">
              <w:rPr>
                <w:rFonts w:ascii="Arial" w:hAnsi="Arial"/>
                <w:noProof/>
                <w:webHidden/>
              </w:rPr>
              <w:t>1</w:t>
            </w:r>
            <w:r w:rsidR="00D83D2B">
              <w:rPr>
                <w:rFonts w:ascii="Arial" w:hAnsi="Arial"/>
                <w:noProof/>
                <w:webHidden/>
              </w:rPr>
              <w:t>78</w:t>
            </w:r>
            <w:r w:rsidR="005764D1" w:rsidRPr="00C626DB">
              <w:rPr>
                <w:rFonts w:ascii="Arial" w:hAnsi="Arial"/>
                <w:noProof/>
                <w:webHidden/>
              </w:rPr>
              <w:fldChar w:fldCharType="end"/>
            </w:r>
          </w:hyperlink>
        </w:p>
        <w:p w14:paraId="77514879" w14:textId="4B6545CD"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93" w:history="1">
            <w:r w:rsidR="005764D1" w:rsidRPr="00C626DB">
              <w:rPr>
                <w:rStyle w:val="Hyperlink"/>
                <w:rFonts w:ascii="Arial" w:hAnsi="Arial"/>
                <w:noProof/>
              </w:rPr>
              <w:t>58d Group Cash Flow Statement – Reconciliation of Liabilities Arising from Financing Activities</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_Toc109922693 \h </w:instrText>
            </w:r>
            <w:r w:rsidR="005764D1" w:rsidRPr="00C626DB">
              <w:rPr>
                <w:rFonts w:ascii="Arial" w:hAnsi="Arial"/>
                <w:noProof/>
                <w:webHidden/>
              </w:rPr>
            </w:r>
            <w:r w:rsidR="005764D1" w:rsidRPr="00C626DB">
              <w:rPr>
                <w:rFonts w:ascii="Arial" w:hAnsi="Arial"/>
                <w:noProof/>
                <w:webHidden/>
              </w:rPr>
              <w:fldChar w:fldCharType="separate"/>
            </w:r>
            <w:r w:rsidR="005764D1" w:rsidRPr="00C626DB">
              <w:rPr>
                <w:rFonts w:ascii="Arial" w:hAnsi="Arial"/>
                <w:noProof/>
                <w:webHidden/>
              </w:rPr>
              <w:t>1</w:t>
            </w:r>
            <w:r w:rsidR="00D83D2B">
              <w:rPr>
                <w:rFonts w:ascii="Arial" w:hAnsi="Arial"/>
                <w:noProof/>
                <w:webHidden/>
              </w:rPr>
              <w:t>79</w:t>
            </w:r>
            <w:r w:rsidR="005764D1" w:rsidRPr="00C626DB">
              <w:rPr>
                <w:rFonts w:ascii="Arial" w:hAnsi="Arial"/>
                <w:noProof/>
                <w:webHidden/>
              </w:rPr>
              <w:fldChar w:fldCharType="end"/>
            </w:r>
          </w:hyperlink>
        </w:p>
        <w:p w14:paraId="045650C2" w14:textId="3E2F5783"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94" w:history="1">
            <w:r w:rsidR="005764D1" w:rsidRPr="00C626DB">
              <w:rPr>
                <w:rStyle w:val="Hyperlink"/>
                <w:rFonts w:ascii="Arial" w:hAnsi="Arial"/>
                <w:noProof/>
              </w:rPr>
              <w:t>59 Group Defined Benefit Pension Schemes</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_Toc109922694 \h </w:instrText>
            </w:r>
            <w:r w:rsidR="005764D1" w:rsidRPr="00C626DB">
              <w:rPr>
                <w:rFonts w:ascii="Arial" w:hAnsi="Arial"/>
                <w:noProof/>
                <w:webHidden/>
              </w:rPr>
            </w:r>
            <w:r w:rsidR="005764D1" w:rsidRPr="00C626DB">
              <w:rPr>
                <w:rFonts w:ascii="Arial" w:hAnsi="Arial"/>
                <w:noProof/>
                <w:webHidden/>
              </w:rPr>
              <w:fldChar w:fldCharType="separate"/>
            </w:r>
            <w:r w:rsidR="005764D1" w:rsidRPr="00C626DB">
              <w:rPr>
                <w:rFonts w:ascii="Arial" w:hAnsi="Arial"/>
                <w:noProof/>
                <w:webHidden/>
              </w:rPr>
              <w:t>1</w:t>
            </w:r>
            <w:r w:rsidR="00E77AEF">
              <w:rPr>
                <w:rFonts w:ascii="Arial" w:hAnsi="Arial"/>
                <w:noProof/>
                <w:webHidden/>
              </w:rPr>
              <w:t>80</w:t>
            </w:r>
            <w:r w:rsidR="005764D1" w:rsidRPr="00C626DB">
              <w:rPr>
                <w:rFonts w:ascii="Arial" w:hAnsi="Arial"/>
                <w:noProof/>
                <w:webHidden/>
              </w:rPr>
              <w:fldChar w:fldCharType="end"/>
            </w:r>
          </w:hyperlink>
        </w:p>
        <w:p w14:paraId="7E64CD42" w14:textId="0D5EBA06" w:rsidR="005764D1" w:rsidRPr="00C626DB" w:rsidRDefault="002061DD">
          <w:pPr>
            <w:pStyle w:val="TOC2"/>
            <w:tabs>
              <w:tab w:val="right" w:leader="dot" w:pos="9016"/>
            </w:tabs>
            <w:rPr>
              <w:rFonts w:ascii="Arial" w:eastAsiaTheme="minorEastAsia" w:hAnsi="Arial" w:cstheme="minorBidi"/>
              <w:noProof/>
              <w:szCs w:val="22"/>
              <w:lang w:eastAsia="en-GB"/>
            </w:rPr>
          </w:pPr>
          <w:hyperlink w:anchor="_Toc109922695" w:history="1">
            <w:r w:rsidR="005764D1" w:rsidRPr="00C626DB">
              <w:rPr>
                <w:rStyle w:val="Hyperlink"/>
                <w:rFonts w:ascii="Arial" w:hAnsi="Arial"/>
                <w:noProof/>
              </w:rPr>
              <w:t>Police Pension Fund</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_Toc109922695 \h </w:instrText>
            </w:r>
            <w:r w:rsidR="005764D1" w:rsidRPr="00C626DB">
              <w:rPr>
                <w:rFonts w:ascii="Arial" w:hAnsi="Arial"/>
                <w:noProof/>
                <w:webHidden/>
              </w:rPr>
            </w:r>
            <w:r w:rsidR="005764D1" w:rsidRPr="00C626DB">
              <w:rPr>
                <w:rFonts w:ascii="Arial" w:hAnsi="Arial"/>
                <w:noProof/>
                <w:webHidden/>
              </w:rPr>
              <w:fldChar w:fldCharType="separate"/>
            </w:r>
            <w:r w:rsidR="005764D1" w:rsidRPr="00C626DB">
              <w:rPr>
                <w:rFonts w:ascii="Arial" w:hAnsi="Arial"/>
                <w:noProof/>
                <w:webHidden/>
              </w:rPr>
              <w:t>1</w:t>
            </w:r>
            <w:r w:rsidR="00E77AEF">
              <w:rPr>
                <w:rFonts w:ascii="Arial" w:hAnsi="Arial"/>
                <w:noProof/>
                <w:webHidden/>
              </w:rPr>
              <w:t>88</w:t>
            </w:r>
            <w:r w:rsidR="005764D1" w:rsidRPr="00C626DB">
              <w:rPr>
                <w:rFonts w:ascii="Arial" w:hAnsi="Arial"/>
                <w:noProof/>
                <w:webHidden/>
              </w:rPr>
              <w:fldChar w:fldCharType="end"/>
            </w:r>
          </w:hyperlink>
        </w:p>
        <w:p w14:paraId="7C235250" w14:textId="49A8B688"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96" w:history="1">
            <w:r w:rsidR="005764D1" w:rsidRPr="00C626DB">
              <w:rPr>
                <w:rStyle w:val="Hyperlink"/>
                <w:rFonts w:ascii="Arial" w:hAnsi="Arial"/>
                <w:noProof/>
              </w:rPr>
              <w:t>Police Pension Fund Account</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_Toc109922696 \h </w:instrText>
            </w:r>
            <w:r w:rsidR="005764D1" w:rsidRPr="00C626DB">
              <w:rPr>
                <w:rFonts w:ascii="Arial" w:hAnsi="Arial"/>
                <w:noProof/>
                <w:webHidden/>
              </w:rPr>
            </w:r>
            <w:r w:rsidR="005764D1" w:rsidRPr="00C626DB">
              <w:rPr>
                <w:rFonts w:ascii="Arial" w:hAnsi="Arial"/>
                <w:noProof/>
                <w:webHidden/>
              </w:rPr>
              <w:fldChar w:fldCharType="separate"/>
            </w:r>
            <w:r w:rsidR="005764D1" w:rsidRPr="00C626DB">
              <w:rPr>
                <w:rFonts w:ascii="Arial" w:hAnsi="Arial"/>
                <w:noProof/>
                <w:webHidden/>
              </w:rPr>
              <w:t>1</w:t>
            </w:r>
            <w:r w:rsidR="00E77AEF">
              <w:rPr>
                <w:rFonts w:ascii="Arial" w:hAnsi="Arial"/>
                <w:noProof/>
                <w:webHidden/>
              </w:rPr>
              <w:t>88</w:t>
            </w:r>
            <w:r w:rsidR="005764D1" w:rsidRPr="00C626DB">
              <w:rPr>
                <w:rFonts w:ascii="Arial" w:hAnsi="Arial"/>
                <w:noProof/>
                <w:webHidden/>
              </w:rPr>
              <w:fldChar w:fldCharType="end"/>
            </w:r>
          </w:hyperlink>
        </w:p>
        <w:p w14:paraId="7219B248" w14:textId="48507365"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97" w:history="1">
            <w:r w:rsidR="005764D1" w:rsidRPr="00C626DB">
              <w:rPr>
                <w:rStyle w:val="Hyperlink"/>
                <w:rFonts w:ascii="Arial" w:hAnsi="Arial"/>
                <w:noProof/>
              </w:rPr>
              <w:t>Net asset statement</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_Toc109922697 \h </w:instrText>
            </w:r>
            <w:r w:rsidR="005764D1" w:rsidRPr="00C626DB">
              <w:rPr>
                <w:rFonts w:ascii="Arial" w:hAnsi="Arial"/>
                <w:noProof/>
                <w:webHidden/>
              </w:rPr>
            </w:r>
            <w:r w:rsidR="005764D1" w:rsidRPr="00C626DB">
              <w:rPr>
                <w:rFonts w:ascii="Arial" w:hAnsi="Arial"/>
                <w:noProof/>
                <w:webHidden/>
              </w:rPr>
              <w:fldChar w:fldCharType="separate"/>
            </w:r>
            <w:r w:rsidR="005764D1" w:rsidRPr="00C626DB">
              <w:rPr>
                <w:rFonts w:ascii="Arial" w:hAnsi="Arial"/>
                <w:noProof/>
                <w:webHidden/>
              </w:rPr>
              <w:t>1</w:t>
            </w:r>
            <w:r w:rsidR="00E77AEF">
              <w:rPr>
                <w:rFonts w:ascii="Arial" w:hAnsi="Arial"/>
                <w:noProof/>
                <w:webHidden/>
              </w:rPr>
              <w:t>8</w:t>
            </w:r>
            <w:r w:rsidR="002D76CD">
              <w:rPr>
                <w:rFonts w:ascii="Arial" w:hAnsi="Arial"/>
                <w:noProof/>
                <w:webHidden/>
              </w:rPr>
              <w:t>9</w:t>
            </w:r>
            <w:r w:rsidR="005764D1" w:rsidRPr="00C626DB">
              <w:rPr>
                <w:rFonts w:ascii="Arial" w:hAnsi="Arial"/>
                <w:noProof/>
                <w:webHidden/>
              </w:rPr>
              <w:fldChar w:fldCharType="end"/>
            </w:r>
          </w:hyperlink>
        </w:p>
        <w:p w14:paraId="5ED971A9" w14:textId="12C2813B"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98" w:history="1">
            <w:r w:rsidR="005764D1" w:rsidRPr="00C626DB">
              <w:rPr>
                <w:rStyle w:val="Hyperlink"/>
                <w:rFonts w:ascii="Arial" w:hAnsi="Arial"/>
                <w:noProof/>
              </w:rPr>
              <w:t>Contribution rates</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_Toc109922698 \h </w:instrText>
            </w:r>
            <w:r w:rsidR="005764D1" w:rsidRPr="00C626DB">
              <w:rPr>
                <w:rFonts w:ascii="Arial" w:hAnsi="Arial"/>
                <w:noProof/>
                <w:webHidden/>
              </w:rPr>
            </w:r>
            <w:r w:rsidR="005764D1" w:rsidRPr="00C626DB">
              <w:rPr>
                <w:rFonts w:ascii="Arial" w:hAnsi="Arial"/>
                <w:noProof/>
                <w:webHidden/>
              </w:rPr>
              <w:fldChar w:fldCharType="separate"/>
            </w:r>
            <w:r w:rsidR="005764D1" w:rsidRPr="00C626DB">
              <w:rPr>
                <w:rFonts w:ascii="Arial" w:hAnsi="Arial"/>
                <w:noProof/>
                <w:webHidden/>
              </w:rPr>
              <w:t>1</w:t>
            </w:r>
            <w:r w:rsidR="00E77AEF">
              <w:rPr>
                <w:rFonts w:ascii="Arial" w:hAnsi="Arial"/>
                <w:noProof/>
                <w:webHidden/>
              </w:rPr>
              <w:t>8</w:t>
            </w:r>
            <w:r w:rsidR="002D76CD">
              <w:rPr>
                <w:rFonts w:ascii="Arial" w:hAnsi="Arial"/>
                <w:noProof/>
                <w:webHidden/>
              </w:rPr>
              <w:t>9</w:t>
            </w:r>
            <w:r w:rsidR="005764D1" w:rsidRPr="00C626DB">
              <w:rPr>
                <w:rFonts w:ascii="Arial" w:hAnsi="Arial"/>
                <w:noProof/>
                <w:webHidden/>
              </w:rPr>
              <w:fldChar w:fldCharType="end"/>
            </w:r>
          </w:hyperlink>
        </w:p>
        <w:p w14:paraId="56EA43D3" w14:textId="468E7F0B" w:rsidR="005764D1" w:rsidRPr="00C626DB" w:rsidRDefault="002061DD">
          <w:pPr>
            <w:pStyle w:val="TOC3"/>
            <w:tabs>
              <w:tab w:val="right" w:leader="dot" w:pos="9016"/>
            </w:tabs>
            <w:rPr>
              <w:rFonts w:ascii="Arial" w:eastAsiaTheme="minorEastAsia" w:hAnsi="Arial" w:cstheme="minorBidi"/>
              <w:noProof/>
              <w:szCs w:val="22"/>
              <w:lang w:eastAsia="en-GB"/>
            </w:rPr>
          </w:pPr>
          <w:hyperlink w:anchor="_Toc109922699" w:history="1">
            <w:r w:rsidR="005764D1" w:rsidRPr="00C626DB">
              <w:rPr>
                <w:rStyle w:val="Hyperlink"/>
                <w:rFonts w:ascii="Arial" w:hAnsi="Arial"/>
                <w:noProof/>
              </w:rPr>
              <w:t>Notes to the Police Pension Fund Account and Net Assets Statement</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_Toc109922699 \h </w:instrText>
            </w:r>
            <w:r w:rsidR="005764D1" w:rsidRPr="00C626DB">
              <w:rPr>
                <w:rFonts w:ascii="Arial" w:hAnsi="Arial"/>
                <w:noProof/>
                <w:webHidden/>
              </w:rPr>
            </w:r>
            <w:r w:rsidR="005764D1" w:rsidRPr="00C626DB">
              <w:rPr>
                <w:rFonts w:ascii="Arial" w:hAnsi="Arial"/>
                <w:noProof/>
                <w:webHidden/>
              </w:rPr>
              <w:fldChar w:fldCharType="separate"/>
            </w:r>
            <w:r w:rsidR="005764D1" w:rsidRPr="00C626DB">
              <w:rPr>
                <w:rFonts w:ascii="Arial" w:hAnsi="Arial"/>
                <w:noProof/>
                <w:webHidden/>
              </w:rPr>
              <w:t>192</w:t>
            </w:r>
            <w:r w:rsidR="005764D1" w:rsidRPr="00C626DB">
              <w:rPr>
                <w:rFonts w:ascii="Arial" w:hAnsi="Arial"/>
                <w:noProof/>
                <w:webHidden/>
              </w:rPr>
              <w:fldChar w:fldCharType="end"/>
            </w:r>
          </w:hyperlink>
        </w:p>
        <w:p w14:paraId="7438D0EA" w14:textId="583F4DC7" w:rsidR="005764D1" w:rsidRDefault="002061DD">
          <w:pPr>
            <w:pStyle w:val="TOC2"/>
            <w:tabs>
              <w:tab w:val="right" w:leader="dot" w:pos="9016"/>
            </w:tabs>
            <w:rPr>
              <w:rFonts w:asciiTheme="minorHAnsi" w:eastAsiaTheme="minorEastAsia" w:hAnsiTheme="minorHAnsi" w:cstheme="minorBidi"/>
              <w:noProof/>
              <w:sz w:val="22"/>
              <w:szCs w:val="22"/>
              <w:lang w:eastAsia="en-GB"/>
            </w:rPr>
          </w:pPr>
          <w:hyperlink w:anchor="_Toc109922700" w:history="1">
            <w:r w:rsidR="005764D1" w:rsidRPr="00C626DB">
              <w:rPr>
                <w:rStyle w:val="Hyperlink"/>
                <w:rFonts w:ascii="Arial" w:hAnsi="Arial"/>
                <w:noProof/>
              </w:rPr>
              <w:t>Glossary of Financial Terms</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_Toc109922700 \h </w:instrText>
            </w:r>
            <w:r w:rsidR="005764D1" w:rsidRPr="00C626DB">
              <w:rPr>
                <w:rFonts w:ascii="Arial" w:hAnsi="Arial"/>
                <w:noProof/>
                <w:webHidden/>
              </w:rPr>
            </w:r>
            <w:r w:rsidR="005764D1" w:rsidRPr="00C626DB">
              <w:rPr>
                <w:rFonts w:ascii="Arial" w:hAnsi="Arial"/>
                <w:noProof/>
                <w:webHidden/>
              </w:rPr>
              <w:fldChar w:fldCharType="separate"/>
            </w:r>
            <w:r w:rsidR="005764D1" w:rsidRPr="00C626DB">
              <w:rPr>
                <w:rFonts w:ascii="Arial" w:hAnsi="Arial"/>
                <w:noProof/>
                <w:webHidden/>
              </w:rPr>
              <w:t>19</w:t>
            </w:r>
            <w:r w:rsidR="002D76CD">
              <w:rPr>
                <w:rFonts w:ascii="Arial" w:hAnsi="Arial"/>
                <w:noProof/>
                <w:webHidden/>
              </w:rPr>
              <w:t>0</w:t>
            </w:r>
            <w:r w:rsidR="005764D1" w:rsidRPr="00C626DB">
              <w:rPr>
                <w:rFonts w:ascii="Arial" w:hAnsi="Arial"/>
                <w:noProof/>
                <w:webHidden/>
              </w:rPr>
              <w:fldChar w:fldCharType="end"/>
            </w:r>
          </w:hyperlink>
        </w:p>
        <w:p w14:paraId="451A6560" w14:textId="0C7B7182" w:rsidR="0074597D" w:rsidRDefault="0074597D" w:rsidP="0038082E">
          <w:r w:rsidRPr="00F21EA7">
            <w:rPr>
              <w:rFonts w:ascii="Arial" w:hAnsi="Arial" w:cs="Arial"/>
              <w:b/>
              <w:bCs/>
              <w:noProof/>
            </w:rPr>
            <w:fldChar w:fldCharType="end"/>
          </w:r>
        </w:p>
      </w:sdtContent>
    </w:sdt>
    <w:p w14:paraId="69D61D41" w14:textId="562D3ECC" w:rsidR="005F371A" w:rsidRDefault="005F371A" w:rsidP="0038082E">
      <w:pPr>
        <w:tabs>
          <w:tab w:val="center" w:pos="8640"/>
        </w:tabs>
        <w:rPr>
          <w:rFonts w:ascii="Arial" w:hAnsi="Arial" w:cs="Arial"/>
          <w:b/>
          <w:sz w:val="22"/>
          <w:szCs w:val="22"/>
        </w:rPr>
      </w:pPr>
    </w:p>
    <w:p w14:paraId="21BB5D47" w14:textId="77777777" w:rsidR="00D64FA5" w:rsidRPr="0007572B" w:rsidRDefault="00D64FA5" w:rsidP="0038082E">
      <w:pPr>
        <w:tabs>
          <w:tab w:val="center" w:pos="8460"/>
        </w:tabs>
        <w:spacing w:after="240"/>
        <w:rPr>
          <w:rFonts w:ascii="Arial" w:hAnsi="Arial" w:cs="Arial"/>
          <w:sz w:val="22"/>
          <w:szCs w:val="22"/>
        </w:rPr>
      </w:pPr>
    </w:p>
    <w:p w14:paraId="2BF636C0" w14:textId="77777777" w:rsidR="00D64FA5" w:rsidRPr="0007572B" w:rsidRDefault="00D64FA5" w:rsidP="0038082E">
      <w:pPr>
        <w:tabs>
          <w:tab w:val="center" w:pos="9000"/>
        </w:tabs>
        <w:spacing w:after="240"/>
        <w:rPr>
          <w:rFonts w:ascii="Arial" w:hAnsi="Arial" w:cs="Arial"/>
          <w:sz w:val="22"/>
          <w:szCs w:val="22"/>
        </w:rPr>
      </w:pPr>
    </w:p>
    <w:p w14:paraId="1F9F21F1" w14:textId="77777777" w:rsidR="00D64FA5" w:rsidRPr="0007572B" w:rsidRDefault="00D64FA5" w:rsidP="0038082E">
      <w:pPr>
        <w:rPr>
          <w:rFonts w:ascii="Arial" w:hAnsi="Arial" w:cs="Arial"/>
          <w:sz w:val="22"/>
          <w:szCs w:val="22"/>
        </w:rPr>
        <w:sectPr w:rsidR="00D64FA5" w:rsidRPr="0007572B" w:rsidSect="00DA344C">
          <w:headerReference w:type="default" r:id="rId11"/>
          <w:footerReference w:type="default" r:id="rId12"/>
          <w:pgSz w:w="11906" w:h="16838"/>
          <w:pgMar w:top="946" w:right="1800" w:bottom="1440" w:left="1080" w:header="708" w:footer="708" w:gutter="0"/>
          <w:cols w:space="708"/>
          <w:docGrid w:linePitch="360"/>
        </w:sectPr>
      </w:pPr>
    </w:p>
    <w:p w14:paraId="36CEDCD9" w14:textId="066EA957" w:rsidR="00AD2D07" w:rsidRPr="005F371A" w:rsidRDefault="00D64FA5" w:rsidP="0038082E">
      <w:pPr>
        <w:pStyle w:val="Heading2green"/>
        <w:rPr>
          <w:sz w:val="28"/>
          <w:szCs w:val="28"/>
        </w:rPr>
      </w:pPr>
      <w:bookmarkStart w:id="10" w:name="_Toc109922577"/>
      <w:r w:rsidRPr="00B86CD5">
        <w:lastRenderedPageBreak/>
        <w:t>Narrative Report by the Authority Treasurer</w:t>
      </w:r>
      <w:bookmarkEnd w:id="10"/>
    </w:p>
    <w:p w14:paraId="0D3BB1CE" w14:textId="77777777" w:rsidR="00C67457" w:rsidRDefault="00C67457" w:rsidP="00016C24">
      <w:pPr>
        <w:pStyle w:val="StyleNormalAccessible"/>
        <w:spacing w:after="160" w:line="240" w:lineRule="auto"/>
        <w:rPr>
          <w:rFonts w:cs="Arial"/>
        </w:rPr>
      </w:pPr>
      <w:bookmarkStart w:id="11" w:name="_Toc92895161"/>
      <w:bookmarkStart w:id="12" w:name="_Toc109160257"/>
    </w:p>
    <w:p w14:paraId="5F0F61CF" w14:textId="3763DDAB" w:rsidR="00016C24" w:rsidRPr="00AD2D07" w:rsidRDefault="00016C24" w:rsidP="00016C24">
      <w:pPr>
        <w:pStyle w:val="StyleNormalAccessible"/>
        <w:spacing w:after="160" w:line="240" w:lineRule="auto"/>
        <w:rPr>
          <w:rFonts w:cs="Arial"/>
        </w:rPr>
      </w:pPr>
      <w:r w:rsidRPr="00AD2D07">
        <w:rPr>
          <w:rFonts w:cs="Arial"/>
        </w:rPr>
        <w:t>Welcome to the Greater Manchester Combined Authority’s (the Authority) Annual Statement of Accounts for 202</w:t>
      </w:r>
      <w:r>
        <w:rPr>
          <w:rFonts w:cs="Arial"/>
        </w:rPr>
        <w:t>1</w:t>
      </w:r>
      <w:r w:rsidRPr="00AD2D07">
        <w:rPr>
          <w:rFonts w:cs="Arial"/>
        </w:rPr>
        <w:t>/2</w:t>
      </w:r>
      <w:r>
        <w:rPr>
          <w:rFonts w:cs="Arial"/>
        </w:rPr>
        <w:t>2</w:t>
      </w:r>
      <w:r w:rsidRPr="00AD2D07">
        <w:rPr>
          <w:rFonts w:cs="Arial"/>
        </w:rPr>
        <w:t>. The statements have been prepared in accordance with the requirements of the Accounting Code of Practice issued by the Chartered Institute of Public Finance and Accountancy (CIPFA).</w:t>
      </w:r>
    </w:p>
    <w:p w14:paraId="6C281E5C" w14:textId="77777777" w:rsidR="00016C24" w:rsidRPr="00AD2D07" w:rsidRDefault="00016C24" w:rsidP="00016C24">
      <w:pPr>
        <w:pStyle w:val="Normal0"/>
        <w:spacing w:after="160" w:line="240" w:lineRule="auto"/>
        <w:rPr>
          <w:rFonts w:ascii="Arial" w:hAnsi="Arial" w:cs="Arial"/>
          <w:sz w:val="24"/>
          <w:szCs w:val="24"/>
          <w:lang w:val="en-GB"/>
        </w:rPr>
      </w:pPr>
      <w:r w:rsidRPr="00AD2D07">
        <w:rPr>
          <w:rFonts w:ascii="Arial" w:hAnsi="Arial" w:cs="Arial"/>
          <w:sz w:val="24"/>
          <w:szCs w:val="24"/>
          <w:lang w:val="en-GB"/>
        </w:rPr>
        <w:t>This narrative report aims to provide information so that members of the public, Councillors, partners, stakeholders and other interested parties are able to have:</w:t>
      </w:r>
    </w:p>
    <w:p w14:paraId="5A21994B" w14:textId="77777777" w:rsidR="00016C24" w:rsidRPr="00AD2D07" w:rsidRDefault="00016C24" w:rsidP="00EB27EB">
      <w:pPr>
        <w:pStyle w:val="Normal0"/>
        <w:numPr>
          <w:ilvl w:val="0"/>
          <w:numId w:val="56"/>
        </w:numPr>
        <w:spacing w:after="160" w:line="240" w:lineRule="auto"/>
        <w:rPr>
          <w:rFonts w:ascii="Arial" w:hAnsi="Arial" w:cs="Arial"/>
          <w:sz w:val="24"/>
          <w:szCs w:val="24"/>
          <w:lang w:val="en-GB"/>
        </w:rPr>
      </w:pPr>
      <w:r w:rsidRPr="00AD2D07">
        <w:rPr>
          <w:rFonts w:ascii="Arial" w:hAnsi="Arial" w:cs="Arial"/>
          <w:sz w:val="24"/>
          <w:szCs w:val="24"/>
          <w:lang w:val="en-GB"/>
        </w:rPr>
        <w:t>A full and understandable explanation of the overarching financial position of the Authority and the financial performance for the year 202</w:t>
      </w:r>
      <w:r>
        <w:rPr>
          <w:rFonts w:ascii="Arial" w:hAnsi="Arial" w:cs="Arial"/>
          <w:sz w:val="24"/>
          <w:szCs w:val="24"/>
          <w:lang w:val="en-GB"/>
        </w:rPr>
        <w:t>1</w:t>
      </w:r>
      <w:r w:rsidRPr="00AD2D07">
        <w:rPr>
          <w:rFonts w:ascii="Arial" w:hAnsi="Arial" w:cs="Arial"/>
          <w:sz w:val="24"/>
          <w:szCs w:val="24"/>
          <w:lang w:val="en-GB"/>
        </w:rPr>
        <w:t>/2</w:t>
      </w:r>
      <w:r>
        <w:rPr>
          <w:rFonts w:ascii="Arial" w:hAnsi="Arial" w:cs="Arial"/>
          <w:sz w:val="24"/>
          <w:szCs w:val="24"/>
          <w:lang w:val="en-GB"/>
        </w:rPr>
        <w:t>2</w:t>
      </w:r>
      <w:r w:rsidRPr="00AD2D07">
        <w:rPr>
          <w:rFonts w:ascii="Arial" w:hAnsi="Arial" w:cs="Arial"/>
          <w:sz w:val="24"/>
          <w:szCs w:val="24"/>
          <w:lang w:val="en-GB"/>
        </w:rPr>
        <w:t>;</w:t>
      </w:r>
    </w:p>
    <w:p w14:paraId="5602C569" w14:textId="77777777" w:rsidR="00016C24" w:rsidRPr="00AD2D07" w:rsidRDefault="00016C24" w:rsidP="00EB27EB">
      <w:pPr>
        <w:pStyle w:val="Normal0"/>
        <w:numPr>
          <w:ilvl w:val="0"/>
          <w:numId w:val="56"/>
        </w:numPr>
        <w:spacing w:after="160" w:line="240" w:lineRule="auto"/>
        <w:rPr>
          <w:rFonts w:ascii="Arial" w:hAnsi="Arial" w:cs="Arial"/>
          <w:sz w:val="24"/>
          <w:szCs w:val="24"/>
          <w:lang w:val="en-GB"/>
        </w:rPr>
      </w:pPr>
      <w:r w:rsidRPr="00AD2D07">
        <w:rPr>
          <w:rFonts w:ascii="Arial" w:hAnsi="Arial" w:cs="Arial"/>
          <w:sz w:val="24"/>
          <w:szCs w:val="24"/>
          <w:lang w:val="en-GB"/>
        </w:rPr>
        <w:t>Confidence that the public money with which the Authority has been entrusted has been used and accounted for in an appropriate manner;</w:t>
      </w:r>
    </w:p>
    <w:p w14:paraId="435C2DF4" w14:textId="77777777" w:rsidR="00016C24" w:rsidRPr="00AD2D07" w:rsidRDefault="00016C24" w:rsidP="00EB27EB">
      <w:pPr>
        <w:pStyle w:val="Normal0"/>
        <w:numPr>
          <w:ilvl w:val="0"/>
          <w:numId w:val="56"/>
        </w:numPr>
        <w:spacing w:after="160" w:line="240" w:lineRule="auto"/>
        <w:rPr>
          <w:rFonts w:ascii="Arial" w:hAnsi="Arial" w:cs="Arial"/>
          <w:sz w:val="24"/>
          <w:szCs w:val="24"/>
          <w:lang w:val="en-GB"/>
        </w:rPr>
      </w:pPr>
      <w:r w:rsidRPr="00AD2D07">
        <w:rPr>
          <w:rFonts w:ascii="Arial" w:hAnsi="Arial" w:cs="Arial"/>
          <w:sz w:val="24"/>
          <w:szCs w:val="24"/>
          <w:lang w:val="en-GB"/>
        </w:rPr>
        <w:t>Assurance that the financial position of the Authority is sound and secure.</w:t>
      </w:r>
    </w:p>
    <w:p w14:paraId="425BB731" w14:textId="77777777" w:rsidR="00016C24" w:rsidRPr="00AD2D07" w:rsidRDefault="00016C24" w:rsidP="00016C24">
      <w:pPr>
        <w:pStyle w:val="Normal0"/>
        <w:spacing w:after="160" w:line="240" w:lineRule="auto"/>
        <w:rPr>
          <w:rFonts w:ascii="Arial" w:hAnsi="Arial" w:cs="Arial"/>
          <w:sz w:val="24"/>
          <w:szCs w:val="24"/>
          <w:lang w:val="en-GB"/>
        </w:rPr>
      </w:pPr>
      <w:r w:rsidRPr="00AD2D07">
        <w:rPr>
          <w:rFonts w:ascii="Arial" w:hAnsi="Arial" w:cs="Arial"/>
          <w:sz w:val="24"/>
          <w:szCs w:val="24"/>
          <w:lang w:val="en-GB"/>
        </w:rPr>
        <w:t>This narrative report provides information about the Authority, including the key issues affecting the Authority and its accounts. It also provides a summary of the financial position at 31 March 202</w:t>
      </w:r>
      <w:r>
        <w:rPr>
          <w:rFonts w:ascii="Arial" w:hAnsi="Arial" w:cs="Arial"/>
          <w:sz w:val="24"/>
          <w:szCs w:val="24"/>
          <w:lang w:val="en-GB"/>
        </w:rPr>
        <w:t>2</w:t>
      </w:r>
      <w:r w:rsidRPr="00AD2D07">
        <w:rPr>
          <w:rFonts w:ascii="Arial" w:hAnsi="Arial" w:cs="Arial"/>
          <w:sz w:val="24"/>
          <w:szCs w:val="24"/>
          <w:lang w:val="en-GB"/>
        </w:rPr>
        <w:t xml:space="preserve"> and is structured as below:</w:t>
      </w:r>
    </w:p>
    <w:p w14:paraId="538FAC90" w14:textId="77777777" w:rsidR="00016C24" w:rsidRPr="00AD2D07" w:rsidRDefault="00016C24" w:rsidP="00EB27EB">
      <w:pPr>
        <w:pStyle w:val="Normal0"/>
        <w:numPr>
          <w:ilvl w:val="0"/>
          <w:numId w:val="57"/>
        </w:numPr>
        <w:spacing w:after="160" w:line="240" w:lineRule="auto"/>
        <w:rPr>
          <w:rFonts w:ascii="Arial" w:hAnsi="Arial" w:cs="Arial"/>
          <w:sz w:val="24"/>
          <w:szCs w:val="24"/>
          <w:lang w:val="en-GB"/>
        </w:rPr>
      </w:pPr>
      <w:r w:rsidRPr="00AD2D07">
        <w:rPr>
          <w:rFonts w:ascii="Arial" w:hAnsi="Arial" w:cs="Arial"/>
          <w:sz w:val="24"/>
          <w:szCs w:val="24"/>
          <w:lang w:val="en-GB"/>
        </w:rPr>
        <w:t>How the Authority Performed in 202</w:t>
      </w:r>
      <w:r>
        <w:rPr>
          <w:rFonts w:ascii="Arial" w:hAnsi="Arial" w:cs="Arial"/>
          <w:sz w:val="24"/>
          <w:szCs w:val="24"/>
          <w:lang w:val="en-GB"/>
        </w:rPr>
        <w:t>1</w:t>
      </w:r>
      <w:r w:rsidRPr="00AD2D07">
        <w:rPr>
          <w:rFonts w:ascii="Arial" w:hAnsi="Arial" w:cs="Arial"/>
          <w:sz w:val="24"/>
          <w:szCs w:val="24"/>
          <w:lang w:val="en-GB"/>
        </w:rPr>
        <w:t>/2</w:t>
      </w:r>
      <w:r>
        <w:rPr>
          <w:rFonts w:ascii="Arial" w:hAnsi="Arial" w:cs="Arial"/>
          <w:sz w:val="24"/>
          <w:szCs w:val="24"/>
          <w:lang w:val="en-GB"/>
        </w:rPr>
        <w:t>2</w:t>
      </w:r>
    </w:p>
    <w:p w14:paraId="49DC0161" w14:textId="77777777" w:rsidR="00016C24" w:rsidRPr="00AD2D07" w:rsidRDefault="00016C24" w:rsidP="00EB27EB">
      <w:pPr>
        <w:pStyle w:val="Normal0"/>
        <w:numPr>
          <w:ilvl w:val="0"/>
          <w:numId w:val="57"/>
        </w:numPr>
        <w:spacing w:after="160" w:line="240" w:lineRule="auto"/>
        <w:rPr>
          <w:rFonts w:ascii="Arial" w:hAnsi="Arial" w:cs="Arial"/>
          <w:sz w:val="24"/>
          <w:szCs w:val="24"/>
          <w:lang w:val="en-GB"/>
        </w:rPr>
      </w:pPr>
      <w:r w:rsidRPr="00AD2D07">
        <w:rPr>
          <w:rFonts w:ascii="Arial" w:hAnsi="Arial" w:cs="Arial"/>
          <w:sz w:val="24"/>
          <w:szCs w:val="24"/>
          <w:lang w:val="en-GB"/>
        </w:rPr>
        <w:t>The Authority’s Group of Companies</w:t>
      </w:r>
    </w:p>
    <w:p w14:paraId="182DC3C0" w14:textId="77777777" w:rsidR="00016C24" w:rsidRPr="00AD2D07" w:rsidRDefault="00016C24" w:rsidP="00EB27EB">
      <w:pPr>
        <w:pStyle w:val="Normal0"/>
        <w:numPr>
          <w:ilvl w:val="0"/>
          <w:numId w:val="57"/>
        </w:numPr>
        <w:spacing w:after="160" w:line="240" w:lineRule="auto"/>
        <w:rPr>
          <w:rFonts w:ascii="Arial" w:hAnsi="Arial" w:cs="Arial"/>
          <w:sz w:val="24"/>
          <w:szCs w:val="24"/>
          <w:lang w:val="en-GB"/>
        </w:rPr>
      </w:pPr>
      <w:r w:rsidRPr="00AD2D07">
        <w:rPr>
          <w:rFonts w:ascii="Arial" w:hAnsi="Arial" w:cs="Arial"/>
          <w:sz w:val="24"/>
          <w:szCs w:val="24"/>
          <w:lang w:val="en-GB"/>
        </w:rPr>
        <w:t>Revenue Budget and Financial Performance 202</w:t>
      </w:r>
      <w:r>
        <w:rPr>
          <w:rFonts w:ascii="Arial" w:hAnsi="Arial" w:cs="Arial"/>
          <w:sz w:val="24"/>
          <w:szCs w:val="24"/>
          <w:lang w:val="en-GB"/>
        </w:rPr>
        <w:t>1</w:t>
      </w:r>
      <w:r w:rsidRPr="00AD2D07">
        <w:rPr>
          <w:rFonts w:ascii="Arial" w:hAnsi="Arial" w:cs="Arial"/>
          <w:sz w:val="24"/>
          <w:szCs w:val="24"/>
          <w:lang w:val="en-GB"/>
        </w:rPr>
        <w:t>/2</w:t>
      </w:r>
      <w:r>
        <w:rPr>
          <w:rFonts w:ascii="Arial" w:hAnsi="Arial" w:cs="Arial"/>
          <w:sz w:val="24"/>
          <w:szCs w:val="24"/>
          <w:lang w:val="en-GB"/>
        </w:rPr>
        <w:t>2</w:t>
      </w:r>
    </w:p>
    <w:p w14:paraId="2EBB6A9A" w14:textId="77777777" w:rsidR="00016C24" w:rsidRPr="00AD2D07" w:rsidRDefault="00016C24" w:rsidP="00EB27EB">
      <w:pPr>
        <w:pStyle w:val="Normal0"/>
        <w:numPr>
          <w:ilvl w:val="0"/>
          <w:numId w:val="57"/>
        </w:numPr>
        <w:spacing w:after="160" w:line="240" w:lineRule="auto"/>
        <w:rPr>
          <w:rFonts w:ascii="Arial" w:hAnsi="Arial" w:cs="Arial"/>
          <w:sz w:val="24"/>
          <w:szCs w:val="24"/>
          <w:lang w:val="en-GB"/>
        </w:rPr>
      </w:pPr>
      <w:r w:rsidRPr="00AD2D07">
        <w:rPr>
          <w:rFonts w:ascii="Arial" w:hAnsi="Arial" w:cs="Arial"/>
          <w:sz w:val="24"/>
          <w:szCs w:val="24"/>
          <w:lang w:val="en-GB"/>
        </w:rPr>
        <w:t>Capital Programme and Financing 202</w:t>
      </w:r>
      <w:r>
        <w:rPr>
          <w:rFonts w:ascii="Arial" w:hAnsi="Arial" w:cs="Arial"/>
          <w:sz w:val="24"/>
          <w:szCs w:val="24"/>
          <w:lang w:val="en-GB"/>
        </w:rPr>
        <w:t>1</w:t>
      </w:r>
      <w:r w:rsidRPr="00AD2D07">
        <w:rPr>
          <w:rFonts w:ascii="Arial" w:hAnsi="Arial" w:cs="Arial"/>
          <w:sz w:val="24"/>
          <w:szCs w:val="24"/>
          <w:lang w:val="en-GB"/>
        </w:rPr>
        <w:t>/2</w:t>
      </w:r>
      <w:r>
        <w:rPr>
          <w:rFonts w:ascii="Arial" w:hAnsi="Arial" w:cs="Arial"/>
          <w:sz w:val="24"/>
          <w:szCs w:val="24"/>
          <w:lang w:val="en-GB"/>
        </w:rPr>
        <w:t>2</w:t>
      </w:r>
    </w:p>
    <w:p w14:paraId="66F56538" w14:textId="77777777" w:rsidR="00016C24" w:rsidRPr="00AD2D07" w:rsidRDefault="00016C24" w:rsidP="00EB27EB">
      <w:pPr>
        <w:pStyle w:val="Normal0"/>
        <w:numPr>
          <w:ilvl w:val="0"/>
          <w:numId w:val="57"/>
        </w:numPr>
        <w:spacing w:after="160" w:line="240" w:lineRule="auto"/>
        <w:rPr>
          <w:rFonts w:ascii="Arial" w:hAnsi="Arial" w:cs="Arial"/>
          <w:sz w:val="24"/>
          <w:szCs w:val="24"/>
          <w:lang w:val="en-GB"/>
        </w:rPr>
      </w:pPr>
      <w:r w:rsidRPr="00AD2D07">
        <w:rPr>
          <w:rFonts w:ascii="Arial" w:hAnsi="Arial" w:cs="Arial"/>
          <w:sz w:val="24"/>
          <w:szCs w:val="24"/>
          <w:lang w:val="en-GB"/>
        </w:rPr>
        <w:t>Treasury Management Performance in 202</w:t>
      </w:r>
      <w:r>
        <w:rPr>
          <w:rFonts w:ascii="Arial" w:hAnsi="Arial" w:cs="Arial"/>
          <w:sz w:val="24"/>
          <w:szCs w:val="24"/>
          <w:lang w:val="en-GB"/>
        </w:rPr>
        <w:t>1</w:t>
      </w:r>
      <w:r w:rsidRPr="00AD2D07">
        <w:rPr>
          <w:rFonts w:ascii="Arial" w:hAnsi="Arial" w:cs="Arial"/>
          <w:sz w:val="24"/>
          <w:szCs w:val="24"/>
          <w:lang w:val="en-GB"/>
        </w:rPr>
        <w:t>/2</w:t>
      </w:r>
      <w:r>
        <w:rPr>
          <w:rFonts w:ascii="Arial" w:hAnsi="Arial" w:cs="Arial"/>
          <w:sz w:val="24"/>
          <w:szCs w:val="24"/>
          <w:lang w:val="en-GB"/>
        </w:rPr>
        <w:t>2</w:t>
      </w:r>
    </w:p>
    <w:p w14:paraId="6F38F5EC" w14:textId="77777777" w:rsidR="00016C24" w:rsidRPr="00AD2D07" w:rsidRDefault="00016C24" w:rsidP="00EB27EB">
      <w:pPr>
        <w:pStyle w:val="Normal0"/>
        <w:numPr>
          <w:ilvl w:val="0"/>
          <w:numId w:val="57"/>
        </w:numPr>
        <w:spacing w:after="160" w:line="240" w:lineRule="auto"/>
        <w:rPr>
          <w:rFonts w:ascii="Arial" w:hAnsi="Arial" w:cs="Arial"/>
          <w:sz w:val="24"/>
          <w:szCs w:val="24"/>
          <w:lang w:val="en-GB"/>
        </w:rPr>
      </w:pPr>
      <w:r w:rsidRPr="00AD2D07">
        <w:rPr>
          <w:rFonts w:ascii="Arial" w:hAnsi="Arial" w:cs="Arial"/>
          <w:sz w:val="24"/>
          <w:szCs w:val="24"/>
          <w:lang w:val="en-GB"/>
        </w:rPr>
        <w:t>Forward Look – Financial Landscape</w:t>
      </w:r>
    </w:p>
    <w:p w14:paraId="773F641B" w14:textId="77777777" w:rsidR="00016C24" w:rsidRPr="00AD2D07" w:rsidRDefault="00016C24" w:rsidP="00EB27EB">
      <w:pPr>
        <w:pStyle w:val="Normal0"/>
        <w:numPr>
          <w:ilvl w:val="0"/>
          <w:numId w:val="57"/>
        </w:numPr>
        <w:spacing w:after="160" w:line="240" w:lineRule="auto"/>
        <w:rPr>
          <w:rFonts w:ascii="Arial" w:hAnsi="Arial" w:cs="Arial"/>
          <w:sz w:val="24"/>
          <w:szCs w:val="24"/>
          <w:lang w:val="en-GB"/>
        </w:rPr>
      </w:pPr>
      <w:r w:rsidRPr="00AD2D07">
        <w:rPr>
          <w:rFonts w:ascii="Arial" w:hAnsi="Arial" w:cs="Arial"/>
          <w:sz w:val="24"/>
          <w:szCs w:val="24"/>
          <w:lang w:val="en-GB"/>
        </w:rPr>
        <w:t>Core Financial Statements</w:t>
      </w:r>
      <w:r w:rsidRPr="00AD2D07">
        <w:rPr>
          <w:rFonts w:ascii="Arial" w:hAnsi="Arial" w:cs="Arial"/>
          <w:b/>
          <w:sz w:val="22"/>
          <w:szCs w:val="22"/>
        </w:rPr>
        <w:br w:type="page"/>
      </w:r>
    </w:p>
    <w:p w14:paraId="55F045EF" w14:textId="77777777" w:rsidR="00016C24" w:rsidRPr="00C9289E" w:rsidRDefault="00016C24" w:rsidP="00016C24">
      <w:pPr>
        <w:pStyle w:val="Normal0"/>
        <w:spacing w:after="160" w:line="240" w:lineRule="auto"/>
        <w:rPr>
          <w:rFonts w:ascii="Arial" w:hAnsi="Arial" w:cs="Arial"/>
          <w:b/>
          <w:bCs/>
          <w:sz w:val="24"/>
          <w:szCs w:val="24"/>
          <w:lang w:val="en-GB"/>
        </w:rPr>
      </w:pPr>
      <w:r w:rsidRPr="00C9289E">
        <w:rPr>
          <w:rFonts w:ascii="Arial" w:hAnsi="Arial" w:cs="Arial"/>
          <w:b/>
          <w:bCs/>
          <w:sz w:val="24"/>
          <w:szCs w:val="24"/>
          <w:u w:val="single"/>
        </w:rPr>
        <w:lastRenderedPageBreak/>
        <w:t>How the Authority Performed in 2021/22</w:t>
      </w:r>
    </w:p>
    <w:p w14:paraId="7DB7D1D7" w14:textId="77777777" w:rsidR="00016C24" w:rsidRPr="0048075A" w:rsidRDefault="00016C24" w:rsidP="00016C24">
      <w:pPr>
        <w:rPr>
          <w:rFonts w:ascii="Arial" w:hAnsi="Arial" w:cs="Arial"/>
          <w:b/>
          <w:bCs/>
        </w:rPr>
      </w:pPr>
      <w:r w:rsidRPr="0048075A">
        <w:rPr>
          <w:rFonts w:ascii="Arial" w:hAnsi="Arial" w:cs="Arial"/>
          <w:b/>
          <w:bCs/>
        </w:rPr>
        <w:t>Introduction</w:t>
      </w:r>
    </w:p>
    <w:p w14:paraId="0FFA1427" w14:textId="77777777" w:rsidR="00016C24" w:rsidRPr="0048075A" w:rsidRDefault="00016C24" w:rsidP="00016C24"/>
    <w:p w14:paraId="07E3D724" w14:textId="77777777" w:rsidR="00016C24" w:rsidRPr="00BB7D0E" w:rsidRDefault="00016C24" w:rsidP="00016C24">
      <w:pPr>
        <w:pStyle w:val="Normal0"/>
        <w:spacing w:after="160" w:line="240" w:lineRule="auto"/>
        <w:rPr>
          <w:rFonts w:ascii="Arial" w:hAnsi="Arial" w:cs="Arial"/>
          <w:sz w:val="24"/>
          <w:szCs w:val="24"/>
        </w:rPr>
      </w:pPr>
      <w:r w:rsidRPr="00BB7D0E">
        <w:rPr>
          <w:rFonts w:ascii="Arial" w:hAnsi="Arial" w:cs="Arial"/>
          <w:sz w:val="24"/>
          <w:szCs w:val="24"/>
          <w:lang w:val="en-GB"/>
        </w:rPr>
        <w:t xml:space="preserve">Greater Manchester has a vision </w:t>
      </w:r>
      <w:r w:rsidRPr="00BB7D0E">
        <w:rPr>
          <w:rFonts w:ascii="Arial" w:hAnsi="Arial" w:cs="Arial"/>
          <w:sz w:val="24"/>
          <w:szCs w:val="24"/>
        </w:rPr>
        <w:t>to be a place where everyone can live a good life, growing up, getting on and growing old in a greener, fairer, more prosperous city region</w:t>
      </w:r>
      <w:r>
        <w:rPr>
          <w:rFonts w:ascii="Arial" w:hAnsi="Arial" w:cs="Arial"/>
          <w:sz w:val="24"/>
          <w:szCs w:val="24"/>
        </w:rPr>
        <w:t>.</w:t>
      </w:r>
    </w:p>
    <w:p w14:paraId="4AC131AE" w14:textId="6C67C284" w:rsidR="00016C24" w:rsidRPr="00AD2D07" w:rsidRDefault="00016C24" w:rsidP="00016C24">
      <w:pPr>
        <w:pStyle w:val="Normal0"/>
        <w:spacing w:after="160" w:line="240" w:lineRule="auto"/>
        <w:rPr>
          <w:rFonts w:ascii="Arial" w:hAnsi="Arial" w:cs="Arial"/>
          <w:sz w:val="24"/>
          <w:szCs w:val="24"/>
          <w:lang w:val="en-GB"/>
        </w:rPr>
      </w:pPr>
      <w:r w:rsidRPr="00AD2D07">
        <w:rPr>
          <w:rFonts w:ascii="Arial" w:hAnsi="Arial" w:cs="Arial"/>
          <w:sz w:val="24"/>
          <w:szCs w:val="24"/>
          <w:lang w:val="en-GB"/>
        </w:rPr>
        <w:t xml:space="preserve">The Authority is made up of the ten Greater Manchester Council Leaders and the Mayor who work with other local services, businesses, communities and other partners to </w:t>
      </w:r>
      <w:r>
        <w:rPr>
          <w:rFonts w:ascii="Arial" w:hAnsi="Arial" w:cs="Arial"/>
          <w:sz w:val="24"/>
          <w:szCs w:val="24"/>
          <w:lang w:val="en-GB"/>
        </w:rPr>
        <w:t>drive the collective ambition for the</w:t>
      </w:r>
      <w:r w:rsidRPr="00AD2D07">
        <w:rPr>
          <w:rFonts w:ascii="Arial" w:hAnsi="Arial" w:cs="Arial"/>
          <w:sz w:val="24"/>
          <w:szCs w:val="24"/>
          <w:lang w:val="en-GB"/>
        </w:rPr>
        <w:t xml:space="preserve"> city-region.</w:t>
      </w:r>
    </w:p>
    <w:p w14:paraId="709BC37D" w14:textId="77777777" w:rsidR="00016C24" w:rsidRPr="00AD2D07" w:rsidRDefault="00016C24" w:rsidP="00016C24">
      <w:pPr>
        <w:pStyle w:val="Normal0"/>
        <w:spacing w:after="160" w:line="240" w:lineRule="auto"/>
        <w:rPr>
          <w:rFonts w:ascii="Arial" w:hAnsi="Arial" w:cs="Arial"/>
          <w:sz w:val="24"/>
          <w:szCs w:val="24"/>
          <w:lang w:val="en-GB"/>
        </w:rPr>
      </w:pPr>
      <w:r w:rsidRPr="00AD2D07">
        <w:rPr>
          <w:rFonts w:ascii="Arial" w:hAnsi="Arial" w:cs="Arial"/>
          <w:sz w:val="24"/>
          <w:szCs w:val="24"/>
          <w:lang w:val="en-GB"/>
        </w:rPr>
        <w:t>The ten Greater Manchester councils (Bolton, Bury, Manchester, Oldham, Rochdale, Salford, Stockport, Tameside, Trafford and Wigan) have worked together voluntarily for many years on issues that affect everyone in the region, like transport, regeneration, and attracting investment.</w:t>
      </w:r>
    </w:p>
    <w:p w14:paraId="22A7861A" w14:textId="77777777" w:rsidR="00016C24" w:rsidRDefault="00016C24" w:rsidP="00016C24">
      <w:pPr>
        <w:pStyle w:val="Normal0"/>
        <w:spacing w:after="160" w:line="240" w:lineRule="auto"/>
        <w:rPr>
          <w:rFonts w:ascii="Arial" w:hAnsi="Arial" w:cs="Arial"/>
          <w:sz w:val="24"/>
          <w:szCs w:val="24"/>
        </w:rPr>
      </w:pPr>
      <w:r w:rsidRPr="00097AEC">
        <w:rPr>
          <w:rFonts w:ascii="Arial" w:hAnsi="Arial" w:cs="Arial"/>
          <w:sz w:val="24"/>
          <w:szCs w:val="24"/>
          <w:shd w:val="clear" w:color="auto" w:fill="FFFFFF"/>
        </w:rPr>
        <w:t xml:space="preserve">The GMCA was established on 1 April 2011 by the Greater Manchester Combined Authority Order 2011 and comprised of ten members, being the Leaders of the constituent councils. </w:t>
      </w:r>
      <w:r w:rsidRPr="00097AEC">
        <w:rPr>
          <w:rFonts w:ascii="Arial" w:hAnsi="Arial" w:cs="Arial"/>
          <w:sz w:val="24"/>
          <w:szCs w:val="24"/>
        </w:rPr>
        <w:t>Greater Manchester re-elected Andy Burnham as Mayor in May 2021</w:t>
      </w:r>
      <w:r>
        <w:rPr>
          <w:rFonts w:ascii="Arial" w:hAnsi="Arial" w:cs="Arial"/>
          <w:sz w:val="24"/>
          <w:szCs w:val="24"/>
        </w:rPr>
        <w:t xml:space="preserve"> </w:t>
      </w:r>
      <w:r w:rsidRPr="00097AEC">
        <w:rPr>
          <w:rFonts w:ascii="Arial" w:hAnsi="Arial" w:cs="Arial"/>
          <w:sz w:val="24"/>
          <w:szCs w:val="24"/>
        </w:rPr>
        <w:t xml:space="preserve">and </w:t>
      </w:r>
      <w:r>
        <w:rPr>
          <w:rFonts w:ascii="Arial" w:hAnsi="Arial" w:cs="Arial"/>
          <w:sz w:val="24"/>
          <w:szCs w:val="24"/>
        </w:rPr>
        <w:t xml:space="preserve">he continues to </w:t>
      </w:r>
      <w:r w:rsidRPr="00097AEC">
        <w:rPr>
          <w:rFonts w:ascii="Arial" w:hAnsi="Arial" w:cs="Arial"/>
          <w:sz w:val="24"/>
          <w:szCs w:val="24"/>
        </w:rPr>
        <w:t xml:space="preserve">lead on the implementation </w:t>
      </w:r>
      <w:r>
        <w:rPr>
          <w:rFonts w:ascii="Arial" w:hAnsi="Arial" w:cs="Arial"/>
          <w:sz w:val="24"/>
          <w:szCs w:val="24"/>
        </w:rPr>
        <w:t xml:space="preserve">the </w:t>
      </w:r>
      <w:r w:rsidRPr="00097AEC">
        <w:rPr>
          <w:rFonts w:ascii="Arial" w:hAnsi="Arial" w:cs="Arial"/>
          <w:sz w:val="24"/>
          <w:szCs w:val="24"/>
        </w:rPr>
        <w:t xml:space="preserve">Greater Manchester </w:t>
      </w:r>
      <w:r w:rsidRPr="004F5F86">
        <w:rPr>
          <w:rFonts w:ascii="Arial" w:hAnsi="Arial" w:cs="Arial"/>
          <w:sz w:val="24"/>
          <w:szCs w:val="24"/>
        </w:rPr>
        <w:t xml:space="preserve">Strategy </w:t>
      </w:r>
      <w:r>
        <w:rPr>
          <w:rFonts w:ascii="Arial" w:hAnsi="Arial" w:cs="Arial"/>
          <w:sz w:val="24"/>
          <w:szCs w:val="24"/>
        </w:rPr>
        <w:t>(GMS) -</w:t>
      </w:r>
      <w:r w:rsidRPr="00097AEC">
        <w:rPr>
          <w:rFonts w:ascii="Arial" w:hAnsi="Arial" w:cs="Arial"/>
          <w:sz w:val="24"/>
          <w:szCs w:val="24"/>
        </w:rPr>
        <w:t xml:space="preserve"> the blueprint for the future of the city-region</w:t>
      </w:r>
      <w:r w:rsidRPr="00370C19">
        <w:rPr>
          <w:rFonts w:ascii="Arial" w:hAnsi="Arial" w:cs="Arial"/>
          <w:sz w:val="24"/>
          <w:szCs w:val="24"/>
        </w:rPr>
        <w:t xml:space="preserve">. </w:t>
      </w:r>
    </w:p>
    <w:p w14:paraId="0FD0584F" w14:textId="77777777" w:rsidR="00016C24" w:rsidRPr="003E7FD1" w:rsidRDefault="00016C24" w:rsidP="00016C24">
      <w:pPr>
        <w:pStyle w:val="Normal0"/>
        <w:spacing w:after="160" w:line="240" w:lineRule="auto"/>
        <w:rPr>
          <w:rFonts w:ascii="Arial" w:hAnsi="Arial" w:cs="Arial"/>
          <w:sz w:val="24"/>
          <w:szCs w:val="24"/>
        </w:rPr>
      </w:pPr>
      <w:r w:rsidRPr="00370C19">
        <w:rPr>
          <w:rFonts w:ascii="Arial" w:hAnsi="Arial" w:cs="Arial"/>
          <w:bCs/>
          <w:sz w:val="24"/>
          <w:szCs w:val="24"/>
        </w:rPr>
        <w:t>The GMS is Greater Manchester’s plan for all the communities, neighbourhoods, towns and cities which make up our city-region.</w:t>
      </w:r>
      <w:r>
        <w:rPr>
          <w:rFonts w:ascii="Arial" w:hAnsi="Arial" w:cs="Arial"/>
          <w:bCs/>
          <w:sz w:val="24"/>
          <w:szCs w:val="24"/>
        </w:rPr>
        <w:t xml:space="preserve"> The fourth Greater Manchester Strategy was developed and subsequently adopted in 2021 </w:t>
      </w:r>
      <w:r w:rsidRPr="00370C19">
        <w:rPr>
          <w:rFonts w:ascii="Arial" w:hAnsi="Arial" w:cs="Arial"/>
          <w:sz w:val="24"/>
          <w:szCs w:val="24"/>
        </w:rPr>
        <w:t>bui</w:t>
      </w:r>
      <w:r>
        <w:rPr>
          <w:rFonts w:ascii="Arial" w:hAnsi="Arial" w:cs="Arial"/>
          <w:sz w:val="24"/>
          <w:szCs w:val="24"/>
        </w:rPr>
        <w:t xml:space="preserve">lding </w:t>
      </w:r>
      <w:r w:rsidRPr="00370C19">
        <w:rPr>
          <w:rFonts w:ascii="Arial" w:hAnsi="Arial" w:cs="Arial"/>
          <w:sz w:val="24"/>
          <w:szCs w:val="24"/>
        </w:rPr>
        <w:t>from the 2017 strategy</w:t>
      </w:r>
      <w:r>
        <w:rPr>
          <w:rFonts w:ascii="Arial" w:hAnsi="Arial" w:cs="Arial"/>
          <w:sz w:val="24"/>
          <w:szCs w:val="24"/>
        </w:rPr>
        <w:t xml:space="preserve"> and</w:t>
      </w:r>
      <w:r w:rsidRPr="00370C19">
        <w:rPr>
          <w:rFonts w:ascii="Arial" w:hAnsi="Arial" w:cs="Arial"/>
          <w:sz w:val="24"/>
          <w:szCs w:val="24"/>
        </w:rPr>
        <w:t xml:space="preserve"> the one year Living with C</w:t>
      </w:r>
      <w:r>
        <w:rPr>
          <w:rFonts w:ascii="Arial" w:hAnsi="Arial" w:cs="Arial"/>
          <w:sz w:val="24"/>
          <w:szCs w:val="24"/>
        </w:rPr>
        <w:t>OVID-19</w:t>
      </w:r>
      <w:r w:rsidRPr="00370C19">
        <w:rPr>
          <w:rFonts w:ascii="Arial" w:hAnsi="Arial" w:cs="Arial"/>
          <w:sz w:val="24"/>
          <w:szCs w:val="24"/>
        </w:rPr>
        <w:t xml:space="preserve"> Resilience Plan</w:t>
      </w:r>
      <w:r>
        <w:rPr>
          <w:rFonts w:ascii="Arial" w:hAnsi="Arial" w:cs="Arial"/>
          <w:sz w:val="24"/>
          <w:szCs w:val="24"/>
        </w:rPr>
        <w:t xml:space="preserve"> </w:t>
      </w:r>
      <w:r w:rsidRPr="00370C19">
        <w:rPr>
          <w:rFonts w:ascii="Arial" w:hAnsi="Arial" w:cs="Arial"/>
          <w:sz w:val="24"/>
          <w:szCs w:val="24"/>
        </w:rPr>
        <w:t>and</w:t>
      </w:r>
      <w:r>
        <w:rPr>
          <w:rFonts w:ascii="Arial" w:hAnsi="Arial" w:cs="Arial"/>
          <w:sz w:val="24"/>
          <w:szCs w:val="24"/>
        </w:rPr>
        <w:t xml:space="preserve"> it</w:t>
      </w:r>
      <w:r w:rsidRPr="00370C19">
        <w:rPr>
          <w:rFonts w:ascii="Arial" w:hAnsi="Arial" w:cs="Arial"/>
          <w:sz w:val="24"/>
          <w:szCs w:val="24"/>
        </w:rPr>
        <w:t xml:space="preserve"> is the systemwide response to the Independent Inequalities’ Commission and Build Back Fairer reports.</w:t>
      </w:r>
    </w:p>
    <w:p w14:paraId="46D87F67" w14:textId="77777777" w:rsidR="00016C24" w:rsidRPr="00806476" w:rsidRDefault="00016C24" w:rsidP="00016C24">
      <w:pPr>
        <w:pStyle w:val="Normal0"/>
        <w:spacing w:after="160" w:line="240" w:lineRule="auto"/>
        <w:rPr>
          <w:rFonts w:ascii="Arial" w:hAnsi="Arial" w:cs="Arial"/>
          <w:bCs/>
        </w:rPr>
      </w:pPr>
      <w:r>
        <w:rPr>
          <w:rFonts w:ascii="Arial" w:hAnsi="Arial" w:cs="Arial"/>
          <w:bCs/>
          <w:sz w:val="24"/>
          <w:szCs w:val="24"/>
        </w:rPr>
        <w:t xml:space="preserve">The refreshed strategy </w:t>
      </w:r>
      <w:r w:rsidRPr="00370C19">
        <w:rPr>
          <w:rFonts w:ascii="Arial" w:hAnsi="Arial" w:cs="Arial"/>
          <w:bCs/>
          <w:sz w:val="24"/>
          <w:szCs w:val="24"/>
        </w:rPr>
        <w:t>sets out</w:t>
      </w:r>
      <w:r w:rsidRPr="00370C19">
        <w:rPr>
          <w:rFonts w:ascii="Arial" w:hAnsi="Arial" w:cs="Arial"/>
          <w:sz w:val="24"/>
          <w:szCs w:val="24"/>
        </w:rPr>
        <w:t xml:space="preserve"> </w:t>
      </w:r>
      <w:r>
        <w:rPr>
          <w:rFonts w:ascii="Arial" w:hAnsi="Arial" w:cs="Arial"/>
          <w:sz w:val="24"/>
          <w:szCs w:val="24"/>
        </w:rPr>
        <w:t>the city region’s</w:t>
      </w:r>
      <w:r w:rsidRPr="00370C19">
        <w:rPr>
          <w:rFonts w:ascii="Arial" w:hAnsi="Arial" w:cs="Arial"/>
          <w:sz w:val="24"/>
          <w:szCs w:val="24"/>
        </w:rPr>
        <w:t xml:space="preserve"> vision of</w:t>
      </w:r>
      <w:r w:rsidRPr="00370C19">
        <w:rPr>
          <w:rFonts w:ascii="Arial" w:hAnsi="Arial" w:cs="Arial"/>
          <w:b/>
          <w:bCs/>
          <w:sz w:val="24"/>
          <w:szCs w:val="24"/>
        </w:rPr>
        <w:t xml:space="preserve"> </w:t>
      </w:r>
      <w:r w:rsidRPr="00370C19">
        <w:rPr>
          <w:rFonts w:ascii="Arial" w:hAnsi="Arial" w:cs="Arial"/>
          <w:i/>
          <w:iCs/>
          <w:sz w:val="24"/>
          <w:szCs w:val="24"/>
        </w:rPr>
        <w:t>Good Lives for All</w:t>
      </w:r>
      <w:r w:rsidRPr="00370C19">
        <w:rPr>
          <w:rFonts w:ascii="Arial" w:hAnsi="Arial" w:cs="Arial"/>
          <w:sz w:val="24"/>
          <w:szCs w:val="24"/>
        </w:rPr>
        <w:t xml:space="preserve">: that </w:t>
      </w:r>
      <w:r w:rsidRPr="00370C19">
        <w:rPr>
          <w:rFonts w:ascii="Arial" w:hAnsi="Arial" w:cs="Arial"/>
          <w:i/>
          <w:iCs/>
          <w:sz w:val="24"/>
          <w:szCs w:val="24"/>
        </w:rPr>
        <w:t>Greater Manchester is a great place to grow up, get on and grow old; a great place to invest, do business, visit and study.</w:t>
      </w:r>
      <w:r>
        <w:rPr>
          <w:rFonts w:ascii="Arial" w:hAnsi="Arial" w:cs="Arial"/>
          <w:i/>
          <w:iCs/>
          <w:sz w:val="24"/>
          <w:szCs w:val="24"/>
        </w:rPr>
        <w:t xml:space="preserve"> </w:t>
      </w:r>
      <w:r w:rsidRPr="00806476">
        <w:rPr>
          <w:rFonts w:ascii="Arial" w:hAnsi="Arial" w:cs="Arial"/>
          <w:sz w:val="24"/>
          <w:szCs w:val="24"/>
        </w:rPr>
        <w:t>It</w:t>
      </w:r>
      <w:r w:rsidRPr="00806476">
        <w:rPr>
          <w:rFonts w:ascii="Arial" w:hAnsi="Arial" w:cs="Arial"/>
          <w:bCs/>
          <w:sz w:val="24"/>
          <w:szCs w:val="24"/>
        </w:rPr>
        <w:t xml:space="preserve"> is Greater Manchester’s plan for recovery and renewal following the pandemic</w:t>
      </w:r>
      <w:r>
        <w:rPr>
          <w:rFonts w:ascii="Arial" w:hAnsi="Arial" w:cs="Arial"/>
          <w:bCs/>
          <w:sz w:val="24"/>
          <w:szCs w:val="24"/>
        </w:rPr>
        <w:t xml:space="preserve"> </w:t>
      </w:r>
      <w:r w:rsidRPr="00806476">
        <w:rPr>
          <w:rFonts w:ascii="Arial" w:hAnsi="Arial" w:cs="Arial"/>
          <w:bCs/>
          <w:sz w:val="24"/>
          <w:szCs w:val="24"/>
        </w:rPr>
        <w:t xml:space="preserve">and puts responding to </w:t>
      </w:r>
      <w:r w:rsidRPr="00CF3BE0">
        <w:rPr>
          <w:rFonts w:ascii="Arial" w:hAnsi="Arial" w:cs="Arial"/>
          <w:b/>
          <w:sz w:val="24"/>
          <w:szCs w:val="24"/>
        </w:rPr>
        <w:t>the interconnected challenges of inequality and climate change</w:t>
      </w:r>
      <w:r w:rsidRPr="00806476">
        <w:rPr>
          <w:rFonts w:ascii="Arial" w:hAnsi="Arial" w:cs="Arial"/>
          <w:bCs/>
          <w:sz w:val="24"/>
          <w:szCs w:val="24"/>
        </w:rPr>
        <w:t xml:space="preserve"> at its heart, </w:t>
      </w:r>
      <w:r w:rsidRPr="00806476">
        <w:rPr>
          <w:rFonts w:ascii="Arial" w:hAnsi="Arial" w:cs="Arial"/>
          <w:sz w:val="24"/>
          <w:szCs w:val="24"/>
        </w:rPr>
        <w:t>providing the lenses through which Greater Manchester activity should be framed and challenging where policy or delivery is contrary to equalities and climate ambitions.</w:t>
      </w:r>
      <w:r w:rsidRPr="00806476">
        <w:rPr>
          <w:rFonts w:ascii="Arial" w:hAnsi="Arial" w:cs="Arial"/>
          <w:bCs/>
          <w:sz w:val="24"/>
          <w:szCs w:val="24"/>
        </w:rPr>
        <w:t xml:space="preserve"> It provides a clear direction of travel for the city-region, focused on those areas where all parts of the conurbation need to work together to achieve our shared vision.</w:t>
      </w:r>
    </w:p>
    <w:p w14:paraId="7A9C6ECD" w14:textId="77777777" w:rsidR="00016C24" w:rsidRPr="00674E2B" w:rsidRDefault="00016C24" w:rsidP="00016C24">
      <w:pPr>
        <w:rPr>
          <w:rFonts w:ascii="Arial" w:hAnsi="Arial" w:cs="Arial"/>
        </w:rPr>
      </w:pPr>
      <w:r>
        <w:rPr>
          <w:rFonts w:ascii="Arial" w:hAnsi="Arial" w:cs="Arial"/>
        </w:rPr>
        <w:t>The Strategy sets out a series of shared outcomes (the Greater Manchester we want to see) and 15 shared commitments (the things we are going to do), with whole system activity required to deliver against these.  It is underpinned by a performance framework with metrics to monitor, some of which are targeted, and web based data dashboards to inform future activity</w:t>
      </w:r>
      <w:r w:rsidRPr="00674E2B">
        <w:rPr>
          <w:rFonts w:ascii="Arial" w:hAnsi="Arial" w:cs="Arial"/>
        </w:rPr>
        <w:t>.  For the first time this includes three neighbourhood floor targets, which set minimum standards against core indicators – the intention being to highlight variance and inequality at the local levels, and to trigger collective targeted activity in response.</w:t>
      </w:r>
    </w:p>
    <w:p w14:paraId="5E53AD40" w14:textId="77777777" w:rsidR="00016C24" w:rsidRDefault="00016C24" w:rsidP="00016C24">
      <w:pPr>
        <w:rPr>
          <w:rFonts w:ascii="Arial" w:hAnsi="Arial" w:cs="Arial"/>
        </w:rPr>
      </w:pPr>
    </w:p>
    <w:p w14:paraId="4B2A56FA" w14:textId="77777777" w:rsidR="00016C24" w:rsidRDefault="00016C24" w:rsidP="00016C24">
      <w:pPr>
        <w:rPr>
          <w:rFonts w:ascii="Arial" w:hAnsi="Arial" w:cs="Arial"/>
        </w:rPr>
      </w:pPr>
      <w:r w:rsidRPr="000224AF">
        <w:rPr>
          <w:rFonts w:ascii="Arial" w:hAnsi="Arial" w:cs="Arial"/>
        </w:rPr>
        <w:t xml:space="preserve">All this is underpinned by a strong foundation formed from agreed ways of working. </w:t>
      </w:r>
      <w:r>
        <w:rPr>
          <w:rFonts w:ascii="Arial" w:hAnsi="Arial" w:cs="Arial"/>
        </w:rPr>
        <w:t>Greater Manchester is</w:t>
      </w:r>
      <w:r w:rsidRPr="000224AF">
        <w:rPr>
          <w:rFonts w:ascii="Arial" w:hAnsi="Arial" w:cs="Arial"/>
        </w:rPr>
        <w:t xml:space="preserve"> adopting practices which will enable a consistent approach across systems, institutions and communities to come together. </w:t>
      </w:r>
    </w:p>
    <w:p w14:paraId="32578FC9" w14:textId="77777777" w:rsidR="00016C24" w:rsidRDefault="00016C24" w:rsidP="00016C24">
      <w:pPr>
        <w:rPr>
          <w:rFonts w:ascii="Arial" w:hAnsi="Arial" w:cs="Arial"/>
        </w:rPr>
      </w:pPr>
    </w:p>
    <w:p w14:paraId="6433D920" w14:textId="77777777" w:rsidR="00016C24" w:rsidRPr="00BB11E5" w:rsidRDefault="00016C24" w:rsidP="00016C24">
      <w:pPr>
        <w:rPr>
          <w:rFonts w:ascii="Arial" w:hAnsi="Arial" w:cs="Arial"/>
        </w:rPr>
      </w:pPr>
      <w:r>
        <w:rPr>
          <w:rFonts w:ascii="Arial" w:hAnsi="Arial" w:cs="Arial"/>
        </w:rPr>
        <w:t>A new process for reporting against progress with the GMS is being adopted which will</w:t>
      </w:r>
      <w:r w:rsidRPr="00BB11E5">
        <w:rPr>
          <w:rFonts w:ascii="Arial" w:hAnsi="Arial" w:cs="Arial"/>
        </w:rPr>
        <w:t>:</w:t>
      </w:r>
    </w:p>
    <w:p w14:paraId="341D88ED" w14:textId="77777777" w:rsidR="00016C24" w:rsidRPr="00E176C4" w:rsidRDefault="00016C24" w:rsidP="00EB27EB">
      <w:pPr>
        <w:pStyle w:val="ListParagraph"/>
        <w:numPr>
          <w:ilvl w:val="0"/>
          <w:numId w:val="61"/>
        </w:numPr>
        <w:spacing w:after="0" w:line="240" w:lineRule="auto"/>
        <w:rPr>
          <w:rFonts w:ascii="Arial" w:hAnsi="Arial" w:cs="Arial"/>
          <w:sz w:val="24"/>
          <w:szCs w:val="24"/>
        </w:rPr>
      </w:pPr>
      <w:r w:rsidRPr="00E176C4">
        <w:rPr>
          <w:rFonts w:ascii="Arial" w:hAnsi="Arial" w:cs="Arial"/>
          <w:sz w:val="24"/>
          <w:szCs w:val="24"/>
        </w:rPr>
        <w:t>Provide a system wide view of activity and progress against the shared commitments (and targets) in the strategy and ways of working</w:t>
      </w:r>
    </w:p>
    <w:p w14:paraId="6C1ABFF1" w14:textId="77777777" w:rsidR="00016C24" w:rsidRPr="00E176C4" w:rsidRDefault="00016C24" w:rsidP="00EB27EB">
      <w:pPr>
        <w:pStyle w:val="ListParagraph"/>
        <w:numPr>
          <w:ilvl w:val="0"/>
          <w:numId w:val="61"/>
        </w:numPr>
        <w:spacing w:after="0" w:line="240" w:lineRule="auto"/>
        <w:rPr>
          <w:rFonts w:ascii="Arial" w:hAnsi="Arial" w:cs="Arial"/>
          <w:sz w:val="24"/>
          <w:szCs w:val="24"/>
        </w:rPr>
      </w:pPr>
      <w:r w:rsidRPr="00E176C4">
        <w:rPr>
          <w:rFonts w:ascii="Arial" w:hAnsi="Arial" w:cs="Arial"/>
          <w:sz w:val="24"/>
          <w:szCs w:val="24"/>
        </w:rPr>
        <w:lastRenderedPageBreak/>
        <w:t>Identify gaps, challenges or issues for development in delivering the shared commitments/ways of working</w:t>
      </w:r>
    </w:p>
    <w:p w14:paraId="59426434" w14:textId="77777777" w:rsidR="00016C24" w:rsidRPr="00E176C4" w:rsidRDefault="00016C24" w:rsidP="00EB27EB">
      <w:pPr>
        <w:pStyle w:val="ListParagraph"/>
        <w:numPr>
          <w:ilvl w:val="0"/>
          <w:numId w:val="61"/>
        </w:numPr>
        <w:spacing w:after="0" w:line="240" w:lineRule="auto"/>
        <w:rPr>
          <w:rFonts w:ascii="Arial" w:hAnsi="Arial" w:cs="Arial"/>
          <w:sz w:val="24"/>
          <w:szCs w:val="24"/>
        </w:rPr>
      </w:pPr>
      <w:r w:rsidRPr="00E176C4">
        <w:rPr>
          <w:rFonts w:ascii="Arial" w:hAnsi="Arial" w:cs="Arial"/>
          <w:sz w:val="24"/>
          <w:szCs w:val="24"/>
        </w:rPr>
        <w:t xml:space="preserve">Provide for sharing and embedding of good practice, system learning and innovation </w:t>
      </w:r>
    </w:p>
    <w:p w14:paraId="630B0F35" w14:textId="77777777" w:rsidR="00016C24" w:rsidRDefault="00016C24" w:rsidP="00EB27EB">
      <w:pPr>
        <w:pStyle w:val="ListParagraph"/>
        <w:numPr>
          <w:ilvl w:val="0"/>
          <w:numId w:val="61"/>
        </w:numPr>
        <w:spacing w:after="0" w:line="240" w:lineRule="auto"/>
        <w:rPr>
          <w:rFonts w:ascii="Arial" w:hAnsi="Arial" w:cs="Arial"/>
          <w:sz w:val="24"/>
          <w:szCs w:val="24"/>
        </w:rPr>
      </w:pPr>
      <w:r w:rsidRPr="00E176C4">
        <w:rPr>
          <w:rFonts w:ascii="Arial" w:hAnsi="Arial" w:cs="Arial"/>
          <w:sz w:val="24"/>
          <w:szCs w:val="24"/>
        </w:rPr>
        <w:t>Provide an update every six months.</w:t>
      </w:r>
    </w:p>
    <w:p w14:paraId="3A5348CF" w14:textId="77777777" w:rsidR="00016C24" w:rsidRPr="004D1F8F" w:rsidRDefault="00016C24" w:rsidP="00016C24">
      <w:pPr>
        <w:pStyle w:val="ListParagraph"/>
        <w:spacing w:after="0" w:line="240" w:lineRule="auto"/>
        <w:rPr>
          <w:rFonts w:ascii="Arial" w:hAnsi="Arial" w:cs="Arial"/>
          <w:sz w:val="24"/>
          <w:szCs w:val="24"/>
        </w:rPr>
      </w:pPr>
    </w:p>
    <w:p w14:paraId="281CFDE6" w14:textId="77777777" w:rsidR="00016C24" w:rsidRPr="0048075A" w:rsidRDefault="00016C24" w:rsidP="00016C24">
      <w:pPr>
        <w:pStyle w:val="Normal0"/>
        <w:spacing w:after="160" w:line="240" w:lineRule="auto"/>
        <w:rPr>
          <w:rFonts w:ascii="Arial" w:hAnsi="Arial" w:cs="Arial"/>
          <w:sz w:val="24"/>
          <w:szCs w:val="24"/>
        </w:rPr>
      </w:pPr>
      <w:r w:rsidRPr="0048075A">
        <w:rPr>
          <w:rFonts w:ascii="Arial" w:hAnsi="Arial" w:cs="Arial"/>
          <w:sz w:val="24"/>
          <w:szCs w:val="24"/>
        </w:rPr>
        <w:t xml:space="preserve">Devolution is critical to the success of the </w:t>
      </w:r>
      <w:r>
        <w:rPr>
          <w:rFonts w:ascii="Arial" w:hAnsi="Arial" w:cs="Arial"/>
          <w:sz w:val="24"/>
          <w:szCs w:val="24"/>
        </w:rPr>
        <w:t xml:space="preserve">Greater Manchester </w:t>
      </w:r>
      <w:r w:rsidRPr="0048075A">
        <w:rPr>
          <w:rFonts w:ascii="Arial" w:hAnsi="Arial" w:cs="Arial"/>
          <w:sz w:val="24"/>
          <w:szCs w:val="24"/>
        </w:rPr>
        <w:t xml:space="preserve">ambition, the devolution deals signed with Government mean that GM has a much greater control of its future and more say over the decisions that can improve the lives of all residents. </w:t>
      </w:r>
    </w:p>
    <w:p w14:paraId="7B452C14" w14:textId="61BFFB8E" w:rsidR="00016C24" w:rsidRDefault="00016C24" w:rsidP="00016C24">
      <w:pPr>
        <w:pStyle w:val="Normal0"/>
        <w:spacing w:after="160" w:line="240" w:lineRule="auto"/>
        <w:rPr>
          <w:rFonts w:ascii="Arial" w:hAnsi="Arial" w:cs="Arial"/>
          <w:sz w:val="24"/>
          <w:szCs w:val="24"/>
        </w:rPr>
      </w:pPr>
      <w:r w:rsidRPr="0048075A">
        <w:rPr>
          <w:rFonts w:ascii="Arial" w:hAnsi="Arial" w:cs="Arial"/>
          <w:sz w:val="24"/>
          <w:szCs w:val="24"/>
        </w:rPr>
        <w:t>The region’s</w:t>
      </w:r>
      <w:r>
        <w:rPr>
          <w:rFonts w:ascii="Arial" w:hAnsi="Arial" w:cs="Arial"/>
          <w:sz w:val="24"/>
          <w:szCs w:val="24"/>
        </w:rPr>
        <w:t xml:space="preserve"> devolution</w:t>
      </w:r>
      <w:r w:rsidRPr="0048075A">
        <w:rPr>
          <w:rFonts w:ascii="Arial" w:hAnsi="Arial" w:cs="Arial"/>
          <w:sz w:val="24"/>
          <w:szCs w:val="24"/>
        </w:rPr>
        <w:t xml:space="preserve"> powers include more control of local transport, planning powers to encourage regeneration and development, </w:t>
      </w:r>
      <w:r>
        <w:rPr>
          <w:rFonts w:ascii="Arial" w:hAnsi="Arial" w:cs="Arial"/>
          <w:sz w:val="24"/>
          <w:szCs w:val="24"/>
        </w:rPr>
        <w:t xml:space="preserve">a housing investment fund, education, skills and </w:t>
      </w:r>
      <w:r w:rsidRPr="0048075A">
        <w:rPr>
          <w:rFonts w:ascii="Arial" w:hAnsi="Arial" w:cs="Arial"/>
          <w:sz w:val="24"/>
          <w:szCs w:val="24"/>
        </w:rPr>
        <w:t>training</w:t>
      </w:r>
      <w:r>
        <w:rPr>
          <w:rFonts w:ascii="Arial" w:hAnsi="Arial" w:cs="Arial"/>
          <w:sz w:val="24"/>
          <w:szCs w:val="24"/>
        </w:rPr>
        <w:t xml:space="preserve"> funding</w:t>
      </w:r>
      <w:r w:rsidRPr="0048075A">
        <w:rPr>
          <w:rFonts w:ascii="Arial" w:hAnsi="Arial" w:cs="Arial"/>
          <w:sz w:val="24"/>
          <w:szCs w:val="24"/>
        </w:rPr>
        <w:t>, the role of the Police and Crime Commissioner and responsibility for the fire service being merged with the elected mayor</w:t>
      </w:r>
      <w:r w:rsidR="00BB1644">
        <w:rPr>
          <w:rFonts w:ascii="Arial" w:hAnsi="Arial" w:cs="Arial"/>
          <w:sz w:val="24"/>
          <w:szCs w:val="24"/>
        </w:rPr>
        <w:t xml:space="preserve">. </w:t>
      </w:r>
      <w:r>
        <w:rPr>
          <w:rFonts w:ascii="Arial" w:hAnsi="Arial" w:cs="Arial"/>
          <w:sz w:val="24"/>
          <w:szCs w:val="24"/>
        </w:rPr>
        <w:t xml:space="preserve">Greater Manchester has access to </w:t>
      </w:r>
      <w:r w:rsidRPr="0048075A">
        <w:rPr>
          <w:rFonts w:ascii="Arial" w:hAnsi="Arial" w:cs="Arial"/>
          <w:sz w:val="24"/>
          <w:szCs w:val="24"/>
        </w:rPr>
        <w:t>a</w:t>
      </w:r>
      <w:r>
        <w:rPr>
          <w:rFonts w:ascii="Arial" w:hAnsi="Arial" w:cs="Arial"/>
          <w:sz w:val="24"/>
          <w:szCs w:val="24"/>
        </w:rPr>
        <w:t>n</w:t>
      </w:r>
      <w:r w:rsidRPr="0048075A">
        <w:rPr>
          <w:rFonts w:ascii="Arial" w:hAnsi="Arial" w:cs="Arial"/>
          <w:sz w:val="24"/>
          <w:szCs w:val="24"/>
        </w:rPr>
        <w:t xml:space="preserve"> ‘earn back’ funding arrangement </w:t>
      </w:r>
      <w:r>
        <w:rPr>
          <w:rFonts w:ascii="Arial" w:hAnsi="Arial" w:cs="Arial"/>
          <w:sz w:val="24"/>
          <w:szCs w:val="24"/>
        </w:rPr>
        <w:t xml:space="preserve">providing capital and revenue funding </w:t>
      </w:r>
      <w:r w:rsidRPr="0048075A">
        <w:rPr>
          <w:rFonts w:ascii="Arial" w:hAnsi="Arial" w:cs="Arial"/>
          <w:sz w:val="24"/>
          <w:szCs w:val="24"/>
        </w:rPr>
        <w:t>for the region’s infrastructure as part of a single pot for investment in economic growth projects</w:t>
      </w:r>
      <w:r>
        <w:rPr>
          <w:rFonts w:ascii="Arial" w:hAnsi="Arial" w:cs="Arial"/>
          <w:sz w:val="24"/>
          <w:szCs w:val="24"/>
        </w:rPr>
        <w:t xml:space="preserve"> and</w:t>
      </w:r>
      <w:r w:rsidRPr="0048075A">
        <w:rPr>
          <w:rFonts w:ascii="Arial" w:hAnsi="Arial" w:cs="Arial"/>
          <w:sz w:val="24"/>
          <w:szCs w:val="24"/>
        </w:rPr>
        <w:t xml:space="preserve"> a reform investment fund to </w:t>
      </w:r>
      <w:r>
        <w:rPr>
          <w:rFonts w:ascii="Arial" w:hAnsi="Arial" w:cs="Arial"/>
          <w:sz w:val="24"/>
          <w:szCs w:val="24"/>
        </w:rPr>
        <w:t xml:space="preserve">enable </w:t>
      </w:r>
      <w:r w:rsidRPr="0048075A">
        <w:rPr>
          <w:rFonts w:ascii="Arial" w:hAnsi="Arial" w:cs="Arial"/>
          <w:sz w:val="24"/>
          <w:szCs w:val="24"/>
        </w:rPr>
        <w:t>invest</w:t>
      </w:r>
      <w:r>
        <w:rPr>
          <w:rFonts w:ascii="Arial" w:hAnsi="Arial" w:cs="Arial"/>
          <w:sz w:val="24"/>
          <w:szCs w:val="24"/>
        </w:rPr>
        <w:t>ment</w:t>
      </w:r>
      <w:r w:rsidRPr="0048075A">
        <w:rPr>
          <w:rFonts w:ascii="Arial" w:hAnsi="Arial" w:cs="Arial"/>
          <w:sz w:val="24"/>
          <w:szCs w:val="24"/>
        </w:rPr>
        <w:t xml:space="preserve"> in better services for our residents. </w:t>
      </w:r>
    </w:p>
    <w:p w14:paraId="27B8FF11" w14:textId="77777777" w:rsidR="00016C24" w:rsidRPr="00C9289E" w:rsidRDefault="00016C24" w:rsidP="00016C24">
      <w:pPr>
        <w:rPr>
          <w:rFonts w:ascii="Arial" w:hAnsi="Arial" w:cs="Arial"/>
        </w:rPr>
      </w:pPr>
      <w:r w:rsidRPr="0048075A">
        <w:rPr>
          <w:rFonts w:ascii="Arial" w:hAnsi="Arial" w:cs="Arial"/>
        </w:rPr>
        <w:t xml:space="preserve">However, there are still significant areas of policy and spending where there is no devolution to Greater Manchester which restricts </w:t>
      </w:r>
      <w:r>
        <w:rPr>
          <w:rFonts w:ascii="Arial" w:hAnsi="Arial" w:cs="Arial"/>
        </w:rPr>
        <w:t xml:space="preserve">the </w:t>
      </w:r>
      <w:r w:rsidRPr="0048075A">
        <w:rPr>
          <w:rFonts w:ascii="Arial" w:hAnsi="Arial" w:cs="Arial"/>
        </w:rPr>
        <w:t xml:space="preserve">ability to integrate, invest and reform to deliver </w:t>
      </w:r>
      <w:r>
        <w:rPr>
          <w:rFonts w:ascii="Arial" w:hAnsi="Arial" w:cs="Arial"/>
        </w:rPr>
        <w:t xml:space="preserve">the </w:t>
      </w:r>
      <w:r w:rsidRPr="0048075A">
        <w:rPr>
          <w:rFonts w:ascii="Arial" w:hAnsi="Arial" w:cs="Arial"/>
        </w:rPr>
        <w:t xml:space="preserve">ambition. And the current devolution settlement </w:t>
      </w:r>
      <w:r>
        <w:rPr>
          <w:rFonts w:ascii="Arial" w:hAnsi="Arial" w:cs="Arial"/>
        </w:rPr>
        <w:t>does not give Greater Manchester</w:t>
      </w:r>
      <w:r w:rsidRPr="0048075A">
        <w:rPr>
          <w:rFonts w:ascii="Arial" w:hAnsi="Arial" w:cs="Arial"/>
        </w:rPr>
        <w:t xml:space="preserve"> the influence or control over all public spending</w:t>
      </w:r>
      <w:r>
        <w:rPr>
          <w:rFonts w:ascii="Arial" w:hAnsi="Arial" w:cs="Arial"/>
        </w:rPr>
        <w:t xml:space="preserve"> needed </w:t>
      </w:r>
      <w:r w:rsidRPr="0048075A">
        <w:rPr>
          <w:rFonts w:ascii="Arial" w:hAnsi="Arial" w:cs="Arial"/>
        </w:rPr>
        <w:t>to truly drive productivity growth</w:t>
      </w:r>
      <w:r>
        <w:rPr>
          <w:rFonts w:ascii="Arial" w:hAnsi="Arial" w:cs="Arial"/>
        </w:rPr>
        <w:t xml:space="preserve">, </w:t>
      </w:r>
      <w:r w:rsidRPr="0048075A">
        <w:rPr>
          <w:rFonts w:ascii="Arial" w:hAnsi="Arial" w:cs="Arial"/>
        </w:rPr>
        <w:t>address social and economic inequalities</w:t>
      </w:r>
      <w:r>
        <w:rPr>
          <w:rFonts w:ascii="Arial" w:hAnsi="Arial" w:cs="Arial"/>
        </w:rPr>
        <w:t xml:space="preserve"> and meet our environmental </w:t>
      </w:r>
      <w:r w:rsidRPr="004B41EC">
        <w:rPr>
          <w:rFonts w:ascii="Arial" w:hAnsi="Arial" w:cs="Arial"/>
        </w:rPr>
        <w:t xml:space="preserve">ambitions. Decentralising resources will enable us to have the best possible chance to level up, to step up, and to achieve our GMS ambitions and support the national ambitions. </w:t>
      </w:r>
      <w:r>
        <w:rPr>
          <w:rFonts w:ascii="Arial" w:hAnsi="Arial" w:cs="Arial"/>
        </w:rPr>
        <w:t>Discussions with Government through the Devolution Trailblazer process announced in the Levelling Up White Paper will therefore be critical going forward.</w:t>
      </w:r>
    </w:p>
    <w:p w14:paraId="7F1DF621" w14:textId="77777777" w:rsidR="00016C24" w:rsidRPr="00004A56" w:rsidRDefault="00016C24" w:rsidP="00016C24">
      <w:pPr>
        <w:pStyle w:val="Heading3"/>
        <w:rPr>
          <w:rStyle w:val="normaltextrun"/>
          <w:rFonts w:eastAsia="Palatino Linotype"/>
        </w:rPr>
      </w:pPr>
      <w:bookmarkStart w:id="13" w:name="_Toc109922578"/>
      <w:r w:rsidRPr="00004A56">
        <w:rPr>
          <w:rStyle w:val="normaltextrun"/>
          <w:rFonts w:eastAsia="Palatino Linotype"/>
        </w:rPr>
        <w:t>The Greater Manchester Local Industrial Strategy</w:t>
      </w:r>
      <w:bookmarkEnd w:id="13"/>
    </w:p>
    <w:p w14:paraId="3B7850B7" w14:textId="77777777" w:rsidR="00016C24" w:rsidRDefault="00016C24" w:rsidP="00016C24">
      <w:pPr>
        <w:rPr>
          <w:highlight w:val="yellow"/>
        </w:rPr>
      </w:pPr>
    </w:p>
    <w:p w14:paraId="11BD58B8" w14:textId="77777777" w:rsidR="00016C24" w:rsidRPr="008B767E" w:rsidRDefault="00016C24" w:rsidP="00016C24">
      <w:pPr>
        <w:pStyle w:val="paragraph"/>
        <w:spacing w:before="0" w:beforeAutospacing="0" w:after="0" w:afterAutospacing="0"/>
        <w:rPr>
          <w:color w:val="000000"/>
        </w:rPr>
      </w:pPr>
      <w:r w:rsidRPr="008B767E">
        <w:rPr>
          <w:rStyle w:val="normaltextrun"/>
          <w:rFonts w:ascii="Arial" w:hAnsi="Arial" w:cs="Arial"/>
          <w:color w:val="000000"/>
          <w:bdr w:val="none" w:sz="0" w:space="0" w:color="auto" w:frame="1"/>
        </w:rPr>
        <w:t>In June 2019 Greater Manchester published its ambitious Local Industrial Strategy, designed to deliver an economy fit for the future, with prosperous communities across the city-region and radically increased productivity and earning power. The strategy is based on the robust evidence provided by the 2019 Independent Prosperity Review, and the 2016 Science and Innovation Audit. It has been developed from the ground up with local and national stakeholders, including business and social enterprises, trade unions, universities and colleges, and community and voluntary organisations.</w:t>
      </w:r>
      <w:r w:rsidRPr="008B767E">
        <w:rPr>
          <w:rFonts w:ascii="inherit" w:hAnsi="inherit" w:cs="Arial"/>
          <w:color w:val="000000"/>
          <w:bdr w:val="none" w:sz="0" w:space="0" w:color="auto" w:frame="1"/>
        </w:rPr>
        <w:t> </w:t>
      </w:r>
    </w:p>
    <w:p w14:paraId="28015553" w14:textId="77777777" w:rsidR="00016C24" w:rsidRPr="008B767E" w:rsidRDefault="00016C24" w:rsidP="00016C24">
      <w:pPr>
        <w:pStyle w:val="paragraph"/>
        <w:spacing w:before="0" w:beforeAutospacing="0" w:after="0" w:afterAutospacing="0"/>
        <w:rPr>
          <w:rStyle w:val="normaltextrun"/>
          <w:rFonts w:ascii="Arial" w:hAnsi="Arial" w:cs="Arial"/>
          <w:color w:val="000000"/>
          <w:bdr w:val="none" w:sz="0" w:space="0" w:color="auto" w:frame="1"/>
        </w:rPr>
      </w:pPr>
    </w:p>
    <w:p w14:paraId="563319C2" w14:textId="29716B8B" w:rsidR="00016C24" w:rsidRPr="004D1F8F" w:rsidRDefault="00016C24" w:rsidP="00016C24">
      <w:pPr>
        <w:pStyle w:val="paragraph"/>
        <w:spacing w:before="0" w:beforeAutospacing="0" w:after="0" w:afterAutospacing="0"/>
        <w:rPr>
          <w:color w:val="000000"/>
        </w:rPr>
      </w:pPr>
      <w:r w:rsidRPr="008B767E">
        <w:rPr>
          <w:rStyle w:val="normaltextrun"/>
          <w:rFonts w:ascii="Arial" w:hAnsi="Arial" w:cs="Arial"/>
          <w:color w:val="000000"/>
          <w:bdr w:val="none" w:sz="0" w:space="0" w:color="auto" w:frame="1"/>
        </w:rPr>
        <w:t>The Greater Manchester Local Industrial Strategy is not working in isolation. It complements other national and local strategies including the national Plan for Growth and the Greater Manchester Strategy ‘Good Lives For All’.</w:t>
      </w:r>
      <w:r w:rsidR="00982B95">
        <w:rPr>
          <w:rStyle w:val="normaltextrun"/>
          <w:rFonts w:ascii="Arial" w:hAnsi="Arial" w:cs="Arial"/>
          <w:color w:val="000000"/>
          <w:bdr w:val="none" w:sz="0" w:space="0" w:color="auto" w:frame="1"/>
        </w:rPr>
        <w:t xml:space="preserve"> </w:t>
      </w:r>
      <w:r w:rsidRPr="008B767E">
        <w:rPr>
          <w:rStyle w:val="normaltextrun"/>
          <w:rFonts w:ascii="Arial" w:hAnsi="Arial" w:cs="Arial"/>
          <w:color w:val="000000"/>
          <w:bdr w:val="none" w:sz="0" w:space="0" w:color="auto" w:frame="1"/>
        </w:rPr>
        <w:t>To achieve this ambition, it identifies actions around five foundations of productivity: Ideas, People, Infrastructure, Business Environment and Places, which are the essential attributes of every successful economy. It also identifies the frontier sectors where Greater Manchester has particular strengths and opportunities, and the ‘foundational economy’ which employs significant numbers of people but has been historically undervalued as a sector.</w:t>
      </w:r>
      <w:r w:rsidRPr="008B767E">
        <w:rPr>
          <w:rFonts w:ascii="Arial" w:hAnsi="Arial" w:cs="Arial"/>
          <w:color w:val="000000"/>
          <w:bdr w:val="none" w:sz="0" w:space="0" w:color="auto" w:frame="1"/>
        </w:rPr>
        <w:br/>
      </w:r>
      <w:r w:rsidRPr="008B767E">
        <w:rPr>
          <w:rFonts w:ascii="Arial" w:hAnsi="Arial" w:cs="Arial"/>
          <w:color w:val="000000"/>
          <w:bdr w:val="none" w:sz="0" w:space="0" w:color="auto" w:frame="1"/>
        </w:rPr>
        <w:br/>
        <w:t xml:space="preserve">Greater Manchester is currently working to refresh the Local Industrial Strategy and its </w:t>
      </w:r>
      <w:r w:rsidRPr="008B767E">
        <w:rPr>
          <w:rFonts w:ascii="Arial" w:hAnsi="Arial" w:cs="Arial"/>
          <w:color w:val="000000"/>
          <w:bdr w:val="none" w:sz="0" w:space="0" w:color="auto" w:frame="1"/>
        </w:rPr>
        <w:lastRenderedPageBreak/>
        <w:t>implementation plan in response to the changing context caused by</w:t>
      </w:r>
      <w:r>
        <w:rPr>
          <w:rFonts w:ascii="Arial" w:hAnsi="Arial" w:cs="Arial"/>
          <w:color w:val="000000"/>
          <w:bdr w:val="none" w:sz="0" w:space="0" w:color="auto" w:frame="1"/>
        </w:rPr>
        <w:t xml:space="preserve"> the</w:t>
      </w:r>
      <w:r w:rsidRPr="00E83C28">
        <w:rPr>
          <w:rStyle w:val="normaltextrun"/>
          <w:rFonts w:ascii="Arial" w:eastAsia="Palatino Linotype" w:hAnsi="Arial" w:cs="Arial"/>
        </w:rPr>
        <w:t xml:space="preserve"> </w:t>
      </w:r>
      <w:r w:rsidRPr="00C9289E">
        <w:rPr>
          <w:rStyle w:val="normaltextrun"/>
          <w:rFonts w:ascii="Arial" w:eastAsia="Palatino Linotype" w:hAnsi="Arial" w:cs="Arial"/>
        </w:rPr>
        <w:t>UK’s exit from the European Unio</w:t>
      </w:r>
      <w:r>
        <w:rPr>
          <w:rStyle w:val="normaltextrun"/>
          <w:rFonts w:ascii="Arial" w:eastAsia="Palatino Linotype" w:hAnsi="Arial" w:cs="Arial"/>
        </w:rPr>
        <w:t>n</w:t>
      </w:r>
      <w:r w:rsidRPr="008B767E">
        <w:rPr>
          <w:rFonts w:ascii="Arial" w:hAnsi="Arial" w:cs="Arial"/>
          <w:color w:val="000000"/>
          <w:bdr w:val="none" w:sz="0" w:space="0" w:color="auto" w:frame="1"/>
        </w:rPr>
        <w:t>, the C</w:t>
      </w:r>
      <w:r>
        <w:rPr>
          <w:rFonts w:ascii="Arial" w:hAnsi="Arial" w:cs="Arial"/>
          <w:color w:val="000000"/>
          <w:bdr w:val="none" w:sz="0" w:space="0" w:color="auto" w:frame="1"/>
        </w:rPr>
        <w:t>OVID</w:t>
      </w:r>
      <w:r w:rsidRPr="008B767E">
        <w:rPr>
          <w:rFonts w:ascii="Arial" w:hAnsi="Arial" w:cs="Arial"/>
          <w:color w:val="000000"/>
          <w:bdr w:val="none" w:sz="0" w:space="0" w:color="auto" w:frame="1"/>
        </w:rPr>
        <w:t xml:space="preserve">-19 pandemic and the </w:t>
      </w:r>
      <w:r>
        <w:rPr>
          <w:rFonts w:ascii="Arial" w:hAnsi="Arial" w:cs="Arial"/>
          <w:color w:val="000000"/>
          <w:bdr w:val="none" w:sz="0" w:space="0" w:color="auto" w:frame="1"/>
        </w:rPr>
        <w:t>‘</w:t>
      </w:r>
      <w:r w:rsidRPr="008B767E">
        <w:rPr>
          <w:rFonts w:ascii="Arial" w:hAnsi="Arial" w:cs="Arial"/>
          <w:color w:val="000000"/>
          <w:bdr w:val="none" w:sz="0" w:space="0" w:color="auto" w:frame="1"/>
        </w:rPr>
        <w:t>cost-of-living crisis</w:t>
      </w:r>
      <w:r>
        <w:rPr>
          <w:rFonts w:ascii="Arial" w:hAnsi="Arial" w:cs="Arial"/>
          <w:color w:val="000000"/>
          <w:bdr w:val="none" w:sz="0" w:space="0" w:color="auto" w:frame="1"/>
        </w:rPr>
        <w:t>’</w:t>
      </w:r>
      <w:r w:rsidRPr="008B767E">
        <w:rPr>
          <w:rFonts w:ascii="Arial" w:hAnsi="Arial" w:cs="Arial"/>
          <w:color w:val="000000"/>
          <w:bdr w:val="none" w:sz="0" w:space="0" w:color="auto" w:frame="1"/>
        </w:rPr>
        <w:t>.</w:t>
      </w:r>
    </w:p>
    <w:p w14:paraId="017001B2" w14:textId="77777777" w:rsidR="00016C24" w:rsidRDefault="00016C24" w:rsidP="00016C24">
      <w:pPr>
        <w:pStyle w:val="Heading3"/>
        <w:rPr>
          <w:rStyle w:val="normaltextrun"/>
          <w:rFonts w:eastAsia="Palatino Linotype"/>
        </w:rPr>
      </w:pPr>
      <w:bookmarkStart w:id="14" w:name="_Toc109922579"/>
      <w:r w:rsidRPr="001A154B">
        <w:rPr>
          <w:rStyle w:val="normaltextrun"/>
          <w:rFonts w:eastAsia="Palatino Linotype"/>
        </w:rPr>
        <w:t>Growing the Economy</w:t>
      </w:r>
      <w:bookmarkEnd w:id="14"/>
    </w:p>
    <w:p w14:paraId="40FDB174" w14:textId="77777777" w:rsidR="00016C24" w:rsidRPr="006F58D3" w:rsidRDefault="00016C24" w:rsidP="00016C24">
      <w:pPr>
        <w:pStyle w:val="Heading3"/>
        <w:rPr>
          <w:rStyle w:val="normaltextrun"/>
          <w:rFonts w:eastAsia="Palatino Linotype"/>
          <w:sz w:val="24"/>
          <w:szCs w:val="24"/>
        </w:rPr>
      </w:pPr>
      <w:bookmarkStart w:id="15" w:name="_Toc109922580"/>
      <w:r w:rsidRPr="006F58D3">
        <w:rPr>
          <w:rStyle w:val="normaltextrun"/>
          <w:b w:val="0"/>
          <w:bCs w:val="0"/>
          <w:sz w:val="24"/>
          <w:szCs w:val="24"/>
        </w:rPr>
        <w:t xml:space="preserve">The GM Investment Strategy continued to support regeneration and job creation in the </w:t>
      </w:r>
      <w:r>
        <w:rPr>
          <w:rStyle w:val="normaltextrun"/>
          <w:b w:val="0"/>
          <w:bCs w:val="0"/>
          <w:sz w:val="24"/>
          <w:szCs w:val="24"/>
        </w:rPr>
        <w:t xml:space="preserve">region </w:t>
      </w:r>
      <w:r w:rsidRPr="006F58D3">
        <w:rPr>
          <w:rStyle w:val="normaltextrun"/>
          <w:b w:val="0"/>
          <w:bCs w:val="0"/>
          <w:sz w:val="24"/>
          <w:szCs w:val="24"/>
        </w:rPr>
        <w:t>through targeted investment that reflects the strengths and opportunities in the local economy. The GM Investment Strategy was based on sustainably generating returns that can be recycled and reinvested</w:t>
      </w:r>
      <w:r>
        <w:rPr>
          <w:rStyle w:val="normaltextrun"/>
          <w:b w:val="0"/>
          <w:bCs w:val="0"/>
          <w:sz w:val="24"/>
          <w:szCs w:val="24"/>
        </w:rPr>
        <w:t xml:space="preserve"> so </w:t>
      </w:r>
      <w:r w:rsidRPr="006F58D3">
        <w:rPr>
          <w:rStyle w:val="normaltextrun"/>
          <w:b w:val="0"/>
          <w:bCs w:val="0"/>
          <w:sz w:val="24"/>
          <w:szCs w:val="24"/>
        </w:rPr>
        <w:t>as existing loans are repaid</w:t>
      </w:r>
      <w:r>
        <w:rPr>
          <w:rStyle w:val="normaltextrun"/>
          <w:b w:val="0"/>
          <w:bCs w:val="0"/>
          <w:sz w:val="24"/>
          <w:szCs w:val="24"/>
        </w:rPr>
        <w:t xml:space="preserve"> </w:t>
      </w:r>
      <w:r w:rsidRPr="006F58D3">
        <w:rPr>
          <w:rStyle w:val="normaltextrun"/>
          <w:b w:val="0"/>
          <w:bCs w:val="0"/>
          <w:sz w:val="24"/>
          <w:szCs w:val="24"/>
        </w:rPr>
        <w:t>they can be reinvested in new projects.</w:t>
      </w:r>
      <w:bookmarkEnd w:id="15"/>
    </w:p>
    <w:p w14:paraId="5F8D73ED" w14:textId="77777777" w:rsidR="00016C24" w:rsidRPr="006F58D3" w:rsidRDefault="00016C24" w:rsidP="00016C24"/>
    <w:p w14:paraId="50A526A9" w14:textId="77777777" w:rsidR="00016C24" w:rsidRPr="00982B95" w:rsidRDefault="00016C24" w:rsidP="00016C24">
      <w:pPr>
        <w:pStyle w:val="Heading3"/>
        <w:spacing w:before="0" w:after="0"/>
        <w:rPr>
          <w:rStyle w:val="normaltextrun"/>
          <w:b w:val="0"/>
          <w:bCs w:val="0"/>
          <w:color w:val="000000"/>
          <w:sz w:val="24"/>
          <w:szCs w:val="24"/>
          <w:bdr w:val="none" w:sz="0" w:space="0" w:color="auto" w:frame="1"/>
          <w:lang w:eastAsia="en-GB"/>
        </w:rPr>
      </w:pPr>
      <w:bookmarkStart w:id="16" w:name="_Toc109922581"/>
      <w:r w:rsidRPr="00982B95">
        <w:rPr>
          <w:rStyle w:val="normaltextrun"/>
          <w:b w:val="0"/>
          <w:bCs w:val="0"/>
          <w:color w:val="000000"/>
          <w:sz w:val="24"/>
          <w:szCs w:val="24"/>
          <w:bdr w:val="none" w:sz="0" w:space="0" w:color="auto" w:frame="1"/>
          <w:lang w:eastAsia="en-GB"/>
        </w:rPr>
        <w:t>GM investment funds are used as a lever to deliver the strategy and focus on our strategic priorities in business, housing and commercial property. At the end of 2021/22, GM investment funds included over £643m of funds under direct and indirect management. Projects to the value of £1,147m have been approved to date across the funds. The main elements of the Funds are:</w:t>
      </w:r>
      <w:bookmarkEnd w:id="16"/>
    </w:p>
    <w:p w14:paraId="6AC8F9E2" w14:textId="77777777" w:rsidR="00016C24" w:rsidRPr="006F58D3" w:rsidRDefault="00016C24" w:rsidP="00016C24"/>
    <w:p w14:paraId="3B2740CC" w14:textId="77777777" w:rsidR="00016C24" w:rsidRPr="006F58D3" w:rsidRDefault="00016C24" w:rsidP="00EB27EB">
      <w:pPr>
        <w:pStyle w:val="paragraph"/>
        <w:numPr>
          <w:ilvl w:val="0"/>
          <w:numId w:val="63"/>
        </w:numPr>
        <w:spacing w:before="0" w:beforeAutospacing="0" w:after="0" w:afterAutospacing="0"/>
        <w:ind w:left="426" w:hanging="426"/>
        <w:textAlignment w:val="baseline"/>
        <w:rPr>
          <w:rStyle w:val="normaltextrun"/>
          <w:i/>
          <w:iCs/>
        </w:rPr>
      </w:pPr>
      <w:r w:rsidRPr="006F58D3">
        <w:rPr>
          <w:rStyle w:val="normaltextrun"/>
          <w:rFonts w:ascii="Arial" w:hAnsi="Arial" w:cs="Arial"/>
          <w:i/>
          <w:iCs/>
        </w:rPr>
        <w:t xml:space="preserve">The Greater Manchester Housing Investment Loans Fund (HIF): </w:t>
      </w:r>
    </w:p>
    <w:p w14:paraId="6BEDA8F3" w14:textId="7F37817E" w:rsidR="00016C24" w:rsidRPr="006F58D3" w:rsidRDefault="00016C24" w:rsidP="00016C24">
      <w:pPr>
        <w:pStyle w:val="paragraph"/>
        <w:spacing w:before="0" w:beforeAutospacing="0" w:after="0" w:afterAutospacing="0"/>
        <w:ind w:left="426"/>
        <w:textAlignment w:val="baseline"/>
        <w:rPr>
          <w:rStyle w:val="normaltextrun"/>
          <w:rFonts w:ascii="Arial" w:hAnsi="Arial" w:cs="Arial"/>
        </w:rPr>
      </w:pPr>
      <w:r w:rsidRPr="006F58D3">
        <w:rPr>
          <w:rStyle w:val="normaltextrun"/>
          <w:rFonts w:ascii="Arial" w:hAnsi="Arial" w:cs="Arial"/>
        </w:rPr>
        <w:t xml:space="preserve">HIF aims to unlock the delivery of at least 10,000 homes over the 10-year life of the fund providing the high quality housing offer needed to support GM’s economic growth. In 2018/19 HIF novated from Manchester City Council to the Authority. As existing investments made by the Fund are repaid the monies are available for reinvestment by the Fund and at the time of writing there have been no defaults. Alongside 59 loans to developers for individual schemes, the Fund has invested in </w:t>
      </w:r>
      <w:r>
        <w:rPr>
          <w:rStyle w:val="normaltextrun"/>
          <w:rFonts w:ascii="Arial" w:hAnsi="Arial" w:cs="Arial"/>
        </w:rPr>
        <w:t>three</w:t>
      </w:r>
      <w:r w:rsidRPr="006F58D3">
        <w:rPr>
          <w:rStyle w:val="normaltextrun"/>
          <w:rFonts w:ascii="Arial" w:hAnsi="Arial" w:cs="Arial"/>
        </w:rPr>
        <w:t xml:space="preserve"> social impact funds focussed on the provision of housing to vulnerable people. </w:t>
      </w:r>
    </w:p>
    <w:p w14:paraId="17776020" w14:textId="77777777" w:rsidR="00016C24" w:rsidRPr="006F58D3" w:rsidRDefault="00016C24" w:rsidP="00016C24">
      <w:pPr>
        <w:pStyle w:val="paragraph"/>
        <w:spacing w:before="0" w:beforeAutospacing="0" w:after="0" w:afterAutospacing="0"/>
        <w:ind w:left="426"/>
        <w:textAlignment w:val="baseline"/>
      </w:pPr>
    </w:p>
    <w:p w14:paraId="59AF6A30" w14:textId="77777777" w:rsidR="00016C24" w:rsidRPr="006F58D3" w:rsidRDefault="00016C24" w:rsidP="00EB27EB">
      <w:pPr>
        <w:pStyle w:val="paragraph"/>
        <w:numPr>
          <w:ilvl w:val="0"/>
          <w:numId w:val="63"/>
        </w:numPr>
        <w:spacing w:before="0" w:beforeAutospacing="0" w:after="0" w:afterAutospacing="0"/>
        <w:ind w:left="426" w:hanging="426"/>
        <w:textAlignment w:val="baseline"/>
        <w:rPr>
          <w:rStyle w:val="normaltextrun"/>
          <w:i/>
          <w:iCs/>
        </w:rPr>
      </w:pPr>
      <w:r w:rsidRPr="006F58D3">
        <w:rPr>
          <w:rStyle w:val="normaltextrun"/>
          <w:rFonts w:ascii="Arial" w:hAnsi="Arial" w:cs="Arial"/>
          <w:i/>
          <w:iCs/>
        </w:rPr>
        <w:t xml:space="preserve">City Deal Receipts: </w:t>
      </w:r>
    </w:p>
    <w:p w14:paraId="3989A6FA" w14:textId="77777777" w:rsidR="00016C24" w:rsidRPr="006F58D3" w:rsidRDefault="00016C24" w:rsidP="00016C24">
      <w:pPr>
        <w:pStyle w:val="paragraph"/>
        <w:spacing w:before="0" w:beforeAutospacing="0" w:after="0" w:afterAutospacing="0"/>
        <w:ind w:left="426"/>
        <w:textAlignment w:val="baseline"/>
        <w:rPr>
          <w:rStyle w:val="normaltextrun"/>
          <w:rFonts w:ascii="Arial" w:hAnsi="Arial" w:cs="Arial"/>
        </w:rPr>
      </w:pPr>
      <w:r w:rsidRPr="006F58D3">
        <w:rPr>
          <w:rStyle w:val="normaltextrun"/>
          <w:rFonts w:ascii="Arial" w:hAnsi="Arial" w:cs="Arial"/>
        </w:rPr>
        <w:t>In 2015 it was agreed that receipts realised by Homes England from the disposal of its land and property within Greater Manchester would be provided to GMCA to invest in support of the housing and regeneration objectives set out in the 2012 Greater Manchester City Deal. To date Homes England, which has to approve the investments made using City Deal Receipts, has provided £29.7m to GMCA for investment.</w:t>
      </w:r>
    </w:p>
    <w:p w14:paraId="70D7A21A" w14:textId="77777777" w:rsidR="00016C24" w:rsidRPr="006F58D3" w:rsidRDefault="00016C24" w:rsidP="00016C24">
      <w:pPr>
        <w:pStyle w:val="paragraph"/>
        <w:spacing w:before="0" w:beforeAutospacing="0" w:after="0" w:afterAutospacing="0"/>
        <w:ind w:left="426"/>
        <w:textAlignment w:val="baseline"/>
      </w:pPr>
    </w:p>
    <w:p w14:paraId="1B72C51F" w14:textId="77777777" w:rsidR="00016C24" w:rsidRPr="006F58D3" w:rsidRDefault="00016C24" w:rsidP="00EB27EB">
      <w:pPr>
        <w:pStyle w:val="paragraph"/>
        <w:numPr>
          <w:ilvl w:val="0"/>
          <w:numId w:val="63"/>
        </w:numPr>
        <w:spacing w:before="0" w:beforeAutospacing="0" w:after="160" w:afterAutospacing="0"/>
        <w:ind w:left="426" w:hanging="426"/>
        <w:textAlignment w:val="baseline"/>
        <w:rPr>
          <w:rStyle w:val="normaltextrun"/>
          <w:i/>
          <w:iCs/>
        </w:rPr>
      </w:pPr>
      <w:r w:rsidRPr="006F58D3">
        <w:rPr>
          <w:rStyle w:val="normaltextrun"/>
          <w:rFonts w:ascii="Arial" w:hAnsi="Arial" w:cs="Arial"/>
          <w:i/>
          <w:iCs/>
        </w:rPr>
        <w:t xml:space="preserve">The Core Recycled Funds: </w:t>
      </w:r>
    </w:p>
    <w:p w14:paraId="1D00EB8A" w14:textId="77777777" w:rsidR="00016C24" w:rsidRPr="006F58D3" w:rsidRDefault="00016C24" w:rsidP="00016C24">
      <w:pPr>
        <w:pStyle w:val="paragraph"/>
        <w:spacing w:before="0" w:beforeAutospacing="0" w:after="160" w:afterAutospacing="0"/>
        <w:ind w:left="426"/>
        <w:textAlignment w:val="baseline"/>
        <w:rPr>
          <w:rStyle w:val="normaltextrun"/>
          <w:rFonts w:ascii="Arial" w:hAnsi="Arial" w:cs="Arial"/>
        </w:rPr>
      </w:pPr>
      <w:r w:rsidRPr="006F58D3">
        <w:rPr>
          <w:rStyle w:val="normaltextrun"/>
          <w:rFonts w:ascii="Arial" w:hAnsi="Arial" w:cs="Arial"/>
        </w:rPr>
        <w:t xml:space="preserve">The Core Recycled Funds originated from Regional Growth Fund (RGF) and Growing Places Fund (GPF) monies which have been recycled and are now reinvested into businesses and commercial property. As part of this overarching programme, the funds offered investments at commercial rates to businesses and organisations to fund schemes that boost local employment, improve people's skills and contribute to the region's economic growth. </w:t>
      </w:r>
    </w:p>
    <w:p w14:paraId="4758C63A" w14:textId="77777777" w:rsidR="00016C24" w:rsidRPr="006F58D3" w:rsidRDefault="00016C24" w:rsidP="00016C24">
      <w:pPr>
        <w:pStyle w:val="paragraph"/>
        <w:spacing w:before="0" w:beforeAutospacing="0" w:after="160" w:afterAutospacing="0"/>
        <w:ind w:left="426"/>
        <w:textAlignment w:val="baseline"/>
      </w:pPr>
      <w:r w:rsidRPr="006F58D3">
        <w:rPr>
          <w:rStyle w:val="normaltextrun"/>
          <w:rFonts w:ascii="Arial" w:hAnsi="Arial" w:cs="Arial"/>
        </w:rPr>
        <w:t>These funds have invested over £187m into 190+ companies across Greater Manchester who are contracted to create and safeguard over 8,100 jobs. The business funds have been used to support a market gap for finance and therefore, given the nature of the portfolio, defaults are expected. The impact of COVID-19 on the business portfolio remains unclear but provisions have been made to estimate the risk, in accordance with International Financial Reporting Standards - IFRS 9. Where requested, companies have been granted short term payment deferrals to assist them to manage through the pandemic.</w:t>
      </w:r>
    </w:p>
    <w:p w14:paraId="33B988A5" w14:textId="77777777" w:rsidR="00016C24" w:rsidRPr="006F58D3" w:rsidRDefault="00016C24" w:rsidP="00EB27EB">
      <w:pPr>
        <w:pStyle w:val="paragraph"/>
        <w:numPr>
          <w:ilvl w:val="0"/>
          <w:numId w:val="63"/>
        </w:numPr>
        <w:spacing w:before="0" w:beforeAutospacing="0" w:after="160" w:afterAutospacing="0"/>
        <w:ind w:left="426" w:hanging="426"/>
        <w:textAlignment w:val="baseline"/>
        <w:rPr>
          <w:rStyle w:val="eop"/>
        </w:rPr>
      </w:pPr>
      <w:r w:rsidRPr="006F58D3">
        <w:rPr>
          <w:rStyle w:val="normaltextrun"/>
          <w:rFonts w:ascii="Arial" w:hAnsi="Arial" w:cs="Arial"/>
          <w:i/>
          <w:iCs/>
        </w:rPr>
        <w:lastRenderedPageBreak/>
        <w:t>Commercial property funds:</w:t>
      </w:r>
      <w:r w:rsidRPr="006F58D3">
        <w:rPr>
          <w:rStyle w:val="normaltextrun"/>
          <w:rFonts w:ascii="Arial" w:hAnsi="Arial" w:cs="Arial"/>
        </w:rPr>
        <w:t xml:space="preserve"> the dedicated commercial property funds are managed by CBRE Ltd on behalf of the Authority and have supported the development of 720,000m</w:t>
      </w:r>
      <w:r w:rsidRPr="006F58D3">
        <w:rPr>
          <w:rStyle w:val="normaltextrun"/>
          <w:rFonts w:ascii="Arial" w:hAnsi="Arial" w:cs="Arial"/>
          <w:vertAlign w:val="superscript"/>
        </w:rPr>
        <w:t>2</w:t>
      </w:r>
      <w:r w:rsidRPr="006F58D3">
        <w:rPr>
          <w:rStyle w:val="normaltextrun"/>
          <w:rFonts w:ascii="Arial" w:hAnsi="Arial" w:cs="Arial"/>
        </w:rPr>
        <w:t xml:space="preserve"> of commercial floor space and the redevelopment of over 52 hectares of Brownfield land. Developments in the year are expected to unlock over 30,000m</w:t>
      </w:r>
      <w:r w:rsidRPr="006F58D3">
        <w:rPr>
          <w:rStyle w:val="normaltextrun"/>
          <w:rFonts w:ascii="Arial" w:hAnsi="Arial" w:cs="Arial"/>
          <w:vertAlign w:val="superscript"/>
        </w:rPr>
        <w:t>2</w:t>
      </w:r>
      <w:r w:rsidRPr="006F58D3">
        <w:rPr>
          <w:rStyle w:val="normaltextrun"/>
          <w:rFonts w:ascii="Arial" w:hAnsi="Arial" w:cs="Arial"/>
        </w:rPr>
        <w:t xml:space="preserve"> of office and industrial space.</w:t>
      </w:r>
    </w:p>
    <w:p w14:paraId="6FBBF928" w14:textId="778C316C" w:rsidR="00016C24" w:rsidRPr="006F58D3" w:rsidRDefault="00016C24" w:rsidP="00EB27EB">
      <w:pPr>
        <w:pStyle w:val="paragraph"/>
        <w:numPr>
          <w:ilvl w:val="0"/>
          <w:numId w:val="63"/>
        </w:numPr>
        <w:spacing w:before="0" w:beforeAutospacing="0" w:after="160" w:afterAutospacing="0"/>
        <w:ind w:left="426" w:hanging="426"/>
        <w:textAlignment w:val="baseline"/>
        <w:rPr>
          <w:rStyle w:val="eop"/>
          <w:rFonts w:ascii="Arial" w:hAnsi="Arial" w:cs="Arial"/>
        </w:rPr>
      </w:pPr>
      <w:r w:rsidRPr="006F58D3">
        <w:rPr>
          <w:rStyle w:val="normaltextrun"/>
          <w:rFonts w:ascii="Arial" w:hAnsi="Arial" w:cs="Arial"/>
          <w:i/>
          <w:iCs/>
        </w:rPr>
        <w:t>Life Sciences Fund</w:t>
      </w:r>
      <w:r w:rsidRPr="006F58D3">
        <w:rPr>
          <w:rStyle w:val="normaltextrun"/>
          <w:rFonts w:ascii="Arial" w:hAnsi="Arial" w:cs="Arial"/>
        </w:rPr>
        <w:t xml:space="preserve">: The £30m Life Sciences Fund was established in 2016 in partnership with Cheshire East Council and Bruntwood to further develop the Alderley Park site and support life sciences businesses across the city region. As at 31 March 2022, the </w:t>
      </w:r>
      <w:r>
        <w:rPr>
          <w:rStyle w:val="normaltextrun"/>
          <w:rFonts w:ascii="Arial" w:hAnsi="Arial" w:cs="Arial"/>
        </w:rPr>
        <w:t>f</w:t>
      </w:r>
      <w:r w:rsidRPr="006F58D3">
        <w:rPr>
          <w:rStyle w:val="normaltextrun"/>
          <w:rFonts w:ascii="Arial" w:hAnsi="Arial" w:cs="Arial"/>
        </w:rPr>
        <w:t xml:space="preserve">und had committed £24.7m into 42 businesses and has created 352 jobs from those investments. The overall target for the </w:t>
      </w:r>
      <w:r>
        <w:rPr>
          <w:rStyle w:val="normaltextrun"/>
          <w:rFonts w:ascii="Arial" w:hAnsi="Arial" w:cs="Arial"/>
        </w:rPr>
        <w:t>f</w:t>
      </w:r>
      <w:r w:rsidRPr="006F58D3">
        <w:rPr>
          <w:rStyle w:val="normaltextrun"/>
          <w:rFonts w:ascii="Arial" w:hAnsi="Arial" w:cs="Arial"/>
        </w:rPr>
        <w:t>und is to create</w:t>
      </w:r>
      <w:r w:rsidR="00927C84">
        <w:rPr>
          <w:rStyle w:val="normaltextrun"/>
          <w:rFonts w:ascii="Arial" w:hAnsi="Arial" w:cs="Arial"/>
        </w:rPr>
        <w:t xml:space="preserve"> </w:t>
      </w:r>
      <w:r w:rsidRPr="006F58D3">
        <w:rPr>
          <w:rStyle w:val="normaltextrun"/>
          <w:rFonts w:ascii="Arial" w:hAnsi="Arial" w:cs="Arial"/>
        </w:rPr>
        <w:t>/</w:t>
      </w:r>
      <w:r w:rsidR="00927C84">
        <w:rPr>
          <w:rStyle w:val="normaltextrun"/>
          <w:rFonts w:ascii="Arial" w:hAnsi="Arial" w:cs="Arial"/>
        </w:rPr>
        <w:t xml:space="preserve"> </w:t>
      </w:r>
      <w:r w:rsidRPr="006F58D3">
        <w:rPr>
          <w:rStyle w:val="normaltextrun"/>
          <w:rFonts w:ascii="Arial" w:hAnsi="Arial" w:cs="Arial"/>
        </w:rPr>
        <w:t>safeguard 370 jobs over 15 years and the investments to date show good progress against this target. Post year end a second Life Sciences Fund has been launched with a commitment from the GMCA of £10m.</w:t>
      </w:r>
    </w:p>
    <w:p w14:paraId="19525DDB" w14:textId="77777777" w:rsidR="00016C24" w:rsidRPr="006F58D3" w:rsidRDefault="00016C24" w:rsidP="00EB27EB">
      <w:pPr>
        <w:pStyle w:val="paragraph"/>
        <w:numPr>
          <w:ilvl w:val="0"/>
          <w:numId w:val="63"/>
        </w:numPr>
        <w:spacing w:before="0" w:beforeAutospacing="0" w:after="160" w:afterAutospacing="0"/>
        <w:ind w:left="426" w:hanging="426"/>
        <w:textAlignment w:val="baseline"/>
      </w:pPr>
      <w:r w:rsidRPr="006F58D3">
        <w:rPr>
          <w:rStyle w:val="normaltextrun"/>
          <w:rFonts w:ascii="Arial" w:hAnsi="Arial" w:cs="Arial"/>
          <w:i/>
          <w:iCs/>
        </w:rPr>
        <w:t>Low Carbon Fund:</w:t>
      </w:r>
      <w:r w:rsidRPr="006F58D3">
        <w:rPr>
          <w:rStyle w:val="normaltextrun"/>
          <w:rFonts w:ascii="Arial" w:hAnsi="Arial" w:cs="Arial"/>
        </w:rPr>
        <w:t xml:space="preserve"> The £15m Low Carbon Fund is managed by CBRE Ltd on behalf of the Authority. The Fund was established to promote the production and distribution of energy derived from renewable resources in the region.</w:t>
      </w:r>
    </w:p>
    <w:p w14:paraId="07E76ACF" w14:textId="77777777" w:rsidR="00016C24" w:rsidRPr="006F58D3" w:rsidRDefault="00016C24" w:rsidP="00EB27EB">
      <w:pPr>
        <w:pStyle w:val="ListParagraph"/>
        <w:numPr>
          <w:ilvl w:val="0"/>
          <w:numId w:val="47"/>
        </w:numPr>
        <w:autoSpaceDE w:val="0"/>
        <w:autoSpaceDN w:val="0"/>
        <w:adjustRightInd w:val="0"/>
        <w:spacing w:after="160" w:line="240" w:lineRule="auto"/>
        <w:ind w:left="426" w:hanging="426"/>
        <w:rPr>
          <w:rFonts w:ascii="Arial" w:eastAsiaTheme="minorHAnsi" w:hAnsi="Arial" w:cs="Arial"/>
          <w:sz w:val="24"/>
          <w:szCs w:val="24"/>
        </w:rPr>
      </w:pPr>
      <w:bookmarkStart w:id="17" w:name="_Hlk75256996"/>
      <w:r w:rsidRPr="006F58D3">
        <w:rPr>
          <w:rFonts w:ascii="Arial" w:eastAsiaTheme="minorHAnsi" w:hAnsi="Arial" w:cs="Arial"/>
          <w:i/>
          <w:iCs/>
          <w:sz w:val="24"/>
          <w:szCs w:val="24"/>
        </w:rPr>
        <w:t>Getting Building Fund:</w:t>
      </w:r>
      <w:r w:rsidRPr="006F58D3">
        <w:rPr>
          <w:rFonts w:ascii="Arial" w:eastAsiaTheme="minorHAnsi" w:hAnsi="Arial" w:cs="Arial"/>
          <w:sz w:val="24"/>
          <w:szCs w:val="24"/>
        </w:rPr>
        <w:t xml:space="preserve"> In March 2020 the government made an allocation of £54.2m to GMCA as part of the Getting Building Fund (GBF). This was focussed on ‘shovel ready’ sites with a key focus on job creation and economic recovery. The full allocation was spent by 31 March 2022 on the following </w:t>
      </w:r>
      <w:r w:rsidRPr="006F58D3">
        <w:rPr>
          <w:rFonts w:ascii="Arial" w:hAnsi="Arial" w:cs="Arial"/>
          <w:sz w:val="24"/>
          <w:szCs w:val="24"/>
          <w:lang w:val="en"/>
        </w:rPr>
        <w:t>schemes:</w:t>
      </w:r>
    </w:p>
    <w:p w14:paraId="53F94F48" w14:textId="77777777" w:rsidR="00016C24" w:rsidRPr="006F58D3" w:rsidRDefault="00016C24" w:rsidP="00EB27EB">
      <w:pPr>
        <w:pStyle w:val="ListParagraph"/>
        <w:numPr>
          <w:ilvl w:val="0"/>
          <w:numId w:val="59"/>
        </w:numPr>
        <w:autoSpaceDE w:val="0"/>
        <w:autoSpaceDN w:val="0"/>
        <w:adjustRightInd w:val="0"/>
        <w:spacing w:after="160" w:line="240" w:lineRule="auto"/>
        <w:ind w:left="709" w:hanging="283"/>
        <w:rPr>
          <w:rFonts w:ascii="Arial" w:hAnsi="Arial" w:cs="Arial"/>
          <w:sz w:val="24"/>
          <w:szCs w:val="24"/>
          <w:lang w:val="en"/>
        </w:rPr>
      </w:pPr>
      <w:r w:rsidRPr="006F58D3">
        <w:rPr>
          <w:rFonts w:ascii="Arial" w:hAnsi="Arial" w:cs="Arial"/>
          <w:sz w:val="24"/>
          <w:szCs w:val="24"/>
          <w:lang w:val="en"/>
        </w:rPr>
        <w:t>Mayfield – Manchester - £23m</w:t>
      </w:r>
    </w:p>
    <w:p w14:paraId="1E634CF5" w14:textId="77777777" w:rsidR="00016C24" w:rsidRPr="006F58D3" w:rsidRDefault="00016C24" w:rsidP="00EB27EB">
      <w:pPr>
        <w:pStyle w:val="ListParagraph"/>
        <w:numPr>
          <w:ilvl w:val="0"/>
          <w:numId w:val="59"/>
        </w:numPr>
        <w:autoSpaceDE w:val="0"/>
        <w:autoSpaceDN w:val="0"/>
        <w:adjustRightInd w:val="0"/>
        <w:spacing w:after="160" w:line="240" w:lineRule="auto"/>
        <w:ind w:left="709" w:hanging="283"/>
        <w:rPr>
          <w:rFonts w:ascii="Arial" w:hAnsi="Arial" w:cs="Arial"/>
          <w:sz w:val="24"/>
          <w:szCs w:val="24"/>
          <w:lang w:val="en"/>
        </w:rPr>
      </w:pPr>
      <w:r w:rsidRPr="006F58D3">
        <w:rPr>
          <w:rFonts w:ascii="Arial" w:hAnsi="Arial" w:cs="Arial"/>
          <w:sz w:val="24"/>
          <w:szCs w:val="24"/>
          <w:lang w:val="en"/>
        </w:rPr>
        <w:t>Manchester Innovation Activities Hub – Manchester - £4m</w:t>
      </w:r>
    </w:p>
    <w:p w14:paraId="628C17A3" w14:textId="77777777" w:rsidR="00016C24" w:rsidRPr="006F58D3" w:rsidRDefault="00016C24" w:rsidP="00EB27EB">
      <w:pPr>
        <w:pStyle w:val="ListParagraph"/>
        <w:numPr>
          <w:ilvl w:val="0"/>
          <w:numId w:val="59"/>
        </w:numPr>
        <w:autoSpaceDE w:val="0"/>
        <w:autoSpaceDN w:val="0"/>
        <w:adjustRightInd w:val="0"/>
        <w:spacing w:after="160" w:line="240" w:lineRule="auto"/>
        <w:ind w:left="709" w:hanging="283"/>
        <w:rPr>
          <w:rFonts w:ascii="Arial" w:hAnsi="Arial" w:cs="Arial"/>
          <w:sz w:val="24"/>
          <w:szCs w:val="24"/>
          <w:lang w:val="en"/>
        </w:rPr>
      </w:pPr>
      <w:r w:rsidRPr="006F58D3">
        <w:rPr>
          <w:rFonts w:ascii="Arial" w:hAnsi="Arial" w:cs="Arial"/>
          <w:sz w:val="24"/>
          <w:szCs w:val="24"/>
          <w:lang w:val="en"/>
        </w:rPr>
        <w:t xml:space="preserve">Kingsway Business Park Northern Loop Road – Rochdale - £3.5m </w:t>
      </w:r>
    </w:p>
    <w:p w14:paraId="3373B0BE" w14:textId="77777777" w:rsidR="00016C24" w:rsidRPr="006F58D3" w:rsidRDefault="00016C24" w:rsidP="00EB27EB">
      <w:pPr>
        <w:pStyle w:val="ListParagraph"/>
        <w:numPr>
          <w:ilvl w:val="0"/>
          <w:numId w:val="59"/>
        </w:numPr>
        <w:autoSpaceDE w:val="0"/>
        <w:autoSpaceDN w:val="0"/>
        <w:adjustRightInd w:val="0"/>
        <w:spacing w:after="160" w:line="240" w:lineRule="auto"/>
        <w:ind w:left="709" w:hanging="283"/>
        <w:rPr>
          <w:rFonts w:ascii="Arial" w:hAnsi="Arial" w:cs="Arial"/>
          <w:sz w:val="24"/>
          <w:szCs w:val="24"/>
          <w:lang w:val="en"/>
        </w:rPr>
      </w:pPr>
      <w:r w:rsidRPr="006F58D3">
        <w:rPr>
          <w:rFonts w:ascii="Arial" w:hAnsi="Arial" w:cs="Arial"/>
          <w:sz w:val="24"/>
          <w:szCs w:val="24"/>
          <w:lang w:val="en"/>
        </w:rPr>
        <w:t>South Heywood Link Road Phase 1 – Rochdale - £10m</w:t>
      </w:r>
    </w:p>
    <w:p w14:paraId="78502B68" w14:textId="77777777" w:rsidR="00016C24" w:rsidRPr="006F58D3" w:rsidRDefault="00016C24" w:rsidP="00EB27EB">
      <w:pPr>
        <w:pStyle w:val="ListParagraph"/>
        <w:numPr>
          <w:ilvl w:val="0"/>
          <w:numId w:val="59"/>
        </w:numPr>
        <w:autoSpaceDE w:val="0"/>
        <w:autoSpaceDN w:val="0"/>
        <w:adjustRightInd w:val="0"/>
        <w:spacing w:after="160" w:line="240" w:lineRule="auto"/>
        <w:ind w:left="709" w:hanging="283"/>
        <w:rPr>
          <w:rFonts w:ascii="Arial" w:hAnsi="Arial" w:cs="Arial"/>
          <w:sz w:val="24"/>
          <w:szCs w:val="24"/>
          <w:lang w:val="en"/>
        </w:rPr>
      </w:pPr>
      <w:r w:rsidRPr="006F58D3">
        <w:rPr>
          <w:rFonts w:ascii="Arial" w:hAnsi="Arial" w:cs="Arial"/>
          <w:sz w:val="24"/>
          <w:szCs w:val="24"/>
          <w:lang w:val="en"/>
        </w:rPr>
        <w:t>Port Salford early infrastructure work – Salford - £6m</w:t>
      </w:r>
    </w:p>
    <w:p w14:paraId="369E3270" w14:textId="77777777" w:rsidR="00016C24" w:rsidRPr="006F58D3" w:rsidRDefault="00016C24" w:rsidP="00EB27EB">
      <w:pPr>
        <w:pStyle w:val="ListParagraph"/>
        <w:numPr>
          <w:ilvl w:val="0"/>
          <w:numId w:val="59"/>
        </w:numPr>
        <w:autoSpaceDE w:val="0"/>
        <w:autoSpaceDN w:val="0"/>
        <w:adjustRightInd w:val="0"/>
        <w:spacing w:after="160" w:line="240" w:lineRule="auto"/>
        <w:ind w:left="709" w:hanging="283"/>
        <w:rPr>
          <w:rFonts w:ascii="Arial" w:hAnsi="Arial" w:cs="Arial"/>
          <w:sz w:val="24"/>
          <w:szCs w:val="24"/>
          <w:lang w:val="en"/>
        </w:rPr>
      </w:pPr>
      <w:r w:rsidRPr="006F58D3">
        <w:rPr>
          <w:rFonts w:ascii="Arial" w:hAnsi="Arial" w:cs="Arial"/>
          <w:sz w:val="24"/>
          <w:szCs w:val="24"/>
          <w:lang w:val="en"/>
        </w:rPr>
        <w:t>Conversion of iconic empty retail unit into new workspace – Stockport - £3.5m</w:t>
      </w:r>
    </w:p>
    <w:p w14:paraId="6E01BDB0" w14:textId="77777777" w:rsidR="00016C24" w:rsidRPr="006F58D3" w:rsidRDefault="00016C24" w:rsidP="00EB27EB">
      <w:pPr>
        <w:pStyle w:val="ListParagraph"/>
        <w:numPr>
          <w:ilvl w:val="0"/>
          <w:numId w:val="59"/>
        </w:numPr>
        <w:autoSpaceDE w:val="0"/>
        <w:autoSpaceDN w:val="0"/>
        <w:adjustRightInd w:val="0"/>
        <w:spacing w:after="160" w:line="240" w:lineRule="auto"/>
        <w:ind w:left="709" w:hanging="283"/>
        <w:rPr>
          <w:rFonts w:ascii="Arial" w:hAnsi="Arial" w:cs="Arial"/>
          <w:sz w:val="24"/>
          <w:szCs w:val="24"/>
          <w:lang w:val="en"/>
        </w:rPr>
      </w:pPr>
      <w:r w:rsidRPr="006F58D3">
        <w:rPr>
          <w:rFonts w:ascii="Arial" w:hAnsi="Arial" w:cs="Arial"/>
          <w:sz w:val="24"/>
          <w:szCs w:val="24"/>
          <w:lang w:val="en"/>
        </w:rPr>
        <w:t>Stockport Exchange Phase 4 and Clean Energy Infrastructure - £4.2m</w:t>
      </w:r>
    </w:p>
    <w:p w14:paraId="53D70252" w14:textId="7D039CDF" w:rsidR="00016C24" w:rsidRPr="006F58D3" w:rsidRDefault="00016C24" w:rsidP="00016C24">
      <w:pPr>
        <w:spacing w:after="160"/>
        <w:ind w:left="426"/>
        <w:rPr>
          <w:rStyle w:val="normaltextrun"/>
          <w:rFonts w:ascii="Arial" w:hAnsi="Arial" w:cs="Arial"/>
          <w:lang w:val="en" w:eastAsia="en-GB"/>
        </w:rPr>
      </w:pPr>
      <w:r w:rsidRPr="006F58D3">
        <w:rPr>
          <w:rFonts w:ascii="Arial" w:hAnsi="Arial" w:cs="Arial"/>
          <w:lang w:val="en" w:eastAsia="en-GB"/>
        </w:rPr>
        <w:t>The schemes are predicted to create almost 12,000 direct jobs and a further 1,876 employment opportunities in construction. A total of 45 apprenticeships will follow as will the building of more than 1,000 new homes and 4.5km of roads, cycle ways and walkways supporting 29 businesses and 205,000</w:t>
      </w:r>
      <w:r w:rsidR="00927C84">
        <w:rPr>
          <w:rFonts w:ascii="Arial" w:hAnsi="Arial" w:cs="Arial"/>
          <w:lang w:val="en" w:eastAsia="en-GB"/>
        </w:rPr>
        <w:t>m</w:t>
      </w:r>
      <w:r w:rsidR="00927C84" w:rsidRPr="00927C84">
        <w:rPr>
          <w:rFonts w:ascii="Arial" w:hAnsi="Arial" w:cs="Arial"/>
          <w:vertAlign w:val="superscript"/>
          <w:lang w:val="en" w:eastAsia="en-GB"/>
        </w:rPr>
        <w:t>2</w:t>
      </w:r>
      <w:r w:rsidRPr="006F58D3">
        <w:rPr>
          <w:rFonts w:ascii="Arial" w:hAnsi="Arial" w:cs="Arial"/>
          <w:lang w:val="en" w:eastAsia="en-GB"/>
        </w:rPr>
        <w:t xml:space="preserve"> of commercial space.</w:t>
      </w:r>
      <w:r w:rsidRPr="006F58D3">
        <w:rPr>
          <w:rFonts w:ascii="Arial" w:eastAsiaTheme="minorHAnsi" w:hAnsi="Arial" w:cs="Arial"/>
        </w:rPr>
        <w:t xml:space="preserve"> </w:t>
      </w:r>
      <w:bookmarkEnd w:id="17"/>
    </w:p>
    <w:p w14:paraId="7A80E784" w14:textId="77777777" w:rsidR="00016C24" w:rsidRPr="00C9289E" w:rsidRDefault="00016C24" w:rsidP="00016C24">
      <w:pPr>
        <w:pStyle w:val="paragraph"/>
        <w:spacing w:before="0" w:beforeAutospacing="0" w:after="160" w:afterAutospacing="0"/>
        <w:textAlignment w:val="baseline"/>
        <w:rPr>
          <w:rFonts w:ascii="Arial" w:eastAsia="Palatino Linotype" w:hAnsi="Arial" w:cs="Arial"/>
          <w:b/>
          <w:bCs/>
          <w:sz w:val="26"/>
          <w:szCs w:val="26"/>
        </w:rPr>
      </w:pPr>
      <w:r w:rsidRPr="00C9289E">
        <w:rPr>
          <w:rStyle w:val="normaltextrun"/>
          <w:rFonts w:ascii="Arial" w:eastAsia="Palatino Linotype" w:hAnsi="Arial" w:cs="Arial"/>
          <w:b/>
          <w:bCs/>
          <w:sz w:val="26"/>
          <w:szCs w:val="26"/>
        </w:rPr>
        <w:t>Business Support and Innovation</w:t>
      </w:r>
    </w:p>
    <w:p w14:paraId="3E3EAA17" w14:textId="77777777" w:rsidR="00016C24" w:rsidRPr="00C9289E" w:rsidRDefault="00016C24" w:rsidP="00016C24">
      <w:pPr>
        <w:pStyle w:val="paragraph"/>
        <w:spacing w:before="0" w:beforeAutospacing="0" w:after="160" w:afterAutospacing="0"/>
        <w:textAlignment w:val="baseline"/>
        <w:rPr>
          <w:rStyle w:val="normaltextrun"/>
          <w:rFonts w:ascii="Arial" w:hAnsi="Arial" w:cs="Arial"/>
          <w:sz w:val="18"/>
          <w:szCs w:val="18"/>
        </w:rPr>
      </w:pPr>
      <w:r w:rsidRPr="00C9289E">
        <w:rPr>
          <w:rStyle w:val="normaltextrun"/>
          <w:rFonts w:ascii="Arial" w:eastAsia="Palatino Linotype" w:hAnsi="Arial" w:cs="Arial"/>
        </w:rPr>
        <w:t xml:space="preserve">Greater Manchester has an economy worth over £74bn and around 120,000 businesses, with a diverse business base and a number of world leading industries from health innovation to digital industries, to engineering and financial services along with the largest cultural and creative cluster outside London. </w:t>
      </w:r>
      <w:bookmarkStart w:id="18" w:name="_Hlk107407370"/>
      <w:r w:rsidRPr="00C9289E">
        <w:rPr>
          <w:rStyle w:val="normaltextrun"/>
          <w:rFonts w:ascii="Arial" w:eastAsia="Palatino Linotype" w:hAnsi="Arial" w:cs="Arial"/>
        </w:rPr>
        <w:t xml:space="preserve">Over the last year, GMCA’s business-led innovation network, Innovation Greater Manchester, has been connecting the world-leading research </w:t>
      </w:r>
      <w:r>
        <w:rPr>
          <w:rStyle w:val="normaltextrun"/>
          <w:rFonts w:ascii="Arial" w:eastAsia="Palatino Linotype" w:hAnsi="Arial" w:cs="Arial"/>
        </w:rPr>
        <w:t>and</w:t>
      </w:r>
      <w:r w:rsidRPr="00C9289E">
        <w:rPr>
          <w:rStyle w:val="normaltextrun"/>
          <w:rFonts w:ascii="Arial" w:eastAsia="Palatino Linotype" w:hAnsi="Arial" w:cs="Arial"/>
        </w:rPr>
        <w:t xml:space="preserve"> development happening in the city region with businesses and growth opportunities. In February, Greater Manchester was selected by UK Government as one of three Innovation Accelerator areas to be supported by £100m of new government funding.</w:t>
      </w:r>
    </w:p>
    <w:bookmarkEnd w:id="18"/>
    <w:p w14:paraId="05100701" w14:textId="77777777" w:rsidR="00016C24" w:rsidRPr="00C9289E" w:rsidRDefault="00016C24" w:rsidP="00016C24">
      <w:pPr>
        <w:pStyle w:val="paragraph"/>
        <w:spacing w:before="0" w:beforeAutospacing="0" w:after="160" w:afterAutospacing="0"/>
        <w:textAlignment w:val="baseline"/>
        <w:rPr>
          <w:rFonts w:ascii="Arial" w:eastAsia="Palatino Linotype" w:hAnsi="Arial" w:cs="Arial"/>
          <w:i/>
          <w:iCs/>
        </w:rPr>
      </w:pPr>
      <w:r w:rsidRPr="00C9289E">
        <w:rPr>
          <w:rStyle w:val="normaltextrun"/>
          <w:rFonts w:ascii="Arial" w:eastAsia="Palatino Linotype" w:hAnsi="Arial" w:cs="Arial"/>
          <w:i/>
          <w:iCs/>
        </w:rPr>
        <w:t>Business Growth Hub: </w:t>
      </w:r>
    </w:p>
    <w:p w14:paraId="52E97240" w14:textId="77777777" w:rsidR="00016C24" w:rsidRPr="00C9289E" w:rsidRDefault="00016C24" w:rsidP="00016C24">
      <w:pPr>
        <w:pStyle w:val="paragraph"/>
        <w:spacing w:before="0" w:beforeAutospacing="0" w:after="160" w:afterAutospacing="0"/>
        <w:textAlignment w:val="baseline"/>
        <w:rPr>
          <w:rStyle w:val="normaltextrun"/>
          <w:rFonts w:ascii="Arial" w:hAnsi="Arial" w:cs="Arial"/>
          <w:sz w:val="18"/>
          <w:szCs w:val="18"/>
        </w:rPr>
      </w:pPr>
      <w:r w:rsidRPr="00C9289E">
        <w:rPr>
          <w:rStyle w:val="normaltextrun"/>
          <w:rFonts w:ascii="Arial" w:eastAsia="Palatino Linotype" w:hAnsi="Arial" w:cs="Arial"/>
        </w:rPr>
        <w:t>To maintain and grow the Greater Manchester business base, it is essential that the city region’s business support infrastructure continues to be fit for purpose</w:t>
      </w:r>
      <w:r>
        <w:rPr>
          <w:rStyle w:val="normaltextrun"/>
          <w:rFonts w:ascii="Arial" w:eastAsia="Palatino Linotype" w:hAnsi="Arial" w:cs="Arial"/>
        </w:rPr>
        <w:t xml:space="preserve">, </w:t>
      </w:r>
      <w:r w:rsidRPr="00C9289E">
        <w:rPr>
          <w:rStyle w:val="normaltextrun"/>
          <w:rFonts w:ascii="Arial" w:eastAsia="Palatino Linotype" w:hAnsi="Arial" w:cs="Arial"/>
        </w:rPr>
        <w:t>providing an integrated service to bring trade, investment and growth to Greater Manchester.</w:t>
      </w:r>
      <w:r w:rsidRPr="00C9289E">
        <w:rPr>
          <w:rStyle w:val="eop"/>
          <w:rFonts w:ascii="Arial" w:hAnsi="Arial" w:cs="Arial"/>
        </w:rPr>
        <w:t> </w:t>
      </w:r>
    </w:p>
    <w:p w14:paraId="60D0E6A0" w14:textId="77777777" w:rsidR="00016C24" w:rsidRPr="00C9289E" w:rsidRDefault="00016C24" w:rsidP="00016C24">
      <w:pPr>
        <w:pStyle w:val="paragraph"/>
        <w:spacing w:before="0" w:beforeAutospacing="0" w:after="160" w:afterAutospacing="0"/>
        <w:textAlignment w:val="baseline"/>
        <w:rPr>
          <w:rStyle w:val="eop"/>
          <w:rFonts w:ascii="Arial" w:hAnsi="Arial" w:cs="Arial"/>
        </w:rPr>
      </w:pPr>
      <w:r w:rsidRPr="00C9289E">
        <w:rPr>
          <w:rStyle w:val="normaltextrun"/>
          <w:rFonts w:ascii="Arial" w:eastAsia="Palatino Linotype" w:hAnsi="Arial" w:cs="Arial"/>
        </w:rPr>
        <w:lastRenderedPageBreak/>
        <w:t xml:space="preserve">The Business Growth Hub (BGH) is delivered by the Growth Company. It provides a single ‘go to’ access point for impartial and trusted business advice and support. The Hub, which delivers a range of </w:t>
      </w:r>
      <w:r>
        <w:rPr>
          <w:rStyle w:val="normaltextrun"/>
          <w:rFonts w:ascii="Arial" w:eastAsia="Palatino Linotype" w:hAnsi="Arial" w:cs="Arial"/>
        </w:rPr>
        <w:t>b</w:t>
      </w:r>
      <w:r w:rsidRPr="00C9289E">
        <w:rPr>
          <w:rStyle w:val="normaltextrun"/>
          <w:rFonts w:ascii="Arial" w:eastAsia="Palatino Linotype" w:hAnsi="Arial" w:cs="Arial"/>
        </w:rPr>
        <w:t xml:space="preserve">usiness </w:t>
      </w:r>
      <w:r>
        <w:rPr>
          <w:rStyle w:val="normaltextrun"/>
          <w:rFonts w:ascii="Arial" w:eastAsia="Palatino Linotype" w:hAnsi="Arial" w:cs="Arial"/>
        </w:rPr>
        <w:t>s</w:t>
      </w:r>
      <w:r w:rsidRPr="00C9289E">
        <w:rPr>
          <w:rStyle w:val="normaltextrun"/>
          <w:rFonts w:ascii="Arial" w:eastAsia="Palatino Linotype" w:hAnsi="Arial" w:cs="Arial"/>
        </w:rPr>
        <w:t xml:space="preserve">tart-up and </w:t>
      </w:r>
      <w:r>
        <w:rPr>
          <w:rStyle w:val="normaltextrun"/>
          <w:rFonts w:ascii="Arial" w:eastAsia="Palatino Linotype" w:hAnsi="Arial" w:cs="Arial"/>
        </w:rPr>
        <w:t>g</w:t>
      </w:r>
      <w:r w:rsidRPr="00C9289E">
        <w:rPr>
          <w:rStyle w:val="normaltextrun"/>
          <w:rFonts w:ascii="Arial" w:eastAsia="Palatino Linotype" w:hAnsi="Arial" w:cs="Arial"/>
        </w:rPr>
        <w:t>rowth advice specialist services, also integrates national and local schemes, making accessing the best of public and private sector business support simpler.</w:t>
      </w:r>
    </w:p>
    <w:p w14:paraId="492C7F1C" w14:textId="229EF71D" w:rsidR="00016C24" w:rsidRPr="00C9289E" w:rsidRDefault="00016C24" w:rsidP="00016C24">
      <w:pPr>
        <w:pStyle w:val="paragraph"/>
        <w:spacing w:before="0" w:beforeAutospacing="0" w:after="160" w:afterAutospacing="0"/>
        <w:textAlignment w:val="baseline"/>
        <w:rPr>
          <w:rFonts w:ascii="Arial" w:hAnsi="Arial" w:cs="Arial"/>
          <w:sz w:val="18"/>
          <w:szCs w:val="18"/>
        </w:rPr>
      </w:pPr>
      <w:r w:rsidRPr="00C9289E">
        <w:rPr>
          <w:rStyle w:val="normaltextrun"/>
          <w:rFonts w:ascii="Arial" w:eastAsia="Palatino Linotype" w:hAnsi="Arial" w:cs="Arial"/>
        </w:rPr>
        <w:t>BGH has performed well in 2021</w:t>
      </w:r>
      <w:r w:rsidR="00982B95">
        <w:rPr>
          <w:rStyle w:val="normaltextrun"/>
          <w:rFonts w:ascii="Arial" w:eastAsia="Palatino Linotype" w:hAnsi="Arial" w:cs="Arial"/>
        </w:rPr>
        <w:t>/</w:t>
      </w:r>
      <w:r w:rsidRPr="00C9289E">
        <w:rPr>
          <w:rStyle w:val="normaltextrun"/>
          <w:rFonts w:ascii="Arial" w:eastAsia="Palatino Linotype" w:hAnsi="Arial" w:cs="Arial"/>
        </w:rPr>
        <w:t>22 exceeding a range of</w:t>
      </w:r>
      <w:r w:rsidR="00982B95">
        <w:rPr>
          <w:rStyle w:val="normaltextrun"/>
          <w:rFonts w:ascii="Arial" w:eastAsia="Palatino Linotype" w:hAnsi="Arial" w:cs="Arial"/>
        </w:rPr>
        <w:t xml:space="preserve"> </w:t>
      </w:r>
      <w:r w:rsidRPr="00C9289E">
        <w:rPr>
          <w:rStyle w:val="normaltextrun"/>
          <w:rFonts w:ascii="Arial" w:eastAsia="Palatino Linotype" w:hAnsi="Arial" w:cs="Arial"/>
        </w:rPr>
        <w:t>targets</w:t>
      </w:r>
      <w:r w:rsidR="00982B95">
        <w:rPr>
          <w:rStyle w:val="normaltextrun"/>
          <w:rFonts w:ascii="Arial" w:eastAsia="Palatino Linotype" w:hAnsi="Arial" w:cs="Arial"/>
        </w:rPr>
        <w:t xml:space="preserve"> </w:t>
      </w:r>
      <w:r w:rsidRPr="00C9289E">
        <w:rPr>
          <w:rStyle w:val="normaltextrun"/>
          <w:rFonts w:ascii="Arial" w:eastAsia="Palatino Linotype" w:hAnsi="Arial" w:cs="Arial"/>
        </w:rPr>
        <w:t>across a broad range of external and internal agendas in a very uncertain policy, commercial and commissioning environment, arising from the impact of COVID-19 and the UK’s exit from the European Union.</w:t>
      </w:r>
    </w:p>
    <w:p w14:paraId="4B154018" w14:textId="4549761C" w:rsidR="00016C24" w:rsidRPr="00C9289E" w:rsidRDefault="00016C24" w:rsidP="00016C24">
      <w:pPr>
        <w:pStyle w:val="paragraph"/>
        <w:spacing w:before="0" w:beforeAutospacing="0" w:after="160" w:afterAutospacing="0"/>
        <w:textAlignment w:val="baseline"/>
        <w:rPr>
          <w:rStyle w:val="normaltextrun"/>
          <w:rFonts w:ascii="Arial" w:eastAsia="Palatino Linotype" w:hAnsi="Arial" w:cs="Arial"/>
        </w:rPr>
      </w:pPr>
      <w:r w:rsidRPr="00C9289E">
        <w:rPr>
          <w:rStyle w:val="normaltextrun"/>
          <w:rFonts w:ascii="Arial" w:eastAsia="Palatino Linotype" w:hAnsi="Arial" w:cs="Arial"/>
        </w:rPr>
        <w:t>BGH has continued to deliver a range of business support services in 2021</w:t>
      </w:r>
      <w:r w:rsidR="00982B95">
        <w:rPr>
          <w:rStyle w:val="normaltextrun"/>
          <w:rFonts w:ascii="Arial" w:eastAsia="Palatino Linotype" w:hAnsi="Arial" w:cs="Arial"/>
        </w:rPr>
        <w:t>/</w:t>
      </w:r>
      <w:r w:rsidRPr="00C9289E">
        <w:rPr>
          <w:rStyle w:val="normaltextrun"/>
          <w:rFonts w:ascii="Arial" w:eastAsia="Palatino Linotype" w:hAnsi="Arial" w:cs="Arial"/>
        </w:rPr>
        <w:t>22, reporting throughout the year on performance to the Local Enterprise Partnership (LEP) and GMCA and providing crucial insights from current services to inform future activity through a Monthly Economic Monitoring Dashboard.</w:t>
      </w:r>
    </w:p>
    <w:p w14:paraId="0948BA47" w14:textId="77777777" w:rsidR="00016C24" w:rsidRPr="00C9289E" w:rsidRDefault="00016C24" w:rsidP="00016C24">
      <w:pPr>
        <w:pStyle w:val="paragraph"/>
        <w:spacing w:before="0" w:beforeAutospacing="0" w:after="160" w:afterAutospacing="0"/>
        <w:textAlignment w:val="baseline"/>
        <w:rPr>
          <w:rStyle w:val="normaltextrun"/>
          <w:rFonts w:ascii="Arial" w:eastAsia="Palatino Linotype" w:hAnsi="Arial" w:cs="Arial"/>
        </w:rPr>
      </w:pPr>
      <w:r w:rsidRPr="00C9289E">
        <w:rPr>
          <w:rStyle w:val="normaltextrun"/>
          <w:rFonts w:ascii="Arial" w:eastAsia="Palatino Linotype" w:hAnsi="Arial" w:cs="Arial"/>
        </w:rPr>
        <w:t>BGH provision has included a range of ongoing activities to support GM’s recovery from COVID-19 such as:</w:t>
      </w:r>
    </w:p>
    <w:p w14:paraId="461EFC4D" w14:textId="77777777" w:rsidR="00016C24" w:rsidRPr="006D749D" w:rsidRDefault="00016C24" w:rsidP="00EB27EB">
      <w:pPr>
        <w:pStyle w:val="paragraph"/>
        <w:numPr>
          <w:ilvl w:val="0"/>
          <w:numId w:val="62"/>
        </w:numPr>
        <w:spacing w:before="0" w:beforeAutospacing="0" w:after="0" w:afterAutospacing="0"/>
        <w:textAlignment w:val="baseline"/>
        <w:rPr>
          <w:rStyle w:val="normaltextrun"/>
          <w:rFonts w:ascii="Arial" w:eastAsia="Arial" w:hAnsi="Arial" w:cs="Arial"/>
        </w:rPr>
      </w:pPr>
      <w:r w:rsidRPr="00C9289E">
        <w:rPr>
          <w:rStyle w:val="normaltextrun"/>
          <w:rFonts w:ascii="Arial" w:hAnsi="Arial" w:cs="Arial"/>
        </w:rPr>
        <w:t xml:space="preserve">Growth Company Business Finance has continued to administer financial support provided by the LEP/GMCA to businesses and have been on the forefront as an accredited Coronavirus Business Interruption Scheme (CBILS) and Bounce Back Loan Scheme (BBLS) provider with additional local funding made available. </w:t>
      </w:r>
    </w:p>
    <w:p w14:paraId="2DC1ECE4" w14:textId="77777777" w:rsidR="00016C24" w:rsidRPr="006D749D" w:rsidRDefault="00016C24" w:rsidP="00EB27EB">
      <w:pPr>
        <w:pStyle w:val="paragraph"/>
        <w:numPr>
          <w:ilvl w:val="0"/>
          <w:numId w:val="62"/>
        </w:numPr>
        <w:spacing w:before="0" w:beforeAutospacing="0" w:after="0" w:afterAutospacing="0"/>
        <w:textAlignment w:val="baseline"/>
        <w:rPr>
          <w:rStyle w:val="normaltextrun"/>
          <w:rFonts w:ascii="Arial" w:eastAsia="Arial" w:hAnsi="Arial" w:cs="Arial"/>
        </w:rPr>
      </w:pPr>
      <w:r>
        <w:rPr>
          <w:rStyle w:val="normaltextrun"/>
          <w:rFonts w:ascii="Arial" w:hAnsi="Arial" w:cs="Arial"/>
        </w:rPr>
        <w:t>COVID-19 website – a dedicated COVID-19 landing page provides information to businesses on the support available and how to access.</w:t>
      </w:r>
    </w:p>
    <w:p w14:paraId="03A9B548" w14:textId="77777777" w:rsidR="00016C24" w:rsidRDefault="00016C24" w:rsidP="00EB27EB">
      <w:pPr>
        <w:pStyle w:val="paragraph"/>
        <w:numPr>
          <w:ilvl w:val="0"/>
          <w:numId w:val="62"/>
        </w:numPr>
        <w:spacing w:before="0" w:beforeAutospacing="0" w:after="0" w:afterAutospacing="0"/>
        <w:textAlignment w:val="baseline"/>
        <w:rPr>
          <w:rStyle w:val="normaltextrun"/>
          <w:rFonts w:ascii="Arial" w:eastAsia="Arial" w:hAnsi="Arial" w:cs="Arial"/>
        </w:rPr>
      </w:pPr>
      <w:r>
        <w:rPr>
          <w:rStyle w:val="normaltextrun"/>
          <w:rFonts w:ascii="Arial" w:hAnsi="Arial" w:cs="Arial"/>
        </w:rPr>
        <w:t>The Employ GM website, supported individuals and employers impacted by COVID-19.</w:t>
      </w:r>
    </w:p>
    <w:p w14:paraId="209C4574" w14:textId="77777777" w:rsidR="00016C24" w:rsidRPr="00C9289E" w:rsidRDefault="00016C24" w:rsidP="00016C24">
      <w:pPr>
        <w:pStyle w:val="paragraph"/>
        <w:spacing w:before="0" w:beforeAutospacing="0" w:after="0" w:afterAutospacing="0"/>
        <w:textAlignment w:val="baseline"/>
        <w:rPr>
          <w:rFonts w:ascii="Arial" w:hAnsi="Arial" w:cs="Arial"/>
        </w:rPr>
      </w:pPr>
    </w:p>
    <w:p w14:paraId="262132C2" w14:textId="77777777" w:rsidR="00016C24" w:rsidRDefault="00016C24" w:rsidP="00016C24">
      <w:pPr>
        <w:pStyle w:val="paragraph"/>
        <w:spacing w:before="0" w:beforeAutospacing="0" w:after="0" w:afterAutospacing="0"/>
        <w:textAlignment w:val="baseline"/>
        <w:rPr>
          <w:rStyle w:val="normaltextrun"/>
          <w:rFonts w:ascii="Arial" w:hAnsi="Arial" w:cs="Arial"/>
        </w:rPr>
      </w:pPr>
      <w:r w:rsidRPr="00C9289E">
        <w:rPr>
          <w:rStyle w:val="normaltextrun"/>
          <w:rFonts w:ascii="Arial" w:eastAsia="Palatino Linotype" w:hAnsi="Arial" w:cs="Arial"/>
        </w:rPr>
        <w:t>BGH has continued to deliver a range of other business support and guidance to Greater Manchester businesses, such as the Business Productivity and Inclusive Programme, which moved into a new phase in January 2022, under the Business Productivity, Innovation and Inclusive Growth Programme. This programme focuses on innovation and inclusive growth and is driving productivity in small to medium sized enterprises (SMEs) through its diverse projects.</w:t>
      </w:r>
    </w:p>
    <w:p w14:paraId="62A4F81E" w14:textId="77777777" w:rsidR="00016C24" w:rsidRDefault="00016C24" w:rsidP="00016C24">
      <w:pPr>
        <w:pStyle w:val="paragraph"/>
        <w:spacing w:before="0" w:beforeAutospacing="0" w:after="0" w:afterAutospacing="0"/>
        <w:textAlignment w:val="baseline"/>
        <w:rPr>
          <w:rStyle w:val="normaltextrun"/>
          <w:rFonts w:ascii="Arial" w:hAnsi="Arial" w:cs="Arial"/>
        </w:rPr>
      </w:pPr>
    </w:p>
    <w:p w14:paraId="6DCF8737" w14:textId="77777777" w:rsidR="00016C24" w:rsidRDefault="00016C24" w:rsidP="00016C24">
      <w:pPr>
        <w:pStyle w:val="paragraph"/>
        <w:spacing w:before="0" w:beforeAutospacing="0" w:after="0" w:afterAutospacing="0"/>
        <w:textAlignment w:val="baseline"/>
        <w:rPr>
          <w:rFonts w:ascii="Arial" w:hAnsi="Arial" w:cs="Arial"/>
        </w:rPr>
      </w:pPr>
      <w:r w:rsidRPr="00455253">
        <w:rPr>
          <w:rStyle w:val="normaltextrun"/>
          <w:rFonts w:ascii="Arial" w:eastAsia="Palatino Linotype" w:hAnsi="Arial" w:cs="Arial"/>
          <w:i/>
          <w:iCs/>
        </w:rPr>
        <w:t>Digital City Region</w:t>
      </w:r>
    </w:p>
    <w:p w14:paraId="4D832D89" w14:textId="77777777" w:rsidR="00016C24" w:rsidRDefault="00016C24" w:rsidP="00016C24">
      <w:pPr>
        <w:pStyle w:val="paragraph"/>
        <w:spacing w:before="0" w:beforeAutospacing="0" w:after="0" w:afterAutospacing="0"/>
        <w:textAlignment w:val="baseline"/>
        <w:rPr>
          <w:rFonts w:ascii="Arial" w:hAnsi="Arial" w:cs="Arial"/>
        </w:rPr>
      </w:pPr>
    </w:p>
    <w:p w14:paraId="3C76B19E" w14:textId="0026339A" w:rsidR="00016C24" w:rsidRDefault="00016C24" w:rsidP="00016C24">
      <w:pPr>
        <w:pStyle w:val="paragraph"/>
        <w:spacing w:before="0" w:beforeAutospacing="0" w:after="0" w:afterAutospacing="0"/>
        <w:textAlignment w:val="baseline"/>
        <w:rPr>
          <w:rStyle w:val="normaltextrun"/>
          <w:rFonts w:ascii="Arial" w:eastAsia="Palatino Linotype" w:hAnsi="Arial" w:cs="Arial"/>
          <w:lang w:val="en"/>
        </w:rPr>
      </w:pPr>
      <w:r w:rsidRPr="004942FC">
        <w:rPr>
          <w:rStyle w:val="normaltextrun"/>
          <w:rFonts w:ascii="Arial" w:eastAsia="Palatino Linotype" w:hAnsi="Arial" w:cs="Arial"/>
        </w:rPr>
        <w:t xml:space="preserve">Greater Manchester has made important strides in becoming the UK’s leading Digital City region. During 2018-20 </w:t>
      </w:r>
      <w:r w:rsidRPr="004942FC">
        <w:rPr>
          <w:rStyle w:val="normaltextrun"/>
          <w:rFonts w:ascii="Arial" w:eastAsia="Palatino Linotype" w:hAnsi="Arial" w:cs="Arial"/>
          <w:lang w:val="en"/>
        </w:rPr>
        <w:t>our priorities evolved and a refreshed Greater Manchester Digital Blueprint was launched in 2020. The Blueprint is focused on delivering benefits that help the city region’s people lead healthier, happier lives. Each of our five digital priorities and two cross-cutting enablers, co-designed and developed with the input of key stakeholders is supported by pan-Greater Manchester public sector projects. These combine</w:t>
      </w:r>
      <w:r>
        <w:rPr>
          <w:rStyle w:val="normaltextrun"/>
          <w:rFonts w:ascii="Arial" w:eastAsia="Palatino Linotype" w:hAnsi="Arial" w:cs="Arial"/>
          <w:lang w:val="en"/>
        </w:rPr>
        <w:t>d</w:t>
      </w:r>
      <w:r w:rsidRPr="004942FC">
        <w:rPr>
          <w:rStyle w:val="normaltextrun"/>
          <w:rFonts w:ascii="Arial" w:eastAsia="Palatino Linotype" w:hAnsi="Arial" w:cs="Arial"/>
          <w:lang w:val="en"/>
        </w:rPr>
        <w:t xml:space="preserve"> with inclusive community, local authority, private, not-for-profit and academic work</w:t>
      </w:r>
      <w:r w:rsidR="00BB1644" w:rsidRPr="004942FC">
        <w:rPr>
          <w:rStyle w:val="normaltextrun"/>
          <w:rFonts w:ascii="Arial" w:eastAsia="Palatino Linotype" w:hAnsi="Arial" w:cs="Arial"/>
          <w:lang w:val="en"/>
        </w:rPr>
        <w:t>.</w:t>
      </w:r>
      <w:r w:rsidR="00BB1644">
        <w:rPr>
          <w:rStyle w:val="normaltextrun"/>
          <w:rFonts w:ascii="Arial" w:eastAsia="Palatino Linotype" w:hAnsi="Arial" w:cs="Arial"/>
          <w:lang w:val="en"/>
        </w:rPr>
        <w:t xml:space="preserve"> </w:t>
      </w:r>
      <w:r w:rsidRPr="004942FC">
        <w:rPr>
          <w:rStyle w:val="normaltextrun"/>
          <w:rFonts w:ascii="Arial" w:eastAsia="Palatino Linotype" w:hAnsi="Arial" w:cs="Arial"/>
          <w:lang w:val="en"/>
        </w:rPr>
        <w:t xml:space="preserve">The plan connects the wealth of digital change and will help us reach a shared ambition that underpins and enables both the </w:t>
      </w:r>
      <w:hyperlink r:id="rId13" w:tgtFrame="_blank" w:history="1">
        <w:r w:rsidRPr="004942FC">
          <w:rPr>
            <w:rStyle w:val="normaltextrun"/>
            <w:rFonts w:ascii="Arial" w:eastAsia="Palatino Linotype" w:hAnsi="Arial" w:cs="Arial"/>
            <w:lang w:val="en"/>
          </w:rPr>
          <w:t>Local Industrial Strategy</w:t>
        </w:r>
      </w:hyperlink>
      <w:r w:rsidRPr="004942FC">
        <w:rPr>
          <w:rStyle w:val="normaltextrun"/>
          <w:rFonts w:ascii="Arial" w:eastAsia="Palatino Linotype" w:hAnsi="Arial" w:cs="Arial"/>
          <w:lang w:val="en"/>
        </w:rPr>
        <w:t xml:space="preserve"> and the </w:t>
      </w:r>
      <w:hyperlink r:id="rId14" w:tgtFrame="_blank" w:history="1">
        <w:r w:rsidRPr="004942FC">
          <w:rPr>
            <w:rStyle w:val="normaltextrun"/>
            <w:rFonts w:ascii="Arial" w:eastAsia="Palatino Linotype" w:hAnsi="Arial" w:cs="Arial"/>
            <w:lang w:val="en"/>
          </w:rPr>
          <w:t>Greater Manchester Strategy</w:t>
        </w:r>
      </w:hyperlink>
      <w:r w:rsidRPr="004942FC">
        <w:rPr>
          <w:rStyle w:val="normaltextrun"/>
          <w:rFonts w:ascii="Arial" w:eastAsia="Palatino Linotype" w:hAnsi="Arial" w:cs="Arial"/>
          <w:lang w:val="en"/>
        </w:rPr>
        <w:t>.</w:t>
      </w:r>
    </w:p>
    <w:p w14:paraId="3088D3DD" w14:textId="77777777" w:rsidR="00016C24" w:rsidRPr="004942FC" w:rsidRDefault="00016C24" w:rsidP="00016C24">
      <w:pPr>
        <w:pStyle w:val="paragraph"/>
        <w:spacing w:before="0" w:beforeAutospacing="0" w:after="0" w:afterAutospacing="0"/>
        <w:textAlignment w:val="baseline"/>
        <w:rPr>
          <w:rFonts w:ascii="Arial" w:hAnsi="Arial" w:cs="Arial"/>
        </w:rPr>
      </w:pPr>
    </w:p>
    <w:p w14:paraId="0C349A7B" w14:textId="0BFDDA14" w:rsidR="00016C24" w:rsidRPr="004942FC" w:rsidRDefault="00016C24" w:rsidP="00016C24">
      <w:pPr>
        <w:pStyle w:val="paragraph"/>
        <w:spacing w:before="0" w:beforeAutospacing="0" w:after="160" w:afterAutospacing="0"/>
        <w:textAlignment w:val="baseline"/>
        <w:rPr>
          <w:rFonts w:ascii="Arial" w:hAnsi="Arial" w:cs="Arial"/>
        </w:rPr>
      </w:pPr>
      <w:r w:rsidRPr="004942FC">
        <w:rPr>
          <w:rStyle w:val="normaltextrun"/>
          <w:rFonts w:ascii="Arial" w:eastAsia="Palatino Linotype" w:hAnsi="Arial" w:cs="Arial"/>
        </w:rPr>
        <w:t>The range of initiatives and successes in Greater Manchester’s digital portfolio</w:t>
      </w:r>
      <w:r w:rsidR="00982B95">
        <w:rPr>
          <w:rStyle w:val="normaltextrun"/>
          <w:rFonts w:ascii="Arial" w:eastAsia="Palatino Linotype" w:hAnsi="Arial" w:cs="Arial"/>
        </w:rPr>
        <w:t xml:space="preserve"> </w:t>
      </w:r>
      <w:r w:rsidRPr="004942FC">
        <w:rPr>
          <w:rStyle w:val="normaltextrun"/>
          <w:rFonts w:ascii="Arial" w:eastAsia="Palatino Linotype" w:hAnsi="Arial" w:cs="Arial"/>
        </w:rPr>
        <w:t>is increasing with initiatives like the largest Local Full Fibre Networks (LFFN) programme in the UK.</w:t>
      </w:r>
      <w:r w:rsidRPr="004942FC">
        <w:rPr>
          <w:rFonts w:ascii="Arial" w:hAnsi="Arial" w:cs="Arial"/>
        </w:rPr>
        <w:t xml:space="preserve"> With funding of £20m from </w:t>
      </w:r>
      <w:r>
        <w:rPr>
          <w:rFonts w:ascii="Arial" w:hAnsi="Arial" w:cs="Arial"/>
        </w:rPr>
        <w:t>g</w:t>
      </w:r>
      <w:r w:rsidRPr="004942FC">
        <w:rPr>
          <w:rFonts w:ascii="Arial" w:hAnsi="Arial" w:cs="Arial"/>
        </w:rPr>
        <w:t xml:space="preserve">overnment grant plus investment from GMCA and seven of the GM local authorities, over the last year the final stages of laying up to </w:t>
      </w:r>
      <w:r w:rsidRPr="004942FC">
        <w:rPr>
          <w:rFonts w:ascii="Arial" w:hAnsi="Arial" w:cs="Arial"/>
        </w:rPr>
        <w:lastRenderedPageBreak/>
        <w:t xml:space="preserve">2,700km of new fibre infrastructure across Greater Manchester has taken place.  This work will be complete by early 2022/23 and will connect approximately1,600 public sites, pushing fibre into new areas of Greater Manchester. </w:t>
      </w:r>
    </w:p>
    <w:p w14:paraId="59172850" w14:textId="77777777" w:rsidR="00016C24" w:rsidRPr="004942FC" w:rsidRDefault="00016C24" w:rsidP="00016C24">
      <w:pPr>
        <w:pStyle w:val="paragraph"/>
        <w:spacing w:before="0" w:beforeAutospacing="0" w:after="160" w:afterAutospacing="0"/>
        <w:textAlignment w:val="baseline"/>
        <w:rPr>
          <w:rFonts w:ascii="Arial" w:hAnsi="Arial" w:cs="Arial"/>
        </w:rPr>
      </w:pPr>
      <w:r w:rsidRPr="004942FC">
        <w:rPr>
          <w:rFonts w:ascii="Arial" w:hAnsi="Arial" w:cs="Arial"/>
        </w:rPr>
        <w:t xml:space="preserve">As part of the GM LFFN grant agreement, GMCA and each of participating local authorities committed to using the fibre infrastructure by operating a “Wide Area Network” (WAN) so that users and computers in one location could communicate with users and computers in other locations.  In 2020 several of the partners with similar WAN contract end dates agreed to jointly procure WAN services across the LFFN fibre infrastructure for their own organisational needs and to take advantage of economies of scale whilst still enabling each organisation to manage its own services across the shared network.  </w:t>
      </w:r>
    </w:p>
    <w:p w14:paraId="687277C7" w14:textId="77777777" w:rsidR="00016C24" w:rsidRDefault="00016C24" w:rsidP="00016C24">
      <w:pPr>
        <w:pStyle w:val="paragraph"/>
        <w:spacing w:before="0" w:beforeAutospacing="0" w:after="160" w:afterAutospacing="0"/>
        <w:textAlignment w:val="baseline"/>
        <w:rPr>
          <w:rFonts w:ascii="Arial" w:hAnsi="Arial" w:cs="Arial"/>
        </w:rPr>
      </w:pPr>
      <w:r w:rsidRPr="004942FC">
        <w:rPr>
          <w:rFonts w:ascii="Arial" w:hAnsi="Arial" w:cs="Arial"/>
        </w:rPr>
        <w:t>During 2021/22 having undertaken significant financial and technical analysis and developed a collaborative approach, four GM local authorities and GMCA agreed to commence a joint procurement for network services under the collective title of the ‘GM One Network’ with GMCA as the lead contractor.  In March 2022 following a rigorous procurement process, Cisco International was selected as preferred bidder for Greater Manchester One Network to deliver Wide Area Network services for GMCA including GM Fire and Rescue, Transport for Greater Manchester (TfGM) Urban Traffic Controls Signals and select TfGM sites and Stockport, Oldham, Bury and Rochdale Councils</w:t>
      </w:r>
      <w:r>
        <w:rPr>
          <w:rFonts w:ascii="Arial" w:hAnsi="Arial" w:cs="Arial"/>
        </w:rPr>
        <w:t>. This procurement was one of the first to use the Social Value Portal and will generate additional benefits through social value work.</w:t>
      </w:r>
    </w:p>
    <w:p w14:paraId="0A69EAA8" w14:textId="77777777" w:rsidR="00016C24" w:rsidRDefault="00016C24" w:rsidP="00016C24">
      <w:pPr>
        <w:pStyle w:val="paragraph"/>
        <w:spacing w:before="0" w:beforeAutospacing="0" w:after="160" w:afterAutospacing="0"/>
        <w:textAlignment w:val="baseline"/>
        <w:rPr>
          <w:rFonts w:ascii="Arial" w:hAnsi="Arial" w:cs="Arial"/>
        </w:rPr>
      </w:pPr>
      <w:r>
        <w:rPr>
          <w:rFonts w:ascii="Arial" w:hAnsi="Arial" w:cs="Arial"/>
        </w:rPr>
        <w:t xml:space="preserve">Alongside this activity, </w:t>
      </w:r>
    </w:p>
    <w:p w14:paraId="1C5BEEF3" w14:textId="77777777" w:rsidR="00016C24" w:rsidRDefault="00016C24" w:rsidP="00EB27EB">
      <w:pPr>
        <w:pStyle w:val="paragraph"/>
        <w:numPr>
          <w:ilvl w:val="0"/>
          <w:numId w:val="60"/>
        </w:numPr>
        <w:spacing w:before="0" w:beforeAutospacing="0" w:after="160" w:afterAutospacing="0"/>
        <w:textAlignment w:val="baseline"/>
        <w:rPr>
          <w:rFonts w:ascii="Arial" w:hAnsi="Arial" w:cs="Arial"/>
        </w:rPr>
      </w:pPr>
      <w:r>
        <w:rPr>
          <w:rFonts w:ascii="Arial" w:hAnsi="Arial" w:cs="Arial"/>
        </w:rPr>
        <w:t>The GMCA Digital Transformation team has worked with localities to develop and deploy the first parts of the GM Early Years solution, with over 20,000 health visitor assessments been completed digitally and increasing. Work is underway on a Government funded programme that will enable Supporting Families teams in four localities to be more easily data driven. This team has also deployed systems relating to A Bed Every Night and, during the pandemic, a Community Hub application and a local ‘Track and Trace’ system.</w:t>
      </w:r>
    </w:p>
    <w:p w14:paraId="0DEA916F" w14:textId="77777777" w:rsidR="00016C24" w:rsidRDefault="00016C24" w:rsidP="00EB27EB">
      <w:pPr>
        <w:pStyle w:val="paragraph"/>
        <w:numPr>
          <w:ilvl w:val="0"/>
          <w:numId w:val="60"/>
        </w:numPr>
        <w:spacing w:before="0" w:beforeAutospacing="0" w:after="160" w:afterAutospacing="0"/>
        <w:textAlignment w:val="baseline"/>
        <w:rPr>
          <w:rFonts w:ascii="Arial" w:hAnsi="Arial" w:cs="Arial"/>
        </w:rPr>
      </w:pPr>
      <w:r w:rsidRPr="004942FC">
        <w:rPr>
          <w:rFonts w:ascii="Arial" w:hAnsi="Arial" w:cs="Arial"/>
        </w:rPr>
        <w:t xml:space="preserve">The GMCA Digital Inclusion team is working with localities, </w:t>
      </w:r>
      <w:r>
        <w:rPr>
          <w:rFonts w:ascii="Arial" w:hAnsi="Arial" w:cs="Arial"/>
        </w:rPr>
        <w:t xml:space="preserve">voluntary and community sector </w:t>
      </w:r>
      <w:r w:rsidRPr="004942FC">
        <w:rPr>
          <w:rFonts w:ascii="Arial" w:hAnsi="Arial" w:cs="Arial"/>
        </w:rPr>
        <w:t xml:space="preserve">organisations and </w:t>
      </w:r>
      <w:r>
        <w:rPr>
          <w:rFonts w:ascii="Arial" w:hAnsi="Arial" w:cs="Arial"/>
        </w:rPr>
        <w:t>local businesses</w:t>
      </w:r>
      <w:r w:rsidRPr="004942FC">
        <w:rPr>
          <w:rFonts w:ascii="Arial" w:hAnsi="Arial" w:cs="Arial"/>
        </w:rPr>
        <w:t xml:space="preserve"> to help under 25s, over 75s and disabled people get online as part of the </w:t>
      </w:r>
      <w:r>
        <w:rPr>
          <w:rFonts w:ascii="Arial" w:hAnsi="Arial" w:cs="Arial"/>
        </w:rPr>
        <w:t>m</w:t>
      </w:r>
      <w:r w:rsidRPr="004942FC">
        <w:rPr>
          <w:rFonts w:ascii="Arial" w:hAnsi="Arial" w:cs="Arial"/>
        </w:rPr>
        <w:t xml:space="preserve">ayoral </w:t>
      </w:r>
      <w:r>
        <w:rPr>
          <w:rFonts w:ascii="Arial" w:hAnsi="Arial" w:cs="Arial"/>
        </w:rPr>
        <w:t>m</w:t>
      </w:r>
      <w:r w:rsidRPr="004942FC">
        <w:rPr>
          <w:rFonts w:ascii="Arial" w:hAnsi="Arial" w:cs="Arial"/>
        </w:rPr>
        <w:t xml:space="preserve">anifesto </w:t>
      </w:r>
      <w:r>
        <w:rPr>
          <w:rFonts w:ascii="Arial" w:hAnsi="Arial" w:cs="Arial"/>
        </w:rPr>
        <w:t>c</w:t>
      </w:r>
      <w:r w:rsidRPr="004942FC">
        <w:rPr>
          <w:rFonts w:ascii="Arial" w:hAnsi="Arial" w:cs="Arial"/>
        </w:rPr>
        <w:t xml:space="preserve">ommitment and in line with the refreshed Greater Manchester Strategy. The team </w:t>
      </w:r>
      <w:r>
        <w:rPr>
          <w:rFonts w:ascii="Arial" w:hAnsi="Arial" w:cs="Arial"/>
        </w:rPr>
        <w:t>has led on</w:t>
      </w:r>
      <w:r w:rsidRPr="004942FC">
        <w:rPr>
          <w:rFonts w:ascii="Arial" w:hAnsi="Arial" w:cs="Arial"/>
        </w:rPr>
        <w:t xml:space="preserve"> initiatives such as the GM Data Bank, GM Tech Fund, GM Digital Inclusion Social Housing Pilots, Care Leavers digital support, and Digital Inclusion Risk Index.</w:t>
      </w:r>
    </w:p>
    <w:p w14:paraId="7ADA08CA" w14:textId="77777777" w:rsidR="00016C24" w:rsidRPr="00455253" w:rsidRDefault="00016C24" w:rsidP="00EB27EB">
      <w:pPr>
        <w:pStyle w:val="paragraph"/>
        <w:numPr>
          <w:ilvl w:val="0"/>
          <w:numId w:val="60"/>
        </w:numPr>
        <w:spacing w:before="0" w:beforeAutospacing="0" w:after="160" w:afterAutospacing="0"/>
        <w:textAlignment w:val="baseline"/>
        <w:rPr>
          <w:rStyle w:val="normaltextrun"/>
          <w:rFonts w:ascii="Arial" w:hAnsi="Arial" w:cs="Arial"/>
        </w:rPr>
      </w:pPr>
      <w:r w:rsidRPr="004942FC">
        <w:rPr>
          <w:rFonts w:ascii="Arial" w:hAnsi="Arial" w:cs="Arial"/>
        </w:rPr>
        <w:t>Supporting growth of the digital sector, the GMCA Digital Policy team has worked closely with GCHQ and linked stakeholders to support development of their presence in Greater Manchester. This has resulted in initiatives such as the GM Cyber Foundry and GM A</w:t>
      </w:r>
      <w:r>
        <w:rPr>
          <w:rFonts w:ascii="Arial" w:hAnsi="Arial" w:cs="Arial"/>
        </w:rPr>
        <w:t>rtificial Intelligence (AI)</w:t>
      </w:r>
      <w:r w:rsidRPr="004942FC">
        <w:rPr>
          <w:rFonts w:ascii="Arial" w:hAnsi="Arial" w:cs="Arial"/>
        </w:rPr>
        <w:t xml:space="preserve"> Foundry which accessed and matched £6</w:t>
      </w:r>
      <w:r>
        <w:rPr>
          <w:rFonts w:ascii="Arial" w:hAnsi="Arial" w:cs="Arial"/>
        </w:rPr>
        <w:t>m</w:t>
      </w:r>
      <w:r w:rsidRPr="004942FC">
        <w:rPr>
          <w:rFonts w:ascii="Arial" w:hAnsi="Arial" w:cs="Arial"/>
        </w:rPr>
        <w:t xml:space="preserve"> of European Regional Development Funding to support many businesses across the city region. The Greater Manchester Digital Innovation Security Hub opens in early 2022/23 with £5</w:t>
      </w:r>
      <w:r>
        <w:rPr>
          <w:rFonts w:ascii="Arial" w:hAnsi="Arial" w:cs="Arial"/>
        </w:rPr>
        <w:t>m</w:t>
      </w:r>
      <w:r w:rsidRPr="004942FC">
        <w:rPr>
          <w:rFonts w:ascii="Arial" w:hAnsi="Arial" w:cs="Arial"/>
        </w:rPr>
        <w:t xml:space="preserve"> of </w:t>
      </w:r>
      <w:r>
        <w:rPr>
          <w:rFonts w:ascii="Arial" w:hAnsi="Arial" w:cs="Arial"/>
        </w:rPr>
        <w:t>g</w:t>
      </w:r>
      <w:r w:rsidRPr="004942FC">
        <w:rPr>
          <w:rFonts w:ascii="Arial" w:hAnsi="Arial" w:cs="Arial"/>
        </w:rPr>
        <w:t xml:space="preserve">rowth </w:t>
      </w:r>
      <w:r>
        <w:rPr>
          <w:rFonts w:ascii="Arial" w:hAnsi="Arial" w:cs="Arial"/>
        </w:rPr>
        <w:t>f</w:t>
      </w:r>
      <w:r w:rsidRPr="004942FC">
        <w:rPr>
          <w:rFonts w:ascii="Arial" w:hAnsi="Arial" w:cs="Arial"/>
        </w:rPr>
        <w:t xml:space="preserve">unding </w:t>
      </w:r>
      <w:r>
        <w:rPr>
          <w:rFonts w:ascii="Arial" w:hAnsi="Arial" w:cs="Arial"/>
        </w:rPr>
        <w:t xml:space="preserve">in 2021 </w:t>
      </w:r>
      <w:r w:rsidRPr="004942FC">
        <w:rPr>
          <w:rFonts w:ascii="Arial" w:hAnsi="Arial" w:cs="Arial"/>
        </w:rPr>
        <w:t>and will be co-located with GCHQ in Manchester. Work in support of GCHQ’s presence h</w:t>
      </w:r>
      <w:r>
        <w:rPr>
          <w:rFonts w:ascii="Arial" w:hAnsi="Arial" w:cs="Arial"/>
        </w:rPr>
        <w:t xml:space="preserve">as </w:t>
      </w:r>
      <w:r w:rsidRPr="004942FC">
        <w:rPr>
          <w:rFonts w:ascii="Arial" w:hAnsi="Arial" w:cs="Arial"/>
        </w:rPr>
        <w:t>contributed to Government situating National Cyber Force, a n</w:t>
      </w:r>
      <w:r>
        <w:rPr>
          <w:rFonts w:ascii="Arial" w:hAnsi="Arial" w:cs="Arial"/>
        </w:rPr>
        <w:t>ew</w:t>
      </w:r>
      <w:r w:rsidRPr="004942FC">
        <w:rPr>
          <w:rFonts w:ascii="Arial" w:hAnsi="Arial" w:cs="Arial"/>
        </w:rPr>
        <w:t xml:space="preserve"> investment, in the North West</w:t>
      </w:r>
      <w:r>
        <w:rPr>
          <w:rFonts w:ascii="Arial" w:hAnsi="Arial" w:cs="Arial"/>
        </w:rPr>
        <w:t xml:space="preserve"> region</w:t>
      </w:r>
      <w:r w:rsidRPr="004942FC">
        <w:rPr>
          <w:rFonts w:ascii="Arial" w:hAnsi="Arial" w:cs="Arial"/>
        </w:rPr>
        <w:t>.</w:t>
      </w:r>
    </w:p>
    <w:p w14:paraId="199039CD" w14:textId="77777777" w:rsidR="00016C24" w:rsidRPr="00C93498" w:rsidRDefault="00016C24" w:rsidP="00016C24">
      <w:pPr>
        <w:pStyle w:val="paragraph"/>
        <w:spacing w:before="0" w:beforeAutospacing="0" w:after="160" w:afterAutospacing="0"/>
        <w:textAlignment w:val="baseline"/>
        <w:rPr>
          <w:rStyle w:val="normaltextrun"/>
          <w:rFonts w:ascii="Arial" w:eastAsia="Palatino Linotype" w:hAnsi="Arial" w:cs="Arial"/>
          <w:i/>
          <w:iCs/>
        </w:rPr>
      </w:pPr>
      <w:r w:rsidRPr="00C93498">
        <w:rPr>
          <w:rStyle w:val="normaltextrun"/>
          <w:rFonts w:ascii="Arial" w:eastAsia="Palatino Linotype" w:hAnsi="Arial" w:cs="Arial"/>
          <w:i/>
          <w:iCs/>
        </w:rPr>
        <w:t>Green City Region: </w:t>
      </w:r>
    </w:p>
    <w:p w14:paraId="4D06303C" w14:textId="77777777" w:rsidR="00016C24" w:rsidRPr="00086875" w:rsidRDefault="00016C24" w:rsidP="00016C24">
      <w:pPr>
        <w:pStyle w:val="paragraph"/>
        <w:spacing w:before="0" w:beforeAutospacing="0" w:after="160" w:afterAutospacing="0"/>
        <w:textAlignment w:val="baseline"/>
        <w:rPr>
          <w:rStyle w:val="normaltextrun"/>
          <w:rFonts w:ascii="Arial" w:hAnsi="Arial" w:cs="Arial"/>
        </w:rPr>
      </w:pPr>
      <w:r w:rsidRPr="00C93498">
        <w:rPr>
          <w:rStyle w:val="normaltextrun"/>
          <w:rFonts w:ascii="Arial" w:hAnsi="Arial" w:cs="Arial"/>
        </w:rPr>
        <w:lastRenderedPageBreak/>
        <w:t>At a Green Summit, held in March 2019, the city region launched a five</w:t>
      </w:r>
      <w:r>
        <w:rPr>
          <w:rStyle w:val="normaltextrun"/>
          <w:rFonts w:ascii="Arial" w:hAnsi="Arial" w:cs="Arial"/>
        </w:rPr>
        <w:t>-</w:t>
      </w:r>
      <w:r w:rsidRPr="00C93498">
        <w:rPr>
          <w:rStyle w:val="normaltextrun"/>
          <w:rFonts w:ascii="Arial" w:hAnsi="Arial" w:cs="Arial"/>
        </w:rPr>
        <w:t>year Environment Plan and confirmed its target to become carbon neutral by 2038. The aim is for Greater Manchester to be a clean, carbon neutral, climate resilient city-region with a thriving natural environment and circular, zero-waste economy. GMCA and all 10 Greater Manchester Local Authorities have now declared a Climate Emergency.</w:t>
      </w:r>
      <w:r>
        <w:rPr>
          <w:rFonts w:ascii="Arial" w:hAnsi="Arial" w:cs="Arial"/>
        </w:rPr>
        <w:t xml:space="preserve">  </w:t>
      </w:r>
      <w:r w:rsidRPr="00C93498">
        <w:rPr>
          <w:rStyle w:val="normaltextrun"/>
          <w:rFonts w:ascii="Arial" w:hAnsi="Arial" w:cs="Arial"/>
        </w:rPr>
        <w:t xml:space="preserve">To continue delivery of the </w:t>
      </w:r>
      <w:r>
        <w:rPr>
          <w:rStyle w:val="normaltextrun"/>
          <w:rFonts w:ascii="Arial" w:hAnsi="Arial" w:cs="Arial"/>
        </w:rPr>
        <w:t>p</w:t>
      </w:r>
      <w:r w:rsidRPr="00C93498">
        <w:rPr>
          <w:rStyle w:val="normaltextrun"/>
          <w:rFonts w:ascii="Arial" w:hAnsi="Arial" w:cs="Arial"/>
        </w:rPr>
        <w:t xml:space="preserve">lan and support the climate emergency declarations, the </w:t>
      </w:r>
      <w:r>
        <w:rPr>
          <w:rStyle w:val="normaltextrun"/>
          <w:rFonts w:ascii="Arial" w:hAnsi="Arial" w:cs="Arial"/>
        </w:rPr>
        <w:t>A</w:t>
      </w:r>
      <w:r w:rsidRPr="00C93498">
        <w:rPr>
          <w:rStyle w:val="normaltextrun"/>
          <w:rFonts w:ascii="Arial" w:hAnsi="Arial" w:cs="Arial"/>
        </w:rPr>
        <w:t>uthority has this year been successful in securing a significant amount of funding across a number of programmes</w:t>
      </w:r>
      <w:r>
        <w:rPr>
          <w:rStyle w:val="normaltextrun"/>
          <w:rFonts w:ascii="Arial" w:hAnsi="Arial" w:cs="Arial"/>
        </w:rPr>
        <w:t>.</w:t>
      </w:r>
    </w:p>
    <w:p w14:paraId="01754192" w14:textId="77777777" w:rsidR="00016C24" w:rsidRPr="00C93498" w:rsidRDefault="00016C24" w:rsidP="00016C24">
      <w:pPr>
        <w:pStyle w:val="paragraph"/>
        <w:spacing w:before="0" w:beforeAutospacing="0" w:after="160" w:afterAutospacing="0"/>
        <w:textAlignment w:val="baseline"/>
        <w:rPr>
          <w:rStyle w:val="normaltextrun"/>
          <w:rFonts w:ascii="Arial" w:hAnsi="Arial" w:cs="Arial"/>
        </w:rPr>
      </w:pPr>
      <w:r w:rsidRPr="00C93498">
        <w:rPr>
          <w:rStyle w:val="normaltextrun"/>
          <w:rFonts w:ascii="Arial" w:hAnsi="Arial" w:cs="Arial"/>
        </w:rPr>
        <w:t xml:space="preserve">Green Homes Grant (Local Authority Delivery) </w:t>
      </w:r>
      <w:r>
        <w:rPr>
          <w:rStyle w:val="normaltextrun"/>
          <w:rFonts w:ascii="Arial" w:hAnsi="Arial" w:cs="Arial"/>
        </w:rPr>
        <w:t xml:space="preserve">- </w:t>
      </w:r>
      <w:r w:rsidRPr="00C93498">
        <w:rPr>
          <w:rStyle w:val="normaltextrun"/>
          <w:rFonts w:ascii="Arial" w:hAnsi="Arial" w:cs="Arial"/>
        </w:rPr>
        <w:t xml:space="preserve">£22m funding received to provide energy efficiency, low carbon heating and renewable energy systems to approximately 2000 fuel poor homes, by September 2022. </w:t>
      </w:r>
    </w:p>
    <w:p w14:paraId="0A61345E" w14:textId="77777777" w:rsidR="00016C24" w:rsidRPr="00C93498" w:rsidRDefault="00016C24" w:rsidP="00016C24">
      <w:pPr>
        <w:pStyle w:val="paragraph"/>
        <w:spacing w:before="0" w:beforeAutospacing="0" w:after="160" w:afterAutospacing="0"/>
        <w:textAlignment w:val="baseline"/>
      </w:pPr>
      <w:bookmarkStart w:id="19" w:name="_Hlk108160512"/>
      <w:r w:rsidRPr="00C93498">
        <w:rPr>
          <w:rStyle w:val="normaltextrun"/>
          <w:rFonts w:ascii="Arial" w:hAnsi="Arial" w:cs="Arial"/>
        </w:rPr>
        <w:t>Public Sector Decarbonisation Scheme (PSDS)</w:t>
      </w:r>
      <w:r>
        <w:rPr>
          <w:rStyle w:val="normaltextrun"/>
          <w:rFonts w:ascii="Arial" w:hAnsi="Arial" w:cs="Arial"/>
        </w:rPr>
        <w:t xml:space="preserve"> - </w:t>
      </w:r>
      <w:r w:rsidRPr="00C93498">
        <w:rPr>
          <w:rStyle w:val="normaltextrun"/>
          <w:rFonts w:ascii="Arial" w:hAnsi="Arial" w:cs="Arial"/>
        </w:rPr>
        <w:t xml:space="preserve">Early in 2021 the Authority coordinated a successful bid to Phase 1 of the PSDS for £78m of capital funding to install carbon reduction measures to </w:t>
      </w:r>
      <w:r>
        <w:rPr>
          <w:rStyle w:val="normaltextrun"/>
          <w:rFonts w:ascii="Arial" w:hAnsi="Arial" w:cs="Arial"/>
        </w:rPr>
        <w:t>c</w:t>
      </w:r>
      <w:r w:rsidRPr="00C93498">
        <w:rPr>
          <w:rStyle w:val="normaltextrun"/>
          <w:rFonts w:ascii="Arial" w:hAnsi="Arial" w:cs="Arial"/>
        </w:rPr>
        <w:t>150 public buildings owned by local authorities, health and education providers in 2021/22.   The Phase 1 programme was extended to end of June 2022 and the expectation is that the majority of the grant will have been utilised.  During 2021/22 GMCA was also successful in a bid for a further £</w:t>
      </w:r>
      <w:r>
        <w:rPr>
          <w:rStyle w:val="normaltextrun"/>
          <w:rFonts w:ascii="Arial" w:hAnsi="Arial" w:cs="Arial"/>
        </w:rPr>
        <w:t>15.5</w:t>
      </w:r>
      <w:r w:rsidRPr="00C93498">
        <w:rPr>
          <w:rStyle w:val="normaltextrun"/>
          <w:rFonts w:ascii="Arial" w:hAnsi="Arial" w:cs="Arial"/>
        </w:rPr>
        <w:t xml:space="preserve">m </w:t>
      </w:r>
      <w:r>
        <w:rPr>
          <w:rStyle w:val="normaltextrun"/>
          <w:rFonts w:ascii="Arial" w:hAnsi="Arial" w:cs="Arial"/>
        </w:rPr>
        <w:t>from</w:t>
      </w:r>
      <w:r w:rsidRPr="00C93498">
        <w:rPr>
          <w:rStyle w:val="normaltextrun"/>
          <w:rFonts w:ascii="Arial" w:hAnsi="Arial" w:cs="Arial"/>
        </w:rPr>
        <w:t xml:space="preserve"> Phase 3 of the programme with a delivery timeframe for utilisation of the grant by March 2023.  </w:t>
      </w:r>
    </w:p>
    <w:bookmarkEnd w:id="19"/>
    <w:p w14:paraId="4E22A1B6" w14:textId="4E6E61AD" w:rsidR="00016C24" w:rsidRPr="00C93498" w:rsidRDefault="00016C24" w:rsidP="00016C24">
      <w:pPr>
        <w:pStyle w:val="paragraph"/>
        <w:spacing w:before="0" w:beforeAutospacing="0" w:after="160" w:afterAutospacing="0"/>
        <w:textAlignment w:val="baseline"/>
        <w:rPr>
          <w:rStyle w:val="normaltextrun"/>
          <w:rFonts w:ascii="Arial" w:hAnsi="Arial" w:cs="Arial"/>
        </w:rPr>
      </w:pPr>
      <w:r w:rsidRPr="00C93498">
        <w:rPr>
          <w:rStyle w:val="normaltextrun"/>
          <w:rFonts w:ascii="Arial" w:hAnsi="Arial" w:cs="Arial"/>
        </w:rPr>
        <w:t>Social Housing Decarbonisation Fund (SHDF)</w:t>
      </w:r>
      <w:r>
        <w:rPr>
          <w:rStyle w:val="normaltextrun"/>
          <w:rFonts w:ascii="Arial" w:hAnsi="Arial" w:cs="Arial"/>
        </w:rPr>
        <w:t xml:space="preserve"> - </w:t>
      </w:r>
      <w:r w:rsidRPr="00C93498">
        <w:rPr>
          <w:rStyle w:val="normaltextrun"/>
          <w:rFonts w:ascii="Arial" w:hAnsi="Arial" w:cs="Arial"/>
        </w:rPr>
        <w:t xml:space="preserve">In collaboration with GM housing providers, the Authority has successfully bid for £10m of funding from Government for the SHDF which has been matched by £9m of local funding.  This was to support the installation of energy performance measures in </w:t>
      </w:r>
      <w:r>
        <w:rPr>
          <w:rStyle w:val="normaltextrun"/>
          <w:rFonts w:ascii="Arial" w:hAnsi="Arial" w:cs="Arial"/>
        </w:rPr>
        <w:t>c</w:t>
      </w:r>
      <w:r w:rsidRPr="00C93498">
        <w:rPr>
          <w:rStyle w:val="normaltextrun"/>
          <w:rFonts w:ascii="Arial" w:hAnsi="Arial" w:cs="Arial"/>
        </w:rPr>
        <w:t>1</w:t>
      </w:r>
      <w:r w:rsidR="00041DAE">
        <w:rPr>
          <w:rStyle w:val="normaltextrun"/>
          <w:rFonts w:ascii="Arial" w:hAnsi="Arial" w:cs="Arial"/>
        </w:rPr>
        <w:t>,</w:t>
      </w:r>
      <w:r w:rsidRPr="00C93498">
        <w:rPr>
          <w:rStyle w:val="normaltextrun"/>
          <w:rFonts w:ascii="Arial" w:hAnsi="Arial" w:cs="Arial"/>
        </w:rPr>
        <w:t xml:space="preserve">286 social homes to be completed by March 2023. </w:t>
      </w:r>
    </w:p>
    <w:p w14:paraId="21A2A4DD" w14:textId="77777777" w:rsidR="00016C24" w:rsidRPr="00C93498" w:rsidRDefault="00016C24" w:rsidP="00016C24">
      <w:pPr>
        <w:rPr>
          <w:rFonts w:ascii="Calibri" w:hAnsi="Calibri" w:cs="Calibri"/>
        </w:rPr>
      </w:pPr>
      <w:r w:rsidRPr="00C93498">
        <w:rPr>
          <w:rFonts w:ascii="Arial" w:hAnsi="Arial" w:cs="Arial"/>
        </w:rPr>
        <w:t xml:space="preserve">Phase 4 of the multi-phase Natural Course project commenced this year, which aims to promote action to improve water quality in Greater Manchester. This brings with it £1m external funding to GMCA and partner LAs over this phase, which runs until 2024. </w:t>
      </w:r>
    </w:p>
    <w:p w14:paraId="779B7711" w14:textId="77777777" w:rsidR="00016C24" w:rsidRPr="00C93498" w:rsidRDefault="00016C24" w:rsidP="00016C24">
      <w:pPr>
        <w:rPr>
          <w:rFonts w:ascii="Arial" w:hAnsi="Arial" w:cs="Arial"/>
        </w:rPr>
      </w:pPr>
    </w:p>
    <w:p w14:paraId="2233BDA4" w14:textId="77777777" w:rsidR="00016C24" w:rsidRPr="00C93498" w:rsidRDefault="00016C24" w:rsidP="00016C24">
      <w:pPr>
        <w:rPr>
          <w:rFonts w:ascii="Arial" w:hAnsi="Arial" w:cs="Arial"/>
        </w:rPr>
      </w:pPr>
      <w:r w:rsidRPr="00C93498">
        <w:rPr>
          <w:rFonts w:ascii="Arial" w:hAnsi="Arial" w:cs="Arial"/>
        </w:rPr>
        <w:t xml:space="preserve">The IGNITION project concluded at the end of year 2021/22. This was a 12 partner multi-year project aimed at making the case for funding of nature-based solutions for climate change adaptation in urban areas. This brought £4m of external funding to GMCA and partner organisations over the 3 years of the project. </w:t>
      </w:r>
    </w:p>
    <w:p w14:paraId="35FEF6CC" w14:textId="77777777" w:rsidR="00016C24" w:rsidRPr="00C93498" w:rsidRDefault="00016C24" w:rsidP="00016C24">
      <w:pPr>
        <w:rPr>
          <w:rFonts w:ascii="Arial" w:hAnsi="Arial" w:cs="Arial"/>
        </w:rPr>
      </w:pPr>
    </w:p>
    <w:p w14:paraId="114ECF1F" w14:textId="77777777" w:rsidR="00016C24" w:rsidRPr="00C93498" w:rsidRDefault="00016C24" w:rsidP="00016C24">
      <w:pPr>
        <w:rPr>
          <w:rFonts w:ascii="Arial" w:hAnsi="Arial" w:cs="Arial"/>
        </w:rPr>
      </w:pPr>
      <w:r w:rsidRPr="00C93498">
        <w:rPr>
          <w:rFonts w:ascii="Arial" w:hAnsi="Arial" w:cs="Arial"/>
        </w:rPr>
        <w:t>Greater Manchester was selected by government as a pilot for developing a Local Nature Recovery Strategy, which concluded this year. This brought with it £125,000 of external funding for the GMCA to develop the strategy</w:t>
      </w:r>
      <w:r>
        <w:rPr>
          <w:rFonts w:ascii="Arial" w:hAnsi="Arial" w:cs="Arial"/>
        </w:rPr>
        <w:t>.</w:t>
      </w:r>
    </w:p>
    <w:p w14:paraId="176C9807" w14:textId="77777777" w:rsidR="00016C24" w:rsidRPr="00C93498" w:rsidRDefault="00016C24" w:rsidP="00016C24">
      <w:pPr>
        <w:pStyle w:val="Heading3"/>
        <w:spacing w:after="160"/>
        <w:rPr>
          <w:sz w:val="24"/>
          <w:szCs w:val="24"/>
        </w:rPr>
      </w:pPr>
      <w:bookmarkStart w:id="20" w:name="_Toc109922582"/>
      <w:bookmarkStart w:id="21" w:name="_Hlk108160288"/>
      <w:bookmarkStart w:id="22" w:name="_Hlk75256945"/>
      <w:r w:rsidRPr="00C93498">
        <w:rPr>
          <w:sz w:val="24"/>
          <w:szCs w:val="24"/>
        </w:rPr>
        <w:t>Housing</w:t>
      </w:r>
      <w:bookmarkEnd w:id="20"/>
    </w:p>
    <w:p w14:paraId="3C110E20" w14:textId="1C48E2E7" w:rsidR="00016C24" w:rsidRPr="007C46D5" w:rsidRDefault="00016C24" w:rsidP="00016C24">
      <w:pPr>
        <w:autoSpaceDE w:val="0"/>
        <w:autoSpaceDN w:val="0"/>
        <w:spacing w:after="160"/>
        <w:rPr>
          <w:rFonts w:ascii="Arial" w:hAnsi="Arial" w:cs="Arial"/>
          <w:sz w:val="22"/>
          <w:szCs w:val="22"/>
        </w:rPr>
      </w:pPr>
      <w:r w:rsidRPr="00E277BC">
        <w:rPr>
          <w:rFonts w:ascii="Arial" w:hAnsi="Arial" w:cs="Arial"/>
        </w:rPr>
        <w:t>In December 2020 nine of the GM Councils were asked to approve an agreement to prepare a joint development plan to cover strategic policies including housing and employment land requirements. This plan known as ‘Places for Everyone’</w:t>
      </w:r>
      <w:r>
        <w:rPr>
          <w:rFonts w:ascii="Arial" w:hAnsi="Arial" w:cs="Arial"/>
        </w:rPr>
        <w:t xml:space="preserve"> (PfE)</w:t>
      </w:r>
      <w:r w:rsidRPr="00E277BC">
        <w:rPr>
          <w:rFonts w:ascii="Arial" w:hAnsi="Arial" w:cs="Arial"/>
          <w:b/>
          <w:bCs/>
        </w:rPr>
        <w:t xml:space="preserve"> </w:t>
      </w:r>
      <w:r w:rsidRPr="00E277BC">
        <w:rPr>
          <w:rFonts w:ascii="Arial" w:hAnsi="Arial" w:cs="Arial"/>
        </w:rPr>
        <w:t>replaced the Greater Manchester Spatial Framework following the withdrawal of Stockport Council</w:t>
      </w:r>
      <w:r>
        <w:rPr>
          <w:rFonts w:ascii="Arial" w:hAnsi="Arial" w:cs="Arial"/>
        </w:rPr>
        <w:t xml:space="preserve">. </w:t>
      </w:r>
      <w:r w:rsidRPr="007C46D5">
        <w:rPr>
          <w:rFonts w:ascii="Arial" w:hAnsi="Arial" w:cs="Arial"/>
        </w:rPr>
        <w:t>The Places for Everyone plan was submitted to the Secretary of State in February 2022 and Inspectors appointed to undertake the examination in public. The public hearing sessions are scheduled to begin in October 2022 with adoption by the end of 2023.</w:t>
      </w:r>
      <w:r>
        <w:rPr>
          <w:rFonts w:ascii="Arial" w:hAnsi="Arial" w:cs="Arial"/>
        </w:rPr>
        <w:t xml:space="preserve"> </w:t>
      </w:r>
    </w:p>
    <w:p w14:paraId="7557A356" w14:textId="2CD46928" w:rsidR="00016C24" w:rsidRPr="003F6B2B" w:rsidRDefault="00016C24" w:rsidP="00016C24">
      <w:pPr>
        <w:autoSpaceDE w:val="0"/>
        <w:autoSpaceDN w:val="0"/>
        <w:spacing w:after="160"/>
        <w:rPr>
          <w:rFonts w:ascii="Arial" w:hAnsi="Arial" w:cs="Arial"/>
        </w:rPr>
      </w:pPr>
      <w:r>
        <w:rPr>
          <w:rFonts w:ascii="Arial" w:hAnsi="Arial" w:cs="Arial"/>
        </w:rPr>
        <w:t xml:space="preserve">In March 2020 the Government announced a £400m Brownfield Land Fund (BLF). For GMCA this was an allocation to GMCA of £81.2m over a 5 year period to unlock </w:t>
      </w:r>
      <w:r>
        <w:rPr>
          <w:rFonts w:ascii="Arial" w:hAnsi="Arial" w:cs="Arial"/>
        </w:rPr>
        <w:lastRenderedPageBreak/>
        <w:t xml:space="preserve">capacity for a minimum of 5,500 homes to start on site by 31 March 2025. In February 2021 GMCA received a further allocation of £15.8m based </w:t>
      </w:r>
      <w:r w:rsidR="00041DAE">
        <w:rPr>
          <w:rFonts w:ascii="Arial" w:hAnsi="Arial" w:cs="Arial"/>
        </w:rPr>
        <w:t xml:space="preserve">on </w:t>
      </w:r>
      <w:r>
        <w:rPr>
          <w:rFonts w:ascii="Arial" w:hAnsi="Arial" w:cs="Arial"/>
        </w:rPr>
        <w:t xml:space="preserve">a bid </w:t>
      </w:r>
      <w:r>
        <w:rPr>
          <w:rFonts w:ascii="Arial" w:hAnsi="Arial" w:cs="Arial"/>
          <w:lang w:val="en" w:eastAsia="en-GB"/>
        </w:rPr>
        <w:t>to deliver a further 1,325 homes</w:t>
      </w:r>
      <w:r>
        <w:rPr>
          <w:rFonts w:ascii="Arial" w:hAnsi="Arial" w:cs="Arial"/>
        </w:rPr>
        <w:t>.</w:t>
      </w:r>
      <w:r>
        <w:rPr>
          <w:rFonts w:ascii="Arial" w:hAnsi="Arial" w:cs="Arial"/>
          <w:lang w:val="en" w:eastAsia="en-GB"/>
        </w:rPr>
        <w:t xml:space="preserve"> This took Greater Manchester’s total Brownfield Housing Fund allocation to £97m over the five years to 2025. Spend against the programme over the first two years to the end of 2021/22 is £57m. </w:t>
      </w:r>
      <w:r>
        <w:rPr>
          <w:rFonts w:ascii="Arial" w:hAnsi="Arial" w:cs="Arial"/>
        </w:rPr>
        <w:t xml:space="preserve">This has </w:t>
      </w:r>
      <w:r>
        <w:rPr>
          <w:rFonts w:ascii="Arial" w:hAnsi="Arial" w:cs="Arial"/>
          <w:lang w:val="en"/>
        </w:rPr>
        <w:t xml:space="preserve">unlocked 64 brownfield sites across the city-region </w:t>
      </w:r>
      <w:r>
        <w:rPr>
          <w:rFonts w:ascii="Arial" w:hAnsi="Arial" w:cs="Arial"/>
        </w:rPr>
        <w:t xml:space="preserve">and the number of new homes to date stands at 9,524. </w:t>
      </w:r>
      <w:r>
        <w:rPr>
          <w:rFonts w:ascii="Arial" w:hAnsi="Arial" w:cs="Arial"/>
          <w:lang w:val="en" w:eastAsia="en-GB"/>
        </w:rPr>
        <w:t>This is in addition to the homes built as a consequence of investments in schemes across the city-region by the Greater Manchester Housing Investment Loans Fund.</w:t>
      </w:r>
      <w:r>
        <w:rPr>
          <w:rFonts w:ascii="Arial" w:hAnsi="Arial" w:cs="Arial"/>
          <w:lang w:val="en"/>
        </w:rPr>
        <w:t xml:space="preserve"> </w:t>
      </w:r>
      <w:r w:rsidR="00E853C6">
        <w:rPr>
          <w:rFonts w:ascii="Arial" w:hAnsi="Arial" w:cs="Arial"/>
          <w:lang w:val="en"/>
        </w:rPr>
        <w:t xml:space="preserve">In February 2022 a further £11.4m of funding was announced for 8 schemes delivering 916 homes. </w:t>
      </w:r>
      <w:r>
        <w:rPr>
          <w:rFonts w:ascii="Arial" w:hAnsi="Arial" w:cs="Arial"/>
        </w:rPr>
        <w:t>There is a further £27m of BLF grant that has been allocated for which GMCA is in the process of identifying which sites this will be awarded against.</w:t>
      </w:r>
      <w:bookmarkStart w:id="23" w:name="_Hlk75938982"/>
      <w:bookmarkEnd w:id="21"/>
    </w:p>
    <w:bookmarkEnd w:id="22"/>
    <w:bookmarkEnd w:id="23"/>
    <w:p w14:paraId="3E21FF8C" w14:textId="77777777" w:rsidR="00016C24" w:rsidRDefault="00016C24" w:rsidP="00016C24">
      <w:pPr>
        <w:pStyle w:val="Normal0"/>
        <w:spacing w:after="160" w:line="240" w:lineRule="auto"/>
        <w:rPr>
          <w:rFonts w:ascii="Arial" w:hAnsi="Arial" w:cs="Arial"/>
          <w:b/>
          <w:bCs/>
          <w:sz w:val="24"/>
          <w:szCs w:val="24"/>
          <w:lang w:val="en-GB"/>
        </w:rPr>
      </w:pPr>
      <w:r w:rsidRPr="00AD2D07">
        <w:rPr>
          <w:rFonts w:ascii="Arial" w:hAnsi="Arial" w:cs="Arial"/>
          <w:b/>
          <w:bCs/>
          <w:sz w:val="24"/>
          <w:szCs w:val="24"/>
          <w:lang w:val="en-GB"/>
        </w:rPr>
        <w:t>Education, Skills and Work</w:t>
      </w:r>
    </w:p>
    <w:p w14:paraId="39556784" w14:textId="77777777" w:rsidR="00016C24" w:rsidRPr="00F571EA" w:rsidRDefault="00016C24" w:rsidP="00016C24">
      <w:pPr>
        <w:pStyle w:val="Normal0"/>
        <w:spacing w:after="160" w:line="240" w:lineRule="auto"/>
        <w:rPr>
          <w:rFonts w:ascii="Arial" w:hAnsi="Arial" w:cs="Arial"/>
          <w:sz w:val="24"/>
          <w:szCs w:val="24"/>
        </w:rPr>
      </w:pPr>
      <w:r w:rsidRPr="00F571EA">
        <w:rPr>
          <w:rFonts w:ascii="Arial" w:hAnsi="Arial" w:cs="Arial"/>
          <w:sz w:val="24"/>
          <w:szCs w:val="24"/>
        </w:rPr>
        <w:t>The Education, Skills and Work landscape in Greater Manchester brings together large-scale national programmes managed and funded by various central government departments, devolved/co-commissioned activity developed and commissioned at GM level, and smaller scale targeted activity focused on priority cohorts, sectors and geographies. Work is undertaken across four priority areas:</w:t>
      </w:r>
    </w:p>
    <w:p w14:paraId="1C70FBA3" w14:textId="77777777" w:rsidR="00016C24" w:rsidRPr="00F571EA" w:rsidRDefault="00016C24" w:rsidP="00EB27EB">
      <w:pPr>
        <w:pStyle w:val="Normal0"/>
        <w:numPr>
          <w:ilvl w:val="0"/>
          <w:numId w:val="66"/>
        </w:numPr>
        <w:spacing w:after="160" w:line="240" w:lineRule="auto"/>
        <w:rPr>
          <w:rFonts w:ascii="Arial" w:hAnsi="Arial" w:cs="Arial"/>
          <w:b/>
          <w:bCs/>
          <w:sz w:val="24"/>
          <w:szCs w:val="24"/>
        </w:rPr>
      </w:pPr>
      <w:r w:rsidRPr="00F571EA">
        <w:rPr>
          <w:rFonts w:ascii="Arial" w:hAnsi="Arial" w:cs="Arial"/>
          <w:b/>
          <w:bCs/>
          <w:sz w:val="24"/>
          <w:szCs w:val="24"/>
        </w:rPr>
        <w:t xml:space="preserve">Young people leave education and training ready to succeed in the </w:t>
      </w:r>
      <w:r w:rsidRPr="000C19F2">
        <w:rPr>
          <w:rFonts w:ascii="Arial" w:hAnsi="Arial" w:cs="Arial"/>
          <w:b/>
          <w:bCs/>
          <w:sz w:val="24"/>
          <w:szCs w:val="24"/>
          <w:lang w:val="en-GB"/>
        </w:rPr>
        <w:t>labour</w:t>
      </w:r>
      <w:r w:rsidRPr="00F571EA">
        <w:rPr>
          <w:rFonts w:ascii="Arial" w:hAnsi="Arial" w:cs="Arial"/>
          <w:b/>
          <w:bCs/>
          <w:sz w:val="24"/>
          <w:szCs w:val="24"/>
        </w:rPr>
        <w:t xml:space="preserve"> market, with a balance of academic, technical and ‘life ready’ skills.</w:t>
      </w:r>
    </w:p>
    <w:p w14:paraId="35725709" w14:textId="77777777" w:rsidR="00016C24" w:rsidRPr="004914E7" w:rsidRDefault="00016C24" w:rsidP="00016C24">
      <w:pPr>
        <w:spacing w:after="160"/>
        <w:rPr>
          <w:rFonts w:ascii="Arial" w:hAnsi="Arial" w:cs="Arial"/>
        </w:rPr>
      </w:pPr>
      <w:r w:rsidRPr="004914E7">
        <w:rPr>
          <w:rFonts w:ascii="Arial" w:hAnsi="Arial" w:cs="Arial"/>
        </w:rPr>
        <w:t xml:space="preserve">Working to support and help prepare young people to actively participate and thrive in the  economy is a key feature of the work undertaken by the </w:t>
      </w:r>
      <w:r>
        <w:rPr>
          <w:rFonts w:ascii="Arial" w:hAnsi="Arial" w:cs="Arial"/>
        </w:rPr>
        <w:t>Directorate</w:t>
      </w:r>
      <w:r w:rsidRPr="004914E7">
        <w:rPr>
          <w:rFonts w:ascii="Arial" w:hAnsi="Arial" w:cs="Arial"/>
        </w:rPr>
        <w:t>. We are doing this by building on their ambitions, qualities and skills of young people in order for them to have fair access to the opportunities available across the sub-region. There are four ways in which this has been achieved through our designed service offers:</w:t>
      </w:r>
    </w:p>
    <w:p w14:paraId="7E81BE4C" w14:textId="77777777" w:rsidR="00016C24" w:rsidRPr="004914E7" w:rsidRDefault="00016C24" w:rsidP="00EB27EB">
      <w:pPr>
        <w:pStyle w:val="ListParagraph"/>
        <w:numPr>
          <w:ilvl w:val="0"/>
          <w:numId w:val="68"/>
        </w:numPr>
        <w:spacing w:after="160" w:line="240" w:lineRule="auto"/>
        <w:contextualSpacing w:val="0"/>
        <w:rPr>
          <w:rFonts w:ascii="Arial" w:hAnsi="Arial" w:cs="Arial"/>
          <w:sz w:val="24"/>
          <w:szCs w:val="24"/>
        </w:rPr>
      </w:pPr>
      <w:r w:rsidRPr="004914E7">
        <w:rPr>
          <w:rFonts w:ascii="Arial" w:hAnsi="Arial" w:cs="Arial"/>
          <w:sz w:val="24"/>
          <w:szCs w:val="24"/>
        </w:rPr>
        <w:t>A service offer to young people via the Greater Manchester Apprenticeship and Careers Service website which is now used in more than half of secondary schools with over 100,000 young people registered. Aligned to this a digital curriculum for life tool is in development for young people to access in late Autumn, co-designed and written by young people.</w:t>
      </w:r>
    </w:p>
    <w:p w14:paraId="526E5521" w14:textId="6BD2ECA9" w:rsidR="00016C24" w:rsidRPr="004914E7" w:rsidRDefault="00016C24" w:rsidP="00EB27EB">
      <w:pPr>
        <w:pStyle w:val="ListParagraph"/>
        <w:numPr>
          <w:ilvl w:val="0"/>
          <w:numId w:val="68"/>
        </w:numPr>
        <w:spacing w:after="160" w:line="240" w:lineRule="auto"/>
        <w:contextualSpacing w:val="0"/>
        <w:rPr>
          <w:rFonts w:ascii="Arial" w:hAnsi="Arial" w:cs="Arial"/>
          <w:sz w:val="24"/>
          <w:szCs w:val="24"/>
        </w:rPr>
      </w:pPr>
      <w:r w:rsidRPr="004914E7">
        <w:rPr>
          <w:rFonts w:ascii="Arial" w:hAnsi="Arial" w:cs="Arial"/>
          <w:sz w:val="24"/>
          <w:szCs w:val="24"/>
        </w:rPr>
        <w:t>A</w:t>
      </w:r>
      <w:r>
        <w:rPr>
          <w:rFonts w:ascii="Arial" w:hAnsi="Arial" w:cs="Arial"/>
          <w:sz w:val="24"/>
          <w:szCs w:val="24"/>
        </w:rPr>
        <w:t>n</w:t>
      </w:r>
      <w:r w:rsidRPr="004914E7">
        <w:rPr>
          <w:rFonts w:ascii="Arial" w:hAnsi="Arial" w:cs="Arial"/>
          <w:sz w:val="24"/>
          <w:szCs w:val="24"/>
        </w:rPr>
        <w:t xml:space="preserve"> offer to those who work with young people delivered through the GM Careers Hub. The Careers Hub is a community of practice for senior careers leaders and </w:t>
      </w:r>
      <w:r>
        <w:rPr>
          <w:rFonts w:ascii="Arial" w:hAnsi="Arial" w:cs="Arial"/>
          <w:sz w:val="24"/>
          <w:szCs w:val="24"/>
        </w:rPr>
        <w:t>H</w:t>
      </w:r>
      <w:r w:rsidRPr="004914E7">
        <w:rPr>
          <w:rFonts w:ascii="Arial" w:hAnsi="Arial" w:cs="Arial"/>
          <w:sz w:val="24"/>
          <w:szCs w:val="24"/>
        </w:rPr>
        <w:t>eadteachers/Principals in secondary education to implement the highest standard of careers education. 34 schools and colleges have now reached full implementation of the Gat</w:t>
      </w:r>
      <w:r w:rsidR="00C67457">
        <w:rPr>
          <w:rFonts w:ascii="Arial" w:hAnsi="Arial" w:cs="Arial"/>
          <w:sz w:val="24"/>
          <w:szCs w:val="24"/>
        </w:rPr>
        <w:t>s</w:t>
      </w:r>
      <w:r w:rsidRPr="004914E7">
        <w:rPr>
          <w:rFonts w:ascii="Arial" w:hAnsi="Arial" w:cs="Arial"/>
          <w:sz w:val="24"/>
          <w:szCs w:val="24"/>
        </w:rPr>
        <w:t>by Benchmarks, the measure by which schools and colleges self-evaluate. The push now is to get those nearly at full implementation to nudge their practice which would take the full implementation balance to approximately 100 schools and colleges</w:t>
      </w:r>
      <w:r w:rsidR="00041DAE">
        <w:rPr>
          <w:rFonts w:ascii="Arial" w:hAnsi="Arial" w:cs="Arial"/>
          <w:sz w:val="24"/>
          <w:szCs w:val="24"/>
        </w:rPr>
        <w:t>,</w:t>
      </w:r>
      <w:r w:rsidRPr="004914E7">
        <w:rPr>
          <w:rFonts w:ascii="Arial" w:hAnsi="Arial" w:cs="Arial"/>
          <w:sz w:val="24"/>
          <w:szCs w:val="24"/>
        </w:rPr>
        <w:t xml:space="preserve"> just under half of all schools and colleges. Through this model businesses are also connected through a range of key initiatives such as Meet Your Future which has connected employers to over 100,000 young people and through Pledge 5 we are building up more of a business portfolio offering multiple opportunities to young people.  In addition, a bespoke programme of innovative leadership for headteachers has been created, working with Edge Foundation and Ashoka to start the system changes required to develop a more localised, sustainable model of practice reducing the dependence on external funding.</w:t>
      </w:r>
    </w:p>
    <w:p w14:paraId="6DC4C600" w14:textId="77777777" w:rsidR="00016C24" w:rsidRPr="004914E7" w:rsidRDefault="00016C24" w:rsidP="00EB27EB">
      <w:pPr>
        <w:pStyle w:val="ListParagraph"/>
        <w:numPr>
          <w:ilvl w:val="0"/>
          <w:numId w:val="68"/>
        </w:numPr>
        <w:spacing w:after="160" w:line="240" w:lineRule="auto"/>
        <w:contextualSpacing w:val="0"/>
        <w:rPr>
          <w:rFonts w:ascii="Arial" w:hAnsi="Arial" w:cs="Arial"/>
          <w:sz w:val="24"/>
          <w:szCs w:val="24"/>
        </w:rPr>
      </w:pPr>
      <w:r>
        <w:rPr>
          <w:rFonts w:ascii="Arial" w:hAnsi="Arial" w:cs="Arial"/>
          <w:sz w:val="24"/>
          <w:szCs w:val="24"/>
        </w:rPr>
        <w:t>An</w:t>
      </w:r>
      <w:r w:rsidRPr="004914E7">
        <w:rPr>
          <w:rFonts w:ascii="Arial" w:hAnsi="Arial" w:cs="Arial"/>
          <w:sz w:val="24"/>
          <w:szCs w:val="24"/>
        </w:rPr>
        <w:t xml:space="preserve"> offer to businesses which supports them to connect to their future talent pipeline based on the skills intelligence and led by business need and </w:t>
      </w:r>
      <w:r w:rsidRPr="004914E7">
        <w:rPr>
          <w:rFonts w:ascii="Arial" w:hAnsi="Arial" w:cs="Arial"/>
          <w:sz w:val="24"/>
          <w:szCs w:val="24"/>
        </w:rPr>
        <w:lastRenderedPageBreak/>
        <w:t>interest.  This work is supported by what we learn from GMACS to better connect what young people say they have ambitions to do versus what jobs are available in the jobs market.</w:t>
      </w:r>
    </w:p>
    <w:p w14:paraId="30ECE73C" w14:textId="77777777" w:rsidR="00016C24" w:rsidRPr="00F571EA" w:rsidRDefault="00016C24" w:rsidP="00016C24">
      <w:pPr>
        <w:pStyle w:val="Normal0"/>
        <w:spacing w:after="160" w:line="240" w:lineRule="auto"/>
        <w:rPr>
          <w:rStyle w:val="Accessiblenormaltext"/>
          <w:rFonts w:cs="Arial"/>
          <w:sz w:val="24"/>
          <w:szCs w:val="24"/>
        </w:rPr>
      </w:pPr>
      <w:r w:rsidRPr="00F571EA">
        <w:rPr>
          <w:rStyle w:val="Accessiblenormaltext"/>
          <w:rFonts w:cs="Arial"/>
          <w:sz w:val="24"/>
          <w:szCs w:val="24"/>
        </w:rPr>
        <w:t>GMCA has worked in partnership with The Prince’s Trust to deliver the £10m Future Workforce Fund (FWF), a three-year pilot funded jointly by DfE and GM to test innovative ways of supporting around 7,000 young people and young adults aged 14-25 who are not in education, employment or training (NEET) or at risk of becoming so for a sustained period and experiencing poorer outcomes in adult life. With a focus on young people in schools, colleges, alternative education provision as well as those not engaged in education, training or work, the FWF has seven main strands of activity, including life skills, pre-employment, world of work and mentoring, plus a series of small-scale grant funded projects commissioned by Prince’s Trust. To the end of March 2022, the programme has supported 5,990 young people.</w:t>
      </w:r>
    </w:p>
    <w:p w14:paraId="0B6FBEBE" w14:textId="24821FF6" w:rsidR="00016C24" w:rsidRPr="00F571EA" w:rsidRDefault="00016C24" w:rsidP="00016C24">
      <w:pPr>
        <w:pStyle w:val="Normal0"/>
        <w:spacing w:after="160" w:line="240" w:lineRule="auto"/>
        <w:rPr>
          <w:rStyle w:val="Accessiblenormaltext"/>
          <w:rFonts w:cs="Arial"/>
          <w:sz w:val="24"/>
          <w:szCs w:val="24"/>
        </w:rPr>
      </w:pPr>
      <w:r w:rsidRPr="00F571EA">
        <w:rPr>
          <w:rStyle w:val="Accessiblenormaltext"/>
          <w:rFonts w:cs="Arial"/>
          <w:sz w:val="24"/>
          <w:szCs w:val="24"/>
        </w:rPr>
        <w:t>GMCA has commissioned delivery of the £10m ESF NEET &amp; Youth Employment programme, which commenced during January 2022 and will engage 6000 young people across GM aged 15-24 who are affected by missed education, and/or are disengaged from mainstream skill support offers, employment, or training</w:t>
      </w:r>
      <w:r w:rsidR="00BB1644" w:rsidRPr="00F571EA">
        <w:rPr>
          <w:rStyle w:val="Accessiblenormaltext"/>
          <w:rFonts w:cs="Arial"/>
          <w:sz w:val="24"/>
          <w:szCs w:val="24"/>
        </w:rPr>
        <w:t xml:space="preserve">. </w:t>
      </w:r>
      <w:r w:rsidRPr="00F571EA">
        <w:rPr>
          <w:rStyle w:val="Accessiblenormaltext"/>
          <w:rFonts w:cs="Arial"/>
          <w:sz w:val="24"/>
          <w:szCs w:val="24"/>
        </w:rPr>
        <w:t>Career Connect have been awarded the contract to support 15-19 years, and Ingeus to support 18-25 years. The programme will conclude in September 2023.</w:t>
      </w:r>
    </w:p>
    <w:p w14:paraId="58F53F9C" w14:textId="77777777" w:rsidR="00016C24" w:rsidRPr="00F571EA" w:rsidRDefault="00016C24" w:rsidP="00016C24">
      <w:pPr>
        <w:spacing w:after="160"/>
        <w:rPr>
          <w:rFonts w:ascii="Arial" w:hAnsi="Arial" w:cs="Arial"/>
        </w:rPr>
      </w:pPr>
      <w:r w:rsidRPr="00F571EA">
        <w:rPr>
          <w:rFonts w:ascii="Arial" w:hAnsi="Arial" w:cs="Arial"/>
        </w:rPr>
        <w:t xml:space="preserve">During 2021/22, apprenticeships remained a key pathway into work and skills for our residents and, together with Traineeships and T Levels, saw additional employer grants continue as an incentive within the Government’s Plan for Jobs COVID-19 response/recovery package, started in the summer of 2020. </w:t>
      </w:r>
    </w:p>
    <w:p w14:paraId="5396338A" w14:textId="4A4C1767" w:rsidR="00016C24" w:rsidRPr="00F571EA" w:rsidRDefault="00016C24" w:rsidP="00016C24">
      <w:pPr>
        <w:pStyle w:val="Normal0"/>
        <w:spacing w:after="160" w:line="240" w:lineRule="auto"/>
        <w:rPr>
          <w:rFonts w:ascii="Arial" w:hAnsi="Arial" w:cs="Arial"/>
          <w:sz w:val="24"/>
          <w:szCs w:val="24"/>
        </w:rPr>
      </w:pPr>
      <w:r w:rsidRPr="00F571EA">
        <w:rPr>
          <w:rFonts w:ascii="Arial" w:hAnsi="Arial" w:cs="Arial"/>
          <w:sz w:val="24"/>
          <w:szCs w:val="24"/>
        </w:rPr>
        <w:t xml:space="preserve">The Public Sector Apprenticeship approach has supported thousands of new </w:t>
      </w:r>
      <w:r w:rsidR="00C028B4" w:rsidRPr="00F571EA">
        <w:rPr>
          <w:rFonts w:ascii="Arial" w:hAnsi="Arial" w:cs="Arial"/>
          <w:sz w:val="24"/>
          <w:szCs w:val="24"/>
        </w:rPr>
        <w:t>apprenticeships</w:t>
      </w:r>
      <w:r w:rsidRPr="00F571EA">
        <w:rPr>
          <w:rFonts w:ascii="Arial" w:hAnsi="Arial" w:cs="Arial"/>
          <w:sz w:val="24"/>
          <w:szCs w:val="24"/>
        </w:rPr>
        <w:t xml:space="preserve"> starts across Greater Manchester public services since 2017. Whilst formal reporting for 2021/22 has not yet taken place, in the previous year (20/21) around 2,000 people started new apprenticeships across the GM public sector despite the </w:t>
      </w:r>
      <w:r>
        <w:rPr>
          <w:rFonts w:ascii="Arial" w:hAnsi="Arial" w:cs="Arial"/>
          <w:sz w:val="24"/>
          <w:szCs w:val="24"/>
        </w:rPr>
        <w:t>COVID</w:t>
      </w:r>
      <w:r w:rsidRPr="00F571EA">
        <w:rPr>
          <w:rFonts w:ascii="Arial" w:hAnsi="Arial" w:cs="Arial"/>
          <w:sz w:val="24"/>
          <w:szCs w:val="24"/>
        </w:rPr>
        <w:t>-19 pandemic, and the overall number of apprentices in the GM public sector increased by over 650. Collaborative approaches to apprenticeships across our public services continue, and apprenticeships continue to be a key strategic focus, so it is anticipated that at least 2,000 additional apprenticeships will have started across Greater Manchester public sector employers in the year to March 2022.</w:t>
      </w:r>
    </w:p>
    <w:p w14:paraId="4444163D" w14:textId="77777777" w:rsidR="00016C24" w:rsidRPr="00F571EA" w:rsidRDefault="00016C24" w:rsidP="00016C24">
      <w:pPr>
        <w:pStyle w:val="Normal0"/>
        <w:spacing w:after="160" w:line="240" w:lineRule="auto"/>
        <w:rPr>
          <w:rFonts w:ascii="Arial" w:hAnsi="Arial" w:cs="Arial"/>
          <w:sz w:val="24"/>
          <w:szCs w:val="24"/>
        </w:rPr>
      </w:pPr>
      <w:r w:rsidRPr="00F571EA">
        <w:rPr>
          <w:rFonts w:ascii="Arial" w:hAnsi="Arial" w:cs="Arial"/>
          <w:sz w:val="24"/>
          <w:szCs w:val="24"/>
        </w:rPr>
        <w:t xml:space="preserve">As part of our work to remove barriers to apprenticeships for underrepresented groups, seven small-scale projects commenced delivery in September 2020, designed to better understand and tackle under-representation of different groups within our apprentice population relative to the GM population in general. In total, 147 individuals engaged across the 7 projects, with 31 starting apprenticeships up to March 2022., An evaluation report has been produced to capture learning from the programme to inform future work in this area and help to ensure the greatest impact for residents. This builds on the work undertaken with Department for Education as part of the Five Cities pilot, and work with the Ageing Hub on apprenticeships for the Over 50s. </w:t>
      </w:r>
    </w:p>
    <w:p w14:paraId="03160B97" w14:textId="77777777" w:rsidR="00016C24" w:rsidRPr="00F571EA" w:rsidRDefault="00016C24" w:rsidP="00016C24">
      <w:pPr>
        <w:pStyle w:val="Normal0"/>
        <w:spacing w:after="160" w:line="240" w:lineRule="auto"/>
        <w:rPr>
          <w:rFonts w:ascii="Arial" w:hAnsi="Arial" w:cs="Arial"/>
          <w:sz w:val="24"/>
          <w:szCs w:val="24"/>
        </w:rPr>
      </w:pPr>
    </w:p>
    <w:p w14:paraId="7FC742C5" w14:textId="77777777" w:rsidR="00016C24" w:rsidRPr="00F571EA" w:rsidRDefault="00016C24" w:rsidP="00EB27EB">
      <w:pPr>
        <w:pStyle w:val="Normal0"/>
        <w:numPr>
          <w:ilvl w:val="0"/>
          <w:numId w:val="66"/>
        </w:numPr>
        <w:spacing w:after="160" w:line="240" w:lineRule="auto"/>
        <w:rPr>
          <w:rFonts w:ascii="Arial" w:hAnsi="Arial" w:cs="Arial"/>
          <w:b/>
          <w:bCs/>
          <w:sz w:val="24"/>
          <w:szCs w:val="24"/>
        </w:rPr>
      </w:pPr>
      <w:r w:rsidRPr="00F571EA">
        <w:rPr>
          <w:rFonts w:ascii="Arial" w:hAnsi="Arial" w:cs="Arial"/>
          <w:b/>
          <w:bCs/>
          <w:sz w:val="24"/>
          <w:szCs w:val="24"/>
        </w:rPr>
        <w:t>Adults can acquire the skills, mindset and support they need to fulfil their career potential and adapt to changing needs throughout their lives, from entering employment to highly skilled careers and retraining.</w:t>
      </w:r>
    </w:p>
    <w:p w14:paraId="1A597223" w14:textId="55088C7D" w:rsidR="00016C24" w:rsidRPr="00F571EA" w:rsidRDefault="00016C24" w:rsidP="00016C24">
      <w:pPr>
        <w:pStyle w:val="Normal0"/>
        <w:spacing w:after="160" w:line="240" w:lineRule="auto"/>
        <w:rPr>
          <w:rFonts w:ascii="Arial" w:hAnsi="Arial" w:cs="Arial"/>
          <w:sz w:val="24"/>
          <w:szCs w:val="24"/>
        </w:rPr>
      </w:pPr>
      <w:r w:rsidRPr="00F571EA">
        <w:rPr>
          <w:rFonts w:ascii="Arial" w:hAnsi="Arial" w:cs="Arial"/>
          <w:sz w:val="24"/>
          <w:szCs w:val="24"/>
        </w:rPr>
        <w:lastRenderedPageBreak/>
        <w:t>The Adult Education Budget (AEB) is a single budget bringing together adult further education (all 19yrs+ provision with the exception of apprenticeships</w:t>
      </w:r>
      <w:r w:rsidR="00C67457">
        <w:rPr>
          <w:rFonts w:ascii="Arial" w:hAnsi="Arial" w:cs="Arial"/>
          <w:sz w:val="24"/>
          <w:szCs w:val="24"/>
        </w:rPr>
        <w:t xml:space="preserve"> </w:t>
      </w:r>
      <w:r w:rsidRPr="00F571EA">
        <w:rPr>
          <w:rFonts w:ascii="Arial" w:hAnsi="Arial" w:cs="Arial"/>
          <w:sz w:val="24"/>
          <w:szCs w:val="24"/>
        </w:rPr>
        <w:t xml:space="preserve">/ traineeships), community learning, and discretionary learner support. GMCA receives an annual budget every academic year (August to July) of approximately £96 million, with the final allocation determined each January prior to the start of the academic year. </w:t>
      </w:r>
    </w:p>
    <w:p w14:paraId="747C68C7" w14:textId="689F9174" w:rsidR="00016C24" w:rsidRPr="00F571EA" w:rsidRDefault="00016C24" w:rsidP="00016C24">
      <w:pPr>
        <w:pStyle w:val="Normal0"/>
        <w:spacing w:after="160" w:line="240" w:lineRule="auto"/>
        <w:rPr>
          <w:rFonts w:ascii="Arial" w:hAnsi="Arial" w:cs="Arial"/>
          <w:sz w:val="24"/>
          <w:szCs w:val="24"/>
          <w:lang w:val="en-GB"/>
        </w:rPr>
      </w:pPr>
      <w:r w:rsidRPr="00F571EA">
        <w:rPr>
          <w:rFonts w:ascii="Arial" w:hAnsi="Arial" w:cs="Arial"/>
          <w:sz w:val="24"/>
          <w:szCs w:val="24"/>
        </w:rPr>
        <w:t xml:space="preserve">The AEB is intended to fund provision which supports the local labour market and economic development. In particular, it focuses on ensuring that adults have the core skills that they need for work, including guaranteeing a number of statutory entitlements relating to </w:t>
      </w:r>
      <w:r w:rsidR="00625974">
        <w:rPr>
          <w:rFonts w:ascii="Arial" w:hAnsi="Arial" w:cs="Arial"/>
          <w:sz w:val="24"/>
          <w:szCs w:val="24"/>
        </w:rPr>
        <w:t>E</w:t>
      </w:r>
      <w:r w:rsidRPr="00F571EA">
        <w:rPr>
          <w:rFonts w:ascii="Arial" w:hAnsi="Arial" w:cs="Arial"/>
          <w:sz w:val="24"/>
          <w:szCs w:val="24"/>
        </w:rPr>
        <w:t xml:space="preserve">nglish, </w:t>
      </w:r>
      <w:r w:rsidR="00625974">
        <w:rPr>
          <w:rFonts w:ascii="Arial" w:hAnsi="Arial" w:cs="Arial"/>
          <w:sz w:val="24"/>
          <w:szCs w:val="24"/>
        </w:rPr>
        <w:t>M</w:t>
      </w:r>
      <w:r w:rsidRPr="00F571EA">
        <w:rPr>
          <w:rFonts w:ascii="Arial" w:hAnsi="Arial" w:cs="Arial"/>
          <w:sz w:val="24"/>
          <w:szCs w:val="24"/>
        </w:rPr>
        <w:t xml:space="preserve">aths and </w:t>
      </w:r>
      <w:r w:rsidR="00625974">
        <w:rPr>
          <w:rFonts w:ascii="Arial" w:hAnsi="Arial" w:cs="Arial"/>
          <w:sz w:val="24"/>
          <w:szCs w:val="24"/>
        </w:rPr>
        <w:t>D</w:t>
      </w:r>
      <w:r w:rsidRPr="00F571EA">
        <w:rPr>
          <w:rFonts w:ascii="Arial" w:hAnsi="Arial" w:cs="Arial"/>
          <w:sz w:val="24"/>
          <w:szCs w:val="24"/>
        </w:rPr>
        <w:t xml:space="preserve">igital </w:t>
      </w:r>
      <w:r w:rsidR="00625974">
        <w:rPr>
          <w:rFonts w:ascii="Arial" w:hAnsi="Arial" w:cs="Arial"/>
          <w:sz w:val="24"/>
          <w:szCs w:val="24"/>
        </w:rPr>
        <w:t>S</w:t>
      </w:r>
      <w:r w:rsidRPr="00F571EA">
        <w:rPr>
          <w:rFonts w:ascii="Arial" w:hAnsi="Arial" w:cs="Arial"/>
          <w:sz w:val="24"/>
          <w:szCs w:val="24"/>
        </w:rPr>
        <w:t xml:space="preserve">kills, as well as first Level 2 and 3 qualifications and English for Speakers of Other Languages (ESOL). </w:t>
      </w:r>
    </w:p>
    <w:p w14:paraId="63CC7FBE" w14:textId="2095E383" w:rsidR="00016C24" w:rsidRPr="00F571EA" w:rsidRDefault="00016C24" w:rsidP="00016C24">
      <w:pPr>
        <w:pStyle w:val="Normal0"/>
        <w:spacing w:after="160" w:line="240" w:lineRule="auto"/>
        <w:rPr>
          <w:rFonts w:ascii="Arial" w:hAnsi="Arial" w:cs="Arial"/>
          <w:sz w:val="24"/>
          <w:szCs w:val="24"/>
        </w:rPr>
      </w:pPr>
      <w:r w:rsidRPr="00F571EA">
        <w:rPr>
          <w:rFonts w:ascii="Arial" w:hAnsi="Arial" w:cs="Arial"/>
          <w:sz w:val="24"/>
          <w:szCs w:val="24"/>
        </w:rPr>
        <w:t>The academic year ending August 2021 was the second year of devolved AEB to GM where over 52,000 GM residents accessed over 110,000 devolved AEB funded courses, with over 88,000 of these completed during 2020/21 academic year. During 2020/21, the C</w:t>
      </w:r>
      <w:r>
        <w:rPr>
          <w:rFonts w:ascii="Arial" w:hAnsi="Arial" w:cs="Arial"/>
          <w:sz w:val="24"/>
          <w:szCs w:val="24"/>
        </w:rPr>
        <w:t>OVID</w:t>
      </w:r>
      <w:r w:rsidRPr="00F571EA">
        <w:rPr>
          <w:rFonts w:ascii="Arial" w:hAnsi="Arial" w:cs="Arial"/>
          <w:sz w:val="24"/>
          <w:szCs w:val="24"/>
        </w:rPr>
        <w:t>-19 pandemic continued to have an effect on classroom and other face-to-face learning and resulted in a decrease in residents enrolling on courses, at key milestones within the academic year. GMCA provided support to residents and providers through support for online delivery, continued targeted programmes for people significantly impacted by the pandemic and providing continued funding to enable providers to offer additional pastoral support to learners. AEB providers delivered 88% of planned learning in 2020/</w:t>
      </w:r>
      <w:r w:rsidR="00365515">
        <w:rPr>
          <w:rFonts w:ascii="Arial" w:hAnsi="Arial" w:cs="Arial"/>
          <w:sz w:val="24"/>
          <w:szCs w:val="24"/>
        </w:rPr>
        <w:t>2</w:t>
      </w:r>
      <w:r w:rsidRPr="00F571EA">
        <w:rPr>
          <w:rFonts w:ascii="Arial" w:hAnsi="Arial" w:cs="Arial"/>
          <w:sz w:val="24"/>
          <w:szCs w:val="24"/>
        </w:rPr>
        <w:t>1, considering the continued impact the pandemic caused all learning environments to close or limit access for significant parts of the academic year. This reflects the work and commitment from across the provider base, to ensure the residents were supported and offered the learning they required.</w:t>
      </w:r>
    </w:p>
    <w:p w14:paraId="374D9A21" w14:textId="5FC921CB" w:rsidR="00016C24" w:rsidRPr="00BE1E8E" w:rsidRDefault="00016C24" w:rsidP="00016C24">
      <w:pPr>
        <w:pStyle w:val="Normal0"/>
        <w:spacing w:after="160" w:line="240" w:lineRule="auto"/>
        <w:rPr>
          <w:rFonts w:ascii="Arial" w:hAnsi="Arial" w:cs="Arial"/>
          <w:sz w:val="24"/>
          <w:szCs w:val="24"/>
        </w:rPr>
      </w:pPr>
      <w:r w:rsidRPr="00F571EA">
        <w:rPr>
          <w:rFonts w:ascii="Arial" w:hAnsi="Arial" w:cs="Arial"/>
          <w:sz w:val="24"/>
          <w:szCs w:val="24"/>
        </w:rPr>
        <w:t xml:space="preserve">In December 2021, the GMCA approved the refresh of the GM Adult Skills Programme, ensuring it continues to be a key part of that integrated system and one which, through alignment with devolved employment support programmes and health and social care functions, can deliver change that not possible at national level. Whilst the pace of change has been impacted by the pandemic, the core priorities for Adult Education Budget (AEB) have not fundamentally changed. Rather, the refreshed priorities are </w:t>
      </w:r>
      <w:r w:rsidRPr="00BE1E8E">
        <w:rPr>
          <w:rFonts w:ascii="Arial" w:hAnsi="Arial" w:cs="Arial"/>
          <w:sz w:val="24"/>
          <w:szCs w:val="24"/>
        </w:rPr>
        <w:t>about tackling inequalities, equipping people for life and work, and help residents to progress in learning and into/within employment.</w:t>
      </w:r>
    </w:p>
    <w:p w14:paraId="371EB25D" w14:textId="77777777" w:rsidR="00016C24" w:rsidRPr="00BE1E8E" w:rsidRDefault="00016C24" w:rsidP="00016C24">
      <w:pPr>
        <w:spacing w:after="160"/>
        <w:rPr>
          <w:rFonts w:ascii="Arial" w:hAnsi="Arial" w:cs="Arial"/>
          <w:sz w:val="22"/>
          <w:szCs w:val="22"/>
        </w:rPr>
      </w:pPr>
      <w:r w:rsidRPr="00BE1E8E">
        <w:rPr>
          <w:rFonts w:ascii="Arial" w:hAnsi="Arial" w:cs="Arial"/>
        </w:rPr>
        <w:t xml:space="preserve">Over the last financial year GMCA has delivered the Skills Bootcamps pilot supporting adults to retrain and employers to fill skills shortage vacancies via a place based approach that has brought partnerships of local employers and providers together to deliver innovative employer led skills training. There have been nearly 600 participants with 55% entering skilled employment; 49% of which were women and 41% from ethnic minorities.  Earlier this year GMCA were successful in securing £7m of funding to expand delivery of “Skills Bootcamps” in the region. We aim to support 2500 people into real job vacancies in the region across the range of LIS Frontier Sectors including </w:t>
      </w:r>
      <w:r w:rsidRPr="00BE1E8E">
        <w:rPr>
          <w:rFonts w:ascii="Arial" w:hAnsi="Arial" w:cs="Arial"/>
          <w:lang w:eastAsia="en-GB"/>
        </w:rPr>
        <w:t xml:space="preserve">digital &amp; creative, advanced materials/manufacturing, green economy &amp; life sciences. Building upon the recommendations of the inequalities commission we will target groups of residents underrepresented in key sectors and facing disadvantage in the labour market. </w:t>
      </w:r>
    </w:p>
    <w:p w14:paraId="2FAD737A" w14:textId="77777777" w:rsidR="00016C24" w:rsidRPr="00F571EA" w:rsidRDefault="00016C24" w:rsidP="00016C24">
      <w:pPr>
        <w:pStyle w:val="Normal0"/>
        <w:spacing w:after="160" w:line="240" w:lineRule="auto"/>
        <w:rPr>
          <w:rFonts w:ascii="Arial" w:hAnsi="Arial" w:cs="Arial"/>
          <w:sz w:val="24"/>
          <w:szCs w:val="24"/>
        </w:rPr>
      </w:pPr>
    </w:p>
    <w:p w14:paraId="2C33D30F" w14:textId="77777777" w:rsidR="00016C24" w:rsidRPr="00F571EA" w:rsidRDefault="00016C24" w:rsidP="00EB27EB">
      <w:pPr>
        <w:pStyle w:val="Normal0"/>
        <w:numPr>
          <w:ilvl w:val="0"/>
          <w:numId w:val="66"/>
        </w:numPr>
        <w:spacing w:after="160" w:line="240" w:lineRule="auto"/>
        <w:rPr>
          <w:rFonts w:ascii="Arial" w:hAnsi="Arial" w:cs="Arial"/>
          <w:b/>
          <w:bCs/>
          <w:sz w:val="24"/>
          <w:szCs w:val="24"/>
        </w:rPr>
      </w:pPr>
      <w:r w:rsidRPr="00F571EA">
        <w:rPr>
          <w:rFonts w:ascii="Arial" w:hAnsi="Arial" w:cs="Arial"/>
          <w:b/>
          <w:bCs/>
          <w:sz w:val="24"/>
          <w:szCs w:val="24"/>
        </w:rPr>
        <w:t>Employers have access to a system that is flexible, resilient and adaptable, and meets their needs in the rapidly changing 21</w:t>
      </w:r>
      <w:r w:rsidRPr="00F571EA">
        <w:rPr>
          <w:rFonts w:ascii="Arial" w:hAnsi="Arial" w:cs="Arial"/>
          <w:b/>
          <w:bCs/>
          <w:sz w:val="24"/>
          <w:szCs w:val="24"/>
          <w:vertAlign w:val="superscript"/>
        </w:rPr>
        <w:t>st</w:t>
      </w:r>
      <w:r w:rsidRPr="00F571EA">
        <w:rPr>
          <w:rFonts w:ascii="Arial" w:hAnsi="Arial" w:cs="Arial"/>
          <w:b/>
          <w:bCs/>
          <w:sz w:val="24"/>
          <w:szCs w:val="24"/>
        </w:rPr>
        <w:t xml:space="preserve"> Century world of work, driving a sustainable economic future for GM in which companies compete on </w:t>
      </w:r>
      <w:r w:rsidRPr="00F571EA">
        <w:rPr>
          <w:rFonts w:ascii="Arial" w:hAnsi="Arial" w:cs="Arial"/>
          <w:b/>
          <w:bCs/>
          <w:sz w:val="24"/>
          <w:szCs w:val="24"/>
        </w:rPr>
        <w:lastRenderedPageBreak/>
        <w:t>the basis of high productivity, good quality work, and excellent employment practices.</w:t>
      </w:r>
    </w:p>
    <w:p w14:paraId="5B34A1B7" w14:textId="77777777" w:rsidR="00016C24" w:rsidRPr="005004D1" w:rsidRDefault="00016C24" w:rsidP="00016C24">
      <w:pPr>
        <w:spacing w:before="120" w:after="160"/>
        <w:rPr>
          <w:rFonts w:ascii="Arial" w:hAnsi="Arial" w:cs="Arial"/>
        </w:rPr>
      </w:pPr>
      <w:r w:rsidRPr="005004D1">
        <w:rPr>
          <w:rFonts w:ascii="Arial" w:hAnsi="Arial" w:cs="Arial"/>
        </w:rPr>
        <w:t xml:space="preserve">The Skills Intelligence team is an external facing employer intelligence function </w:t>
      </w:r>
      <w:r>
        <w:rPr>
          <w:rFonts w:ascii="Arial" w:hAnsi="Arial" w:cs="Arial"/>
        </w:rPr>
        <w:t xml:space="preserve">(funded by ESF) </w:t>
      </w:r>
      <w:r w:rsidRPr="005004D1">
        <w:rPr>
          <w:rFonts w:ascii="Arial" w:hAnsi="Arial" w:cs="Arial"/>
        </w:rPr>
        <w:t>engaging with businesses of all sizes and across all sectors across GM. The core role of the team is to gather (from/with employers) a detailed evidence base building on information and intelligence gathered from other sources about the current and future talent &amp; skills needs of businesses in GM; including the jobs they need to recruit to, competencies required, and skills challenges. The team is putting the voice of business at the heart of the education, skills &amp; work system in GM with 10 sectors now covered by in-depth skills intelligence work which:</w:t>
      </w:r>
    </w:p>
    <w:p w14:paraId="0D2CDD53" w14:textId="77777777" w:rsidR="00016C24" w:rsidRPr="005004D1" w:rsidRDefault="00016C24" w:rsidP="00EB27EB">
      <w:pPr>
        <w:pStyle w:val="ListParagraph"/>
        <w:numPr>
          <w:ilvl w:val="0"/>
          <w:numId w:val="67"/>
        </w:numPr>
        <w:spacing w:after="160" w:line="240" w:lineRule="auto"/>
        <w:rPr>
          <w:rFonts w:ascii="Arial" w:hAnsi="Arial" w:cs="Arial"/>
          <w:b/>
          <w:bCs/>
          <w:sz w:val="24"/>
          <w:szCs w:val="24"/>
        </w:rPr>
      </w:pPr>
      <w:r w:rsidRPr="005004D1">
        <w:rPr>
          <w:rFonts w:ascii="Arial" w:hAnsi="Arial" w:cs="Arial"/>
          <w:sz w:val="24"/>
          <w:szCs w:val="24"/>
        </w:rPr>
        <w:t>Enhances the quality, value for money, and reach of GMCA’s wider Work and Skills commissioning.</w:t>
      </w:r>
    </w:p>
    <w:p w14:paraId="0D336597" w14:textId="77777777" w:rsidR="00016C24" w:rsidRPr="005004D1" w:rsidRDefault="00016C24" w:rsidP="00EB27EB">
      <w:pPr>
        <w:pStyle w:val="ListParagraph"/>
        <w:numPr>
          <w:ilvl w:val="0"/>
          <w:numId w:val="67"/>
        </w:numPr>
        <w:spacing w:after="160" w:line="240" w:lineRule="auto"/>
        <w:rPr>
          <w:rFonts w:ascii="Arial" w:hAnsi="Arial" w:cs="Arial"/>
          <w:b/>
          <w:bCs/>
          <w:sz w:val="24"/>
          <w:szCs w:val="24"/>
        </w:rPr>
      </w:pPr>
      <w:r w:rsidRPr="005004D1">
        <w:rPr>
          <w:rFonts w:ascii="Arial" w:hAnsi="Arial" w:cs="Arial"/>
          <w:sz w:val="24"/>
          <w:szCs w:val="24"/>
        </w:rPr>
        <w:t xml:space="preserve">Reaches back into the skills system to influence curriculum and programme change within existing delivery, ensuring that residents are better equipped to secure high-skill jobs in the city region. </w:t>
      </w:r>
    </w:p>
    <w:p w14:paraId="07CCFA52" w14:textId="77777777" w:rsidR="00016C24" w:rsidRPr="005004D1" w:rsidRDefault="00016C24" w:rsidP="00EB27EB">
      <w:pPr>
        <w:pStyle w:val="ListParagraph"/>
        <w:numPr>
          <w:ilvl w:val="0"/>
          <w:numId w:val="67"/>
        </w:numPr>
        <w:spacing w:after="160" w:line="240" w:lineRule="auto"/>
        <w:rPr>
          <w:rFonts w:ascii="Arial" w:hAnsi="Arial" w:cs="Arial"/>
          <w:b/>
          <w:bCs/>
          <w:sz w:val="24"/>
          <w:szCs w:val="24"/>
        </w:rPr>
      </w:pPr>
      <w:r w:rsidRPr="005004D1">
        <w:rPr>
          <w:rFonts w:ascii="Arial" w:hAnsi="Arial" w:cs="Arial"/>
          <w:sz w:val="24"/>
          <w:szCs w:val="24"/>
        </w:rPr>
        <w:t xml:space="preserve">Works across internal functions (e.g. Economy, Environment), and external bodies (e.g. Local Authorities, TfGM, central government), to ensure that the skills system in the city region supports key strategic priorities. </w:t>
      </w:r>
    </w:p>
    <w:p w14:paraId="5DABD28F" w14:textId="77777777" w:rsidR="00016C24" w:rsidRPr="00F571EA" w:rsidRDefault="00016C24" w:rsidP="00016C24">
      <w:pPr>
        <w:spacing w:after="160"/>
        <w:rPr>
          <w:rFonts w:ascii="Arial" w:hAnsi="Arial" w:cs="Arial"/>
        </w:rPr>
      </w:pPr>
      <w:r w:rsidRPr="005004D1">
        <w:rPr>
          <w:rFonts w:ascii="Arial" w:hAnsi="Arial" w:cs="Arial"/>
        </w:rPr>
        <w:t>GM’s Skills for Growth Programme, funded by ESF, will support 3,000 businesses to better understand and articulate</w:t>
      </w:r>
      <w:r w:rsidRPr="00F571EA">
        <w:rPr>
          <w:rFonts w:ascii="Arial" w:hAnsi="Arial" w:cs="Arial"/>
        </w:rPr>
        <w:t xml:space="preserve"> their skills needs and over 25,000 individuals to develop their technical skills. Developed in response to industry intelligence gathered from businesses and employer networks in Greater Manchester frontier sectors and foundation economy; delivery of the SME Support element commenced in Autumn 2020 and to date over 1800 SME’s in GM have been supported with this programme. We have also commissioned 8 skills contracts across a variety of sectors to deliver upskilling to those working or living in GM, to date more than 1700 individuals have enrolled or completed the training on offer and we have our final 3 commissioning opportunities live. </w:t>
      </w:r>
    </w:p>
    <w:p w14:paraId="23B9AFB0" w14:textId="77777777" w:rsidR="00016C24" w:rsidRPr="00F571EA" w:rsidRDefault="00016C24" w:rsidP="00016C24">
      <w:pPr>
        <w:spacing w:after="160"/>
        <w:rPr>
          <w:rFonts w:ascii="Arial" w:hAnsi="Arial" w:cs="Arial"/>
        </w:rPr>
      </w:pPr>
      <w:r w:rsidRPr="00F571EA">
        <w:rPr>
          <w:rFonts w:ascii="Arial" w:hAnsi="Arial" w:cs="Arial"/>
        </w:rPr>
        <w:t xml:space="preserve">The programme will run until September 23 with claims being submitted to ESF until Dec 23. </w:t>
      </w:r>
    </w:p>
    <w:p w14:paraId="2595B075" w14:textId="77777777" w:rsidR="00016C24" w:rsidRPr="00F571EA" w:rsidRDefault="00016C24" w:rsidP="00016C24">
      <w:pPr>
        <w:spacing w:after="160"/>
        <w:rPr>
          <w:rFonts w:ascii="Arial" w:hAnsi="Arial" w:cs="Arial"/>
        </w:rPr>
      </w:pPr>
      <w:bookmarkStart w:id="24" w:name="_Hlk107999061"/>
      <w:r w:rsidRPr="00F571EA">
        <w:rPr>
          <w:rFonts w:ascii="Arial" w:hAnsi="Arial" w:cs="Arial"/>
        </w:rPr>
        <w:t xml:space="preserve">GM’s Skills for Growth programme has specifically supported the creation of 137 apprenticeships in SMEs, with 265 expected by May 2023. </w:t>
      </w:r>
    </w:p>
    <w:p w14:paraId="7A9F30D9" w14:textId="376CC5A6" w:rsidR="00016C24" w:rsidRDefault="00016C24" w:rsidP="00016C24">
      <w:pPr>
        <w:spacing w:after="160"/>
        <w:rPr>
          <w:rFonts w:ascii="Arial" w:hAnsi="Arial" w:cs="Arial"/>
        </w:rPr>
      </w:pPr>
      <w:r w:rsidRPr="00F571EA">
        <w:rPr>
          <w:rFonts w:ascii="Arial" w:hAnsi="Arial" w:cs="Arial"/>
        </w:rPr>
        <w:t>We continue to maximise impact of Apprenticeship Levy funding generated within Greater Manchester via the GM Levy Matchmaking Service which, since its launch in August 2019, has secured pledges of Levy funding totalling £7.3m, and has funded 570 new apprenticeships to date, with a further 191 agreed for the future.</w:t>
      </w:r>
    </w:p>
    <w:p w14:paraId="4821E573" w14:textId="3986CD80" w:rsidR="00016C24" w:rsidRPr="00F571EA" w:rsidRDefault="00016C24" w:rsidP="00016C24">
      <w:pPr>
        <w:spacing w:after="160"/>
        <w:rPr>
          <w:rFonts w:ascii="Arial" w:hAnsi="Arial" w:cs="Arial"/>
        </w:rPr>
      </w:pPr>
      <w:r w:rsidRPr="00BE1E8E">
        <w:rPr>
          <w:rFonts w:ascii="Arial" w:hAnsi="Arial" w:cs="Arial"/>
        </w:rPr>
        <w:t>GM’s Local Growth Fund Programme (LGF) reached financial closure on 31 March 2021. The full £143m grant allocation was achieved by the spend deadline. Projects</w:t>
      </w:r>
      <w:r>
        <w:rPr>
          <w:rFonts w:ascii="Arial" w:hAnsi="Arial" w:cs="Arial"/>
        </w:rPr>
        <w:t>, which have included capital investment in GM’s further education infrastructure and the creation of industry-standard training facilities and learning environments,</w:t>
      </w:r>
      <w:r w:rsidRPr="00BE1E8E">
        <w:rPr>
          <w:rFonts w:ascii="Arial" w:hAnsi="Arial" w:cs="Arial"/>
        </w:rPr>
        <w:t xml:space="preserve"> have continued to report match spend and jobs created (outputs) since this date.</w:t>
      </w:r>
      <w:r w:rsidRPr="00F571EA">
        <w:rPr>
          <w:rFonts w:ascii="Arial" w:hAnsi="Arial" w:cs="Arial"/>
        </w:rPr>
        <w:t xml:space="preserve"> Across the full programme, we agreed to create 6250 jobs and £210m of match spend. We have exceeded this target across the programme (transport and non-transport) with 6291 jobs and £339m match spend reported to date. We continue to demonstrate good value for money for GM; we</w:t>
      </w:r>
      <w:r w:rsidR="00365515">
        <w:rPr>
          <w:rFonts w:ascii="Arial" w:hAnsi="Arial" w:cs="Arial"/>
        </w:rPr>
        <w:t xml:space="preserve"> a</w:t>
      </w:r>
      <w:r w:rsidRPr="00F571EA">
        <w:rPr>
          <w:rFonts w:ascii="Arial" w:hAnsi="Arial" w:cs="Arial"/>
        </w:rPr>
        <w:t>re currently reporting 2</w:t>
      </w:r>
      <w:r w:rsidR="00365515">
        <w:rPr>
          <w:rFonts w:ascii="Arial" w:hAnsi="Arial" w:cs="Arial"/>
        </w:rPr>
        <w:t>,</w:t>
      </w:r>
      <w:r w:rsidRPr="00F571EA">
        <w:rPr>
          <w:rFonts w:ascii="Arial" w:hAnsi="Arial" w:cs="Arial"/>
        </w:rPr>
        <w:t xml:space="preserve">173 jobs and £319m of match spend on the non-transport side of the programme and are therefore on target to achieve contract outputs by 2025. Within the LGF programme there were approx. £25m of recycled funds which continue to fund the original projects and there is also £16m which has been </w:t>
      </w:r>
      <w:r w:rsidRPr="00F571EA">
        <w:rPr>
          <w:rFonts w:ascii="Arial" w:hAnsi="Arial" w:cs="Arial"/>
        </w:rPr>
        <w:lastRenderedPageBreak/>
        <w:t xml:space="preserve">allocated to skills recovery, a proposal for these funds is being developed and is expected by Autumn 2022. </w:t>
      </w:r>
    </w:p>
    <w:p w14:paraId="576C46EA" w14:textId="77777777" w:rsidR="00016C24" w:rsidRPr="00F571EA" w:rsidRDefault="00016C24" w:rsidP="00EB27EB">
      <w:pPr>
        <w:pStyle w:val="Heading6"/>
        <w:numPr>
          <w:ilvl w:val="0"/>
          <w:numId w:val="66"/>
        </w:numPr>
        <w:spacing w:after="160"/>
        <w:ind w:left="720"/>
        <w:rPr>
          <w:rFonts w:cs="Arial"/>
        </w:rPr>
      </w:pPr>
      <w:bookmarkStart w:id="25" w:name="_Hlk107999562"/>
      <w:bookmarkEnd w:id="24"/>
      <w:r w:rsidRPr="00F571EA">
        <w:rPr>
          <w:rFonts w:cs="Arial"/>
        </w:rPr>
        <w:t>Residents are supported by a welfare system, under Universal Credit, that provides access to good work for those who can, support for those who could and care for those that can’t</w:t>
      </w:r>
    </w:p>
    <w:p w14:paraId="6FE96C8D" w14:textId="78D8EFB1" w:rsidR="00016C24" w:rsidRPr="00F571EA" w:rsidRDefault="00016C24" w:rsidP="00016C24">
      <w:pPr>
        <w:pStyle w:val="Normal0"/>
        <w:spacing w:after="160" w:line="240" w:lineRule="auto"/>
        <w:rPr>
          <w:rFonts w:ascii="Arial" w:hAnsi="Arial" w:cs="Arial"/>
          <w:sz w:val="24"/>
          <w:szCs w:val="24"/>
        </w:rPr>
      </w:pPr>
      <w:r w:rsidRPr="00F571EA">
        <w:rPr>
          <w:rFonts w:ascii="Arial" w:hAnsi="Arial" w:cs="Arial"/>
          <w:sz w:val="24"/>
          <w:szCs w:val="24"/>
        </w:rPr>
        <w:t xml:space="preserve">The devolved GM Working Well </w:t>
      </w:r>
      <w:r>
        <w:rPr>
          <w:rFonts w:ascii="Arial" w:hAnsi="Arial" w:cs="Arial"/>
          <w:sz w:val="24"/>
          <w:szCs w:val="24"/>
        </w:rPr>
        <w:t>(</w:t>
      </w:r>
      <w:r w:rsidRPr="00F571EA">
        <w:rPr>
          <w:rFonts w:ascii="Arial" w:hAnsi="Arial" w:cs="Arial"/>
          <w:sz w:val="24"/>
          <w:szCs w:val="24"/>
        </w:rPr>
        <w:t>Work and Health Programme (WHP)</w:t>
      </w:r>
      <w:r>
        <w:rPr>
          <w:rFonts w:ascii="Arial" w:hAnsi="Arial" w:cs="Arial"/>
          <w:sz w:val="24"/>
          <w:szCs w:val="24"/>
        </w:rPr>
        <w:t>)</w:t>
      </w:r>
      <w:r w:rsidRPr="00F571EA">
        <w:rPr>
          <w:rFonts w:ascii="Arial" w:hAnsi="Arial" w:cs="Arial"/>
          <w:sz w:val="24"/>
          <w:szCs w:val="24"/>
        </w:rPr>
        <w:t xml:space="preserve"> continues to support GM residents who are out of work due to poor health/disabilities and the long term unemployed, to help address their individual barriers to employment with a view to helping them enter or return to work. The £52m programme will support over 22,000 GM residents over its five-year span (2018-2024). The challenges of the pandemic brought movement from a payment by results model to a </w:t>
      </w:r>
      <w:r w:rsidR="001026CC" w:rsidRPr="00F571EA">
        <w:rPr>
          <w:rFonts w:ascii="Arial" w:hAnsi="Arial" w:cs="Arial"/>
          <w:sz w:val="24"/>
          <w:szCs w:val="24"/>
        </w:rPr>
        <w:t>cost-plus</w:t>
      </w:r>
      <w:r w:rsidRPr="00F571EA">
        <w:rPr>
          <w:rFonts w:ascii="Arial" w:hAnsi="Arial" w:cs="Arial"/>
          <w:sz w:val="24"/>
          <w:szCs w:val="24"/>
        </w:rPr>
        <w:t xml:space="preserve"> model, enabling the provider to continue to support all participants on programme despite having to adopt remote delivery models for significant periods in order to continue supporting residents facing some of the most complex barriers and long-standing distancing from the labour market. To the end of </w:t>
      </w:r>
      <w:r>
        <w:rPr>
          <w:rFonts w:ascii="Arial" w:hAnsi="Arial" w:cs="Arial"/>
          <w:sz w:val="24"/>
          <w:szCs w:val="24"/>
        </w:rPr>
        <w:t>M</w:t>
      </w:r>
      <w:r w:rsidRPr="00F571EA">
        <w:rPr>
          <w:rFonts w:ascii="Arial" w:hAnsi="Arial" w:cs="Arial"/>
          <w:sz w:val="24"/>
          <w:szCs w:val="24"/>
        </w:rPr>
        <w:t>arch 202</w:t>
      </w:r>
      <w:r>
        <w:rPr>
          <w:rFonts w:ascii="Arial" w:hAnsi="Arial" w:cs="Arial"/>
          <w:sz w:val="24"/>
          <w:szCs w:val="24"/>
        </w:rPr>
        <w:t>2</w:t>
      </w:r>
      <w:r w:rsidRPr="00F571EA">
        <w:rPr>
          <w:rFonts w:ascii="Arial" w:hAnsi="Arial" w:cs="Arial"/>
          <w:sz w:val="24"/>
          <w:szCs w:val="24"/>
        </w:rPr>
        <w:t>, there have been 21,000 individual starts onto the programme with 8,500 of those starting employment and 5</w:t>
      </w:r>
      <w:r w:rsidR="00365515">
        <w:rPr>
          <w:rFonts w:ascii="Arial" w:hAnsi="Arial" w:cs="Arial"/>
          <w:sz w:val="24"/>
          <w:szCs w:val="24"/>
        </w:rPr>
        <w:t>,</w:t>
      </w:r>
      <w:r w:rsidRPr="00F571EA">
        <w:rPr>
          <w:rFonts w:ascii="Arial" w:hAnsi="Arial" w:cs="Arial"/>
          <w:sz w:val="24"/>
          <w:szCs w:val="24"/>
        </w:rPr>
        <w:t>000 achieving earnings outcomes (sustained jobs). The programme performs well in comparison to other Contract Package Areas across England and Wales. Work towards a potential 2 year extension of the WHP is currently underway, introducing a further £12.3m investment to support upward of 5,800 people. This work is anticipated to conclude in autumn and will ensure continuation of support to 2026</w:t>
      </w:r>
      <w:r w:rsidR="009D6FD6" w:rsidRPr="00F571EA">
        <w:rPr>
          <w:rFonts w:ascii="Arial" w:hAnsi="Arial" w:cs="Arial"/>
          <w:sz w:val="24"/>
          <w:szCs w:val="24"/>
        </w:rPr>
        <w:t xml:space="preserve">. </w:t>
      </w:r>
    </w:p>
    <w:p w14:paraId="68F64C7D" w14:textId="74C7BA77" w:rsidR="00016C24" w:rsidRPr="00F571EA" w:rsidRDefault="00016C24" w:rsidP="00016C24">
      <w:pPr>
        <w:pStyle w:val="Normal0"/>
        <w:spacing w:after="160" w:line="240" w:lineRule="auto"/>
        <w:rPr>
          <w:rFonts w:ascii="Arial" w:hAnsi="Arial" w:cs="Arial"/>
          <w:sz w:val="24"/>
          <w:szCs w:val="24"/>
        </w:rPr>
      </w:pPr>
      <w:r w:rsidRPr="00F571EA">
        <w:rPr>
          <w:rFonts w:ascii="Arial" w:hAnsi="Arial" w:cs="Arial"/>
          <w:sz w:val="24"/>
          <w:szCs w:val="24"/>
        </w:rPr>
        <w:t>The GM Working Well suite expanded with the launch of the Specialist Employment Service (SES) in August 2020, a £4m three-year programme aiming to support up to 1,300 residents with a learning disability and/or autism or severe mental illness (SMI) to find work. GMCA is currently agreeing an 18 month contract extension for the supported employment element of SES and is supporting the mental health system to commission GM’s Individual Placement and Support provision for SMI going forwards. In addition, as part of the government’s Plan for Jobs, support for the newly unemployed came in the form of the £13m Job Entry Targeted Support (JETS) programme, launched in late October 2020 and devolved to Greater Manchester as part of our Working Well suite. By the end of May 2022, JETS had already supported 16,700 residents and had delivered 7,800 job entries making the GM JETS programme the second most successful across England and Wales</w:t>
      </w:r>
      <w:r w:rsidR="00BB1644" w:rsidRPr="00F571EA">
        <w:rPr>
          <w:rFonts w:ascii="Arial" w:hAnsi="Arial" w:cs="Arial"/>
          <w:sz w:val="24"/>
          <w:szCs w:val="24"/>
        </w:rPr>
        <w:t xml:space="preserve">. </w:t>
      </w:r>
    </w:p>
    <w:p w14:paraId="4BE14D92" w14:textId="568AA167" w:rsidR="00016C24" w:rsidRPr="00F571EA" w:rsidRDefault="00016C24" w:rsidP="00016C24">
      <w:pPr>
        <w:pStyle w:val="Normal0"/>
        <w:spacing w:after="160" w:line="240" w:lineRule="auto"/>
        <w:rPr>
          <w:rFonts w:ascii="Arial" w:hAnsi="Arial" w:cs="Arial"/>
          <w:sz w:val="24"/>
          <w:szCs w:val="24"/>
        </w:rPr>
      </w:pPr>
      <w:r w:rsidRPr="00F571EA">
        <w:rPr>
          <w:rFonts w:ascii="Arial" w:hAnsi="Arial" w:cs="Arial"/>
          <w:sz w:val="24"/>
          <w:szCs w:val="24"/>
        </w:rPr>
        <w:t>The beginning of the first period of lockdown in March 2020 also coincided with the launch of a new pilot programme, Enterprising You, to test up-skilling support for low income self-employed residents and those working in the gig economy. Enterprising You, developed in partnership with the Federation of Small Businesses, is the only programme of its kind in the UK that is offering this level of multi-faceted support to self-employed/gig workers on low incomes. Due to the circumstances of the pandemic this was one of several programmes which adapted to provide support where it was most needed, to date the delivery the pilot has already supported over 2</w:t>
      </w:r>
      <w:r w:rsidR="00365515">
        <w:rPr>
          <w:rFonts w:ascii="Arial" w:hAnsi="Arial" w:cs="Arial"/>
          <w:sz w:val="24"/>
          <w:szCs w:val="24"/>
        </w:rPr>
        <w:t>,</w:t>
      </w:r>
      <w:r w:rsidRPr="00F571EA">
        <w:rPr>
          <w:rFonts w:ascii="Arial" w:hAnsi="Arial" w:cs="Arial"/>
          <w:sz w:val="24"/>
          <w:szCs w:val="24"/>
        </w:rPr>
        <w:t>200 people.</w:t>
      </w:r>
    </w:p>
    <w:bookmarkEnd w:id="25"/>
    <w:p w14:paraId="1D69C50A" w14:textId="77777777" w:rsidR="00016C24" w:rsidRPr="00B258E3" w:rsidRDefault="00016C24" w:rsidP="00016C24">
      <w:pPr>
        <w:spacing w:after="160"/>
        <w:rPr>
          <w:rFonts w:ascii="Arial" w:hAnsi="Arial" w:cs="Arial"/>
          <w:sz w:val="22"/>
          <w:szCs w:val="22"/>
        </w:rPr>
      </w:pPr>
      <w:r w:rsidRPr="00B258E3">
        <w:rPr>
          <w:rFonts w:ascii="Arial" w:hAnsi="Arial" w:cs="Arial"/>
        </w:rPr>
        <w:t xml:space="preserve">A priority of the GM Age-Friendly Strategy is to increase economic participation amongst the over-50s. GMCA has been working in partnership with the Centre for Ageing Better, DWP 50+ Choices team and the local Jobcentre Plus team to better understand the challenges facing over-50s in our labour market, and explore how we could better support older workers. In February 2022 the final report of the co-design project in GM, commissioned by the Centre for Ageing Better, was completed. This recommended a digital platform to deliver targeted and bespoke support to unemployed and </w:t>
      </w:r>
      <w:r w:rsidRPr="00B258E3">
        <w:rPr>
          <w:rFonts w:ascii="Arial" w:hAnsi="Arial" w:cs="Arial"/>
        </w:rPr>
        <w:lastRenderedPageBreak/>
        <w:t xml:space="preserve">economically inactive over-50s in GM, alongside some small scale pilots of local engagement and coaching. GMCA will be developing and piloting this project during 2022/23, with evaluation being funded by the Centre for Ageing Better. </w:t>
      </w:r>
    </w:p>
    <w:p w14:paraId="7DB8D2CB" w14:textId="77777777" w:rsidR="00016C24" w:rsidRPr="006E1449" w:rsidRDefault="00016C24" w:rsidP="00016C24">
      <w:pPr>
        <w:spacing w:after="160"/>
        <w:rPr>
          <w:rFonts w:ascii="Arial" w:hAnsi="Arial" w:cs="Arial"/>
        </w:rPr>
      </w:pPr>
      <w:r w:rsidRPr="00B258E3">
        <w:rPr>
          <w:rFonts w:ascii="Arial" w:hAnsi="Arial" w:cs="Arial"/>
        </w:rPr>
        <w:t xml:space="preserve">Also as part of the partnership with Centre for Ageing Better, GMCA launched the </w:t>
      </w:r>
      <w:hyperlink r:id="rId15" w:history="1">
        <w:r w:rsidRPr="006E1449">
          <w:rPr>
            <w:rStyle w:val="Hyperlink"/>
            <w:rFonts w:ascii="Arial" w:hAnsi="Arial" w:cs="Arial"/>
            <w:color w:val="auto"/>
            <w:u w:val="none"/>
          </w:rPr>
          <w:t>GM Age-Friendly Employer Toolkit</w:t>
        </w:r>
      </w:hyperlink>
      <w:r w:rsidRPr="00B258E3">
        <w:rPr>
          <w:rFonts w:ascii="Arial" w:hAnsi="Arial" w:cs="Arial"/>
        </w:rPr>
        <w:t xml:space="preserve"> in February 2022. The toolkit aims to provide practical information and links for employers in GM looking to become more age-friendly in their employment and recruitment practices. </w:t>
      </w:r>
    </w:p>
    <w:p w14:paraId="367B9E7F" w14:textId="77777777" w:rsidR="00016C24" w:rsidRPr="00DE2CD5" w:rsidRDefault="00016C24" w:rsidP="00016C24">
      <w:pPr>
        <w:pStyle w:val="Normal0"/>
        <w:spacing w:after="160" w:line="240" w:lineRule="auto"/>
        <w:rPr>
          <w:rFonts w:ascii="Arial" w:hAnsi="Arial" w:cs="Arial"/>
          <w:b/>
          <w:bCs/>
          <w:sz w:val="24"/>
          <w:szCs w:val="24"/>
          <w:lang w:val="en-GB"/>
        </w:rPr>
      </w:pPr>
      <w:r w:rsidRPr="00DE2CD5">
        <w:rPr>
          <w:rFonts w:ascii="Arial" w:hAnsi="Arial" w:cs="Arial"/>
          <w:b/>
          <w:bCs/>
          <w:sz w:val="24"/>
          <w:szCs w:val="24"/>
          <w:lang w:val="en-GB"/>
        </w:rPr>
        <w:t>Public Service Reform</w:t>
      </w:r>
    </w:p>
    <w:p w14:paraId="3F7C4594" w14:textId="77777777" w:rsidR="00016C24" w:rsidRPr="008016F2" w:rsidRDefault="00016C24" w:rsidP="00016C24">
      <w:pPr>
        <w:pStyle w:val="Normal0"/>
        <w:spacing w:after="160" w:line="240" w:lineRule="auto"/>
        <w:rPr>
          <w:rFonts w:ascii="Arial" w:hAnsi="Arial" w:cs="Arial"/>
          <w:sz w:val="24"/>
          <w:szCs w:val="24"/>
          <w:lang w:val="en-GB"/>
        </w:rPr>
      </w:pPr>
      <w:r w:rsidRPr="008016F2">
        <w:rPr>
          <w:rFonts w:ascii="Arial" w:hAnsi="Arial" w:cs="Arial"/>
          <w:sz w:val="24"/>
          <w:szCs w:val="24"/>
          <w:lang w:val="en-GB"/>
        </w:rPr>
        <w:t>Greater Manchester recognises that achieving our aim of inclusive economic growth and the creation of additional jobs must go hand in hand with improved outcomes for our residents through more effective public services, enabling them to contribute to and benefit from that growth and reducing demand for expensive, reactive services.</w:t>
      </w:r>
    </w:p>
    <w:p w14:paraId="1D8617A2" w14:textId="77777777" w:rsidR="00016C24" w:rsidRPr="008016F2" w:rsidRDefault="00016C24" w:rsidP="00016C24">
      <w:pPr>
        <w:pStyle w:val="Normal0"/>
        <w:spacing w:after="160" w:line="240" w:lineRule="auto"/>
        <w:rPr>
          <w:rFonts w:ascii="Arial" w:hAnsi="Arial" w:cs="Arial"/>
          <w:sz w:val="24"/>
          <w:szCs w:val="24"/>
          <w:lang w:val="en-GB"/>
        </w:rPr>
      </w:pPr>
      <w:r w:rsidRPr="008016F2">
        <w:rPr>
          <w:rFonts w:ascii="Arial" w:hAnsi="Arial" w:cs="Arial"/>
          <w:sz w:val="24"/>
          <w:szCs w:val="24"/>
          <w:lang w:val="en-GB"/>
        </w:rPr>
        <w:t>The GM Public Service Reform (PSR) programme aims to develop new models of support for people who need it most, including those with more difficult and complex lives. Available resources are aligned to the Public Service Reform programme working collaboratively with the 10 Authorities, the GM Health and Care Partnership, Greater Manchester Police, Housing Providers, the Voluntary, Community and Social Enterprise Sector and a range of other partners to continue to shift our emphasis to people, prevention and place.</w:t>
      </w:r>
    </w:p>
    <w:p w14:paraId="3C4565AA" w14:textId="70755E06" w:rsidR="00016C24" w:rsidRPr="00DE2CD5" w:rsidRDefault="00016C24" w:rsidP="00016C24">
      <w:pPr>
        <w:pStyle w:val="Normal0"/>
        <w:spacing w:after="160" w:line="240" w:lineRule="auto"/>
        <w:rPr>
          <w:rFonts w:ascii="Arial" w:hAnsi="Arial" w:cs="Arial"/>
          <w:sz w:val="24"/>
          <w:szCs w:val="24"/>
        </w:rPr>
      </w:pPr>
      <w:r w:rsidRPr="008016F2">
        <w:rPr>
          <w:rFonts w:ascii="Arial" w:hAnsi="Arial" w:cs="Arial"/>
          <w:sz w:val="24"/>
          <w:szCs w:val="24"/>
        </w:rPr>
        <w:t>The GM Reform Investment Fund (RIF) was agreed with Government as part of the fourth devolution agreement for Greater Manchester. The original ambition for the RIF was to create a vehicle through which different Government funding streams could be brought together into a single GM pot to be invested alongside other local funding in driving system wide reform. This in</w:t>
      </w:r>
      <w:r>
        <w:rPr>
          <w:rFonts w:ascii="Arial" w:hAnsi="Arial" w:cs="Arial"/>
          <w:sz w:val="24"/>
          <w:szCs w:val="24"/>
        </w:rPr>
        <w:t xml:space="preserve">cluded </w:t>
      </w:r>
      <w:r w:rsidRPr="008016F2">
        <w:rPr>
          <w:rFonts w:ascii="Arial" w:hAnsi="Arial" w:cs="Arial"/>
          <w:sz w:val="24"/>
          <w:szCs w:val="24"/>
        </w:rPr>
        <w:t>a £5m allocation from the ‘Life Chances Fund’ in 2018</w:t>
      </w:r>
      <w:r w:rsidR="00BB1644" w:rsidRPr="008016F2">
        <w:rPr>
          <w:rFonts w:ascii="Arial" w:hAnsi="Arial" w:cs="Arial"/>
          <w:sz w:val="24"/>
          <w:szCs w:val="24"/>
        </w:rPr>
        <w:t>.</w:t>
      </w:r>
      <w:r w:rsidR="00BB1644">
        <w:rPr>
          <w:rFonts w:ascii="Arial" w:hAnsi="Arial" w:cs="Arial"/>
          <w:sz w:val="24"/>
          <w:szCs w:val="24"/>
        </w:rPr>
        <w:t xml:space="preserve"> </w:t>
      </w:r>
    </w:p>
    <w:p w14:paraId="4D59ECFE" w14:textId="77777777" w:rsidR="00016C24" w:rsidRPr="00DE2CD5" w:rsidRDefault="00016C24" w:rsidP="00016C24">
      <w:pPr>
        <w:pStyle w:val="Heading6"/>
        <w:spacing w:after="160"/>
        <w:rPr>
          <w:rFonts w:cs="Arial"/>
        </w:rPr>
      </w:pPr>
      <w:r w:rsidRPr="00DE2CD5">
        <w:rPr>
          <w:rFonts w:cs="Arial"/>
        </w:rPr>
        <w:t>Tackling homelessness</w:t>
      </w:r>
    </w:p>
    <w:p w14:paraId="0DE5BBFF" w14:textId="77777777" w:rsidR="00016C24" w:rsidRPr="00DE2CD5" w:rsidRDefault="00016C24" w:rsidP="00016C24">
      <w:pPr>
        <w:pStyle w:val="Heading6"/>
        <w:spacing w:after="160"/>
        <w:rPr>
          <w:rFonts w:cs="Arial"/>
          <w:b w:val="0"/>
          <w:bCs w:val="0"/>
        </w:rPr>
      </w:pPr>
      <w:r w:rsidRPr="00DE2CD5">
        <w:rPr>
          <w:rFonts w:cs="Arial"/>
          <w:b w:val="0"/>
          <w:bCs w:val="0"/>
        </w:rPr>
        <w:t xml:space="preserve">Tackling homelessness and rough sleeping have continued to be key priorities and policy objectives in 2021/22.  The Greater Manchester Homelessness Prevention Strategy provides long term vision and cross sector commitment.  The strategy was developed following extensive co-production and public consultation and approved by GMCA in September 2021.  </w:t>
      </w:r>
    </w:p>
    <w:p w14:paraId="4169D272" w14:textId="77777777" w:rsidR="00016C24" w:rsidRDefault="00016C24" w:rsidP="00016C24">
      <w:pPr>
        <w:pStyle w:val="Normal0"/>
        <w:spacing w:after="160" w:line="240" w:lineRule="auto"/>
        <w:rPr>
          <w:rFonts w:ascii="Arial" w:hAnsi="Arial" w:cs="Arial"/>
          <w:sz w:val="24"/>
          <w:szCs w:val="24"/>
        </w:rPr>
      </w:pPr>
      <w:r>
        <w:rPr>
          <w:rFonts w:ascii="Arial" w:hAnsi="Arial" w:cs="Arial"/>
          <w:sz w:val="24"/>
          <w:szCs w:val="24"/>
        </w:rPr>
        <w:t xml:space="preserve">The A Bed Every Night (ABEN) programme has provided a key accommodation and support pathway for people who are experiencing rough sleeping, or at imminent risk. A Bed Every Night critically provides for people with no statutory duty of interim accommodation owed them, including those with No Recourse to Public Funds. During 2021/22 the fourth phase of ABEN commenced at a planned cost of £6m funded from local and national funding and delivered as one part of a wider system of activity to prevent and relieve rough sleeping, including the Rough Sleeper Initiative, Rough Sleeper Accommodation Programme and Housing First pilot. </w:t>
      </w:r>
    </w:p>
    <w:p w14:paraId="13BB2AB8" w14:textId="7A02C821" w:rsidR="00016C24" w:rsidRDefault="00016C24" w:rsidP="00016C24">
      <w:pPr>
        <w:pStyle w:val="Normal0"/>
        <w:spacing w:line="240" w:lineRule="auto"/>
        <w:rPr>
          <w:rFonts w:ascii="Arial" w:hAnsi="Arial" w:cs="Arial"/>
          <w:sz w:val="24"/>
          <w:szCs w:val="24"/>
        </w:rPr>
      </w:pPr>
      <w:r>
        <w:rPr>
          <w:rFonts w:ascii="Arial" w:hAnsi="Arial" w:cs="Arial"/>
          <w:sz w:val="24"/>
          <w:szCs w:val="24"/>
        </w:rPr>
        <w:t xml:space="preserve">The Rough Sleeper Accommodation Programme has seen significant capital spend in ‘move on’ accommodation for people to take up </w:t>
      </w:r>
      <w:r w:rsidR="003A3296">
        <w:rPr>
          <w:rFonts w:ascii="Arial" w:hAnsi="Arial" w:cs="Arial"/>
          <w:sz w:val="24"/>
          <w:szCs w:val="24"/>
        </w:rPr>
        <w:t>2–3-year</w:t>
      </w:r>
      <w:r>
        <w:rPr>
          <w:rFonts w:ascii="Arial" w:hAnsi="Arial" w:cs="Arial"/>
          <w:sz w:val="24"/>
          <w:szCs w:val="24"/>
        </w:rPr>
        <w:t xml:space="preserve"> tenancies. GMCA has deployed £1.34m planned capital spend to acquire and repair 51 properties. </w:t>
      </w:r>
    </w:p>
    <w:p w14:paraId="0E629D61" w14:textId="77777777" w:rsidR="00016C24" w:rsidRDefault="00016C24" w:rsidP="00016C24">
      <w:pPr>
        <w:pStyle w:val="Normal0"/>
        <w:spacing w:line="240" w:lineRule="auto"/>
        <w:rPr>
          <w:rFonts w:ascii="Arial" w:hAnsi="Arial" w:cs="Arial"/>
          <w:sz w:val="24"/>
          <w:szCs w:val="24"/>
        </w:rPr>
      </w:pPr>
    </w:p>
    <w:p w14:paraId="783C3F1E" w14:textId="0CC17795" w:rsidR="00016C24" w:rsidRPr="00DE2CD5" w:rsidRDefault="00016C24" w:rsidP="00016C24">
      <w:pPr>
        <w:pStyle w:val="Normal0"/>
        <w:spacing w:after="160" w:line="240" w:lineRule="auto"/>
        <w:rPr>
          <w:rFonts w:ascii="Arial" w:hAnsi="Arial" w:cs="Arial"/>
          <w:sz w:val="24"/>
          <w:szCs w:val="24"/>
          <w:lang w:val="en-GB"/>
        </w:rPr>
      </w:pPr>
      <w:r>
        <w:rPr>
          <w:rFonts w:ascii="Arial" w:hAnsi="Arial" w:cs="Arial"/>
          <w:sz w:val="24"/>
          <w:szCs w:val="24"/>
        </w:rPr>
        <w:t>During the COVID-19 pandemic GMCA funded from the RIF a ‘Youth Homelessness Prevention Pathfinder’ to develop a working model that could be procured as a full social outcomes contract</w:t>
      </w:r>
      <w:r w:rsidR="009D6FD6">
        <w:rPr>
          <w:rFonts w:ascii="Arial" w:hAnsi="Arial" w:cs="Arial"/>
          <w:sz w:val="24"/>
          <w:szCs w:val="24"/>
        </w:rPr>
        <w:t xml:space="preserve">. </w:t>
      </w:r>
      <w:r>
        <w:rPr>
          <w:rFonts w:ascii="Arial" w:hAnsi="Arial" w:cs="Arial"/>
          <w:sz w:val="24"/>
          <w:szCs w:val="24"/>
        </w:rPr>
        <w:t xml:space="preserve">The fee-for-service pathfinder ran from December 2020 to </w:t>
      </w:r>
      <w:r>
        <w:rPr>
          <w:rFonts w:ascii="Arial" w:hAnsi="Arial" w:cs="Arial"/>
          <w:sz w:val="24"/>
          <w:szCs w:val="24"/>
        </w:rPr>
        <w:lastRenderedPageBreak/>
        <w:t>December 2021 and supported an estimated 250 young people at risk of homelessness</w:t>
      </w:r>
      <w:r w:rsidR="009D6FD6">
        <w:rPr>
          <w:rFonts w:ascii="Arial" w:hAnsi="Arial" w:cs="Arial"/>
          <w:sz w:val="24"/>
          <w:szCs w:val="24"/>
        </w:rPr>
        <w:t xml:space="preserve">. </w:t>
      </w:r>
      <w:r>
        <w:rPr>
          <w:rFonts w:ascii="Arial" w:hAnsi="Arial" w:cs="Arial"/>
          <w:sz w:val="24"/>
          <w:szCs w:val="24"/>
        </w:rPr>
        <w:t>The outcome of this led to the design of a larger three-year outcomes based contract (£4.85m) which commenced early in 2022, with the aim of achieving positive outcomes for 1,500 young people</w:t>
      </w:r>
      <w:r w:rsidR="009D6FD6">
        <w:rPr>
          <w:rFonts w:ascii="Arial" w:hAnsi="Arial" w:cs="Arial"/>
          <w:sz w:val="24"/>
          <w:szCs w:val="24"/>
        </w:rPr>
        <w:t xml:space="preserve">. </w:t>
      </w:r>
      <w:r>
        <w:rPr>
          <w:rFonts w:ascii="Arial" w:hAnsi="Arial" w:cs="Arial"/>
          <w:sz w:val="24"/>
          <w:szCs w:val="24"/>
        </w:rPr>
        <w:t xml:space="preserve">The contract is to be funded from the RIF and local match funding from the business rates growth funding retained by GM as part of its devolution agreement and the current 100% growth retention pilot. </w:t>
      </w:r>
    </w:p>
    <w:p w14:paraId="3A4E5A89" w14:textId="77777777" w:rsidR="00016C24" w:rsidRDefault="00016C24" w:rsidP="00016C24">
      <w:pPr>
        <w:pStyle w:val="Heading3"/>
        <w:spacing w:after="160"/>
        <w:rPr>
          <w:sz w:val="24"/>
          <w:szCs w:val="24"/>
        </w:rPr>
      </w:pPr>
      <w:bookmarkStart w:id="26" w:name="_Toc109922583"/>
      <w:r>
        <w:rPr>
          <w:sz w:val="24"/>
          <w:szCs w:val="24"/>
        </w:rPr>
        <w:t xml:space="preserve">Supporting </w:t>
      </w:r>
      <w:r w:rsidRPr="00982EF6">
        <w:rPr>
          <w:sz w:val="24"/>
          <w:szCs w:val="24"/>
        </w:rPr>
        <w:t>Families</w:t>
      </w:r>
      <w:bookmarkEnd w:id="26"/>
      <w:r w:rsidRPr="00982EF6">
        <w:rPr>
          <w:sz w:val="24"/>
          <w:szCs w:val="24"/>
        </w:rPr>
        <w:t xml:space="preserve"> </w:t>
      </w:r>
    </w:p>
    <w:p w14:paraId="6AF3FE54" w14:textId="77777777" w:rsidR="00016C24" w:rsidRPr="006C1716" w:rsidRDefault="00016C24" w:rsidP="00016C24">
      <w:pPr>
        <w:pStyle w:val="Normal0"/>
        <w:spacing w:after="160" w:line="240" w:lineRule="auto"/>
        <w:rPr>
          <w:rFonts w:ascii="Arial" w:hAnsi="Arial" w:cs="Arial"/>
          <w:sz w:val="24"/>
          <w:szCs w:val="24"/>
          <w:lang w:val="en-GB"/>
        </w:rPr>
      </w:pPr>
      <w:r w:rsidRPr="006C1716">
        <w:rPr>
          <w:rFonts w:ascii="Arial" w:hAnsi="Arial" w:cs="Arial"/>
          <w:sz w:val="24"/>
          <w:szCs w:val="24"/>
          <w:lang w:val="en-GB"/>
        </w:rPr>
        <w:t xml:space="preserve">Through an agreement with Government established in 2017 GMCA has received Supporting Families funding through the GM Reform Investment Fund prior to it being distributed to the ten Local Authorities. This agreement with Government which also sees Greater Manchester Local Authorities work towards a collective number of families has helped to ensure that money is being invested in things that allow families to get access to the family support services they need, whilst also freeing up funding to contribute to transformation of services at neighbourhood level. </w:t>
      </w:r>
    </w:p>
    <w:p w14:paraId="2D70BE13" w14:textId="77777777" w:rsidR="00016C24" w:rsidRPr="006C1716" w:rsidRDefault="00016C24" w:rsidP="00016C24">
      <w:pPr>
        <w:pStyle w:val="Normal0"/>
        <w:spacing w:after="160" w:line="240" w:lineRule="auto"/>
        <w:rPr>
          <w:rFonts w:ascii="Arial" w:hAnsi="Arial" w:cs="Arial"/>
          <w:sz w:val="24"/>
          <w:szCs w:val="24"/>
          <w:lang w:val="en-GB"/>
        </w:rPr>
      </w:pPr>
      <w:r w:rsidRPr="006C1716">
        <w:rPr>
          <w:rFonts w:ascii="Arial" w:hAnsi="Arial" w:cs="Arial"/>
          <w:sz w:val="24"/>
          <w:szCs w:val="24"/>
          <w:lang w:val="en-GB"/>
        </w:rPr>
        <w:t xml:space="preserve">For 2021/22 the Government provided an allocation of £10.926m for the Troubled Families programme with the aim of working with a minimum of 4,754 families, a target that GM Local Authorities exceeded. </w:t>
      </w:r>
    </w:p>
    <w:p w14:paraId="5938A58F" w14:textId="77777777" w:rsidR="00016C24" w:rsidRDefault="00016C24" w:rsidP="00016C24">
      <w:pPr>
        <w:pStyle w:val="Heading3"/>
        <w:spacing w:before="0" w:after="160"/>
        <w:rPr>
          <w:sz w:val="24"/>
          <w:szCs w:val="24"/>
        </w:rPr>
      </w:pPr>
      <w:bookmarkStart w:id="27" w:name="_Toc109922584"/>
      <w:r w:rsidRPr="00982EF6">
        <w:rPr>
          <w:sz w:val="24"/>
          <w:szCs w:val="24"/>
        </w:rPr>
        <w:t>Age Friendly Greater Manchester</w:t>
      </w:r>
      <w:bookmarkEnd w:id="27"/>
    </w:p>
    <w:p w14:paraId="6D3443CD" w14:textId="4DFEEB15" w:rsidR="00016C24" w:rsidRDefault="00016C24" w:rsidP="00016C24">
      <w:pPr>
        <w:pStyle w:val="Normal0"/>
        <w:spacing w:after="160" w:line="240" w:lineRule="auto"/>
        <w:rPr>
          <w:rFonts w:ascii="Arial" w:hAnsi="Arial" w:cs="Arial"/>
          <w:sz w:val="24"/>
          <w:szCs w:val="24"/>
        </w:rPr>
      </w:pPr>
      <w:r>
        <w:rPr>
          <w:rFonts w:ascii="Arial" w:hAnsi="Arial" w:cs="Arial"/>
          <w:sz w:val="24"/>
          <w:szCs w:val="24"/>
        </w:rPr>
        <w:t>Making Greater Manchester more age-friendly is the primary objective of the GM Ageing Hub</w:t>
      </w:r>
      <w:r w:rsidR="009D6FD6">
        <w:rPr>
          <w:rFonts w:ascii="Arial" w:hAnsi="Arial" w:cs="Arial"/>
          <w:sz w:val="24"/>
          <w:szCs w:val="24"/>
        </w:rPr>
        <w:t xml:space="preserve">. </w:t>
      </w:r>
      <w:r>
        <w:rPr>
          <w:rFonts w:ascii="Arial" w:hAnsi="Arial" w:cs="Arial"/>
          <w:sz w:val="24"/>
          <w:szCs w:val="24"/>
        </w:rPr>
        <w:t>The Hub’s range of task groups and campaigns has convened a number of strategic partnerships to support this objective under the following priority areas:</w:t>
      </w:r>
    </w:p>
    <w:p w14:paraId="0919FC0C" w14:textId="77777777" w:rsidR="00016C24" w:rsidRDefault="00016C24" w:rsidP="00EB27EB">
      <w:pPr>
        <w:pStyle w:val="Normal0"/>
        <w:numPr>
          <w:ilvl w:val="0"/>
          <w:numId w:val="64"/>
        </w:numPr>
        <w:spacing w:after="160" w:line="240" w:lineRule="auto"/>
        <w:rPr>
          <w:rFonts w:ascii="Arial" w:hAnsi="Arial" w:cs="Arial"/>
          <w:sz w:val="24"/>
          <w:szCs w:val="24"/>
        </w:rPr>
      </w:pPr>
      <w:r>
        <w:rPr>
          <w:rFonts w:ascii="Arial" w:hAnsi="Arial" w:cs="Arial"/>
          <w:sz w:val="24"/>
          <w:szCs w:val="24"/>
        </w:rPr>
        <w:t>Work and Skills – promoting new services and inclusive practice for older workers and producing a new age-friendly employment toolkit.</w:t>
      </w:r>
    </w:p>
    <w:p w14:paraId="44E7137A" w14:textId="77777777" w:rsidR="00016C24" w:rsidRDefault="00016C24" w:rsidP="00EB27EB">
      <w:pPr>
        <w:pStyle w:val="Normal0"/>
        <w:numPr>
          <w:ilvl w:val="0"/>
          <w:numId w:val="64"/>
        </w:numPr>
        <w:spacing w:after="160" w:line="240" w:lineRule="auto"/>
        <w:rPr>
          <w:rFonts w:ascii="Arial" w:hAnsi="Arial" w:cs="Arial"/>
          <w:sz w:val="24"/>
          <w:szCs w:val="24"/>
        </w:rPr>
      </w:pPr>
      <w:r>
        <w:rPr>
          <w:rFonts w:ascii="Arial" w:hAnsi="Arial" w:cs="Arial"/>
          <w:sz w:val="24"/>
          <w:szCs w:val="24"/>
        </w:rPr>
        <w:t>Housing and Planning – publishing a framework for age-friendly housing and supporting the Design for Life book</w:t>
      </w:r>
    </w:p>
    <w:p w14:paraId="6FE31538" w14:textId="77777777" w:rsidR="00016C24" w:rsidRDefault="00016C24" w:rsidP="00EB27EB">
      <w:pPr>
        <w:pStyle w:val="Normal0"/>
        <w:numPr>
          <w:ilvl w:val="0"/>
          <w:numId w:val="64"/>
        </w:numPr>
        <w:spacing w:after="160" w:line="240" w:lineRule="auto"/>
        <w:rPr>
          <w:rFonts w:ascii="Arial" w:hAnsi="Arial" w:cs="Arial"/>
          <w:sz w:val="24"/>
          <w:szCs w:val="24"/>
        </w:rPr>
      </w:pPr>
      <w:r>
        <w:rPr>
          <w:rFonts w:ascii="Arial" w:hAnsi="Arial" w:cs="Arial"/>
          <w:sz w:val="24"/>
          <w:szCs w:val="24"/>
        </w:rPr>
        <w:t>Ageing well, including public health and culture – Coordinating best practice and increasing capacity of a range of services that promote healthy ageing</w:t>
      </w:r>
    </w:p>
    <w:p w14:paraId="75B206BE" w14:textId="77777777" w:rsidR="00016C24" w:rsidRDefault="00016C24" w:rsidP="00EB27EB">
      <w:pPr>
        <w:pStyle w:val="Normal0"/>
        <w:numPr>
          <w:ilvl w:val="0"/>
          <w:numId w:val="64"/>
        </w:numPr>
        <w:spacing w:after="160" w:line="240" w:lineRule="auto"/>
        <w:rPr>
          <w:rFonts w:ascii="Arial" w:hAnsi="Arial" w:cs="Arial"/>
          <w:sz w:val="24"/>
          <w:szCs w:val="24"/>
        </w:rPr>
      </w:pPr>
      <w:r>
        <w:rPr>
          <w:rFonts w:ascii="Arial" w:hAnsi="Arial" w:cs="Arial"/>
          <w:sz w:val="24"/>
          <w:szCs w:val="24"/>
        </w:rPr>
        <w:t>Ageing-in-Place – developing a new £4m Ageing in Place pathfinder programme</w:t>
      </w:r>
    </w:p>
    <w:p w14:paraId="49B99B89" w14:textId="77777777" w:rsidR="00016C24" w:rsidRDefault="00016C24" w:rsidP="00EB27EB">
      <w:pPr>
        <w:pStyle w:val="Normal0"/>
        <w:numPr>
          <w:ilvl w:val="0"/>
          <w:numId w:val="64"/>
        </w:numPr>
        <w:spacing w:after="160" w:line="240" w:lineRule="auto"/>
        <w:rPr>
          <w:rFonts w:ascii="Arial" w:hAnsi="Arial" w:cs="Arial"/>
          <w:sz w:val="24"/>
          <w:szCs w:val="24"/>
        </w:rPr>
      </w:pPr>
      <w:r>
        <w:rPr>
          <w:rFonts w:ascii="Arial" w:hAnsi="Arial" w:cs="Arial"/>
          <w:sz w:val="24"/>
          <w:szCs w:val="24"/>
        </w:rPr>
        <w:t>Innovation and Growth – collaborating to take create new jobs and businesses</w:t>
      </w:r>
    </w:p>
    <w:p w14:paraId="7090C1FD" w14:textId="398AEDBE" w:rsidR="00016C24" w:rsidRDefault="00016C24" w:rsidP="00016C24">
      <w:pPr>
        <w:pStyle w:val="Normal0"/>
        <w:spacing w:after="160" w:line="240" w:lineRule="auto"/>
        <w:rPr>
          <w:rFonts w:ascii="Arial" w:hAnsi="Arial" w:cs="Arial"/>
          <w:sz w:val="24"/>
          <w:szCs w:val="24"/>
        </w:rPr>
      </w:pPr>
      <w:r>
        <w:rPr>
          <w:rFonts w:ascii="Arial" w:hAnsi="Arial" w:cs="Arial"/>
          <w:sz w:val="24"/>
          <w:szCs w:val="24"/>
        </w:rPr>
        <w:t xml:space="preserve">In </w:t>
      </w:r>
      <w:r w:rsidR="003A3296">
        <w:rPr>
          <w:rFonts w:ascii="Arial" w:hAnsi="Arial" w:cs="Arial"/>
          <w:sz w:val="24"/>
          <w:szCs w:val="24"/>
        </w:rPr>
        <w:t>addition,</w:t>
      </w:r>
      <w:r>
        <w:rPr>
          <w:rFonts w:ascii="Arial" w:hAnsi="Arial" w:cs="Arial"/>
          <w:sz w:val="24"/>
          <w:szCs w:val="24"/>
        </w:rPr>
        <w:t xml:space="preserve"> the Hub has: </w:t>
      </w:r>
    </w:p>
    <w:p w14:paraId="7C6F0456" w14:textId="13688A8C" w:rsidR="00016C24" w:rsidRDefault="00016C24" w:rsidP="00EB27EB">
      <w:pPr>
        <w:pStyle w:val="Normal0"/>
        <w:numPr>
          <w:ilvl w:val="0"/>
          <w:numId w:val="65"/>
        </w:numPr>
        <w:spacing w:after="160" w:line="240" w:lineRule="auto"/>
        <w:rPr>
          <w:rFonts w:ascii="Arial" w:hAnsi="Arial" w:cs="Arial"/>
          <w:sz w:val="24"/>
          <w:szCs w:val="24"/>
        </w:rPr>
      </w:pPr>
      <w:r>
        <w:rPr>
          <w:rFonts w:ascii="Arial" w:hAnsi="Arial" w:cs="Arial"/>
          <w:sz w:val="24"/>
          <w:szCs w:val="24"/>
        </w:rPr>
        <w:t>led a campaign with GM housing agencies to get older people to claim pension credit and other entitlements, raising £3m for eligible people of state pension age</w:t>
      </w:r>
      <w:r w:rsidR="009D6FD6">
        <w:rPr>
          <w:rFonts w:ascii="Arial" w:hAnsi="Arial" w:cs="Arial"/>
          <w:sz w:val="24"/>
          <w:szCs w:val="24"/>
        </w:rPr>
        <w:t xml:space="preserve">. </w:t>
      </w:r>
      <w:r>
        <w:rPr>
          <w:rFonts w:ascii="Arial" w:hAnsi="Arial" w:cs="Arial"/>
          <w:sz w:val="24"/>
          <w:szCs w:val="24"/>
        </w:rPr>
        <w:t>This included a social media campaign and the production of materials for each of the ten GM local authorities.</w:t>
      </w:r>
    </w:p>
    <w:p w14:paraId="4A065A24" w14:textId="2E94C182" w:rsidR="00016C24" w:rsidRDefault="00016C24" w:rsidP="00EB27EB">
      <w:pPr>
        <w:pStyle w:val="Normal0"/>
        <w:numPr>
          <w:ilvl w:val="0"/>
          <w:numId w:val="65"/>
        </w:numPr>
        <w:spacing w:after="160" w:line="240" w:lineRule="auto"/>
        <w:rPr>
          <w:rFonts w:ascii="Arial" w:hAnsi="Arial" w:cs="Arial"/>
          <w:sz w:val="24"/>
          <w:szCs w:val="24"/>
        </w:rPr>
      </w:pPr>
      <w:r>
        <w:rPr>
          <w:rFonts w:ascii="Arial" w:hAnsi="Arial" w:cs="Arial"/>
          <w:sz w:val="24"/>
          <w:szCs w:val="24"/>
        </w:rPr>
        <w:t xml:space="preserve">Coordinated a programme of activities to encourage older adults to become more </w:t>
      </w:r>
      <w:r w:rsidR="003A3296">
        <w:rPr>
          <w:rFonts w:ascii="Arial" w:hAnsi="Arial" w:cs="Arial"/>
          <w:sz w:val="24"/>
          <w:szCs w:val="24"/>
        </w:rPr>
        <w:t>digitally included</w:t>
      </w:r>
      <w:r>
        <w:rPr>
          <w:rFonts w:ascii="Arial" w:hAnsi="Arial" w:cs="Arial"/>
          <w:sz w:val="24"/>
          <w:szCs w:val="24"/>
        </w:rPr>
        <w:t>, including the publication of best practice guidance and practical projects in a number of local areas.</w:t>
      </w:r>
    </w:p>
    <w:p w14:paraId="70BCFD81" w14:textId="77777777" w:rsidR="00016C24" w:rsidRDefault="00016C24" w:rsidP="00EB27EB">
      <w:pPr>
        <w:pStyle w:val="Normal0"/>
        <w:numPr>
          <w:ilvl w:val="0"/>
          <w:numId w:val="65"/>
        </w:numPr>
        <w:spacing w:after="160" w:line="240" w:lineRule="auto"/>
        <w:rPr>
          <w:rFonts w:ascii="Arial" w:hAnsi="Arial" w:cs="Arial"/>
          <w:sz w:val="24"/>
          <w:szCs w:val="24"/>
        </w:rPr>
      </w:pPr>
      <w:r>
        <w:rPr>
          <w:rFonts w:ascii="Arial" w:hAnsi="Arial" w:cs="Arial"/>
          <w:sz w:val="24"/>
          <w:szCs w:val="24"/>
        </w:rPr>
        <w:t>Maintain a regular cycle of research, policy and strategic meetings and events for colleagues across GM agencies.</w:t>
      </w:r>
    </w:p>
    <w:p w14:paraId="1D562352" w14:textId="77777777" w:rsidR="00016C24" w:rsidRDefault="00016C24" w:rsidP="00EB27EB">
      <w:pPr>
        <w:pStyle w:val="Normal0"/>
        <w:numPr>
          <w:ilvl w:val="0"/>
          <w:numId w:val="65"/>
        </w:numPr>
        <w:spacing w:after="160" w:line="240" w:lineRule="auto"/>
        <w:rPr>
          <w:rFonts w:ascii="Arial" w:hAnsi="Arial" w:cs="Arial"/>
          <w:sz w:val="24"/>
          <w:szCs w:val="24"/>
        </w:rPr>
      </w:pPr>
      <w:r>
        <w:rPr>
          <w:rFonts w:ascii="Arial" w:hAnsi="Arial" w:cs="Arial"/>
          <w:sz w:val="24"/>
          <w:szCs w:val="24"/>
        </w:rPr>
        <w:t>Continued to support the GM Older People’s Network as representative voice of older people in GM</w:t>
      </w:r>
      <w:r w:rsidRPr="00E95F9F">
        <w:rPr>
          <w:rFonts w:ascii="Arial" w:hAnsi="Arial" w:cs="Arial"/>
          <w:sz w:val="24"/>
          <w:szCs w:val="24"/>
        </w:rPr>
        <w:t xml:space="preserve">, and in 2022 the GMCA agreed to establish an Older People’s </w:t>
      </w:r>
      <w:r w:rsidRPr="00E95F9F">
        <w:rPr>
          <w:rFonts w:ascii="Arial" w:hAnsi="Arial" w:cs="Arial"/>
          <w:sz w:val="24"/>
          <w:szCs w:val="24"/>
        </w:rPr>
        <w:lastRenderedPageBreak/>
        <w:t>Panel to enhance the representative voice of older people in GM decision-making.</w:t>
      </w:r>
    </w:p>
    <w:p w14:paraId="0C95B22C" w14:textId="77777777" w:rsidR="00016C24" w:rsidRDefault="00016C24" w:rsidP="00EB27EB">
      <w:pPr>
        <w:pStyle w:val="Normal0"/>
        <w:numPr>
          <w:ilvl w:val="0"/>
          <w:numId w:val="65"/>
        </w:numPr>
        <w:spacing w:after="160" w:line="240" w:lineRule="auto"/>
        <w:rPr>
          <w:rFonts w:ascii="Arial" w:hAnsi="Arial" w:cs="Arial"/>
          <w:sz w:val="24"/>
          <w:szCs w:val="24"/>
        </w:rPr>
      </w:pPr>
      <w:r>
        <w:rPr>
          <w:rFonts w:ascii="Arial" w:hAnsi="Arial" w:cs="Arial"/>
          <w:sz w:val="24"/>
          <w:szCs w:val="24"/>
        </w:rPr>
        <w:t>Further developed its long-standing partnership with the Centre for Ageing Better.</w:t>
      </w:r>
    </w:p>
    <w:p w14:paraId="65E0E9FE" w14:textId="77777777" w:rsidR="00016C24" w:rsidRPr="0066318E" w:rsidRDefault="00016C24" w:rsidP="00016C24">
      <w:pPr>
        <w:pStyle w:val="Normal0"/>
        <w:spacing w:after="160" w:line="240" w:lineRule="auto"/>
        <w:rPr>
          <w:rFonts w:ascii="Arial" w:hAnsi="Arial" w:cs="Arial"/>
          <w:sz w:val="24"/>
          <w:szCs w:val="24"/>
        </w:rPr>
      </w:pPr>
      <w:r>
        <w:rPr>
          <w:rFonts w:ascii="Arial" w:hAnsi="Arial" w:cs="Arial"/>
          <w:sz w:val="24"/>
          <w:szCs w:val="24"/>
        </w:rPr>
        <w:t>The Ageing Hub continues to develop extensive partnerships with the GM Local Authorities to develop effective ageing plans that deliver real improvements for GM residents.</w:t>
      </w:r>
    </w:p>
    <w:p w14:paraId="007DB555" w14:textId="77777777" w:rsidR="00016C24" w:rsidRPr="00515A67" w:rsidRDefault="00016C24" w:rsidP="00016C24">
      <w:pPr>
        <w:rPr>
          <w:rFonts w:ascii="Arial" w:hAnsi="Arial" w:cs="Arial"/>
          <w:b/>
          <w:bCs/>
        </w:rPr>
      </w:pPr>
      <w:bookmarkStart w:id="28" w:name="_Hlk108774439"/>
      <w:r w:rsidRPr="00515A67">
        <w:rPr>
          <w:rFonts w:ascii="Arial" w:hAnsi="Arial" w:cs="Arial"/>
          <w:b/>
          <w:bCs/>
        </w:rPr>
        <w:t>Waste and Resources</w:t>
      </w:r>
    </w:p>
    <w:p w14:paraId="71A21B40" w14:textId="77777777" w:rsidR="00016C24" w:rsidRDefault="00016C24" w:rsidP="00016C24"/>
    <w:p w14:paraId="72FC47E1" w14:textId="77777777" w:rsidR="00016C24" w:rsidRDefault="00016C24" w:rsidP="00016C24">
      <w:pPr>
        <w:rPr>
          <w:rFonts w:ascii="Arial" w:hAnsi="Arial" w:cs="Arial"/>
        </w:rPr>
      </w:pPr>
      <w:r w:rsidRPr="00515A67">
        <w:rPr>
          <w:rFonts w:ascii="Arial" w:hAnsi="Arial" w:cs="Arial"/>
        </w:rPr>
        <w:t xml:space="preserve">GMCA </w:t>
      </w:r>
      <w:r>
        <w:rPr>
          <w:rFonts w:ascii="Arial" w:hAnsi="Arial" w:cs="Arial"/>
        </w:rPr>
        <w:t>is</w:t>
      </w:r>
      <w:r w:rsidRPr="00515A67">
        <w:rPr>
          <w:rFonts w:ascii="Arial" w:hAnsi="Arial" w:cs="Arial"/>
        </w:rPr>
        <w:t xml:space="preserve"> responsible for the management and disposal of municipal waste from Greater Manchester (formerly known as Greater Manchester Waste Disposal Authority). </w:t>
      </w:r>
      <w:r>
        <w:rPr>
          <w:rFonts w:ascii="Arial" w:hAnsi="Arial" w:cs="Arial"/>
        </w:rPr>
        <w:t>The Authority</w:t>
      </w:r>
      <w:r w:rsidRPr="00515A67">
        <w:rPr>
          <w:rFonts w:ascii="Arial" w:hAnsi="Arial" w:cs="Arial"/>
        </w:rPr>
        <w:t xml:space="preserve"> handle</w:t>
      </w:r>
      <w:r>
        <w:rPr>
          <w:rFonts w:ascii="Arial" w:hAnsi="Arial" w:cs="Arial"/>
        </w:rPr>
        <w:t>s</w:t>
      </w:r>
      <w:r w:rsidRPr="00515A67">
        <w:rPr>
          <w:rFonts w:ascii="Arial" w:hAnsi="Arial" w:cs="Arial"/>
        </w:rPr>
        <w:t xml:space="preserve"> around 4% of the UK’s municipal waste. This is approximately 1.1 million tonnes of waste and recycling each year from over a million households from the metropolitan </w:t>
      </w:r>
      <w:r>
        <w:rPr>
          <w:rFonts w:ascii="Arial" w:hAnsi="Arial" w:cs="Arial"/>
        </w:rPr>
        <w:t xml:space="preserve">areas </w:t>
      </w:r>
      <w:r w:rsidRPr="00515A67">
        <w:rPr>
          <w:rFonts w:ascii="Arial" w:hAnsi="Arial" w:cs="Arial"/>
        </w:rPr>
        <w:t>of Bolton, Bury, Manchester, Oldham, Rochdale, Salford, Stockport</w:t>
      </w:r>
      <w:r>
        <w:rPr>
          <w:rFonts w:ascii="Arial" w:hAnsi="Arial" w:cs="Arial"/>
        </w:rPr>
        <w:t xml:space="preserve">, </w:t>
      </w:r>
      <w:r w:rsidRPr="00515A67">
        <w:rPr>
          <w:rFonts w:ascii="Arial" w:hAnsi="Arial" w:cs="Arial"/>
        </w:rPr>
        <w:t>Tameside and Trafford (Wigan operate as a unitary authority and administers its own disposal arrangements).</w:t>
      </w:r>
    </w:p>
    <w:p w14:paraId="535E8231" w14:textId="77777777" w:rsidR="00016C24" w:rsidRDefault="00016C24" w:rsidP="00016C24">
      <w:pPr>
        <w:rPr>
          <w:rFonts w:ascii="Arial" w:hAnsi="Arial" w:cs="Arial"/>
        </w:rPr>
      </w:pPr>
    </w:p>
    <w:p w14:paraId="6BB56A97" w14:textId="77777777" w:rsidR="00016C24" w:rsidRDefault="00016C24" w:rsidP="00016C24">
      <w:pPr>
        <w:rPr>
          <w:rFonts w:ascii="Arial" w:hAnsi="Arial" w:cs="Arial"/>
          <w:bCs/>
          <w:lang w:eastAsia="en-GB"/>
        </w:rPr>
      </w:pPr>
      <w:r w:rsidRPr="00515A67">
        <w:rPr>
          <w:rFonts w:ascii="Arial" w:hAnsi="Arial" w:cs="Arial"/>
        </w:rPr>
        <w:t xml:space="preserve">Each of the </w:t>
      </w:r>
      <w:r>
        <w:rPr>
          <w:rFonts w:ascii="Arial" w:hAnsi="Arial" w:cs="Arial"/>
        </w:rPr>
        <w:t xml:space="preserve">local authorities </w:t>
      </w:r>
      <w:r w:rsidRPr="00515A67">
        <w:rPr>
          <w:rFonts w:ascii="Arial" w:hAnsi="Arial" w:cs="Arial"/>
        </w:rPr>
        <w:t xml:space="preserve">are responsible for the collection of household waste. GMCA receives funding from a levy on the </w:t>
      </w:r>
      <w:r>
        <w:rPr>
          <w:rFonts w:ascii="Arial" w:hAnsi="Arial" w:cs="Arial"/>
        </w:rPr>
        <w:t xml:space="preserve">nine </w:t>
      </w:r>
      <w:r w:rsidRPr="00515A67">
        <w:rPr>
          <w:rFonts w:ascii="Arial" w:hAnsi="Arial" w:cs="Arial"/>
        </w:rPr>
        <w:t>Greater Manchester local authorities to pay for the processing and disposal of this waste</w:t>
      </w:r>
      <w:r>
        <w:rPr>
          <w:rFonts w:ascii="Arial" w:hAnsi="Arial" w:cs="Arial"/>
        </w:rPr>
        <w:t xml:space="preserve">.  </w:t>
      </w:r>
      <w:r w:rsidRPr="00146849">
        <w:rPr>
          <w:rFonts w:ascii="Arial" w:hAnsi="Arial" w:cs="Arial"/>
          <w:bCs/>
          <w:lang w:eastAsia="en-GB"/>
        </w:rPr>
        <w:t xml:space="preserve">The </w:t>
      </w:r>
      <w:r>
        <w:rPr>
          <w:rFonts w:ascii="Arial" w:hAnsi="Arial" w:cs="Arial"/>
          <w:bCs/>
          <w:lang w:eastAsia="en-GB"/>
        </w:rPr>
        <w:t xml:space="preserve">2021/22 </w:t>
      </w:r>
      <w:r w:rsidRPr="00146849">
        <w:rPr>
          <w:rFonts w:ascii="Arial" w:hAnsi="Arial" w:cs="Arial"/>
          <w:bCs/>
          <w:lang w:eastAsia="en-GB"/>
        </w:rPr>
        <w:t>levy was set in February 2021 for a total of</w:t>
      </w:r>
      <w:r>
        <w:rPr>
          <w:rFonts w:ascii="Arial" w:hAnsi="Arial" w:cs="Arial"/>
          <w:bCs/>
          <w:lang w:eastAsia="en-GB"/>
        </w:rPr>
        <w:t xml:space="preserve"> </w:t>
      </w:r>
      <w:r w:rsidRPr="00146849">
        <w:rPr>
          <w:rFonts w:ascii="Arial" w:hAnsi="Arial" w:cs="Arial"/>
          <w:bCs/>
          <w:lang w:eastAsia="en-GB"/>
        </w:rPr>
        <w:t>£162.402m</w:t>
      </w:r>
      <w:r>
        <w:rPr>
          <w:rFonts w:ascii="Arial" w:hAnsi="Arial" w:cs="Arial"/>
          <w:bCs/>
          <w:lang w:eastAsia="en-GB"/>
        </w:rPr>
        <w:t xml:space="preserve"> </w:t>
      </w:r>
      <w:r w:rsidRPr="00146849">
        <w:rPr>
          <w:rFonts w:ascii="Arial" w:hAnsi="Arial" w:cs="Arial"/>
          <w:bCs/>
          <w:lang w:eastAsia="en-GB"/>
        </w:rPr>
        <w:t xml:space="preserve">using forecast levels </w:t>
      </w:r>
      <w:r>
        <w:rPr>
          <w:rFonts w:ascii="Arial" w:hAnsi="Arial" w:cs="Arial"/>
          <w:bCs/>
          <w:lang w:eastAsia="en-GB"/>
        </w:rPr>
        <w:t xml:space="preserve">of </w:t>
      </w:r>
      <w:r w:rsidRPr="00146849">
        <w:rPr>
          <w:rFonts w:ascii="Arial" w:hAnsi="Arial" w:cs="Arial"/>
          <w:bCs/>
          <w:lang w:eastAsia="en-GB"/>
        </w:rPr>
        <w:t xml:space="preserve">waste </w:t>
      </w:r>
      <w:r>
        <w:rPr>
          <w:rFonts w:ascii="Arial" w:hAnsi="Arial" w:cs="Arial"/>
          <w:bCs/>
          <w:lang w:eastAsia="en-GB"/>
        </w:rPr>
        <w:t xml:space="preserve">totalling </w:t>
      </w:r>
      <w:r w:rsidRPr="00146849">
        <w:rPr>
          <w:rFonts w:ascii="Arial" w:hAnsi="Arial" w:cs="Arial"/>
          <w:bCs/>
          <w:lang w:eastAsia="en-GB"/>
        </w:rPr>
        <w:t>861,000 tonnes.  The</w:t>
      </w:r>
      <w:r>
        <w:rPr>
          <w:rFonts w:ascii="Arial" w:hAnsi="Arial" w:cs="Arial"/>
          <w:bCs/>
          <w:lang w:eastAsia="en-GB"/>
        </w:rPr>
        <w:t xml:space="preserve"> overall</w:t>
      </w:r>
      <w:r w:rsidRPr="00146849">
        <w:rPr>
          <w:rFonts w:ascii="Arial" w:hAnsi="Arial" w:cs="Arial"/>
          <w:bCs/>
          <w:lang w:eastAsia="en-GB"/>
        </w:rPr>
        <w:t xml:space="preserve"> volume of waste</w:t>
      </w:r>
      <w:r>
        <w:rPr>
          <w:rFonts w:ascii="Arial" w:hAnsi="Arial" w:cs="Arial"/>
          <w:bCs/>
          <w:lang w:eastAsia="en-GB"/>
        </w:rPr>
        <w:t xml:space="preserve"> during 2021/22</w:t>
      </w:r>
      <w:r w:rsidRPr="00146849">
        <w:rPr>
          <w:rFonts w:ascii="Arial" w:hAnsi="Arial" w:cs="Arial"/>
          <w:bCs/>
          <w:lang w:eastAsia="en-GB"/>
        </w:rPr>
        <w:t xml:space="preserve"> was </w:t>
      </w:r>
      <w:r>
        <w:rPr>
          <w:rFonts w:ascii="Arial" w:hAnsi="Arial" w:cs="Arial"/>
          <w:bCs/>
          <w:lang w:eastAsia="en-GB"/>
        </w:rPr>
        <w:t xml:space="preserve">in line with budget </w:t>
      </w:r>
      <w:r w:rsidRPr="00146849">
        <w:rPr>
          <w:rFonts w:ascii="Arial" w:hAnsi="Arial" w:cs="Arial"/>
          <w:bCs/>
          <w:lang w:eastAsia="en-GB"/>
        </w:rPr>
        <w:t>but with variances in the types of waste delivered.  Lower amounts than forecast were received in biowaste, street sweepings and trade, and higher than forecast in residual, commingled and paper/card waste streams.</w:t>
      </w:r>
    </w:p>
    <w:p w14:paraId="29C70610" w14:textId="77777777" w:rsidR="00016C24" w:rsidRPr="00515A67" w:rsidRDefault="00016C24" w:rsidP="00016C24">
      <w:pPr>
        <w:rPr>
          <w:rFonts w:ascii="Arial" w:hAnsi="Arial" w:cs="Arial"/>
        </w:rPr>
      </w:pPr>
    </w:p>
    <w:p w14:paraId="53405A2B" w14:textId="77777777" w:rsidR="00016C24" w:rsidRPr="00252AA6" w:rsidRDefault="00016C24" w:rsidP="00016C24">
      <w:pPr>
        <w:rPr>
          <w:rFonts w:ascii="Arial" w:hAnsi="Arial" w:cs="Arial"/>
          <w:bCs/>
          <w:lang w:eastAsia="en-GB"/>
        </w:rPr>
      </w:pPr>
      <w:r w:rsidRPr="00515A67">
        <w:rPr>
          <w:rFonts w:ascii="Arial" w:hAnsi="Arial" w:cs="Arial"/>
        </w:rPr>
        <w:t>The GMCA Waste and Resources team oversee the operation of the facilities through contract arrangements with Suez Recycling and Recovery UK.</w:t>
      </w:r>
      <w:r>
        <w:rPr>
          <w:rFonts w:ascii="Arial" w:hAnsi="Arial" w:cs="Arial"/>
        </w:rPr>
        <w:t xml:space="preserve">  </w:t>
      </w:r>
      <w:r w:rsidRPr="00515A67">
        <w:rPr>
          <w:rFonts w:ascii="Arial" w:hAnsi="Arial" w:cs="Arial"/>
        </w:rPr>
        <w:t>The recycling rate for waste from households in Greater Manchester in 2021/22 was 45.98%</w:t>
      </w:r>
      <w:r>
        <w:rPr>
          <w:rFonts w:ascii="Arial" w:hAnsi="Arial" w:cs="Arial"/>
        </w:rPr>
        <w:t xml:space="preserve"> and only 0.86% of GM waste was sent to landfill</w:t>
      </w:r>
      <w:r w:rsidRPr="00515A67">
        <w:rPr>
          <w:rFonts w:ascii="Arial" w:hAnsi="Arial" w:cs="Arial"/>
        </w:rPr>
        <w:t>.</w:t>
      </w:r>
      <w:r>
        <w:rPr>
          <w:rFonts w:ascii="Arial" w:hAnsi="Arial" w:cs="Arial"/>
        </w:rPr>
        <w:t xml:space="preserve">  </w:t>
      </w:r>
    </w:p>
    <w:p w14:paraId="66D012F6" w14:textId="77777777" w:rsidR="00016C24" w:rsidRDefault="00016C24" w:rsidP="00016C24">
      <w:pPr>
        <w:rPr>
          <w:rFonts w:ascii="Arial" w:hAnsi="Arial" w:cs="Arial"/>
        </w:rPr>
      </w:pPr>
    </w:p>
    <w:p w14:paraId="5774646C" w14:textId="77777777" w:rsidR="00016C24" w:rsidRPr="00515A67" w:rsidRDefault="00016C24" w:rsidP="00016C24">
      <w:pPr>
        <w:rPr>
          <w:rFonts w:ascii="Arial" w:hAnsi="Arial" w:cs="Arial"/>
        </w:rPr>
      </w:pPr>
      <w:r w:rsidRPr="00515A67">
        <w:rPr>
          <w:rFonts w:ascii="Arial" w:hAnsi="Arial" w:cs="Arial"/>
        </w:rPr>
        <w:t>General</w:t>
      </w:r>
      <w:r>
        <w:rPr>
          <w:rFonts w:ascii="Arial" w:hAnsi="Arial" w:cs="Arial"/>
        </w:rPr>
        <w:t xml:space="preserve"> (residual)</w:t>
      </w:r>
      <w:r w:rsidRPr="00515A67">
        <w:rPr>
          <w:rFonts w:ascii="Arial" w:hAnsi="Arial" w:cs="Arial"/>
        </w:rPr>
        <w:t xml:space="preserve"> waste is </w:t>
      </w:r>
      <w:r>
        <w:rPr>
          <w:rFonts w:ascii="Arial" w:hAnsi="Arial" w:cs="Arial"/>
        </w:rPr>
        <w:t xml:space="preserve">delivered to a </w:t>
      </w:r>
      <w:r w:rsidRPr="00515A67">
        <w:rPr>
          <w:rFonts w:ascii="Arial" w:hAnsi="Arial" w:cs="Arial"/>
        </w:rPr>
        <w:t>mechanical treatment facility in Greater Manchester</w:t>
      </w:r>
      <w:r>
        <w:rPr>
          <w:rFonts w:ascii="Arial" w:hAnsi="Arial" w:cs="Arial"/>
        </w:rPr>
        <w:t xml:space="preserve"> and then transported </w:t>
      </w:r>
      <w:r w:rsidRPr="00515A67">
        <w:rPr>
          <w:rFonts w:ascii="Arial" w:hAnsi="Arial" w:cs="Arial"/>
        </w:rPr>
        <w:t>by train to the Energy Recovery facility in Runcorn</w:t>
      </w:r>
      <w:r>
        <w:rPr>
          <w:rFonts w:ascii="Arial" w:hAnsi="Arial" w:cs="Arial"/>
        </w:rPr>
        <w:t xml:space="preserve">.  </w:t>
      </w:r>
      <w:r w:rsidRPr="00515A67">
        <w:rPr>
          <w:rFonts w:ascii="Arial" w:hAnsi="Arial" w:cs="Arial"/>
        </w:rPr>
        <w:t>The general waste is fed into the furnace which creates heat</w:t>
      </w:r>
      <w:r>
        <w:rPr>
          <w:rFonts w:ascii="Arial" w:hAnsi="Arial" w:cs="Arial"/>
        </w:rPr>
        <w:t xml:space="preserve"> </w:t>
      </w:r>
      <w:r w:rsidRPr="00515A67">
        <w:rPr>
          <w:rFonts w:ascii="Arial" w:hAnsi="Arial" w:cs="Arial"/>
        </w:rPr>
        <w:t>used to boil water to make steam which spin turbines. The turbines are connected to generators which make electricity</w:t>
      </w:r>
      <w:r>
        <w:rPr>
          <w:rFonts w:ascii="Arial" w:hAnsi="Arial" w:cs="Arial"/>
        </w:rPr>
        <w:t xml:space="preserve"> </w:t>
      </w:r>
      <w:r w:rsidRPr="00515A67">
        <w:rPr>
          <w:rFonts w:ascii="Arial" w:hAnsi="Arial" w:cs="Arial"/>
        </w:rPr>
        <w:t>and heat used to power the INOVYN facility</w:t>
      </w:r>
      <w:r>
        <w:rPr>
          <w:rFonts w:ascii="Arial" w:hAnsi="Arial" w:cs="Arial"/>
        </w:rPr>
        <w:t>, which</w:t>
      </w:r>
      <w:r w:rsidRPr="00515A67">
        <w:rPr>
          <w:rFonts w:ascii="Arial" w:hAnsi="Arial" w:cs="Arial"/>
        </w:rPr>
        <w:t xml:space="preserve"> now takes around 20% less energy from the National Grid.</w:t>
      </w:r>
      <w:r>
        <w:rPr>
          <w:rFonts w:ascii="Arial" w:hAnsi="Arial" w:cs="Arial"/>
        </w:rPr>
        <w:t xml:space="preserve"> </w:t>
      </w:r>
      <w:r w:rsidRPr="00515A67">
        <w:rPr>
          <w:rFonts w:ascii="Arial" w:hAnsi="Arial" w:cs="Arial"/>
        </w:rPr>
        <w:t>The chimney stack at the facility is fitted with an emissions monitoring system</w:t>
      </w:r>
      <w:r>
        <w:rPr>
          <w:rFonts w:ascii="Arial" w:hAnsi="Arial" w:cs="Arial"/>
        </w:rPr>
        <w:t xml:space="preserve"> which </w:t>
      </w:r>
      <w:r w:rsidRPr="00515A67">
        <w:rPr>
          <w:rFonts w:ascii="Arial" w:hAnsi="Arial" w:cs="Arial"/>
        </w:rPr>
        <w:t>continually monitors the emissions coming</w:t>
      </w:r>
      <w:r>
        <w:rPr>
          <w:rFonts w:ascii="Arial" w:hAnsi="Arial" w:cs="Arial"/>
        </w:rPr>
        <w:t xml:space="preserve"> from the process</w:t>
      </w:r>
      <w:r w:rsidRPr="00515A67">
        <w:rPr>
          <w:rFonts w:ascii="Arial" w:hAnsi="Arial" w:cs="Arial"/>
        </w:rPr>
        <w:t>.</w:t>
      </w:r>
      <w:r>
        <w:rPr>
          <w:rFonts w:ascii="Arial" w:hAnsi="Arial" w:cs="Arial"/>
        </w:rPr>
        <w:t xml:space="preserve">  </w:t>
      </w:r>
      <w:r w:rsidRPr="00515A67">
        <w:rPr>
          <w:rFonts w:ascii="Arial" w:hAnsi="Arial" w:cs="Arial"/>
        </w:rPr>
        <w:t>Ferrous metals are removed for recycling</w:t>
      </w:r>
      <w:r>
        <w:rPr>
          <w:rFonts w:ascii="Arial" w:hAnsi="Arial" w:cs="Arial"/>
        </w:rPr>
        <w:t xml:space="preserve"> and t</w:t>
      </w:r>
      <w:r w:rsidRPr="00515A67">
        <w:rPr>
          <w:rFonts w:ascii="Arial" w:hAnsi="Arial" w:cs="Arial"/>
        </w:rPr>
        <w:t>he ash is reused for construction.</w:t>
      </w:r>
      <w:r>
        <w:rPr>
          <w:rFonts w:ascii="Arial" w:hAnsi="Arial" w:cs="Arial"/>
        </w:rPr>
        <w:t xml:space="preserve"> </w:t>
      </w:r>
    </w:p>
    <w:p w14:paraId="273D6325" w14:textId="77777777" w:rsidR="00016C24" w:rsidRDefault="00016C24" w:rsidP="00016C24">
      <w:pPr>
        <w:rPr>
          <w:rFonts w:ascii="Arial" w:hAnsi="Arial" w:cs="Arial"/>
        </w:rPr>
      </w:pPr>
    </w:p>
    <w:p w14:paraId="79114918" w14:textId="77777777" w:rsidR="00016C24" w:rsidRPr="00515A67" w:rsidRDefault="00016C24" w:rsidP="00016C24">
      <w:pPr>
        <w:rPr>
          <w:rFonts w:ascii="Arial" w:hAnsi="Arial" w:cs="Arial"/>
        </w:rPr>
      </w:pPr>
      <w:r w:rsidRPr="00515A67">
        <w:rPr>
          <w:rFonts w:ascii="Arial" w:hAnsi="Arial" w:cs="Arial"/>
        </w:rPr>
        <w:t>Food and garden waste is delivered to In-Vessel Composting facilities (IVC)</w:t>
      </w:r>
      <w:r>
        <w:rPr>
          <w:rFonts w:ascii="Arial" w:hAnsi="Arial" w:cs="Arial"/>
        </w:rPr>
        <w:t xml:space="preserve">. </w:t>
      </w:r>
      <w:r w:rsidRPr="00515A67">
        <w:rPr>
          <w:rFonts w:ascii="Arial" w:hAnsi="Arial" w:cs="Arial"/>
        </w:rPr>
        <w:t xml:space="preserve"> The IVC system harnesses the natural composting process to recycle food and garden waste into compost in 6 weeks. The compost produced will be used as a soil improver on agricultural land.</w:t>
      </w:r>
      <w:r w:rsidRPr="00D338BF">
        <w:rPr>
          <w:rFonts w:ascii="Arial" w:hAnsi="Arial" w:cs="Arial"/>
        </w:rPr>
        <w:t xml:space="preserve"> </w:t>
      </w:r>
      <w:r w:rsidRPr="00515A67">
        <w:rPr>
          <w:rFonts w:ascii="Arial" w:hAnsi="Arial" w:cs="Arial"/>
        </w:rPr>
        <w:t>Paper and card is taken to a paper sorting facility</w:t>
      </w:r>
      <w:r>
        <w:rPr>
          <w:rFonts w:ascii="Arial" w:hAnsi="Arial" w:cs="Arial"/>
        </w:rPr>
        <w:t xml:space="preserve"> </w:t>
      </w:r>
      <w:r w:rsidRPr="00515A67">
        <w:rPr>
          <w:rFonts w:ascii="Arial" w:hAnsi="Arial" w:cs="Arial"/>
        </w:rPr>
        <w:t>for recycling back into new products.</w:t>
      </w:r>
    </w:p>
    <w:p w14:paraId="272E28F0" w14:textId="77777777" w:rsidR="00016C24" w:rsidRDefault="00016C24" w:rsidP="00016C24">
      <w:pPr>
        <w:rPr>
          <w:rFonts w:ascii="Arial" w:hAnsi="Arial" w:cs="Arial"/>
        </w:rPr>
      </w:pPr>
    </w:p>
    <w:p w14:paraId="30E5458C" w14:textId="77777777" w:rsidR="00016C24" w:rsidRPr="00D3603F" w:rsidRDefault="00016C24" w:rsidP="00016C24">
      <w:pPr>
        <w:rPr>
          <w:rFonts w:ascii="Arial" w:hAnsi="Arial" w:cs="Arial"/>
        </w:rPr>
      </w:pPr>
      <w:r w:rsidRPr="00D3603F">
        <w:rPr>
          <w:rFonts w:ascii="Arial" w:hAnsi="Arial" w:cs="Arial"/>
        </w:rPr>
        <w:t xml:space="preserve">Mixed recycling is taken to a materials recovery facility in Manchester, where the plastic bottles, glass bottles and jars, foil, food tins, drinks cans and aerosols are separated. </w:t>
      </w:r>
      <w:r w:rsidRPr="00D3603F">
        <w:rPr>
          <w:rFonts w:ascii="Arial" w:hAnsi="Arial" w:cs="Arial"/>
        </w:rPr>
        <w:lastRenderedPageBreak/>
        <w:t>Greater Manchester</w:t>
      </w:r>
      <w:r>
        <w:rPr>
          <w:rFonts w:ascii="Arial" w:hAnsi="Arial" w:cs="Arial"/>
        </w:rPr>
        <w:t xml:space="preserve"> only </w:t>
      </w:r>
      <w:r w:rsidRPr="00D3603F">
        <w:rPr>
          <w:rFonts w:ascii="Arial" w:hAnsi="Arial" w:cs="Arial"/>
        </w:rPr>
        <w:t xml:space="preserve">collect plastic bottles because there is a sustainable market </w:t>
      </w:r>
      <w:r>
        <w:rPr>
          <w:rFonts w:ascii="Arial" w:hAnsi="Arial" w:cs="Arial"/>
        </w:rPr>
        <w:t xml:space="preserve">to </w:t>
      </w:r>
      <w:r w:rsidRPr="00D3603F">
        <w:rPr>
          <w:rFonts w:ascii="Arial" w:hAnsi="Arial" w:cs="Arial"/>
        </w:rPr>
        <w:t xml:space="preserve">guarantee they </w:t>
      </w:r>
      <w:r>
        <w:rPr>
          <w:rFonts w:ascii="Arial" w:hAnsi="Arial" w:cs="Arial"/>
        </w:rPr>
        <w:t>can</w:t>
      </w:r>
      <w:r w:rsidRPr="00D3603F">
        <w:rPr>
          <w:rFonts w:ascii="Arial" w:hAnsi="Arial" w:cs="Arial"/>
        </w:rPr>
        <w:t xml:space="preserve"> be recycled.</w:t>
      </w:r>
    </w:p>
    <w:p w14:paraId="66A9D4D6" w14:textId="77777777" w:rsidR="00016C24" w:rsidRPr="00D3603F" w:rsidRDefault="00016C24" w:rsidP="00016C24">
      <w:pPr>
        <w:rPr>
          <w:rFonts w:ascii="Arial" w:hAnsi="Arial" w:cs="Arial"/>
          <w:b/>
          <w:bCs/>
        </w:rPr>
      </w:pPr>
    </w:p>
    <w:p w14:paraId="1C5712CD" w14:textId="77777777" w:rsidR="00016C24" w:rsidRPr="00D3603F" w:rsidRDefault="00016C24" w:rsidP="00016C24">
      <w:pPr>
        <w:rPr>
          <w:rFonts w:ascii="Arial" w:hAnsi="Arial" w:cs="Arial"/>
        </w:rPr>
      </w:pPr>
      <w:r w:rsidRPr="00D3603F">
        <w:rPr>
          <w:rFonts w:ascii="Arial" w:hAnsi="Arial" w:cs="Arial"/>
        </w:rPr>
        <w:t>During 2021/22 the service netted an underspend of £35m, mainly relating to surpluses from the operation of the main contracts for residual and recycled waste</w:t>
      </w:r>
      <w:r>
        <w:rPr>
          <w:rFonts w:ascii="Arial" w:hAnsi="Arial" w:cs="Arial"/>
        </w:rPr>
        <w:t xml:space="preserve">.  </w:t>
      </w:r>
      <w:r w:rsidRPr="00D3603F">
        <w:rPr>
          <w:rFonts w:ascii="Arial" w:hAnsi="Arial" w:cs="Arial"/>
        </w:rPr>
        <w:t xml:space="preserve">This includes: </w:t>
      </w:r>
    </w:p>
    <w:p w14:paraId="5378FC04" w14:textId="77777777" w:rsidR="00016C24" w:rsidRPr="00D3603F" w:rsidRDefault="00016C24" w:rsidP="00EB27EB">
      <w:pPr>
        <w:pStyle w:val="ListParagraph"/>
        <w:numPr>
          <w:ilvl w:val="0"/>
          <w:numId w:val="69"/>
        </w:numPr>
        <w:spacing w:after="0" w:line="240" w:lineRule="auto"/>
        <w:rPr>
          <w:rFonts w:ascii="Arial" w:hAnsi="Arial" w:cs="Arial"/>
          <w:sz w:val="24"/>
          <w:szCs w:val="24"/>
          <w:lang w:eastAsia="en-US"/>
        </w:rPr>
      </w:pPr>
      <w:r w:rsidRPr="00D3603F">
        <w:rPr>
          <w:rFonts w:ascii="Arial" w:hAnsi="Arial" w:cs="Arial"/>
          <w:sz w:val="24"/>
          <w:szCs w:val="24"/>
        </w:rPr>
        <w:t xml:space="preserve">£16.1m surplus on the residual waste contract from an </w:t>
      </w:r>
      <w:r w:rsidRPr="00D3603F">
        <w:rPr>
          <w:rFonts w:ascii="Arial" w:hAnsi="Arial" w:cs="Arial"/>
          <w:bCs/>
          <w:sz w:val="24"/>
          <w:szCs w:val="24"/>
        </w:rPr>
        <w:t>increased share of third-party income mainly in relation to electric wholesale price</w:t>
      </w:r>
      <w:r>
        <w:rPr>
          <w:rFonts w:ascii="Arial" w:hAnsi="Arial" w:cs="Arial"/>
          <w:bCs/>
          <w:sz w:val="24"/>
          <w:szCs w:val="24"/>
        </w:rPr>
        <w:t>.</w:t>
      </w:r>
    </w:p>
    <w:p w14:paraId="63691279" w14:textId="77777777" w:rsidR="00016C24" w:rsidRPr="00D3603F" w:rsidRDefault="00016C24" w:rsidP="00EB27EB">
      <w:pPr>
        <w:pStyle w:val="ListParagraph"/>
        <w:numPr>
          <w:ilvl w:val="0"/>
          <w:numId w:val="69"/>
        </w:numPr>
        <w:spacing w:after="0" w:line="240" w:lineRule="auto"/>
        <w:rPr>
          <w:rFonts w:ascii="Arial" w:hAnsi="Arial" w:cs="Arial"/>
          <w:sz w:val="24"/>
          <w:szCs w:val="24"/>
          <w:lang w:eastAsia="en-US"/>
        </w:rPr>
      </w:pPr>
      <w:r w:rsidRPr="00D3603F">
        <w:rPr>
          <w:rFonts w:ascii="Arial" w:hAnsi="Arial" w:cs="Arial"/>
          <w:bCs/>
          <w:sz w:val="24"/>
          <w:szCs w:val="24"/>
        </w:rPr>
        <w:t xml:space="preserve">£10.2m from the Waste and Resources Management Services contract due to increased recyclate revenue rebate from an increased priced obtained and slightly higher tonnages of </w:t>
      </w:r>
      <w:r>
        <w:rPr>
          <w:rFonts w:ascii="Arial" w:hAnsi="Arial" w:cs="Arial"/>
          <w:bCs/>
          <w:sz w:val="24"/>
          <w:szCs w:val="24"/>
        </w:rPr>
        <w:t xml:space="preserve">mixed recycling </w:t>
      </w:r>
      <w:r w:rsidRPr="00D3603F">
        <w:rPr>
          <w:rFonts w:ascii="Arial" w:hAnsi="Arial" w:cs="Arial"/>
          <w:bCs/>
          <w:sz w:val="24"/>
          <w:szCs w:val="24"/>
        </w:rPr>
        <w:t xml:space="preserve">and paper/card. </w:t>
      </w:r>
    </w:p>
    <w:p w14:paraId="50F690CF" w14:textId="77777777" w:rsidR="00016C24" w:rsidRPr="00D3603F" w:rsidRDefault="00016C24" w:rsidP="00EB27EB">
      <w:pPr>
        <w:pStyle w:val="ListParagraph"/>
        <w:numPr>
          <w:ilvl w:val="0"/>
          <w:numId w:val="69"/>
        </w:numPr>
        <w:spacing w:after="0" w:line="240" w:lineRule="auto"/>
        <w:rPr>
          <w:rFonts w:ascii="Arial" w:hAnsi="Arial" w:cs="Arial"/>
          <w:sz w:val="24"/>
          <w:szCs w:val="24"/>
          <w:lang w:eastAsia="en-US"/>
        </w:rPr>
      </w:pPr>
      <w:r w:rsidRPr="00D3603F">
        <w:rPr>
          <w:rFonts w:ascii="Arial" w:hAnsi="Arial" w:cs="Arial"/>
          <w:bCs/>
          <w:sz w:val="24"/>
          <w:szCs w:val="24"/>
        </w:rPr>
        <w:t>£2.9m from other contracts with the underspend being moved to the Lifecycle Reserve to be spent in future years.</w:t>
      </w:r>
    </w:p>
    <w:p w14:paraId="1E1E41C6" w14:textId="77777777" w:rsidR="00016C24" w:rsidRDefault="00016C24" w:rsidP="00016C24">
      <w:pPr>
        <w:rPr>
          <w:rFonts w:ascii="Arial" w:hAnsi="Arial" w:cs="Arial"/>
        </w:rPr>
      </w:pPr>
      <w:bookmarkStart w:id="29" w:name="_Hlk106116032"/>
    </w:p>
    <w:p w14:paraId="09CE03FA" w14:textId="77777777" w:rsidR="00016C24" w:rsidRDefault="00016C24" w:rsidP="00016C24">
      <w:pPr>
        <w:rPr>
          <w:rFonts w:ascii="Arial" w:hAnsi="Arial" w:cs="Arial"/>
          <w:bCs/>
          <w:lang w:eastAsia="en-GB"/>
        </w:rPr>
      </w:pPr>
      <w:r>
        <w:rPr>
          <w:rFonts w:ascii="Arial" w:hAnsi="Arial" w:cs="Arial"/>
        </w:rPr>
        <w:t xml:space="preserve">The 2021/22 year end surplus has been transferred to reserves.   It was agreed in February 2022 to return at least £10m of 2021/22 waste reserves to the nine GM local authorities. </w:t>
      </w:r>
    </w:p>
    <w:p w14:paraId="3F7B4664" w14:textId="77777777" w:rsidR="00016C24" w:rsidRPr="005624AC" w:rsidRDefault="00016C24" w:rsidP="00016C24">
      <w:pPr>
        <w:pStyle w:val="Heading3"/>
        <w:spacing w:after="160"/>
        <w:rPr>
          <w:sz w:val="24"/>
          <w:szCs w:val="24"/>
        </w:rPr>
      </w:pPr>
      <w:bookmarkStart w:id="30" w:name="_Toc109922585"/>
      <w:bookmarkStart w:id="31" w:name="_Hlk108780347"/>
      <w:bookmarkEnd w:id="28"/>
      <w:bookmarkEnd w:id="29"/>
      <w:r w:rsidRPr="005624AC">
        <w:rPr>
          <w:sz w:val="24"/>
          <w:szCs w:val="24"/>
        </w:rPr>
        <w:t>Police and Crime - Safer and Stronger Communities</w:t>
      </w:r>
      <w:bookmarkEnd w:id="30"/>
      <w:r w:rsidRPr="005624AC">
        <w:rPr>
          <w:sz w:val="24"/>
          <w:szCs w:val="24"/>
        </w:rPr>
        <w:t xml:space="preserve"> </w:t>
      </w:r>
    </w:p>
    <w:p w14:paraId="7748497C" w14:textId="77777777" w:rsidR="00016C24" w:rsidRPr="005624AC" w:rsidRDefault="00016C24" w:rsidP="00016C24">
      <w:pPr>
        <w:pStyle w:val="Normal0"/>
        <w:spacing w:after="160" w:line="240" w:lineRule="auto"/>
        <w:rPr>
          <w:rFonts w:ascii="Arial" w:hAnsi="Arial" w:cs="Arial"/>
          <w:sz w:val="24"/>
          <w:szCs w:val="24"/>
        </w:rPr>
      </w:pPr>
      <w:r w:rsidRPr="005624AC">
        <w:rPr>
          <w:rFonts w:ascii="Arial" w:hAnsi="Arial" w:cs="Arial"/>
          <w:sz w:val="24"/>
          <w:szCs w:val="24"/>
        </w:rPr>
        <w:t xml:space="preserve">The Mayor is responsible for the formal oversight of Greater Manchester Police (GMP), including provision of all funding, budget-setting, performance scrutiny and strategic policy development. The Mayor is also responsible for holding the Chief Constable to account for ensuring GMP is run efficiently and effectively. These responsibilities are carried out by the Mayor alongside Greater Manchester’s Deputy Mayor for Policing, Crime, Criminal Justice and Fire. Operational decision-making on day-to-day policing matters and the employment of police staff remains the responsibility of the Chief Constable. </w:t>
      </w:r>
    </w:p>
    <w:p w14:paraId="2B380E1D" w14:textId="77777777" w:rsidR="00016C24" w:rsidRPr="005624AC" w:rsidRDefault="00016C24" w:rsidP="00C67457">
      <w:pPr>
        <w:rPr>
          <w:rFonts w:ascii="Arial" w:hAnsi="Arial" w:cs="Arial"/>
        </w:rPr>
      </w:pPr>
      <w:r w:rsidRPr="005624AC">
        <w:rPr>
          <w:rFonts w:ascii="Arial" w:hAnsi="Arial" w:cs="Arial"/>
        </w:rPr>
        <w:t>For 2021/22 the PCC received core grant of £495m, ring fenced Police Uplift grant of £5.8m and Pension grant of £6.6m. The precept increase limit set by government for 2021/22 was £15 for a Band D property which would have been an increase in funding for Police and Crime in Greater Manchester of £25.8m.  Following consultation on a proposed £15 increase it was reduced to £10 in response to the issues raised by the public which reduced the overall funding increase by £3.8m.  Taking account of a deficit position on the Council Tax Collection Fund during the pandemic, an increase in the tax base and non-recurrent C</w:t>
      </w:r>
      <w:r>
        <w:rPr>
          <w:rFonts w:ascii="Arial" w:hAnsi="Arial" w:cs="Arial"/>
        </w:rPr>
        <w:t>OVID-19</w:t>
      </w:r>
      <w:r w:rsidRPr="005624AC">
        <w:rPr>
          <w:rFonts w:ascii="Arial" w:hAnsi="Arial" w:cs="Arial"/>
        </w:rPr>
        <w:t xml:space="preserve"> support funding for Council Tax the total amount from the precept was £167m.  This provided overall budget of £674.4m for policing in 2021/22.</w:t>
      </w:r>
    </w:p>
    <w:p w14:paraId="20822FF3" w14:textId="77777777" w:rsidR="00016C24" w:rsidRPr="005624AC" w:rsidRDefault="00016C24" w:rsidP="00016C24">
      <w:pPr>
        <w:pStyle w:val="Default"/>
        <w:rPr>
          <w:color w:val="auto"/>
        </w:rPr>
      </w:pPr>
    </w:p>
    <w:p w14:paraId="3D7646B5" w14:textId="77777777" w:rsidR="00016C24" w:rsidRPr="005624AC" w:rsidRDefault="00016C24" w:rsidP="00C67457">
      <w:pPr>
        <w:pStyle w:val="Default"/>
        <w:rPr>
          <w:rFonts w:eastAsiaTheme="minorHAnsi"/>
          <w:color w:val="auto"/>
          <w:lang w:eastAsia="en-US"/>
        </w:rPr>
      </w:pPr>
      <w:r w:rsidRPr="005624AC">
        <w:rPr>
          <w:color w:val="auto"/>
        </w:rPr>
        <w:t xml:space="preserve">Government funding for 2021/22 included the second </w:t>
      </w:r>
      <w:r w:rsidRPr="005624AC">
        <w:rPr>
          <w:rFonts w:eastAsiaTheme="minorHAnsi"/>
          <w:color w:val="auto"/>
          <w:lang w:eastAsia="en-US"/>
        </w:rPr>
        <w:t xml:space="preserve">year of the national expansion programme of 20,000 police officers over three years. In 2021/22 this was 6,000 officers nationally which for Greater Manchester equated to 325 officers plus 16 additional officers to support the North West Regional Crime Unit.  </w:t>
      </w:r>
      <w:r w:rsidRPr="005624AC">
        <w:rPr>
          <w:rFonts w:eastAsiaTheme="minorHAnsi"/>
          <w:color w:val="auto"/>
        </w:rPr>
        <w:t xml:space="preserve">Funding in the previous year 2020/21 included a front loaded contribution to the infrastructure costs of new officers (training, equipment etc) of £20m from which £5m was drawn down in 2021/22 onwards to support delivery. </w:t>
      </w:r>
      <w:r w:rsidRPr="005624AC">
        <w:rPr>
          <w:rFonts w:eastAsiaTheme="minorHAnsi"/>
          <w:color w:val="auto"/>
          <w:lang w:eastAsia="en-US"/>
        </w:rPr>
        <w:t>The 2021 Spending Review provided funding for the final 8,000 officers nationally which equates to further 438 in 2022/23.</w:t>
      </w:r>
    </w:p>
    <w:p w14:paraId="7D8367E4" w14:textId="77777777" w:rsidR="00016C24" w:rsidRPr="005624AC" w:rsidRDefault="00016C24" w:rsidP="00C67457">
      <w:pPr>
        <w:pStyle w:val="Default"/>
        <w:rPr>
          <w:color w:val="auto"/>
        </w:rPr>
      </w:pPr>
    </w:p>
    <w:p w14:paraId="35358360" w14:textId="5F6E145E" w:rsidR="00016C24" w:rsidRPr="005624AC" w:rsidRDefault="00016C24" w:rsidP="00C67457">
      <w:pPr>
        <w:pStyle w:val="Normal0"/>
        <w:spacing w:after="160" w:line="240" w:lineRule="auto"/>
        <w:rPr>
          <w:rFonts w:ascii="Arial" w:hAnsi="Arial" w:cs="Arial"/>
          <w:sz w:val="24"/>
          <w:szCs w:val="24"/>
          <w:lang w:val="en-GB"/>
        </w:rPr>
      </w:pPr>
      <w:r w:rsidRPr="005624AC">
        <w:rPr>
          <w:rFonts w:ascii="Arial" w:hAnsi="Arial" w:cs="Arial"/>
          <w:sz w:val="24"/>
          <w:szCs w:val="24"/>
          <w:lang w:val="en-GB"/>
        </w:rPr>
        <w:t xml:space="preserve">Greater Manchester is committed to building safer and stronger communities where every community and person in Greater Manchester feels safe and secure in their daily lives. The Greater Manchester Mayor fulfils the role of Police and Crime Commissioner. Launched in March 2018, this ambition is echoed in ‘Standing Together’, the Greater </w:t>
      </w:r>
      <w:r w:rsidRPr="005624AC">
        <w:rPr>
          <w:rFonts w:ascii="Arial" w:hAnsi="Arial" w:cs="Arial"/>
          <w:sz w:val="24"/>
          <w:szCs w:val="24"/>
          <w:lang w:val="en-GB"/>
        </w:rPr>
        <w:lastRenderedPageBreak/>
        <w:t xml:space="preserve">Manchester Police and Crime plan. Following the re-election of the Mayor in May 2021 the plan was extensively consulted on and refreshed during 2021/22 and approved by the Police, Fire and Crime Panel in January 2022. </w:t>
      </w:r>
    </w:p>
    <w:p w14:paraId="60FDC2EE" w14:textId="25A69402" w:rsidR="00016C24" w:rsidRPr="005624AC" w:rsidRDefault="00016C24" w:rsidP="00C67457">
      <w:pPr>
        <w:pStyle w:val="Normal0"/>
        <w:spacing w:after="160" w:line="240" w:lineRule="auto"/>
        <w:rPr>
          <w:rFonts w:ascii="Arial" w:hAnsi="Arial" w:cs="Arial"/>
          <w:sz w:val="24"/>
          <w:szCs w:val="24"/>
          <w:lang w:val="en-GB"/>
        </w:rPr>
      </w:pPr>
      <w:r w:rsidRPr="005624AC">
        <w:rPr>
          <w:rFonts w:ascii="Arial" w:hAnsi="Arial" w:cs="Arial"/>
          <w:sz w:val="24"/>
          <w:szCs w:val="24"/>
          <w:lang w:val="en-GB"/>
        </w:rPr>
        <w:t xml:space="preserve">The plan sets out the vision for how policing and other services which contribute to community safety will be delivered across Greater Manchester. </w:t>
      </w:r>
      <w:r w:rsidRPr="005624AC">
        <w:rPr>
          <w:rFonts w:ascii="Arial" w:hAnsi="Arial" w:cs="Arial"/>
          <w:bCs/>
          <w:sz w:val="24"/>
          <w:szCs w:val="24"/>
        </w:rPr>
        <w:t xml:space="preserve">The </w:t>
      </w:r>
      <w:r w:rsidR="003A3296" w:rsidRPr="005624AC">
        <w:rPr>
          <w:rFonts w:ascii="Arial" w:hAnsi="Arial" w:cs="Arial"/>
          <w:bCs/>
          <w:sz w:val="24"/>
          <w:szCs w:val="24"/>
        </w:rPr>
        <w:t>Medium-Term</w:t>
      </w:r>
      <w:r w:rsidRPr="005624AC">
        <w:rPr>
          <w:rFonts w:ascii="Arial" w:hAnsi="Arial" w:cs="Arial"/>
          <w:bCs/>
          <w:sz w:val="24"/>
          <w:szCs w:val="24"/>
        </w:rPr>
        <w:t xml:space="preserve"> Financial Plan </w:t>
      </w:r>
      <w:r w:rsidRPr="005624AC">
        <w:rPr>
          <w:rFonts w:ascii="Arial" w:hAnsi="Arial" w:cs="Arial"/>
          <w:sz w:val="24"/>
          <w:szCs w:val="24"/>
        </w:rPr>
        <w:t xml:space="preserve">(MTFP) </w:t>
      </w:r>
      <w:r w:rsidRPr="005624AC">
        <w:rPr>
          <w:rFonts w:ascii="Arial" w:hAnsi="Arial" w:cs="Arial"/>
          <w:bCs/>
          <w:sz w:val="24"/>
          <w:szCs w:val="24"/>
        </w:rPr>
        <w:t>provides the resourcing for the delivery of the priorities in the Standing Together Police and Crime Plan:</w:t>
      </w:r>
    </w:p>
    <w:p w14:paraId="022C0220" w14:textId="77777777" w:rsidR="00016C24" w:rsidRPr="005624AC" w:rsidRDefault="00016C24" w:rsidP="00C67457">
      <w:pPr>
        <w:rPr>
          <w:rFonts w:ascii="Arial" w:hAnsi="Arial" w:cs="Arial"/>
        </w:rPr>
      </w:pPr>
      <w:r w:rsidRPr="005624AC">
        <w:rPr>
          <w:rFonts w:ascii="Arial" w:hAnsi="Arial" w:cs="Arial"/>
          <w:b/>
        </w:rPr>
        <w:t xml:space="preserve">Keeping people safe </w:t>
      </w:r>
      <w:r w:rsidRPr="005624AC">
        <w:rPr>
          <w:rFonts w:ascii="Arial" w:hAnsi="Arial" w:cs="Arial"/>
          <w:bCs/>
        </w:rPr>
        <w:t xml:space="preserve">- </w:t>
      </w:r>
      <w:r w:rsidRPr="005624AC">
        <w:rPr>
          <w:rFonts w:ascii="Arial" w:hAnsi="Arial" w:cs="Arial"/>
        </w:rPr>
        <w:t>Protecting and caring for people who live, work, socialise and travel in Greater Manchester. Protecting those who are vulnerable and those who are victims of crime or at risk of being victimised. Building resilience, feelings of safety and confidence in policing and community safety.</w:t>
      </w:r>
    </w:p>
    <w:p w14:paraId="6D5A3B0C" w14:textId="77777777" w:rsidR="00016C24" w:rsidRPr="005624AC" w:rsidRDefault="00016C24" w:rsidP="00C67457">
      <w:pPr>
        <w:ind w:left="709"/>
        <w:rPr>
          <w:rFonts w:ascii="Arial" w:hAnsi="Arial" w:cs="Arial"/>
          <w:b/>
        </w:rPr>
      </w:pPr>
    </w:p>
    <w:p w14:paraId="399828C2" w14:textId="77777777" w:rsidR="00016C24" w:rsidRPr="005624AC" w:rsidRDefault="00016C24" w:rsidP="00C67457">
      <w:pPr>
        <w:rPr>
          <w:rFonts w:ascii="Arial" w:hAnsi="Arial" w:cs="Arial"/>
        </w:rPr>
      </w:pPr>
      <w:r w:rsidRPr="005624AC">
        <w:rPr>
          <w:rFonts w:ascii="Arial" w:hAnsi="Arial" w:cs="Arial"/>
          <w:b/>
        </w:rPr>
        <w:t>Reducing harm and offending</w:t>
      </w:r>
      <w:r w:rsidRPr="005624AC">
        <w:rPr>
          <w:rFonts w:ascii="Arial" w:hAnsi="Arial" w:cs="Arial"/>
          <w:bCs/>
        </w:rPr>
        <w:t xml:space="preserve"> - </w:t>
      </w:r>
      <w:r w:rsidRPr="005624AC">
        <w:rPr>
          <w:rFonts w:ascii="Arial" w:hAnsi="Arial" w:cs="Arial"/>
        </w:rPr>
        <w:t>Preventing anti-social and criminal behaviour including the most serious offending by solving problems, intervening early and rehabilitating offenders to build confidence in criminal justice.</w:t>
      </w:r>
    </w:p>
    <w:p w14:paraId="1D606C87" w14:textId="77777777" w:rsidR="00016C24" w:rsidRPr="005624AC" w:rsidRDefault="00016C24" w:rsidP="00C67457">
      <w:pPr>
        <w:ind w:left="709"/>
        <w:rPr>
          <w:rFonts w:ascii="Arial" w:hAnsi="Arial" w:cs="Arial"/>
          <w:b/>
        </w:rPr>
      </w:pPr>
    </w:p>
    <w:p w14:paraId="1730268D" w14:textId="77777777" w:rsidR="00016C24" w:rsidRPr="005624AC" w:rsidRDefault="00016C24" w:rsidP="00C67457">
      <w:pPr>
        <w:rPr>
          <w:rFonts w:ascii="Arial" w:hAnsi="Arial" w:cs="Arial"/>
        </w:rPr>
      </w:pPr>
      <w:r w:rsidRPr="005624AC">
        <w:rPr>
          <w:rFonts w:ascii="Arial" w:hAnsi="Arial" w:cs="Arial"/>
          <w:b/>
        </w:rPr>
        <w:t>Strengthening communities and places</w:t>
      </w:r>
      <w:r w:rsidRPr="005624AC">
        <w:rPr>
          <w:rFonts w:ascii="Arial" w:hAnsi="Arial" w:cs="Arial"/>
          <w:bCs/>
        </w:rPr>
        <w:t xml:space="preserve"> - </w:t>
      </w:r>
      <w:r w:rsidRPr="005624AC">
        <w:rPr>
          <w:rFonts w:ascii="Arial" w:hAnsi="Arial" w:cs="Arial"/>
        </w:rPr>
        <w:t>Helping to build resilient and resourceful communities including online communities and protecting the places where people live, work, socialise or travel. Supporting the delivery of the IT systems, buildings, roads, street lighting and other public assets needed to solve problems in a 21</w:t>
      </w:r>
      <w:r w:rsidRPr="005624AC">
        <w:rPr>
          <w:rFonts w:ascii="Arial" w:hAnsi="Arial" w:cs="Arial"/>
          <w:vertAlign w:val="superscript"/>
        </w:rPr>
        <w:t>st</w:t>
      </w:r>
      <w:r w:rsidRPr="005624AC">
        <w:rPr>
          <w:rFonts w:ascii="Arial" w:hAnsi="Arial" w:cs="Arial"/>
        </w:rPr>
        <w:t xml:space="preserve"> century society.</w:t>
      </w:r>
    </w:p>
    <w:p w14:paraId="2D43A8D8" w14:textId="77777777" w:rsidR="00016C24" w:rsidRPr="005624AC" w:rsidRDefault="00016C24" w:rsidP="00C67457">
      <w:pPr>
        <w:rPr>
          <w:rFonts w:ascii="Arial" w:hAnsi="Arial" w:cs="Arial"/>
        </w:rPr>
      </w:pPr>
    </w:p>
    <w:p w14:paraId="17B13419" w14:textId="77777777" w:rsidR="00016C24" w:rsidRDefault="00016C24" w:rsidP="00C67457">
      <w:pPr>
        <w:rPr>
          <w:rFonts w:ascii="Arial" w:hAnsi="Arial" w:cs="Arial"/>
        </w:rPr>
      </w:pPr>
      <w:r w:rsidRPr="005624AC">
        <w:rPr>
          <w:rFonts w:ascii="Arial" w:hAnsi="Arial" w:cs="Arial"/>
        </w:rPr>
        <w:t xml:space="preserve">The refresh of the police and crime plan reflected the Greater Manchester Strategy and the emphasis on place based, multi-agency working, inequalities and the climate emergency.  Priorities including the assessment from Her Majesty’s Inspectorate of Constabulary and Fire &amp; Rescue (HMICFRS) of policing in Greater Manchester, learning from the COVID-19 pandemic, new ways of working and changes to patterns of need and demand and the Greater Manchester Gender Based Violence Strategy are reflected in the refreshed plan. </w:t>
      </w:r>
    </w:p>
    <w:p w14:paraId="04285D75" w14:textId="77777777" w:rsidR="00016C24" w:rsidRDefault="00016C24" w:rsidP="00016C24">
      <w:pPr>
        <w:jc w:val="both"/>
        <w:rPr>
          <w:rFonts w:ascii="Arial" w:hAnsi="Arial" w:cs="Arial"/>
        </w:rPr>
      </w:pPr>
    </w:p>
    <w:p w14:paraId="1B95F1BA" w14:textId="545A4ADF" w:rsidR="00016C24" w:rsidRPr="00E54D9A" w:rsidRDefault="00016C24" w:rsidP="00016C24">
      <w:pPr>
        <w:rPr>
          <w:rFonts w:ascii="Arial" w:eastAsia="Calibri" w:hAnsi="Arial"/>
          <w:sz w:val="22"/>
          <w:szCs w:val="22"/>
          <w:lang w:eastAsia="en-GB"/>
        </w:rPr>
      </w:pPr>
      <w:bookmarkStart w:id="32" w:name="_Hlk109036275"/>
      <w:r w:rsidRPr="00E54D9A">
        <w:rPr>
          <w:rFonts w:ascii="Arial" w:eastAsia="Calibri" w:hAnsi="Arial"/>
          <w:lang w:eastAsia="en-GB"/>
        </w:rPr>
        <w:t xml:space="preserve">For GMP 2021/22 reflected a year of improvement in operational delivery and services to the public. The launch of the Plan </w:t>
      </w:r>
      <w:r w:rsidR="003A3296" w:rsidRPr="00E54D9A">
        <w:rPr>
          <w:rFonts w:ascii="Arial" w:eastAsia="Calibri" w:hAnsi="Arial"/>
          <w:lang w:eastAsia="en-GB"/>
        </w:rPr>
        <w:t>on</w:t>
      </w:r>
      <w:r w:rsidRPr="00E54D9A">
        <w:rPr>
          <w:rFonts w:ascii="Arial" w:eastAsia="Calibri" w:hAnsi="Arial"/>
          <w:lang w:eastAsia="en-GB"/>
        </w:rPr>
        <w:t xml:space="preserve"> A Page (POAP) improvement programme in September 2021 established the basics required to prevent and reduce crime, to keep people safe and to care for victims. The publication of the HMICFRS PEEL inspection in March 2022</w:t>
      </w:r>
      <w:r w:rsidRPr="00E54D9A">
        <w:rPr>
          <w:rFonts w:ascii="Arial" w:hAnsi="Arial" w:cs="Arial"/>
          <w:lang w:eastAsia="en-GB"/>
        </w:rPr>
        <w:t>, whilst highlighting significant improvements are still required,</w:t>
      </w:r>
      <w:r w:rsidRPr="00E54D9A">
        <w:rPr>
          <w:rFonts w:ascii="Arial" w:eastAsia="Calibri" w:hAnsi="Arial"/>
          <w:lang w:eastAsia="en-GB"/>
        </w:rPr>
        <w:t xml:space="preserve"> set out that progress GMP had made since it published its new action plan in September, reflecting the “greenshoots” of improvement achieved in 2021/22.   The workforce has been strengthened during 2021/22 from a net growth in police officer numbers during 2021/22 of 280 and improved leadership and performance management framework.  </w:t>
      </w:r>
    </w:p>
    <w:bookmarkEnd w:id="32"/>
    <w:p w14:paraId="62672417" w14:textId="77777777" w:rsidR="00016C24" w:rsidRPr="005624AC" w:rsidRDefault="00016C24" w:rsidP="00016C24">
      <w:pPr>
        <w:pStyle w:val="Default"/>
        <w:rPr>
          <w:rFonts w:eastAsiaTheme="minorHAnsi"/>
          <w:color w:val="auto"/>
        </w:rPr>
      </w:pPr>
    </w:p>
    <w:p w14:paraId="29E0770D" w14:textId="77777777" w:rsidR="00016C24" w:rsidRPr="005624AC" w:rsidRDefault="00016C24" w:rsidP="00016C24">
      <w:pPr>
        <w:pStyle w:val="Default"/>
        <w:rPr>
          <w:color w:val="auto"/>
        </w:rPr>
      </w:pPr>
      <w:r w:rsidRPr="005624AC">
        <w:rPr>
          <w:color w:val="auto"/>
        </w:rPr>
        <w:t>Youth Justice Services work to intervene earlier with young people who displayed offending behaviour to prevent them from getting involved in crime in the first place. The Deputy Mayor for Police and Crime has committed £0.5m per year for three years to support this important work.</w:t>
      </w:r>
    </w:p>
    <w:p w14:paraId="2343E865" w14:textId="77777777" w:rsidR="00016C24" w:rsidRPr="005624AC" w:rsidRDefault="00016C24" w:rsidP="00016C24">
      <w:pPr>
        <w:pStyle w:val="Default"/>
        <w:rPr>
          <w:rFonts w:eastAsiaTheme="minorHAnsi"/>
          <w:color w:val="auto"/>
          <w:lang w:eastAsia="en-US"/>
        </w:rPr>
      </w:pPr>
    </w:p>
    <w:p w14:paraId="7F3726C8" w14:textId="77777777" w:rsidR="00016C24" w:rsidRPr="005624AC" w:rsidRDefault="00016C24" w:rsidP="00016C24">
      <w:pPr>
        <w:pStyle w:val="Normal0"/>
        <w:spacing w:after="160" w:line="240" w:lineRule="auto"/>
        <w:rPr>
          <w:rFonts w:ascii="Arial" w:hAnsi="Arial" w:cs="Arial"/>
          <w:sz w:val="24"/>
          <w:szCs w:val="24"/>
          <w:lang w:val="en-GB"/>
        </w:rPr>
      </w:pPr>
      <w:r w:rsidRPr="005624AC">
        <w:rPr>
          <w:rFonts w:ascii="Arial" w:hAnsi="Arial" w:cs="Arial"/>
          <w:sz w:val="24"/>
          <w:szCs w:val="24"/>
          <w:lang w:val="en-GB"/>
        </w:rPr>
        <w:t xml:space="preserve">Greater Manchester was the first police force area in the country to work with health colleagues to commission jointly an integrated custody healthcare and liaison and diversion service, providing vulnerable people both within custody and at court with the support they need at the right time in the right place. Everyone who comes into custody has a needs assessment completed which helps to identify and respond to their </w:t>
      </w:r>
      <w:r w:rsidRPr="005624AC">
        <w:rPr>
          <w:rFonts w:ascii="Arial" w:hAnsi="Arial" w:cs="Arial"/>
          <w:sz w:val="24"/>
          <w:szCs w:val="24"/>
          <w:lang w:val="en-GB"/>
        </w:rPr>
        <w:lastRenderedPageBreak/>
        <w:t>vulnerabilities, accessing support and interventions, which will help them to reduce their offending.</w:t>
      </w:r>
    </w:p>
    <w:p w14:paraId="01D7BA6D" w14:textId="77777777" w:rsidR="00016C24" w:rsidRPr="005624AC" w:rsidRDefault="00016C24" w:rsidP="00016C24">
      <w:pPr>
        <w:pStyle w:val="Normal0"/>
        <w:spacing w:after="160" w:line="240" w:lineRule="auto"/>
        <w:rPr>
          <w:rFonts w:ascii="Arial" w:hAnsi="Arial" w:cs="Arial"/>
          <w:sz w:val="24"/>
          <w:szCs w:val="24"/>
          <w:lang w:val="en-GB"/>
        </w:rPr>
      </w:pPr>
      <w:r w:rsidRPr="005624AC">
        <w:rPr>
          <w:rFonts w:ascii="Arial" w:hAnsi="Arial" w:cs="Arial"/>
          <w:sz w:val="24"/>
          <w:szCs w:val="24"/>
          <w:lang w:val="en-GB"/>
        </w:rPr>
        <w:t>The police service is working closely with partners to support individuals before they reach crisis point. Supported by a network of health professionals and skilled community volunteers, we have invested in schemes that support both victims of domestic abuse and people who have mental ill health, who may come into the criminal justice system because they are vulnerable and aims to reduce the risk of them coming into contact with the criminal justice system in the future.</w:t>
      </w:r>
    </w:p>
    <w:p w14:paraId="4C178D23" w14:textId="77777777" w:rsidR="00016C24" w:rsidRPr="00A32E4A" w:rsidRDefault="00016C24" w:rsidP="00016C24">
      <w:pPr>
        <w:pStyle w:val="Normal0"/>
        <w:spacing w:after="160" w:line="240" w:lineRule="auto"/>
        <w:rPr>
          <w:rFonts w:ascii="Arial" w:hAnsi="Arial" w:cs="Arial"/>
          <w:sz w:val="24"/>
          <w:szCs w:val="24"/>
          <w:lang w:val="en-GB"/>
        </w:rPr>
      </w:pPr>
      <w:r w:rsidRPr="005624AC">
        <w:rPr>
          <w:rFonts w:ascii="Arial" w:hAnsi="Arial" w:cs="Arial"/>
          <w:sz w:val="24"/>
          <w:szCs w:val="24"/>
          <w:lang w:val="en-GB"/>
        </w:rPr>
        <w:t>The Deputy Mayor works closely with GM Authority Community Safety Partnerships. In 2021/22, over £4m was delegated to Community Safety Partnerships to support delivery of ‘Standing Together’ collectively making our communities safer and more resilient. Part of this funding was ring fenced for supporting communities to contribute to reducing crime and anti-social behaviour in the areas where they live. This meant that more than 70 community groups across Greater Manchester have received funding through their local community safety partnerships and their work has been invaluable to tackling local priorities.</w:t>
      </w:r>
    </w:p>
    <w:p w14:paraId="3E8E51A2" w14:textId="77777777" w:rsidR="00016C24" w:rsidRDefault="00016C24" w:rsidP="00016C24">
      <w:pPr>
        <w:pStyle w:val="Heading3"/>
        <w:spacing w:before="0" w:after="0"/>
        <w:rPr>
          <w:sz w:val="24"/>
          <w:szCs w:val="24"/>
        </w:rPr>
      </w:pPr>
      <w:bookmarkStart w:id="33" w:name="_Toc109922586"/>
      <w:bookmarkStart w:id="34" w:name="_Hlk109049380"/>
      <w:bookmarkStart w:id="35" w:name="_Hlk108780610"/>
      <w:bookmarkEnd w:id="31"/>
      <w:r w:rsidRPr="0053103E">
        <w:rPr>
          <w:sz w:val="24"/>
          <w:szCs w:val="24"/>
        </w:rPr>
        <w:t>Greater Manchester Fire and Rescue Service</w:t>
      </w:r>
      <w:bookmarkEnd w:id="33"/>
    </w:p>
    <w:p w14:paraId="74DE7D21" w14:textId="77777777" w:rsidR="00016C24" w:rsidRPr="0053103E" w:rsidRDefault="00016C24" w:rsidP="00016C24"/>
    <w:p w14:paraId="16734D8E" w14:textId="230794D3" w:rsidR="00016C24" w:rsidRPr="0053103E" w:rsidRDefault="00016C24" w:rsidP="00016C24">
      <w:pPr>
        <w:pStyle w:val="Normal0"/>
        <w:spacing w:line="240" w:lineRule="auto"/>
        <w:rPr>
          <w:rFonts w:ascii="Arial" w:hAnsi="Arial" w:cs="Arial"/>
          <w:sz w:val="24"/>
          <w:szCs w:val="24"/>
        </w:rPr>
      </w:pPr>
      <w:r w:rsidRPr="0053103E">
        <w:rPr>
          <w:rFonts w:ascii="Arial" w:hAnsi="Arial" w:cs="Arial"/>
          <w:sz w:val="24"/>
          <w:szCs w:val="24"/>
        </w:rPr>
        <w:t>Greater Manchester Fire and Rescue Service (GMFRS) is one of the largest Fire and Rescue Services outside London with around 1,800 full time equivalent members of staff and 41 fire stations covering an area of approximately 500</w:t>
      </w:r>
      <w:r w:rsidR="00927C84">
        <w:rPr>
          <w:rFonts w:ascii="Arial" w:hAnsi="Arial" w:cs="Arial"/>
          <w:sz w:val="24"/>
          <w:szCs w:val="24"/>
        </w:rPr>
        <w:t>m</w:t>
      </w:r>
      <w:r w:rsidR="00927C84" w:rsidRPr="00927C84">
        <w:rPr>
          <w:rFonts w:ascii="Arial" w:hAnsi="Arial" w:cs="Arial"/>
          <w:sz w:val="24"/>
          <w:szCs w:val="24"/>
          <w:vertAlign w:val="superscript"/>
        </w:rPr>
        <w:t>2</w:t>
      </w:r>
      <w:r w:rsidRPr="0053103E">
        <w:rPr>
          <w:rFonts w:ascii="Arial" w:hAnsi="Arial" w:cs="Arial"/>
          <w:sz w:val="24"/>
          <w:szCs w:val="24"/>
        </w:rPr>
        <w:t>. GMFRS work closely with the local community to make Greater Manchester a safer place to live, work and visit. GMFRS are also responsible for enforcing fire safety legislations.</w:t>
      </w:r>
    </w:p>
    <w:p w14:paraId="60731015" w14:textId="77777777" w:rsidR="00016C24" w:rsidRDefault="00016C24" w:rsidP="00016C24">
      <w:pPr>
        <w:pStyle w:val="Normal0"/>
        <w:spacing w:line="240" w:lineRule="auto"/>
        <w:rPr>
          <w:rFonts w:ascii="Arial" w:hAnsi="Arial" w:cs="Arial"/>
          <w:sz w:val="24"/>
          <w:szCs w:val="24"/>
        </w:rPr>
      </w:pPr>
    </w:p>
    <w:p w14:paraId="393CEB1E" w14:textId="45AD226F" w:rsidR="00016C24" w:rsidRPr="0053103E" w:rsidRDefault="00016C24" w:rsidP="00016C24">
      <w:pPr>
        <w:pStyle w:val="Normal0"/>
        <w:spacing w:line="240" w:lineRule="auto"/>
        <w:rPr>
          <w:rFonts w:ascii="Arial" w:hAnsi="Arial" w:cs="Arial"/>
          <w:sz w:val="24"/>
          <w:szCs w:val="24"/>
        </w:rPr>
      </w:pPr>
      <w:r w:rsidRPr="0053103E">
        <w:rPr>
          <w:rFonts w:ascii="Arial" w:hAnsi="Arial" w:cs="Arial"/>
          <w:sz w:val="24"/>
          <w:szCs w:val="24"/>
        </w:rPr>
        <w:t>The Annual Delivery Plan 2021/22 introduced the new GMFRS Improvement Programme, and was made up of several improvement projects, all aligned to the Mayor’s Fire Plan as the framework to deliver against. The programme focused on improving and investing in the Service, whilst at the same time enabling the organisation to deliver against key elements of the Her Majesty's Inspectorate of Constabulary and Fire &amp; Rescue Services (HMICFRS) improvement action plan. Our most recent inspection by confirmed we are an evolving and improving service with inspectors reporting a positive shift in the leadership and culture of GMFRS. We will continue to work with HMICFRS to implement further improvements to deliver our statutory core functions extraordinarily well and create an increasingly outward facing fire and rescue service.</w:t>
      </w:r>
    </w:p>
    <w:p w14:paraId="7114B08B" w14:textId="77777777" w:rsidR="00016C24" w:rsidRDefault="00016C24" w:rsidP="00016C24">
      <w:pPr>
        <w:rPr>
          <w:rFonts w:ascii="Arial" w:hAnsi="Arial" w:cs="Arial"/>
        </w:rPr>
      </w:pPr>
    </w:p>
    <w:p w14:paraId="41C5ABBF" w14:textId="77777777" w:rsidR="00016C24" w:rsidRPr="0053103E" w:rsidRDefault="00016C24" w:rsidP="00016C24">
      <w:pPr>
        <w:rPr>
          <w:rFonts w:ascii="Arial" w:hAnsi="Arial" w:cs="Arial"/>
        </w:rPr>
      </w:pPr>
      <w:r>
        <w:rPr>
          <w:rFonts w:ascii="Arial" w:hAnsi="Arial" w:cs="Arial"/>
        </w:rPr>
        <w:t>Over the last</w:t>
      </w:r>
      <w:r w:rsidRPr="0053103E">
        <w:rPr>
          <w:rFonts w:ascii="Arial" w:hAnsi="Arial" w:cs="Arial"/>
        </w:rPr>
        <w:t xml:space="preserve"> year</w:t>
      </w:r>
      <w:r>
        <w:rPr>
          <w:rFonts w:ascii="Arial" w:hAnsi="Arial" w:cs="Arial"/>
        </w:rPr>
        <w:t xml:space="preserve"> there has been a focus on </w:t>
      </w:r>
      <w:r w:rsidRPr="0053103E">
        <w:rPr>
          <w:rFonts w:ascii="Arial" w:hAnsi="Arial" w:cs="Arial"/>
        </w:rPr>
        <w:t>develop</w:t>
      </w:r>
      <w:r>
        <w:rPr>
          <w:rFonts w:ascii="Arial" w:hAnsi="Arial" w:cs="Arial"/>
        </w:rPr>
        <w:t>ing</w:t>
      </w:r>
      <w:r w:rsidRPr="0053103E">
        <w:rPr>
          <w:rFonts w:ascii="Arial" w:hAnsi="Arial" w:cs="Arial"/>
        </w:rPr>
        <w:t xml:space="preserve"> a culture of excellence, equality</w:t>
      </w:r>
      <w:r>
        <w:rPr>
          <w:rFonts w:ascii="Arial" w:hAnsi="Arial" w:cs="Arial"/>
        </w:rPr>
        <w:t xml:space="preserve"> </w:t>
      </w:r>
      <w:r w:rsidRPr="0053103E">
        <w:rPr>
          <w:rFonts w:ascii="Arial" w:hAnsi="Arial" w:cs="Arial"/>
        </w:rPr>
        <w:t xml:space="preserve">and inclusivity </w:t>
      </w:r>
      <w:r>
        <w:rPr>
          <w:rFonts w:ascii="Arial" w:hAnsi="Arial" w:cs="Arial"/>
        </w:rPr>
        <w:t xml:space="preserve">and </w:t>
      </w:r>
      <w:r w:rsidRPr="0053103E">
        <w:rPr>
          <w:rFonts w:ascii="Arial" w:hAnsi="Arial" w:cs="Arial"/>
        </w:rPr>
        <w:t>significant progress has been made against our strategic priorities</w:t>
      </w:r>
      <w:r>
        <w:rPr>
          <w:rFonts w:ascii="Arial" w:hAnsi="Arial" w:cs="Arial"/>
        </w:rPr>
        <w:t>:</w:t>
      </w:r>
    </w:p>
    <w:p w14:paraId="575AA3EA" w14:textId="77777777" w:rsidR="00016C24" w:rsidRPr="0053103E" w:rsidRDefault="00016C24" w:rsidP="00016C24">
      <w:pPr>
        <w:rPr>
          <w:rFonts w:ascii="Arial" w:hAnsi="Arial" w:cs="Arial"/>
          <w:lang w:val="en-US"/>
        </w:rPr>
      </w:pPr>
    </w:p>
    <w:p w14:paraId="4B4F2691" w14:textId="77777777" w:rsidR="00016C24" w:rsidRPr="0053103E" w:rsidRDefault="00016C24" w:rsidP="00016C24">
      <w:pPr>
        <w:pStyle w:val="ListParagraph"/>
        <w:spacing w:after="0" w:line="240" w:lineRule="auto"/>
        <w:ind w:left="0"/>
        <w:rPr>
          <w:rFonts w:ascii="Arial" w:hAnsi="Arial" w:cs="Arial"/>
          <w:b/>
          <w:sz w:val="24"/>
          <w:szCs w:val="24"/>
        </w:rPr>
      </w:pPr>
      <w:r w:rsidRPr="0053103E">
        <w:rPr>
          <w:rFonts w:ascii="Arial" w:hAnsi="Arial" w:cs="Arial"/>
          <w:b/>
          <w:sz w:val="24"/>
          <w:szCs w:val="24"/>
        </w:rPr>
        <w:t xml:space="preserve">Priority 1: </w:t>
      </w:r>
      <w:r w:rsidRPr="0053103E">
        <w:rPr>
          <w:rFonts w:ascii="Arial" w:hAnsi="Arial" w:cs="Arial"/>
          <w:b/>
          <w:bCs/>
          <w:sz w:val="24"/>
          <w:szCs w:val="24"/>
        </w:rPr>
        <w:t>Provide a fast, safe, and effective response</w:t>
      </w:r>
    </w:p>
    <w:p w14:paraId="36876B5B" w14:textId="77777777" w:rsidR="00016C24" w:rsidRPr="0053103E" w:rsidRDefault="00016C24" w:rsidP="00EB27EB">
      <w:pPr>
        <w:pStyle w:val="ListParagraph"/>
        <w:numPr>
          <w:ilvl w:val="0"/>
          <w:numId w:val="70"/>
        </w:numPr>
        <w:spacing w:after="0" w:line="240" w:lineRule="auto"/>
        <w:ind w:left="284" w:hanging="284"/>
        <w:rPr>
          <w:rFonts w:ascii="Arial" w:hAnsi="Arial" w:cs="Arial"/>
          <w:sz w:val="24"/>
          <w:szCs w:val="24"/>
        </w:rPr>
      </w:pPr>
      <w:r w:rsidRPr="0053103E">
        <w:rPr>
          <w:rFonts w:ascii="Arial" w:hAnsi="Arial" w:cs="Arial"/>
          <w:sz w:val="24"/>
          <w:szCs w:val="24"/>
        </w:rPr>
        <w:t>Implemented 999 Eye at North West Fire Control</w:t>
      </w:r>
    </w:p>
    <w:p w14:paraId="042E645E" w14:textId="77777777" w:rsidR="00016C24" w:rsidRPr="0053103E" w:rsidRDefault="00016C24" w:rsidP="00EB27EB">
      <w:pPr>
        <w:pStyle w:val="ListParagraph"/>
        <w:numPr>
          <w:ilvl w:val="0"/>
          <w:numId w:val="70"/>
        </w:numPr>
        <w:spacing w:after="0" w:line="240" w:lineRule="auto"/>
        <w:ind w:left="284" w:hanging="284"/>
        <w:rPr>
          <w:rFonts w:ascii="Arial" w:hAnsi="Arial" w:cs="Arial"/>
          <w:sz w:val="24"/>
          <w:szCs w:val="24"/>
        </w:rPr>
      </w:pPr>
      <w:r w:rsidRPr="0053103E">
        <w:rPr>
          <w:rFonts w:ascii="Arial" w:hAnsi="Arial" w:cs="Arial"/>
          <w:sz w:val="24"/>
          <w:szCs w:val="24"/>
        </w:rPr>
        <w:t xml:space="preserve">Negotiated with the Fire Brigade Union to implement a new </w:t>
      </w:r>
      <w:r>
        <w:rPr>
          <w:rFonts w:ascii="Arial" w:hAnsi="Arial" w:cs="Arial"/>
          <w:sz w:val="24"/>
          <w:szCs w:val="24"/>
        </w:rPr>
        <w:t>‘</w:t>
      </w:r>
      <w:r w:rsidRPr="0053103E">
        <w:rPr>
          <w:rFonts w:ascii="Arial" w:hAnsi="Arial" w:cs="Arial"/>
          <w:sz w:val="24"/>
          <w:szCs w:val="24"/>
        </w:rPr>
        <w:t>Marauding Terrorist Attack</w:t>
      </w:r>
      <w:r>
        <w:rPr>
          <w:rFonts w:ascii="Arial" w:hAnsi="Arial" w:cs="Arial"/>
          <w:sz w:val="24"/>
          <w:szCs w:val="24"/>
        </w:rPr>
        <w:t>’</w:t>
      </w:r>
      <w:r w:rsidRPr="0053103E">
        <w:rPr>
          <w:rFonts w:ascii="Arial" w:hAnsi="Arial" w:cs="Arial"/>
          <w:sz w:val="24"/>
          <w:szCs w:val="24"/>
        </w:rPr>
        <w:t xml:space="preserve"> operating model</w:t>
      </w:r>
    </w:p>
    <w:p w14:paraId="02CD299E" w14:textId="77777777" w:rsidR="00016C24" w:rsidRPr="0053103E" w:rsidRDefault="00016C24" w:rsidP="00EB27EB">
      <w:pPr>
        <w:pStyle w:val="ListParagraph"/>
        <w:numPr>
          <w:ilvl w:val="0"/>
          <w:numId w:val="70"/>
        </w:numPr>
        <w:spacing w:after="0" w:line="240" w:lineRule="auto"/>
        <w:ind w:left="284" w:hanging="284"/>
        <w:rPr>
          <w:rFonts w:ascii="Arial" w:hAnsi="Arial" w:cs="Arial"/>
          <w:sz w:val="24"/>
          <w:szCs w:val="24"/>
        </w:rPr>
      </w:pPr>
      <w:r w:rsidRPr="0053103E">
        <w:rPr>
          <w:rFonts w:ascii="Arial" w:hAnsi="Arial" w:cs="Arial"/>
          <w:sz w:val="24"/>
          <w:szCs w:val="24"/>
        </w:rPr>
        <w:t>Implemented Flexile Day Crewing</w:t>
      </w:r>
    </w:p>
    <w:p w14:paraId="13C2401C" w14:textId="77777777" w:rsidR="00016C24" w:rsidRPr="0053103E" w:rsidRDefault="00016C24" w:rsidP="00EB27EB">
      <w:pPr>
        <w:pStyle w:val="ListParagraph"/>
        <w:numPr>
          <w:ilvl w:val="0"/>
          <w:numId w:val="70"/>
        </w:numPr>
        <w:spacing w:after="0" w:line="240" w:lineRule="auto"/>
        <w:ind w:left="284" w:hanging="284"/>
        <w:rPr>
          <w:rFonts w:ascii="Arial" w:hAnsi="Arial" w:cs="Arial"/>
          <w:sz w:val="24"/>
          <w:szCs w:val="24"/>
        </w:rPr>
      </w:pPr>
      <w:r w:rsidRPr="0053103E">
        <w:rPr>
          <w:rFonts w:ascii="Arial" w:hAnsi="Arial" w:cs="Arial"/>
          <w:sz w:val="24"/>
          <w:szCs w:val="24"/>
        </w:rPr>
        <w:t>Successful rollout of new Mobile Data Terminals across all fire appliances</w:t>
      </w:r>
    </w:p>
    <w:p w14:paraId="1E221E02" w14:textId="77777777" w:rsidR="00016C24" w:rsidRPr="0053103E" w:rsidRDefault="00016C24" w:rsidP="00EB27EB">
      <w:pPr>
        <w:pStyle w:val="ListParagraph"/>
        <w:numPr>
          <w:ilvl w:val="0"/>
          <w:numId w:val="70"/>
        </w:numPr>
        <w:spacing w:after="0" w:line="240" w:lineRule="auto"/>
        <w:ind w:left="284" w:hanging="284"/>
        <w:rPr>
          <w:rFonts w:ascii="Arial" w:hAnsi="Arial" w:cs="Arial"/>
          <w:sz w:val="24"/>
          <w:szCs w:val="24"/>
        </w:rPr>
      </w:pPr>
      <w:r w:rsidRPr="0053103E">
        <w:rPr>
          <w:rFonts w:ascii="Arial" w:hAnsi="Arial" w:cs="Arial"/>
          <w:sz w:val="24"/>
          <w:szCs w:val="24"/>
        </w:rPr>
        <w:t xml:space="preserve">Invested in new appliances </w:t>
      </w:r>
    </w:p>
    <w:p w14:paraId="1DE6072C" w14:textId="77777777" w:rsidR="00016C24" w:rsidRPr="0053103E" w:rsidRDefault="00016C24" w:rsidP="00EB27EB">
      <w:pPr>
        <w:pStyle w:val="ListParagraph"/>
        <w:numPr>
          <w:ilvl w:val="0"/>
          <w:numId w:val="70"/>
        </w:numPr>
        <w:spacing w:after="0" w:line="240" w:lineRule="auto"/>
        <w:ind w:left="284" w:hanging="284"/>
        <w:rPr>
          <w:rFonts w:ascii="Arial" w:hAnsi="Arial" w:cs="Arial"/>
          <w:sz w:val="24"/>
          <w:szCs w:val="24"/>
        </w:rPr>
      </w:pPr>
      <w:r w:rsidRPr="0053103E">
        <w:rPr>
          <w:rFonts w:ascii="Arial" w:hAnsi="Arial" w:cs="Arial"/>
          <w:sz w:val="24"/>
          <w:szCs w:val="24"/>
        </w:rPr>
        <w:t>Delivered High Rise Training, testing new equipment and involving wider stakeholders</w:t>
      </w:r>
    </w:p>
    <w:p w14:paraId="1CADF1A9" w14:textId="77777777" w:rsidR="00016C24" w:rsidRPr="0053103E" w:rsidRDefault="00016C24" w:rsidP="00EB27EB">
      <w:pPr>
        <w:pStyle w:val="ListParagraph"/>
        <w:numPr>
          <w:ilvl w:val="0"/>
          <w:numId w:val="70"/>
        </w:numPr>
        <w:spacing w:after="0" w:line="240" w:lineRule="auto"/>
        <w:ind w:left="284" w:hanging="284"/>
        <w:rPr>
          <w:rFonts w:ascii="Arial" w:hAnsi="Arial" w:cs="Arial"/>
          <w:sz w:val="24"/>
          <w:szCs w:val="24"/>
        </w:rPr>
      </w:pPr>
      <w:r w:rsidRPr="0053103E">
        <w:rPr>
          <w:rFonts w:ascii="Arial" w:hAnsi="Arial" w:cs="Arial"/>
          <w:sz w:val="24"/>
          <w:szCs w:val="24"/>
        </w:rPr>
        <w:t xml:space="preserve">Developed Training Strategy and successfully implemented Year 1 </w:t>
      </w:r>
    </w:p>
    <w:p w14:paraId="581CAF98" w14:textId="77777777" w:rsidR="00016C24" w:rsidRPr="0053103E" w:rsidRDefault="00016C24" w:rsidP="00016C24">
      <w:pPr>
        <w:ind w:left="785"/>
        <w:rPr>
          <w:rFonts w:ascii="Arial" w:hAnsi="Arial" w:cs="Arial"/>
        </w:rPr>
      </w:pPr>
    </w:p>
    <w:p w14:paraId="5F8933D5" w14:textId="77777777" w:rsidR="00016C24" w:rsidRPr="0053103E" w:rsidRDefault="00016C24" w:rsidP="00016C24">
      <w:pPr>
        <w:pStyle w:val="ListParagraph"/>
        <w:spacing w:after="0" w:line="240" w:lineRule="auto"/>
        <w:ind w:left="0"/>
        <w:rPr>
          <w:rFonts w:ascii="Arial" w:hAnsi="Arial" w:cs="Arial"/>
          <w:b/>
          <w:sz w:val="24"/>
          <w:szCs w:val="24"/>
        </w:rPr>
      </w:pPr>
      <w:r w:rsidRPr="0053103E">
        <w:rPr>
          <w:rFonts w:ascii="Arial" w:hAnsi="Arial" w:cs="Arial"/>
          <w:b/>
          <w:sz w:val="24"/>
          <w:szCs w:val="24"/>
        </w:rPr>
        <w:lastRenderedPageBreak/>
        <w:t xml:space="preserve">Priority 2: </w:t>
      </w:r>
      <w:r w:rsidRPr="0053103E">
        <w:rPr>
          <w:rFonts w:ascii="Arial" w:hAnsi="Arial" w:cs="Arial"/>
          <w:b/>
          <w:bCs/>
          <w:sz w:val="24"/>
          <w:szCs w:val="24"/>
        </w:rPr>
        <w:t>Help people reduce the risk of fires and other emergencies</w:t>
      </w:r>
    </w:p>
    <w:p w14:paraId="2D965583" w14:textId="77777777" w:rsidR="00016C24" w:rsidRPr="0053103E" w:rsidRDefault="00016C24" w:rsidP="00EB27EB">
      <w:pPr>
        <w:pStyle w:val="ListParagraph"/>
        <w:numPr>
          <w:ilvl w:val="0"/>
          <w:numId w:val="71"/>
        </w:numPr>
        <w:spacing w:after="0" w:line="240" w:lineRule="auto"/>
        <w:ind w:left="284" w:hanging="284"/>
        <w:rPr>
          <w:rFonts w:ascii="Arial" w:eastAsiaTheme="minorEastAsia" w:hAnsi="Arial" w:cs="Arial"/>
          <w:sz w:val="24"/>
          <w:szCs w:val="24"/>
        </w:rPr>
      </w:pPr>
      <w:r w:rsidRPr="0053103E">
        <w:rPr>
          <w:rFonts w:ascii="Arial" w:hAnsi="Arial" w:cs="Arial"/>
          <w:sz w:val="24"/>
          <w:szCs w:val="24"/>
        </w:rPr>
        <w:t>Designed and introduced the H</w:t>
      </w:r>
      <w:r>
        <w:rPr>
          <w:rFonts w:ascii="Arial" w:hAnsi="Arial" w:cs="Arial"/>
          <w:sz w:val="24"/>
          <w:szCs w:val="24"/>
        </w:rPr>
        <w:t xml:space="preserve">ome </w:t>
      </w:r>
      <w:r w:rsidRPr="0053103E">
        <w:rPr>
          <w:rFonts w:ascii="Arial" w:hAnsi="Arial" w:cs="Arial"/>
          <w:sz w:val="24"/>
          <w:szCs w:val="24"/>
        </w:rPr>
        <w:t>F</w:t>
      </w:r>
      <w:r>
        <w:rPr>
          <w:rFonts w:ascii="Arial" w:hAnsi="Arial" w:cs="Arial"/>
          <w:sz w:val="24"/>
          <w:szCs w:val="24"/>
        </w:rPr>
        <w:t xml:space="preserve">ire </w:t>
      </w:r>
      <w:r w:rsidRPr="0053103E">
        <w:rPr>
          <w:rFonts w:ascii="Arial" w:hAnsi="Arial" w:cs="Arial"/>
          <w:sz w:val="24"/>
          <w:szCs w:val="24"/>
        </w:rPr>
        <w:t>S</w:t>
      </w:r>
      <w:r>
        <w:rPr>
          <w:rFonts w:ascii="Arial" w:hAnsi="Arial" w:cs="Arial"/>
          <w:sz w:val="24"/>
          <w:szCs w:val="24"/>
        </w:rPr>
        <w:t xml:space="preserve">afety </w:t>
      </w:r>
      <w:r w:rsidRPr="0053103E">
        <w:rPr>
          <w:rFonts w:ascii="Arial" w:hAnsi="Arial" w:cs="Arial"/>
          <w:sz w:val="24"/>
          <w:szCs w:val="24"/>
        </w:rPr>
        <w:t>A</w:t>
      </w:r>
      <w:r>
        <w:rPr>
          <w:rFonts w:ascii="Arial" w:hAnsi="Arial" w:cs="Arial"/>
          <w:sz w:val="24"/>
          <w:szCs w:val="24"/>
        </w:rPr>
        <w:t>ssessment</w:t>
      </w:r>
    </w:p>
    <w:p w14:paraId="7B5B41FA" w14:textId="77777777" w:rsidR="00016C24" w:rsidRPr="0053103E" w:rsidRDefault="00016C24" w:rsidP="00EB27EB">
      <w:pPr>
        <w:pStyle w:val="ListParagraph"/>
        <w:numPr>
          <w:ilvl w:val="0"/>
          <w:numId w:val="71"/>
        </w:numPr>
        <w:spacing w:after="0" w:line="240" w:lineRule="auto"/>
        <w:ind w:left="284" w:hanging="284"/>
        <w:rPr>
          <w:rFonts w:ascii="Arial" w:eastAsiaTheme="minorEastAsia" w:hAnsi="Arial" w:cs="Arial"/>
          <w:sz w:val="24"/>
          <w:szCs w:val="24"/>
        </w:rPr>
      </w:pPr>
      <w:r w:rsidRPr="0053103E">
        <w:rPr>
          <w:rFonts w:ascii="Arial" w:hAnsi="Arial" w:cs="Arial"/>
          <w:sz w:val="24"/>
          <w:szCs w:val="24"/>
        </w:rPr>
        <w:t>Undertook a review of prevention campaigns and messaging</w:t>
      </w:r>
    </w:p>
    <w:p w14:paraId="76FF0748" w14:textId="77777777" w:rsidR="00016C24" w:rsidRPr="0053103E" w:rsidRDefault="00016C24" w:rsidP="00EB27EB">
      <w:pPr>
        <w:pStyle w:val="ListParagraph"/>
        <w:numPr>
          <w:ilvl w:val="0"/>
          <w:numId w:val="71"/>
        </w:numPr>
        <w:spacing w:after="0" w:line="240" w:lineRule="auto"/>
        <w:ind w:left="284" w:hanging="284"/>
        <w:rPr>
          <w:rFonts w:ascii="Arial" w:eastAsiaTheme="minorEastAsia" w:hAnsi="Arial" w:cs="Arial"/>
          <w:sz w:val="24"/>
          <w:szCs w:val="24"/>
        </w:rPr>
      </w:pPr>
      <w:r w:rsidRPr="0053103E">
        <w:rPr>
          <w:rFonts w:ascii="Arial" w:hAnsi="Arial" w:cs="Arial"/>
          <w:sz w:val="24"/>
          <w:szCs w:val="24"/>
        </w:rPr>
        <w:t xml:space="preserve">Published Prevention Education offer  </w:t>
      </w:r>
    </w:p>
    <w:p w14:paraId="30C751EA" w14:textId="77777777" w:rsidR="00016C24" w:rsidRPr="0053103E" w:rsidRDefault="00016C24" w:rsidP="00016C24">
      <w:pPr>
        <w:ind w:left="785"/>
        <w:rPr>
          <w:rFonts w:ascii="Arial" w:hAnsi="Arial" w:cs="Arial"/>
        </w:rPr>
      </w:pPr>
    </w:p>
    <w:p w14:paraId="699E421E" w14:textId="77777777" w:rsidR="00016C24" w:rsidRPr="0053103E" w:rsidRDefault="00016C24" w:rsidP="00016C24">
      <w:pPr>
        <w:pStyle w:val="ListParagraph"/>
        <w:spacing w:after="0" w:line="240" w:lineRule="auto"/>
        <w:ind w:left="0"/>
        <w:rPr>
          <w:rFonts w:ascii="Arial" w:hAnsi="Arial" w:cs="Arial"/>
          <w:b/>
          <w:bCs/>
          <w:sz w:val="24"/>
          <w:szCs w:val="24"/>
        </w:rPr>
      </w:pPr>
      <w:r w:rsidRPr="0053103E">
        <w:rPr>
          <w:rFonts w:ascii="Arial" w:hAnsi="Arial" w:cs="Arial"/>
          <w:b/>
          <w:sz w:val="24"/>
          <w:szCs w:val="24"/>
        </w:rPr>
        <w:t xml:space="preserve">Priority 3: </w:t>
      </w:r>
      <w:r w:rsidRPr="0053103E">
        <w:rPr>
          <w:rFonts w:ascii="Arial" w:hAnsi="Arial" w:cs="Arial"/>
          <w:b/>
          <w:bCs/>
          <w:sz w:val="24"/>
          <w:szCs w:val="24"/>
        </w:rPr>
        <w:t>Help protect the built environment</w:t>
      </w:r>
    </w:p>
    <w:p w14:paraId="775B5701" w14:textId="77777777" w:rsidR="00016C24" w:rsidRPr="0053103E" w:rsidRDefault="00016C24" w:rsidP="00EB27EB">
      <w:pPr>
        <w:pStyle w:val="ListParagraph"/>
        <w:numPr>
          <w:ilvl w:val="0"/>
          <w:numId w:val="72"/>
        </w:numPr>
        <w:spacing w:after="0" w:line="240" w:lineRule="auto"/>
        <w:ind w:left="284" w:hanging="284"/>
        <w:rPr>
          <w:rFonts w:ascii="Arial" w:hAnsi="Arial" w:cs="Arial"/>
          <w:b/>
          <w:sz w:val="24"/>
          <w:szCs w:val="24"/>
        </w:rPr>
      </w:pPr>
      <w:r w:rsidRPr="0053103E">
        <w:rPr>
          <w:rFonts w:ascii="Arial" w:hAnsi="Arial" w:cs="Arial"/>
          <w:sz w:val="24"/>
          <w:szCs w:val="24"/>
        </w:rPr>
        <w:t>Implemented a Service Wide action plan in response to learnings from Grenfell and The Cube</w:t>
      </w:r>
    </w:p>
    <w:p w14:paraId="0625C6F7" w14:textId="77777777" w:rsidR="00016C24" w:rsidRPr="0053103E" w:rsidRDefault="00016C24" w:rsidP="00EB27EB">
      <w:pPr>
        <w:pStyle w:val="ListParagraph"/>
        <w:numPr>
          <w:ilvl w:val="0"/>
          <w:numId w:val="72"/>
        </w:numPr>
        <w:spacing w:after="0" w:line="240" w:lineRule="auto"/>
        <w:ind w:left="284" w:hanging="284"/>
        <w:rPr>
          <w:rFonts w:ascii="Arial" w:hAnsi="Arial" w:cs="Arial"/>
          <w:b/>
          <w:sz w:val="24"/>
          <w:szCs w:val="24"/>
        </w:rPr>
      </w:pPr>
      <w:r w:rsidRPr="0053103E">
        <w:rPr>
          <w:rFonts w:ascii="Arial" w:hAnsi="Arial" w:cs="Arial"/>
          <w:sz w:val="24"/>
          <w:szCs w:val="24"/>
        </w:rPr>
        <w:t>High Rise Training exercises delivered for operational crews</w:t>
      </w:r>
    </w:p>
    <w:p w14:paraId="724EA01C" w14:textId="77777777" w:rsidR="00016C24" w:rsidRPr="0053103E" w:rsidRDefault="00016C24" w:rsidP="00EB27EB">
      <w:pPr>
        <w:pStyle w:val="ListParagraph"/>
        <w:numPr>
          <w:ilvl w:val="0"/>
          <w:numId w:val="72"/>
        </w:numPr>
        <w:spacing w:after="0" w:line="240" w:lineRule="auto"/>
        <w:ind w:left="284" w:hanging="284"/>
        <w:rPr>
          <w:rFonts w:ascii="Arial" w:hAnsi="Arial" w:cs="Arial"/>
          <w:b/>
          <w:sz w:val="24"/>
          <w:szCs w:val="24"/>
        </w:rPr>
      </w:pPr>
      <w:r w:rsidRPr="0053103E">
        <w:rPr>
          <w:rFonts w:ascii="Arial" w:hAnsi="Arial" w:cs="Arial"/>
          <w:sz w:val="24"/>
          <w:szCs w:val="24"/>
        </w:rPr>
        <w:t>Implemented Level 1 Fire Investigation Training</w:t>
      </w:r>
    </w:p>
    <w:p w14:paraId="4D613CB8" w14:textId="77777777" w:rsidR="00016C24" w:rsidRPr="0053103E" w:rsidRDefault="00016C24" w:rsidP="00EB27EB">
      <w:pPr>
        <w:pStyle w:val="ListParagraph"/>
        <w:numPr>
          <w:ilvl w:val="0"/>
          <w:numId w:val="72"/>
        </w:numPr>
        <w:spacing w:after="0" w:line="240" w:lineRule="auto"/>
        <w:ind w:left="284" w:hanging="284"/>
        <w:rPr>
          <w:rFonts w:ascii="Arial" w:hAnsi="Arial" w:cs="Arial"/>
          <w:b/>
          <w:sz w:val="24"/>
          <w:szCs w:val="24"/>
        </w:rPr>
      </w:pPr>
      <w:r w:rsidRPr="0053103E">
        <w:rPr>
          <w:rFonts w:ascii="Arial" w:hAnsi="Arial" w:cs="Arial"/>
          <w:sz w:val="24"/>
          <w:szCs w:val="24"/>
        </w:rPr>
        <w:t>Delivered Protection Awareness Training to operational crews</w:t>
      </w:r>
    </w:p>
    <w:p w14:paraId="26634413" w14:textId="77777777" w:rsidR="00016C24" w:rsidRPr="0053103E" w:rsidRDefault="00016C24" w:rsidP="00EB27EB">
      <w:pPr>
        <w:pStyle w:val="ListParagraph"/>
        <w:numPr>
          <w:ilvl w:val="0"/>
          <w:numId w:val="72"/>
        </w:numPr>
        <w:spacing w:after="0" w:line="240" w:lineRule="auto"/>
        <w:ind w:left="284" w:hanging="284"/>
        <w:rPr>
          <w:rFonts w:ascii="Arial" w:hAnsi="Arial" w:cs="Arial"/>
          <w:b/>
          <w:sz w:val="24"/>
          <w:szCs w:val="24"/>
        </w:rPr>
      </w:pPr>
      <w:r w:rsidRPr="0053103E">
        <w:rPr>
          <w:rFonts w:ascii="Arial" w:hAnsi="Arial" w:cs="Arial"/>
          <w:sz w:val="24"/>
          <w:szCs w:val="24"/>
        </w:rPr>
        <w:t>Partnership engagement via Department of Levelling Up and the Home Office</w:t>
      </w:r>
    </w:p>
    <w:p w14:paraId="49374F97" w14:textId="77777777" w:rsidR="00016C24" w:rsidRPr="0053103E" w:rsidRDefault="00016C24" w:rsidP="00EB27EB">
      <w:pPr>
        <w:pStyle w:val="ListParagraph"/>
        <w:numPr>
          <w:ilvl w:val="0"/>
          <w:numId w:val="72"/>
        </w:numPr>
        <w:spacing w:after="0" w:line="240" w:lineRule="auto"/>
        <w:ind w:left="284" w:hanging="284"/>
        <w:rPr>
          <w:rFonts w:ascii="Arial" w:hAnsi="Arial" w:cs="Arial"/>
          <w:b/>
          <w:sz w:val="24"/>
          <w:szCs w:val="24"/>
        </w:rPr>
      </w:pPr>
      <w:r w:rsidRPr="0053103E">
        <w:rPr>
          <w:rFonts w:ascii="Arial" w:hAnsi="Arial" w:cs="Arial"/>
          <w:sz w:val="24"/>
          <w:szCs w:val="24"/>
        </w:rPr>
        <w:t>Continued leadership on the N</w:t>
      </w:r>
      <w:r>
        <w:rPr>
          <w:rFonts w:ascii="Arial" w:hAnsi="Arial" w:cs="Arial"/>
          <w:sz w:val="24"/>
          <w:szCs w:val="24"/>
        </w:rPr>
        <w:t xml:space="preserve">ational </w:t>
      </w:r>
      <w:r w:rsidRPr="0053103E">
        <w:rPr>
          <w:rFonts w:ascii="Arial" w:hAnsi="Arial" w:cs="Arial"/>
          <w:sz w:val="24"/>
          <w:szCs w:val="24"/>
        </w:rPr>
        <w:t>F</w:t>
      </w:r>
      <w:r>
        <w:rPr>
          <w:rFonts w:ascii="Arial" w:hAnsi="Arial" w:cs="Arial"/>
          <w:sz w:val="24"/>
          <w:szCs w:val="24"/>
        </w:rPr>
        <w:t xml:space="preserve">ire </w:t>
      </w:r>
      <w:r w:rsidRPr="0053103E">
        <w:rPr>
          <w:rFonts w:ascii="Arial" w:hAnsi="Arial" w:cs="Arial"/>
          <w:sz w:val="24"/>
          <w:szCs w:val="24"/>
        </w:rPr>
        <w:t>C</w:t>
      </w:r>
      <w:r>
        <w:rPr>
          <w:rFonts w:ascii="Arial" w:hAnsi="Arial" w:cs="Arial"/>
          <w:sz w:val="24"/>
          <w:szCs w:val="24"/>
        </w:rPr>
        <w:t xml:space="preserve">hief </w:t>
      </w:r>
      <w:r w:rsidRPr="0053103E">
        <w:rPr>
          <w:rFonts w:ascii="Arial" w:hAnsi="Arial" w:cs="Arial"/>
          <w:sz w:val="24"/>
          <w:szCs w:val="24"/>
        </w:rPr>
        <w:t>C</w:t>
      </w:r>
      <w:r>
        <w:rPr>
          <w:rFonts w:ascii="Arial" w:hAnsi="Arial" w:cs="Arial"/>
          <w:sz w:val="24"/>
          <w:szCs w:val="24"/>
        </w:rPr>
        <w:t>ouncil</w:t>
      </w:r>
      <w:r w:rsidRPr="0053103E">
        <w:rPr>
          <w:rFonts w:ascii="Arial" w:hAnsi="Arial" w:cs="Arial"/>
          <w:sz w:val="24"/>
          <w:szCs w:val="24"/>
        </w:rPr>
        <w:t xml:space="preserve"> North West Operations / Resilience Committee workstream</w:t>
      </w:r>
    </w:p>
    <w:p w14:paraId="69F520A8" w14:textId="77777777" w:rsidR="00016C24" w:rsidRPr="0053103E" w:rsidRDefault="00016C24" w:rsidP="00EB27EB">
      <w:pPr>
        <w:pStyle w:val="ListParagraph"/>
        <w:numPr>
          <w:ilvl w:val="0"/>
          <w:numId w:val="72"/>
        </w:numPr>
        <w:spacing w:after="0" w:line="240" w:lineRule="auto"/>
        <w:ind w:left="284" w:hanging="284"/>
        <w:rPr>
          <w:rFonts w:ascii="Arial" w:hAnsi="Arial" w:cs="Arial"/>
          <w:b/>
          <w:sz w:val="24"/>
          <w:szCs w:val="24"/>
        </w:rPr>
      </w:pPr>
      <w:r w:rsidRPr="0053103E">
        <w:rPr>
          <w:rFonts w:ascii="Arial" w:hAnsi="Arial" w:cs="Arial"/>
          <w:sz w:val="24"/>
          <w:szCs w:val="24"/>
        </w:rPr>
        <w:t>Continued support to Greater Manchester High Rise Task Force and engagement with communities in GMFRS</w:t>
      </w:r>
    </w:p>
    <w:p w14:paraId="7BF2ADD6" w14:textId="77777777" w:rsidR="00016C24" w:rsidRPr="0053103E" w:rsidRDefault="00016C24" w:rsidP="00016C24">
      <w:pPr>
        <w:pStyle w:val="ListParagraph"/>
        <w:spacing w:after="0" w:line="240" w:lineRule="auto"/>
        <w:ind w:left="0"/>
        <w:rPr>
          <w:rFonts w:ascii="Arial" w:hAnsi="Arial" w:cs="Arial"/>
          <w:b/>
          <w:sz w:val="24"/>
          <w:szCs w:val="24"/>
        </w:rPr>
      </w:pPr>
    </w:p>
    <w:p w14:paraId="2803DEA8" w14:textId="77777777" w:rsidR="00016C24" w:rsidRPr="0053103E" w:rsidRDefault="00016C24" w:rsidP="00016C24">
      <w:pPr>
        <w:pStyle w:val="ListParagraph"/>
        <w:spacing w:after="0" w:line="240" w:lineRule="auto"/>
        <w:ind w:left="0"/>
        <w:rPr>
          <w:rFonts w:ascii="Arial" w:hAnsi="Arial" w:cs="Arial"/>
          <w:b/>
          <w:sz w:val="24"/>
          <w:szCs w:val="24"/>
        </w:rPr>
      </w:pPr>
      <w:r w:rsidRPr="0053103E">
        <w:rPr>
          <w:rFonts w:ascii="Arial" w:hAnsi="Arial" w:cs="Arial"/>
          <w:b/>
          <w:sz w:val="24"/>
          <w:szCs w:val="24"/>
        </w:rPr>
        <w:t>Priority 4: Use resources sustainably and deliver the most value</w:t>
      </w:r>
    </w:p>
    <w:p w14:paraId="3781ACDF" w14:textId="77777777" w:rsidR="00016C24" w:rsidRPr="0053103E" w:rsidRDefault="00016C24" w:rsidP="00EB27EB">
      <w:pPr>
        <w:pStyle w:val="ListParagraph"/>
        <w:numPr>
          <w:ilvl w:val="0"/>
          <w:numId w:val="73"/>
        </w:numPr>
        <w:spacing w:after="0" w:line="240" w:lineRule="auto"/>
        <w:ind w:left="284" w:hanging="284"/>
        <w:rPr>
          <w:rFonts w:ascii="Arial" w:hAnsi="Arial" w:cs="Arial"/>
          <w:sz w:val="24"/>
          <w:szCs w:val="24"/>
        </w:rPr>
      </w:pPr>
      <w:r w:rsidRPr="0053103E">
        <w:rPr>
          <w:rFonts w:ascii="Arial" w:hAnsi="Arial" w:cs="Arial"/>
          <w:sz w:val="24"/>
          <w:szCs w:val="24"/>
        </w:rPr>
        <w:t>Achieved financial savings of £2.9m</w:t>
      </w:r>
    </w:p>
    <w:p w14:paraId="04D1B8B0" w14:textId="77777777" w:rsidR="00016C24" w:rsidRPr="0053103E" w:rsidRDefault="00016C24" w:rsidP="00EB27EB">
      <w:pPr>
        <w:pStyle w:val="ListParagraph"/>
        <w:numPr>
          <w:ilvl w:val="0"/>
          <w:numId w:val="73"/>
        </w:numPr>
        <w:spacing w:after="0" w:line="240" w:lineRule="auto"/>
        <w:ind w:left="284" w:hanging="284"/>
        <w:rPr>
          <w:rFonts w:ascii="Arial" w:hAnsi="Arial" w:cs="Arial"/>
          <w:sz w:val="24"/>
          <w:szCs w:val="24"/>
        </w:rPr>
      </w:pPr>
      <w:r w:rsidRPr="0053103E">
        <w:rPr>
          <w:rFonts w:ascii="Arial" w:hAnsi="Arial" w:cs="Arial"/>
          <w:sz w:val="24"/>
          <w:szCs w:val="24"/>
        </w:rPr>
        <w:t>Gained approval of the Sustainability Strategy and developed a steering group</w:t>
      </w:r>
    </w:p>
    <w:p w14:paraId="7CA6EAF6" w14:textId="77777777" w:rsidR="00016C24" w:rsidRPr="0053103E" w:rsidRDefault="00016C24" w:rsidP="00EB27EB">
      <w:pPr>
        <w:pStyle w:val="ListParagraph"/>
        <w:numPr>
          <w:ilvl w:val="0"/>
          <w:numId w:val="73"/>
        </w:numPr>
        <w:spacing w:after="0" w:line="240" w:lineRule="auto"/>
        <w:ind w:left="284" w:hanging="284"/>
        <w:rPr>
          <w:rFonts w:ascii="Arial" w:hAnsi="Arial" w:cs="Arial"/>
          <w:sz w:val="24"/>
          <w:szCs w:val="24"/>
        </w:rPr>
      </w:pPr>
      <w:r w:rsidRPr="0053103E">
        <w:rPr>
          <w:rFonts w:ascii="Arial" w:hAnsi="Arial" w:cs="Arial"/>
          <w:sz w:val="24"/>
          <w:szCs w:val="24"/>
        </w:rPr>
        <w:t>LED’s schemes were implemented at 18 Fire Stations as part of the Carbon reduction scheme</w:t>
      </w:r>
    </w:p>
    <w:p w14:paraId="2A90D3F5" w14:textId="77777777" w:rsidR="00016C24" w:rsidRDefault="00016C24" w:rsidP="00EB27EB">
      <w:pPr>
        <w:pStyle w:val="ListParagraph"/>
        <w:numPr>
          <w:ilvl w:val="0"/>
          <w:numId w:val="73"/>
        </w:numPr>
        <w:spacing w:after="0" w:line="240" w:lineRule="auto"/>
        <w:ind w:left="284" w:hanging="284"/>
        <w:rPr>
          <w:rFonts w:ascii="Arial" w:hAnsi="Arial" w:cs="Arial"/>
          <w:sz w:val="24"/>
          <w:szCs w:val="24"/>
        </w:rPr>
      </w:pPr>
      <w:r>
        <w:rPr>
          <w:rFonts w:ascii="Arial" w:hAnsi="Arial" w:cs="Arial"/>
          <w:sz w:val="24"/>
          <w:szCs w:val="24"/>
        </w:rPr>
        <w:t>Delivered schemes through the Public Sector Decarbonisation programme</w:t>
      </w:r>
    </w:p>
    <w:p w14:paraId="112029C2" w14:textId="77777777" w:rsidR="00016C24" w:rsidRPr="0053103E" w:rsidRDefault="00016C24" w:rsidP="00EB27EB">
      <w:pPr>
        <w:pStyle w:val="ListParagraph"/>
        <w:numPr>
          <w:ilvl w:val="0"/>
          <w:numId w:val="73"/>
        </w:numPr>
        <w:spacing w:after="0" w:line="240" w:lineRule="auto"/>
        <w:ind w:left="284" w:hanging="284"/>
        <w:rPr>
          <w:rFonts w:ascii="Arial" w:hAnsi="Arial" w:cs="Arial"/>
          <w:sz w:val="24"/>
          <w:szCs w:val="24"/>
        </w:rPr>
      </w:pPr>
      <w:r w:rsidRPr="0053103E">
        <w:rPr>
          <w:rFonts w:ascii="Arial" w:hAnsi="Arial" w:cs="Arial"/>
          <w:sz w:val="24"/>
          <w:szCs w:val="24"/>
        </w:rPr>
        <w:t>Successfully delivered the Ramsbottom Housing Refurbishment</w:t>
      </w:r>
    </w:p>
    <w:p w14:paraId="19EEC375" w14:textId="77777777" w:rsidR="00016C24" w:rsidRPr="0053103E" w:rsidRDefault="00016C24" w:rsidP="00016C24">
      <w:pPr>
        <w:ind w:left="66"/>
        <w:rPr>
          <w:rFonts w:ascii="Arial" w:hAnsi="Arial" w:cs="Arial"/>
        </w:rPr>
      </w:pPr>
    </w:p>
    <w:p w14:paraId="77CD1A05" w14:textId="77777777" w:rsidR="00016C24" w:rsidRPr="0053103E" w:rsidRDefault="00016C24" w:rsidP="00016C24">
      <w:pPr>
        <w:pStyle w:val="NoSpacing"/>
        <w:rPr>
          <w:rFonts w:ascii="Arial" w:hAnsi="Arial" w:cs="Arial"/>
          <w:b/>
          <w:sz w:val="24"/>
          <w:szCs w:val="24"/>
        </w:rPr>
      </w:pPr>
      <w:r w:rsidRPr="0053103E">
        <w:rPr>
          <w:rFonts w:ascii="Arial" w:hAnsi="Arial" w:cs="Arial"/>
          <w:b/>
          <w:sz w:val="24"/>
          <w:szCs w:val="24"/>
        </w:rPr>
        <w:t xml:space="preserve">Priority 5: </w:t>
      </w:r>
      <w:r w:rsidRPr="0053103E">
        <w:rPr>
          <w:rFonts w:ascii="Arial" w:hAnsi="Arial" w:cs="Arial"/>
          <w:b/>
          <w:bCs/>
          <w:sz w:val="24"/>
          <w:szCs w:val="24"/>
        </w:rPr>
        <w:t>Develop a culture of excellence, equality, and inclusivity</w:t>
      </w:r>
    </w:p>
    <w:p w14:paraId="126C2CB4" w14:textId="77777777" w:rsidR="00016C24" w:rsidRPr="0053103E" w:rsidRDefault="00016C24" w:rsidP="00EB27EB">
      <w:pPr>
        <w:pStyle w:val="ListParagraph"/>
        <w:numPr>
          <w:ilvl w:val="0"/>
          <w:numId w:val="74"/>
        </w:numPr>
        <w:spacing w:after="0" w:line="240" w:lineRule="auto"/>
        <w:ind w:left="284" w:hanging="284"/>
        <w:rPr>
          <w:rFonts w:ascii="Arial" w:hAnsi="Arial" w:cs="Arial"/>
          <w:sz w:val="24"/>
          <w:szCs w:val="24"/>
        </w:rPr>
      </w:pPr>
      <w:r w:rsidRPr="0053103E">
        <w:rPr>
          <w:rFonts w:ascii="Arial" w:hAnsi="Arial" w:cs="Arial"/>
          <w:sz w:val="24"/>
          <w:szCs w:val="24"/>
        </w:rPr>
        <w:t xml:space="preserve">Recruited 97 new Apprentice Firefighters </w:t>
      </w:r>
    </w:p>
    <w:p w14:paraId="5AFBA4AB" w14:textId="77777777" w:rsidR="00016C24" w:rsidRPr="0053103E" w:rsidRDefault="00016C24" w:rsidP="00EB27EB">
      <w:pPr>
        <w:pStyle w:val="ListParagraph"/>
        <w:numPr>
          <w:ilvl w:val="0"/>
          <w:numId w:val="74"/>
        </w:numPr>
        <w:spacing w:after="0" w:line="240" w:lineRule="auto"/>
        <w:ind w:left="284" w:hanging="284"/>
        <w:rPr>
          <w:rFonts w:ascii="Arial" w:hAnsi="Arial" w:cs="Arial"/>
          <w:sz w:val="24"/>
          <w:szCs w:val="24"/>
        </w:rPr>
      </w:pPr>
      <w:r w:rsidRPr="0053103E">
        <w:rPr>
          <w:rFonts w:ascii="Arial" w:hAnsi="Arial" w:cs="Arial"/>
          <w:sz w:val="24"/>
          <w:szCs w:val="24"/>
        </w:rPr>
        <w:t>Re-set the workplace following C</w:t>
      </w:r>
      <w:r>
        <w:rPr>
          <w:rFonts w:ascii="Arial" w:hAnsi="Arial" w:cs="Arial"/>
          <w:sz w:val="24"/>
          <w:szCs w:val="24"/>
        </w:rPr>
        <w:t>OVID</w:t>
      </w:r>
      <w:r w:rsidRPr="0053103E">
        <w:rPr>
          <w:rFonts w:ascii="Arial" w:hAnsi="Arial" w:cs="Arial"/>
          <w:sz w:val="24"/>
          <w:szCs w:val="24"/>
        </w:rPr>
        <w:t>-19, including a review of workspaces</w:t>
      </w:r>
    </w:p>
    <w:p w14:paraId="02E92591" w14:textId="77777777" w:rsidR="00016C24" w:rsidRPr="0053103E" w:rsidRDefault="00016C24" w:rsidP="00016C24">
      <w:pPr>
        <w:pStyle w:val="ListParagraph"/>
        <w:spacing w:after="0" w:line="240" w:lineRule="auto"/>
        <w:ind w:left="0"/>
        <w:rPr>
          <w:rFonts w:ascii="Arial" w:hAnsi="Arial" w:cs="Arial"/>
          <w:sz w:val="24"/>
          <w:szCs w:val="24"/>
        </w:rPr>
      </w:pPr>
    </w:p>
    <w:p w14:paraId="4552DF4D" w14:textId="77777777" w:rsidR="00016C24" w:rsidRPr="0053103E" w:rsidRDefault="00016C24" w:rsidP="00016C24">
      <w:pPr>
        <w:pStyle w:val="ListParagraph"/>
        <w:spacing w:after="0" w:line="240" w:lineRule="auto"/>
        <w:ind w:left="0"/>
        <w:rPr>
          <w:rFonts w:ascii="Arial" w:hAnsi="Arial" w:cs="Arial"/>
          <w:b/>
          <w:sz w:val="24"/>
          <w:szCs w:val="24"/>
        </w:rPr>
      </w:pPr>
      <w:r w:rsidRPr="0053103E">
        <w:rPr>
          <w:rFonts w:ascii="Arial" w:hAnsi="Arial" w:cs="Arial"/>
          <w:b/>
          <w:sz w:val="24"/>
          <w:szCs w:val="24"/>
        </w:rPr>
        <w:t xml:space="preserve">Priority 6: </w:t>
      </w:r>
      <w:r w:rsidRPr="0053103E">
        <w:rPr>
          <w:rFonts w:ascii="Arial" w:hAnsi="Arial" w:cs="Arial"/>
          <w:b/>
          <w:bCs/>
          <w:sz w:val="24"/>
          <w:szCs w:val="24"/>
        </w:rPr>
        <w:t>Integrate our services in every locality with those of partner agencies</w:t>
      </w:r>
    </w:p>
    <w:p w14:paraId="174D6C96" w14:textId="77777777" w:rsidR="00016C24" w:rsidRPr="0053103E" w:rsidRDefault="00016C24" w:rsidP="00EB27EB">
      <w:pPr>
        <w:pStyle w:val="ListParagraph"/>
        <w:numPr>
          <w:ilvl w:val="0"/>
          <w:numId w:val="75"/>
        </w:numPr>
        <w:spacing w:after="0" w:line="240" w:lineRule="auto"/>
        <w:ind w:left="284" w:hanging="284"/>
        <w:rPr>
          <w:rFonts w:ascii="Arial" w:hAnsi="Arial" w:cs="Arial"/>
          <w:sz w:val="24"/>
          <w:szCs w:val="24"/>
        </w:rPr>
      </w:pPr>
      <w:r>
        <w:rPr>
          <w:rFonts w:ascii="Arial" w:hAnsi="Arial" w:cs="Arial"/>
          <w:sz w:val="24"/>
          <w:szCs w:val="24"/>
        </w:rPr>
        <w:t>D</w:t>
      </w:r>
      <w:r w:rsidRPr="0053103E">
        <w:rPr>
          <w:rFonts w:ascii="Arial" w:hAnsi="Arial" w:cs="Arial"/>
          <w:sz w:val="24"/>
          <w:szCs w:val="24"/>
        </w:rPr>
        <w:t>elivered 54 multi agency training and exercise scenarios</w:t>
      </w:r>
    </w:p>
    <w:p w14:paraId="104B7848" w14:textId="77777777" w:rsidR="00016C24" w:rsidRPr="0053103E" w:rsidRDefault="00016C24" w:rsidP="00EB27EB">
      <w:pPr>
        <w:pStyle w:val="ListParagraph"/>
        <w:numPr>
          <w:ilvl w:val="0"/>
          <w:numId w:val="75"/>
        </w:numPr>
        <w:spacing w:after="0" w:line="240" w:lineRule="auto"/>
        <w:ind w:left="284" w:hanging="284"/>
        <w:rPr>
          <w:rFonts w:ascii="Arial" w:hAnsi="Arial" w:cs="Arial"/>
          <w:sz w:val="24"/>
          <w:szCs w:val="24"/>
        </w:rPr>
      </w:pPr>
      <w:r w:rsidRPr="0053103E">
        <w:rPr>
          <w:rFonts w:ascii="Arial" w:hAnsi="Arial" w:cs="Arial"/>
          <w:sz w:val="24"/>
          <w:szCs w:val="24"/>
        </w:rPr>
        <w:t>Multi Agency Gold Incident Command training delivered in GM</w:t>
      </w:r>
    </w:p>
    <w:p w14:paraId="3A522811" w14:textId="77777777" w:rsidR="00016C24" w:rsidRPr="0053103E" w:rsidRDefault="00016C24" w:rsidP="00EB27EB">
      <w:pPr>
        <w:pStyle w:val="ListParagraph"/>
        <w:numPr>
          <w:ilvl w:val="0"/>
          <w:numId w:val="75"/>
        </w:numPr>
        <w:spacing w:after="0" w:line="240" w:lineRule="auto"/>
        <w:ind w:left="284" w:hanging="284"/>
        <w:rPr>
          <w:rFonts w:ascii="Arial" w:hAnsi="Arial" w:cs="Arial"/>
          <w:sz w:val="24"/>
          <w:szCs w:val="24"/>
        </w:rPr>
      </w:pPr>
      <w:r w:rsidRPr="0053103E">
        <w:rPr>
          <w:rFonts w:ascii="Arial" w:hAnsi="Arial" w:cs="Arial"/>
          <w:sz w:val="24"/>
          <w:szCs w:val="24"/>
        </w:rPr>
        <w:t>Delivered a C</w:t>
      </w:r>
      <w:r>
        <w:rPr>
          <w:rFonts w:ascii="Arial" w:hAnsi="Arial" w:cs="Arial"/>
          <w:sz w:val="24"/>
          <w:szCs w:val="24"/>
        </w:rPr>
        <w:t>OVID</w:t>
      </w:r>
      <w:r w:rsidRPr="0053103E">
        <w:rPr>
          <w:rFonts w:ascii="Arial" w:hAnsi="Arial" w:cs="Arial"/>
          <w:sz w:val="24"/>
          <w:szCs w:val="24"/>
        </w:rPr>
        <w:t>-19 response</w:t>
      </w:r>
    </w:p>
    <w:p w14:paraId="7CD7D9B5" w14:textId="77777777" w:rsidR="00016C24" w:rsidRPr="0053103E" w:rsidRDefault="00016C24" w:rsidP="00EB27EB">
      <w:pPr>
        <w:pStyle w:val="ListParagraph"/>
        <w:numPr>
          <w:ilvl w:val="0"/>
          <w:numId w:val="75"/>
        </w:numPr>
        <w:spacing w:after="0" w:line="240" w:lineRule="auto"/>
        <w:ind w:left="284" w:hanging="284"/>
        <w:rPr>
          <w:rFonts w:ascii="Arial" w:hAnsi="Arial" w:cs="Arial"/>
          <w:sz w:val="24"/>
          <w:szCs w:val="24"/>
        </w:rPr>
      </w:pPr>
      <w:r w:rsidRPr="0053103E">
        <w:rPr>
          <w:rFonts w:ascii="Arial" w:hAnsi="Arial" w:cs="Arial"/>
          <w:sz w:val="24"/>
          <w:szCs w:val="24"/>
        </w:rPr>
        <w:t xml:space="preserve">Agreed principles for Blue Light Collaboration </w:t>
      </w:r>
    </w:p>
    <w:bookmarkEnd w:id="34"/>
    <w:p w14:paraId="7FC7E42B" w14:textId="77777777" w:rsidR="00016C24" w:rsidRPr="0053103E" w:rsidRDefault="00016C24" w:rsidP="00016C24">
      <w:pPr>
        <w:jc w:val="both"/>
        <w:rPr>
          <w:rFonts w:ascii="Arial" w:hAnsi="Arial" w:cs="Arial"/>
          <w:lang w:val="en-US"/>
        </w:rPr>
      </w:pPr>
    </w:p>
    <w:p w14:paraId="328949B9" w14:textId="58FD6F72" w:rsidR="00016C24" w:rsidRPr="0053103E" w:rsidRDefault="00016C24" w:rsidP="00016C24">
      <w:pPr>
        <w:jc w:val="both"/>
        <w:rPr>
          <w:rFonts w:ascii="Arial" w:hAnsi="Arial" w:cs="Arial"/>
          <w:lang w:val="en-US"/>
        </w:rPr>
      </w:pPr>
      <w:bookmarkStart w:id="36" w:name="_Hlk109049412"/>
      <w:r w:rsidRPr="0053103E">
        <w:rPr>
          <w:rFonts w:ascii="Arial" w:hAnsi="Arial" w:cs="Arial"/>
          <w:lang w:val="en-US"/>
        </w:rPr>
        <w:t>Alongside this, core activities and statistical information is captured and utilised to help ensure that focus and campaigns are targeted in the right areas</w:t>
      </w:r>
      <w:r w:rsidR="009D6FD6" w:rsidRPr="0053103E">
        <w:rPr>
          <w:rFonts w:ascii="Arial" w:hAnsi="Arial" w:cs="Arial"/>
          <w:lang w:val="en-US"/>
        </w:rPr>
        <w:t xml:space="preserve">. </w:t>
      </w:r>
      <w:r w:rsidRPr="0053103E">
        <w:rPr>
          <w:rFonts w:ascii="Arial" w:hAnsi="Arial" w:cs="Arial"/>
          <w:lang w:val="en-US"/>
        </w:rPr>
        <w:t>Performance is closely monitored through Key Performance Indicators and our governance arrangements to assist in driving service delivery and improvement across the Service.</w:t>
      </w:r>
    </w:p>
    <w:p w14:paraId="57DDFAAC" w14:textId="77777777" w:rsidR="00016C24" w:rsidRPr="0053103E" w:rsidRDefault="00016C24" w:rsidP="00016C24">
      <w:pPr>
        <w:rPr>
          <w:rFonts w:ascii="Arial" w:hAnsi="Arial" w:cs="Arial"/>
        </w:rPr>
      </w:pPr>
    </w:p>
    <w:p w14:paraId="79E688B9" w14:textId="77777777" w:rsidR="00016C24" w:rsidRPr="0053103E" w:rsidRDefault="00016C24" w:rsidP="00016C24">
      <w:pPr>
        <w:rPr>
          <w:rFonts w:ascii="Arial" w:hAnsi="Arial" w:cs="Arial"/>
          <w:lang w:val="en-US"/>
        </w:rPr>
      </w:pPr>
      <w:r w:rsidRPr="0053103E">
        <w:rPr>
          <w:rFonts w:ascii="Arial" w:hAnsi="Arial" w:cs="Arial"/>
        </w:rPr>
        <w:t xml:space="preserve">GMFRS attended 30,478 incidents (fires, false alarms and special service calls) during 2021/22, an increase of 10% (2,734) when compared with 2020/21. The increase is mainly associated with special service call incident types. GMFRS attended 30,478 incidents (fires, false alarms and special service calls) during 2021/22, an increase of 10% (2,734) when compared with 2020/21. The increase is mainly associated with special service call incident types. </w:t>
      </w:r>
    </w:p>
    <w:p w14:paraId="1C182529" w14:textId="77777777" w:rsidR="00016C24" w:rsidRPr="0053103E" w:rsidRDefault="00016C24" w:rsidP="00016C24">
      <w:pPr>
        <w:pStyle w:val="Normal0"/>
        <w:spacing w:line="240" w:lineRule="auto"/>
        <w:rPr>
          <w:rFonts w:ascii="Arial" w:hAnsi="Arial" w:cs="Arial"/>
          <w:sz w:val="24"/>
          <w:szCs w:val="24"/>
        </w:rPr>
      </w:pPr>
    </w:p>
    <w:p w14:paraId="6556446C" w14:textId="32457EF1" w:rsidR="00016C24" w:rsidRDefault="00016C24" w:rsidP="00016C24">
      <w:pPr>
        <w:pStyle w:val="Normal0"/>
        <w:spacing w:line="240" w:lineRule="auto"/>
        <w:rPr>
          <w:rFonts w:ascii="Arial" w:hAnsi="Arial" w:cs="Arial"/>
          <w:sz w:val="24"/>
          <w:szCs w:val="24"/>
        </w:rPr>
      </w:pPr>
      <w:r w:rsidRPr="0053103E">
        <w:rPr>
          <w:rFonts w:ascii="Arial" w:hAnsi="Arial" w:cs="Arial"/>
          <w:sz w:val="24"/>
          <w:szCs w:val="24"/>
        </w:rPr>
        <w:t xml:space="preserve">Sadly, 11 people died as a result of fires in 2021/22 compared with 10 fire related deaths in 2020/21. Of these, six involved males, of which five were accidental in nature and 1 was deliberate. Home Office research has indicated that ‘the likelihood of dying in a fire </w:t>
      </w:r>
      <w:r w:rsidRPr="0053103E">
        <w:rPr>
          <w:rFonts w:ascii="Arial" w:hAnsi="Arial" w:cs="Arial"/>
          <w:sz w:val="24"/>
          <w:szCs w:val="24"/>
        </w:rPr>
        <w:lastRenderedPageBreak/>
        <w:t>is not uniform across all age groups and genders, overall men are twice as likely to die in a fire as women'</w:t>
      </w:r>
      <w:r w:rsidR="009D6FD6" w:rsidRPr="0053103E">
        <w:rPr>
          <w:rFonts w:ascii="Arial" w:hAnsi="Arial" w:cs="Arial"/>
          <w:sz w:val="24"/>
          <w:szCs w:val="24"/>
        </w:rPr>
        <w:t xml:space="preserve">. </w:t>
      </w:r>
      <w:r w:rsidRPr="0053103E">
        <w:rPr>
          <w:rFonts w:ascii="Arial" w:hAnsi="Arial" w:cs="Arial"/>
          <w:sz w:val="24"/>
          <w:szCs w:val="24"/>
        </w:rPr>
        <w:t>There have been 163 injuries as a result of fires in 2021/22; 137 slight and 26 serious. This compares with 180 injuries during 2020/21, a decrease of 9% (seventeen). The majority of fires continue to originate in the kitchen and are associated with cooking.</w:t>
      </w:r>
    </w:p>
    <w:p w14:paraId="398BDBB8" w14:textId="77777777" w:rsidR="00016C24" w:rsidRPr="0053103E" w:rsidRDefault="00016C24" w:rsidP="00016C24">
      <w:pPr>
        <w:pStyle w:val="Normal0"/>
        <w:spacing w:line="240" w:lineRule="auto"/>
        <w:rPr>
          <w:rFonts w:ascii="Arial" w:hAnsi="Arial" w:cs="Arial"/>
          <w:sz w:val="24"/>
          <w:szCs w:val="24"/>
        </w:rPr>
      </w:pPr>
    </w:p>
    <w:p w14:paraId="4578FEAE" w14:textId="77777777" w:rsidR="00016C24" w:rsidRPr="0053103E" w:rsidRDefault="00016C24" w:rsidP="00016C24">
      <w:pPr>
        <w:pStyle w:val="NoSpacing"/>
        <w:rPr>
          <w:rFonts w:ascii="Arial" w:eastAsiaTheme="minorHAnsi" w:hAnsi="Arial" w:cs="Arial"/>
          <w:sz w:val="24"/>
          <w:szCs w:val="24"/>
          <w:lang w:val="en-US"/>
        </w:rPr>
      </w:pPr>
      <w:r w:rsidRPr="0053103E">
        <w:rPr>
          <w:rFonts w:ascii="Arial" w:eastAsiaTheme="minorHAnsi" w:hAnsi="Arial" w:cs="Arial"/>
          <w:sz w:val="24"/>
          <w:szCs w:val="24"/>
          <w:lang w:val="en-US"/>
        </w:rPr>
        <w:t>7,851 Safe and Well/Home Fire Safety visits were made to homes across Greater Manchester in 2021/22 compared to 8,335 telephone assessments during 2020/21. During the period of the COVID</w:t>
      </w:r>
      <w:r>
        <w:rPr>
          <w:rFonts w:ascii="Arial" w:eastAsiaTheme="minorHAnsi" w:hAnsi="Arial" w:cs="Arial"/>
          <w:sz w:val="24"/>
          <w:szCs w:val="24"/>
          <w:lang w:val="en-US"/>
        </w:rPr>
        <w:t>-19</w:t>
      </w:r>
      <w:r w:rsidRPr="0053103E">
        <w:rPr>
          <w:rFonts w:ascii="Arial" w:eastAsiaTheme="minorHAnsi" w:hAnsi="Arial" w:cs="Arial"/>
          <w:sz w:val="24"/>
          <w:szCs w:val="24"/>
          <w:lang w:val="en-US"/>
        </w:rPr>
        <w:t xml:space="preserve"> pandemic, GMFRS worked to balance keeping households safe from fire whilst limiting the exposure of our operational staff to the public and/or the COVID-19 virus. Following the lifting of COVID</w:t>
      </w:r>
      <w:r>
        <w:rPr>
          <w:rFonts w:ascii="Arial" w:eastAsiaTheme="minorHAnsi" w:hAnsi="Arial" w:cs="Arial"/>
          <w:sz w:val="24"/>
          <w:szCs w:val="24"/>
          <w:lang w:val="en-US"/>
        </w:rPr>
        <w:t>-19</w:t>
      </w:r>
      <w:r w:rsidRPr="0053103E">
        <w:rPr>
          <w:rFonts w:ascii="Arial" w:eastAsiaTheme="minorHAnsi" w:hAnsi="Arial" w:cs="Arial"/>
          <w:sz w:val="24"/>
          <w:szCs w:val="24"/>
          <w:lang w:val="en-US"/>
        </w:rPr>
        <w:t xml:space="preserve"> restrictions in line with the government roadmap, the delivery model of our Safe and Well visits was reviewed, which included a review of booking processes and direct question sets, to take account of the ongoing prevalence of the COVID-19 virus and variants in our communities. </w:t>
      </w:r>
    </w:p>
    <w:p w14:paraId="4DCF3513" w14:textId="77777777" w:rsidR="00016C24" w:rsidRPr="0053103E" w:rsidRDefault="00016C24" w:rsidP="00016C24">
      <w:pPr>
        <w:pStyle w:val="NoSpacing"/>
        <w:rPr>
          <w:rFonts w:ascii="Arial" w:eastAsiaTheme="minorHAnsi" w:hAnsi="Arial" w:cs="Arial"/>
          <w:sz w:val="24"/>
          <w:szCs w:val="24"/>
          <w:lang w:val="en-US"/>
        </w:rPr>
      </w:pPr>
    </w:p>
    <w:p w14:paraId="2133E7E8" w14:textId="77777777" w:rsidR="00016C24" w:rsidRPr="0053103E" w:rsidRDefault="00016C24" w:rsidP="00C67457">
      <w:pPr>
        <w:pStyle w:val="NoSpacing"/>
        <w:rPr>
          <w:rFonts w:ascii="Arial" w:hAnsi="Arial" w:cs="Arial"/>
          <w:sz w:val="24"/>
          <w:szCs w:val="24"/>
        </w:rPr>
      </w:pPr>
      <w:r w:rsidRPr="0053103E">
        <w:rPr>
          <w:rFonts w:ascii="Arial" w:hAnsi="Arial" w:cs="Arial"/>
          <w:sz w:val="24"/>
          <w:szCs w:val="24"/>
        </w:rPr>
        <w:t>Direct visits were reintroduced in September 2021, with control measures put in place to protect the public and staff from the ongoing transmission of the COVID-19 virus, while at the same time addressing fire risk. January 2022 saw the launch of the new Home Fire Safety Assessment (HFSA) process and supporting systems.  Each referral received is triaged to identify the risk of the individual to support our targeted approach to delivering home safety advice to those most at risk.</w:t>
      </w:r>
    </w:p>
    <w:p w14:paraId="5F546621" w14:textId="77777777" w:rsidR="00016C24" w:rsidRPr="0053103E" w:rsidRDefault="00016C24" w:rsidP="00C67457">
      <w:pPr>
        <w:rPr>
          <w:rFonts w:ascii="Arial" w:hAnsi="Arial" w:cs="Arial"/>
        </w:rPr>
      </w:pPr>
    </w:p>
    <w:p w14:paraId="43DED854" w14:textId="141426A7" w:rsidR="00016C24" w:rsidRPr="0053103E" w:rsidRDefault="00016C24" w:rsidP="00C67457">
      <w:pPr>
        <w:rPr>
          <w:rFonts w:ascii="Arial" w:hAnsi="Arial" w:cs="Arial"/>
        </w:rPr>
      </w:pPr>
      <w:r w:rsidRPr="0053103E">
        <w:rPr>
          <w:rFonts w:ascii="Arial" w:hAnsi="Arial" w:cs="Arial"/>
        </w:rPr>
        <w:t>During 2021</w:t>
      </w:r>
      <w:r w:rsidR="00E95F9F">
        <w:rPr>
          <w:rFonts w:ascii="Arial" w:hAnsi="Arial" w:cs="Arial"/>
        </w:rPr>
        <w:t>/</w:t>
      </w:r>
      <w:r w:rsidRPr="0053103E">
        <w:rPr>
          <w:rFonts w:ascii="Arial" w:hAnsi="Arial" w:cs="Arial"/>
        </w:rPr>
        <w:t>22 continued challenges due to the C</w:t>
      </w:r>
      <w:r>
        <w:rPr>
          <w:rFonts w:ascii="Arial" w:hAnsi="Arial" w:cs="Arial"/>
        </w:rPr>
        <w:t>OVID</w:t>
      </w:r>
      <w:r w:rsidRPr="0053103E">
        <w:rPr>
          <w:rFonts w:ascii="Arial" w:hAnsi="Arial" w:cs="Arial"/>
        </w:rPr>
        <w:t>-19 pandemic impacted on activities being delivered due to periodic restrictions impacting on recruitment and training delivery.  Additional costs have been incurred for increased activities such as overtime, cleaning, cleaning materials, ICT equipment and loss of income relating to catering and Prince’s Trust delivery.  Since the outbreak of the COVID-19 pandemic, the service has received one off grant allocations totalling £3.421m to support the response which has been fully utilised.</w:t>
      </w:r>
    </w:p>
    <w:bookmarkEnd w:id="35"/>
    <w:bookmarkEnd w:id="36"/>
    <w:p w14:paraId="571DEE46" w14:textId="77777777" w:rsidR="00016C24" w:rsidRDefault="00016C24" w:rsidP="00C67457">
      <w:pPr>
        <w:pStyle w:val="Heading3"/>
        <w:spacing w:before="0" w:after="0"/>
        <w:rPr>
          <w:sz w:val="24"/>
          <w:szCs w:val="24"/>
          <w:u w:val="single"/>
        </w:rPr>
      </w:pPr>
    </w:p>
    <w:p w14:paraId="324AD284" w14:textId="77777777" w:rsidR="00016C24" w:rsidRPr="00451DD8" w:rsidRDefault="00016C24" w:rsidP="00C67457">
      <w:pPr>
        <w:pStyle w:val="Heading3"/>
        <w:spacing w:before="0" w:after="0"/>
        <w:rPr>
          <w:sz w:val="24"/>
          <w:szCs w:val="24"/>
        </w:rPr>
      </w:pPr>
      <w:bookmarkStart w:id="37" w:name="_Toc109922587"/>
      <w:r w:rsidRPr="00451DD8">
        <w:rPr>
          <w:sz w:val="24"/>
          <w:szCs w:val="24"/>
        </w:rPr>
        <w:t>Highways and Transport Services</w:t>
      </w:r>
      <w:bookmarkEnd w:id="37"/>
      <w:r w:rsidRPr="00451DD8">
        <w:rPr>
          <w:sz w:val="24"/>
          <w:szCs w:val="24"/>
        </w:rPr>
        <w:t xml:space="preserve"> </w:t>
      </w:r>
    </w:p>
    <w:p w14:paraId="7B7AD8AF" w14:textId="77777777" w:rsidR="00016C24" w:rsidRDefault="00016C24" w:rsidP="00C67457">
      <w:pPr>
        <w:pStyle w:val="8TfGMStandardDocumentText"/>
        <w:spacing w:after="100" w:afterAutospacing="1"/>
        <w:contextualSpacing/>
        <w:jc w:val="left"/>
        <w:rPr>
          <w:rFonts w:ascii="Arial" w:hAnsi="Arial"/>
          <w:sz w:val="24"/>
          <w:lang w:eastAsia="en-US"/>
        </w:rPr>
      </w:pPr>
    </w:p>
    <w:p w14:paraId="32D79D66" w14:textId="0E069358" w:rsidR="00016C24" w:rsidRPr="006522F4" w:rsidRDefault="00016C24" w:rsidP="00C67457">
      <w:pPr>
        <w:pStyle w:val="8TfGMStandardDocumentText"/>
        <w:spacing w:after="100" w:afterAutospacing="1"/>
        <w:contextualSpacing/>
        <w:jc w:val="left"/>
        <w:rPr>
          <w:rFonts w:ascii="Arial" w:hAnsi="Arial"/>
          <w:sz w:val="24"/>
          <w:lang w:eastAsia="en-US"/>
        </w:rPr>
      </w:pPr>
      <w:r w:rsidRPr="006522F4">
        <w:rPr>
          <w:rFonts w:ascii="Arial" w:hAnsi="Arial"/>
          <w:sz w:val="24"/>
          <w:lang w:eastAsia="en-US"/>
        </w:rPr>
        <w:t>The Greater Manchester Transport Strategy 2040 was published in 2017 and refreshed</w:t>
      </w:r>
      <w:r>
        <w:rPr>
          <w:rFonts w:ascii="Arial" w:hAnsi="Arial"/>
          <w:sz w:val="24"/>
          <w:lang w:eastAsia="en-US"/>
        </w:rPr>
        <w:t xml:space="preserve"> </w:t>
      </w:r>
      <w:r w:rsidRPr="006522F4">
        <w:rPr>
          <w:rFonts w:ascii="Arial" w:hAnsi="Arial"/>
          <w:sz w:val="24"/>
          <w:lang w:eastAsia="en-US"/>
        </w:rPr>
        <w:t>with a new Five</w:t>
      </w:r>
      <w:r w:rsidR="00E95F9F">
        <w:rPr>
          <w:rFonts w:ascii="Arial" w:hAnsi="Arial"/>
          <w:sz w:val="24"/>
          <w:lang w:eastAsia="en-US"/>
        </w:rPr>
        <w:t>-</w:t>
      </w:r>
      <w:r w:rsidRPr="006522F4">
        <w:rPr>
          <w:rFonts w:ascii="Arial" w:hAnsi="Arial"/>
          <w:sz w:val="24"/>
          <w:lang w:eastAsia="en-US"/>
        </w:rPr>
        <w:t>Year Transport Delivery Plan published in 202</w:t>
      </w:r>
      <w:r>
        <w:rPr>
          <w:rFonts w:ascii="Arial" w:hAnsi="Arial"/>
          <w:sz w:val="24"/>
          <w:lang w:eastAsia="en-US"/>
        </w:rPr>
        <w:t>1 for the period up to 2026</w:t>
      </w:r>
      <w:r w:rsidRPr="006522F4">
        <w:rPr>
          <w:rFonts w:ascii="Arial" w:hAnsi="Arial"/>
          <w:sz w:val="24"/>
          <w:lang w:eastAsia="en-US"/>
        </w:rPr>
        <w:t xml:space="preserve">.  The </w:t>
      </w:r>
      <w:r>
        <w:rPr>
          <w:rFonts w:ascii="Arial" w:hAnsi="Arial"/>
          <w:sz w:val="24"/>
          <w:lang w:eastAsia="en-US"/>
        </w:rPr>
        <w:t>s</w:t>
      </w:r>
      <w:r w:rsidRPr="006522F4">
        <w:rPr>
          <w:rFonts w:ascii="Arial" w:hAnsi="Arial"/>
          <w:sz w:val="24"/>
          <w:lang w:eastAsia="en-US"/>
        </w:rPr>
        <w:t xml:space="preserve">trategy is updated through a series of five-year </w:t>
      </w:r>
      <w:r>
        <w:rPr>
          <w:rFonts w:ascii="Arial" w:hAnsi="Arial"/>
          <w:sz w:val="24"/>
          <w:lang w:eastAsia="en-US"/>
        </w:rPr>
        <w:t>de</w:t>
      </w:r>
      <w:r w:rsidRPr="006522F4">
        <w:rPr>
          <w:rFonts w:ascii="Arial" w:hAnsi="Arial"/>
          <w:sz w:val="24"/>
          <w:lang w:eastAsia="en-US"/>
        </w:rPr>
        <w:t xml:space="preserve">livery </w:t>
      </w:r>
      <w:r>
        <w:rPr>
          <w:rFonts w:ascii="Arial" w:hAnsi="Arial"/>
          <w:sz w:val="24"/>
          <w:lang w:eastAsia="en-US"/>
        </w:rPr>
        <w:t>p</w:t>
      </w:r>
      <w:r w:rsidRPr="006522F4">
        <w:rPr>
          <w:rFonts w:ascii="Arial" w:hAnsi="Arial"/>
          <w:sz w:val="24"/>
          <w:lang w:eastAsia="en-US"/>
        </w:rPr>
        <w:t xml:space="preserve">lans, which set out Greater Manchester’s medium and shorter-term delivery priorities. </w:t>
      </w:r>
    </w:p>
    <w:p w14:paraId="14BE1438" w14:textId="4A937ECC" w:rsidR="00016C24" w:rsidRDefault="00016C24" w:rsidP="00C67457">
      <w:pPr>
        <w:pStyle w:val="paragraph"/>
        <w:textAlignment w:val="baseline"/>
        <w:rPr>
          <w:rFonts w:ascii="Arial" w:eastAsia="Calibri" w:hAnsi="Arial" w:cs="Arial"/>
          <w:color w:val="000000" w:themeColor="text1"/>
        </w:rPr>
      </w:pPr>
      <w:r w:rsidRPr="007C59A8">
        <w:rPr>
          <w:rFonts w:ascii="Arial" w:eastAsia="Poppins Light" w:hAnsi="Arial" w:cs="Arial"/>
        </w:rPr>
        <w:t>The Mayor of Greater Manchester</w:t>
      </w:r>
      <w:r>
        <w:rPr>
          <w:rFonts w:ascii="Arial" w:eastAsia="Poppins Light" w:hAnsi="Arial" w:cs="Arial"/>
        </w:rPr>
        <w:t xml:space="preserve"> </w:t>
      </w:r>
      <w:r w:rsidRPr="007C59A8">
        <w:rPr>
          <w:rFonts w:ascii="Arial" w:eastAsia="Poppins Light" w:hAnsi="Arial" w:cs="Arial"/>
        </w:rPr>
        <w:t xml:space="preserve">has committed to creating the ‘Bee Network’ </w:t>
      </w:r>
      <w:r w:rsidRPr="007C59A8">
        <w:rPr>
          <w:rFonts w:ascii="Arial" w:eastAsia="Calibri" w:hAnsi="Arial" w:cs="Arial"/>
          <w:color w:val="000000" w:themeColor="text1"/>
        </w:rPr>
        <w:t xml:space="preserve">a London-style transport system which includes buses and trams by 2025 and commuter trains by 2030. </w:t>
      </w:r>
      <w:r w:rsidRPr="007C59A8">
        <w:rPr>
          <w:rStyle w:val="normaltextrun"/>
          <w:rFonts w:ascii="Arial" w:hAnsi="Arial" w:cs="Arial"/>
          <w:color w:val="000000" w:themeColor="text1"/>
        </w:rPr>
        <w:t xml:space="preserve">It supports </w:t>
      </w:r>
      <w:r>
        <w:rPr>
          <w:rStyle w:val="normaltextrun"/>
          <w:rFonts w:ascii="Arial" w:hAnsi="Arial" w:cs="Arial"/>
          <w:color w:val="000000" w:themeColor="text1"/>
        </w:rPr>
        <w:t>the GMCA</w:t>
      </w:r>
      <w:r w:rsidRPr="007C59A8">
        <w:rPr>
          <w:rStyle w:val="normaltextrun"/>
          <w:rFonts w:ascii="Arial" w:hAnsi="Arial" w:cs="Arial"/>
          <w:color w:val="000000" w:themeColor="text1"/>
        </w:rPr>
        <w:t xml:space="preserve"> ambition to make GM one of the best places in the world</w:t>
      </w:r>
      <w:r w:rsidR="00E95F9F">
        <w:rPr>
          <w:rStyle w:val="normaltextrun"/>
          <w:rFonts w:ascii="Arial" w:hAnsi="Arial" w:cs="Arial"/>
          <w:color w:val="000000" w:themeColor="text1"/>
        </w:rPr>
        <w:t xml:space="preserve"> </w:t>
      </w:r>
      <w:r w:rsidRPr="007C59A8">
        <w:rPr>
          <w:rStyle w:val="normaltextrun"/>
          <w:rFonts w:ascii="Arial" w:hAnsi="Arial" w:cs="Arial"/>
          <w:color w:val="000000" w:themeColor="text1"/>
        </w:rPr>
        <w:t>to</w:t>
      </w:r>
      <w:r w:rsidR="00E95F9F">
        <w:rPr>
          <w:rStyle w:val="normaltextrun"/>
          <w:rFonts w:ascii="Arial" w:hAnsi="Arial" w:cs="Arial"/>
          <w:color w:val="000000" w:themeColor="text1"/>
        </w:rPr>
        <w:t xml:space="preserve"> </w:t>
      </w:r>
      <w:r w:rsidRPr="007C59A8">
        <w:rPr>
          <w:rStyle w:val="normaltextrun"/>
          <w:rFonts w:ascii="Arial" w:hAnsi="Arial" w:cs="Arial"/>
          <w:i/>
          <w:color w:val="000000" w:themeColor="text1"/>
        </w:rPr>
        <w:t>grow up, get on and grow old</w:t>
      </w:r>
      <w:r w:rsidR="00E95F9F">
        <w:rPr>
          <w:rStyle w:val="normaltextrun"/>
          <w:rFonts w:ascii="Arial" w:hAnsi="Arial" w:cs="Arial"/>
          <w:i/>
          <w:color w:val="000000" w:themeColor="text1"/>
        </w:rPr>
        <w:t xml:space="preserve"> </w:t>
      </w:r>
      <w:r w:rsidRPr="007C59A8">
        <w:rPr>
          <w:rStyle w:val="normaltextrun"/>
          <w:rFonts w:ascii="Arial" w:hAnsi="Arial" w:cs="Arial"/>
          <w:color w:val="000000" w:themeColor="text1"/>
        </w:rPr>
        <w:t>- seamlessly connecting our people, places</w:t>
      </w:r>
      <w:r w:rsidR="00E95F9F">
        <w:rPr>
          <w:rStyle w:val="normaltextrun"/>
          <w:rFonts w:ascii="Arial" w:hAnsi="Arial" w:cs="Arial"/>
          <w:color w:val="000000" w:themeColor="text1"/>
        </w:rPr>
        <w:t xml:space="preserve"> </w:t>
      </w:r>
      <w:r w:rsidRPr="007C59A8">
        <w:rPr>
          <w:rStyle w:val="normaltextrun"/>
          <w:rFonts w:ascii="Arial" w:hAnsi="Arial" w:cs="Arial"/>
          <w:color w:val="000000" w:themeColor="text1"/>
        </w:rPr>
        <w:t>and</w:t>
      </w:r>
      <w:r w:rsidR="00E95F9F">
        <w:rPr>
          <w:rStyle w:val="normaltextrun"/>
          <w:rFonts w:ascii="Arial" w:hAnsi="Arial" w:cs="Arial"/>
          <w:color w:val="000000" w:themeColor="text1"/>
        </w:rPr>
        <w:t xml:space="preserve"> </w:t>
      </w:r>
      <w:r w:rsidRPr="007C59A8">
        <w:rPr>
          <w:rStyle w:val="normaltextrun"/>
          <w:rFonts w:ascii="Arial" w:hAnsi="Arial" w:cs="Arial"/>
          <w:color w:val="000000" w:themeColor="text1"/>
        </w:rPr>
        <w:t>communities</w:t>
      </w:r>
      <w:r w:rsidRPr="007C59A8">
        <w:rPr>
          <w:rFonts w:ascii="Arial" w:eastAsia="Calibri" w:hAnsi="Arial" w:cs="Arial"/>
          <w:color w:val="000000" w:themeColor="text1"/>
        </w:rPr>
        <w:t>. The Bee Network will also help to contribute to our health, our air quality and to help us achieve our commitment for GM to be net zero by 2038</w:t>
      </w:r>
      <w:r>
        <w:rPr>
          <w:rFonts w:ascii="Arial" w:eastAsia="Calibri" w:hAnsi="Arial" w:cs="Arial"/>
          <w:color w:val="000000" w:themeColor="text1"/>
        </w:rPr>
        <w:t>.</w:t>
      </w:r>
    </w:p>
    <w:p w14:paraId="5B1A6ABB" w14:textId="17744522" w:rsidR="00016C24" w:rsidRPr="007769BE" w:rsidRDefault="00016C24" w:rsidP="00C67457">
      <w:pPr>
        <w:pStyle w:val="8TfGMStandardDocumentText"/>
        <w:spacing w:after="100" w:afterAutospacing="1"/>
        <w:contextualSpacing/>
        <w:jc w:val="left"/>
        <w:rPr>
          <w:rFonts w:ascii="Arial" w:hAnsi="Arial"/>
          <w:bCs/>
          <w:sz w:val="24"/>
          <w:lang w:eastAsia="en-US"/>
        </w:rPr>
      </w:pPr>
      <w:r>
        <w:rPr>
          <w:rFonts w:ascii="Arial" w:hAnsi="Arial"/>
          <w:sz w:val="24"/>
          <w:lang w:eastAsia="en-US"/>
        </w:rPr>
        <w:t xml:space="preserve">The approved 2021/22 revenue budget for Transport was £246.426m, the majority of which is paid to </w:t>
      </w:r>
      <w:r w:rsidRPr="005B6A42">
        <w:rPr>
          <w:rFonts w:ascii="Arial" w:hAnsi="Arial"/>
          <w:sz w:val="24"/>
        </w:rPr>
        <w:t>T</w:t>
      </w:r>
      <w:r>
        <w:rPr>
          <w:rFonts w:ascii="Arial" w:hAnsi="Arial"/>
          <w:sz w:val="24"/>
        </w:rPr>
        <w:t xml:space="preserve">ransport </w:t>
      </w:r>
      <w:r w:rsidRPr="005B6A42">
        <w:rPr>
          <w:rFonts w:ascii="Arial" w:hAnsi="Arial"/>
          <w:sz w:val="24"/>
        </w:rPr>
        <w:t>f</w:t>
      </w:r>
      <w:r>
        <w:rPr>
          <w:rFonts w:ascii="Arial" w:hAnsi="Arial"/>
          <w:sz w:val="24"/>
        </w:rPr>
        <w:t xml:space="preserve">or </w:t>
      </w:r>
      <w:r w:rsidRPr="005B6A42">
        <w:rPr>
          <w:rFonts w:ascii="Arial" w:hAnsi="Arial"/>
          <w:sz w:val="24"/>
        </w:rPr>
        <w:t>G</w:t>
      </w:r>
      <w:r>
        <w:rPr>
          <w:rFonts w:ascii="Arial" w:hAnsi="Arial"/>
          <w:sz w:val="24"/>
        </w:rPr>
        <w:t xml:space="preserve">reater </w:t>
      </w:r>
      <w:r w:rsidRPr="005B6A42">
        <w:rPr>
          <w:rFonts w:ascii="Arial" w:hAnsi="Arial"/>
          <w:sz w:val="24"/>
        </w:rPr>
        <w:t>M</w:t>
      </w:r>
      <w:r>
        <w:rPr>
          <w:rFonts w:ascii="Arial" w:hAnsi="Arial"/>
          <w:sz w:val="24"/>
        </w:rPr>
        <w:t xml:space="preserve">anchester (TfGM) and the remainder is retained by GMCA for capital financing costs. </w:t>
      </w:r>
      <w:r>
        <w:rPr>
          <w:rFonts w:ascii="Arial" w:hAnsi="Arial"/>
          <w:sz w:val="24"/>
          <w:lang w:eastAsia="en-US"/>
        </w:rPr>
        <w:t xml:space="preserve">Most of the Greater Manchester transport budget is funded from </w:t>
      </w:r>
      <w:r w:rsidRPr="006522F4">
        <w:rPr>
          <w:rFonts w:ascii="Arial" w:hAnsi="Arial"/>
          <w:sz w:val="24"/>
          <w:lang w:eastAsia="en-US"/>
        </w:rPr>
        <w:t>the Transport Levy</w:t>
      </w:r>
      <w:r>
        <w:rPr>
          <w:rFonts w:ascii="Arial" w:hAnsi="Arial"/>
          <w:sz w:val="24"/>
          <w:lang w:eastAsia="en-US"/>
        </w:rPr>
        <w:t xml:space="preserve">, Statutory Charge </w:t>
      </w:r>
      <w:r w:rsidRPr="006522F4">
        <w:rPr>
          <w:rFonts w:ascii="Arial" w:hAnsi="Arial"/>
          <w:sz w:val="24"/>
          <w:lang w:eastAsia="en-US"/>
        </w:rPr>
        <w:t xml:space="preserve">and the Mayoral Precept, as far as the latter relates to transport matters. </w:t>
      </w:r>
      <w:r>
        <w:rPr>
          <w:rFonts w:ascii="Arial" w:hAnsi="Arial"/>
          <w:sz w:val="24"/>
          <w:lang w:eastAsia="en-US"/>
        </w:rPr>
        <w:t xml:space="preserve"> </w:t>
      </w:r>
    </w:p>
    <w:p w14:paraId="1F7D5F3A" w14:textId="77777777" w:rsidR="00016C24" w:rsidRDefault="00016C24" w:rsidP="00C67457">
      <w:pPr>
        <w:pStyle w:val="8TfGMStandardDocumentText"/>
        <w:spacing w:after="0"/>
        <w:jc w:val="left"/>
        <w:rPr>
          <w:rFonts w:ascii="Arial" w:hAnsi="Arial"/>
          <w:sz w:val="24"/>
        </w:rPr>
      </w:pPr>
    </w:p>
    <w:p w14:paraId="27BAFF00" w14:textId="77777777" w:rsidR="00016C24" w:rsidRDefault="00016C24" w:rsidP="00C67457">
      <w:pPr>
        <w:pStyle w:val="8TfGMStandardDocumentText"/>
        <w:spacing w:after="0"/>
        <w:jc w:val="left"/>
        <w:rPr>
          <w:rFonts w:ascii="Arial" w:hAnsi="Arial"/>
          <w:sz w:val="24"/>
          <w:lang w:eastAsia="en-US"/>
        </w:rPr>
      </w:pPr>
      <w:r>
        <w:rPr>
          <w:rFonts w:ascii="Arial" w:hAnsi="Arial"/>
          <w:sz w:val="24"/>
        </w:rPr>
        <w:lastRenderedPageBreak/>
        <w:t>TfGM</w:t>
      </w:r>
      <w:r w:rsidRPr="005B6A42">
        <w:rPr>
          <w:rFonts w:ascii="Arial" w:hAnsi="Arial"/>
          <w:sz w:val="24"/>
        </w:rPr>
        <w:t xml:space="preserve"> is responsible for carrying out the transport-related functions and policies of the GMCA and the Greater Manchester Transport Committee (GMTC), and those functions of the Mayor which may be delegated to it, including the functions set out below.  </w:t>
      </w:r>
      <w:r w:rsidRPr="006F58D3">
        <w:rPr>
          <w:rFonts w:ascii="Arial" w:hAnsi="Arial"/>
          <w:sz w:val="24"/>
          <w:lang w:eastAsia="en-US"/>
        </w:rPr>
        <w:t xml:space="preserve">The GMTC is a joint committee made-up of the principal transport decision-making bodies – the ten GM Councils, GMCA and the Mayor of Greater Manchester.  </w:t>
      </w:r>
    </w:p>
    <w:p w14:paraId="4BD56F0D" w14:textId="77777777" w:rsidR="00016C24" w:rsidRPr="006F58D3" w:rsidRDefault="00016C24" w:rsidP="00C67457">
      <w:pPr>
        <w:pStyle w:val="8TfGMStandardDocumentText"/>
        <w:spacing w:after="0"/>
        <w:jc w:val="left"/>
        <w:rPr>
          <w:rFonts w:ascii="Arial" w:hAnsi="Arial"/>
          <w:sz w:val="24"/>
        </w:rPr>
      </w:pPr>
    </w:p>
    <w:p w14:paraId="56122D92" w14:textId="77777777" w:rsidR="00016C24" w:rsidRDefault="00016C24" w:rsidP="00C67457">
      <w:pPr>
        <w:pStyle w:val="8TfGMStandardDocumentText"/>
        <w:spacing w:after="100" w:afterAutospacing="1"/>
        <w:contextualSpacing/>
        <w:jc w:val="left"/>
        <w:rPr>
          <w:rFonts w:ascii="Arial" w:hAnsi="Arial"/>
          <w:sz w:val="24"/>
          <w:lang w:eastAsia="en-US"/>
        </w:rPr>
      </w:pPr>
      <w:r w:rsidRPr="006F58D3">
        <w:rPr>
          <w:rFonts w:ascii="Arial" w:hAnsi="Arial"/>
          <w:sz w:val="24"/>
          <w:lang w:eastAsia="en-US"/>
        </w:rPr>
        <w:t>Members of the GMTC represent residents and businesses across Greater Manchester and have oversight across all aspects of Greater Manchester’s transport network. GMTC oversees the performance of the transport system and hold rail, tram, bus operators, TfGM, and highways authorities to account. This effectively allows the Committee to act in an advisory capacity to the Mayor and GMCA.</w:t>
      </w:r>
    </w:p>
    <w:p w14:paraId="126B30CE" w14:textId="77777777" w:rsidR="00016C24" w:rsidRDefault="00016C24" w:rsidP="00C67457">
      <w:pPr>
        <w:pStyle w:val="8TfGMStandardDocumentText"/>
        <w:spacing w:after="100" w:afterAutospacing="1"/>
        <w:contextualSpacing/>
        <w:jc w:val="left"/>
        <w:rPr>
          <w:rFonts w:ascii="Arial" w:hAnsi="Arial"/>
          <w:sz w:val="24"/>
          <w:lang w:eastAsia="en-US"/>
        </w:rPr>
      </w:pPr>
    </w:p>
    <w:p w14:paraId="353BFE7E" w14:textId="628CE7D7" w:rsidR="00016C24" w:rsidRDefault="00016C24" w:rsidP="00C67457">
      <w:pPr>
        <w:pStyle w:val="8TfGMStandardDocumentText"/>
        <w:spacing w:after="100" w:afterAutospacing="1"/>
        <w:contextualSpacing/>
        <w:jc w:val="left"/>
        <w:rPr>
          <w:rFonts w:ascii="Arial" w:hAnsi="Arial"/>
          <w:sz w:val="24"/>
          <w:lang w:eastAsia="en-US"/>
        </w:rPr>
      </w:pPr>
      <w:r w:rsidRPr="007769BE">
        <w:rPr>
          <w:rFonts w:ascii="Arial" w:hAnsi="Arial"/>
          <w:sz w:val="24"/>
        </w:rPr>
        <w:t xml:space="preserve">TfGM acts on behalf of the GMCA to coordinate with the GMCA and the ten Local Authorities to develop a strategy that ensures the legal requirements for clean air are met across the city-region. </w:t>
      </w:r>
      <w:r w:rsidRPr="006522F4">
        <w:rPr>
          <w:rFonts w:ascii="Arial" w:hAnsi="Arial"/>
          <w:sz w:val="24"/>
          <w:lang w:eastAsia="en-US"/>
        </w:rPr>
        <w:t xml:space="preserve">In addition to the policies and activities which are directed by the GMCA transport vision, a number of TfGM activities are determined by government policy or legislation, including the English National Concessionary Travel Scheme. </w:t>
      </w:r>
    </w:p>
    <w:p w14:paraId="599EEF54" w14:textId="77777777" w:rsidR="00016C24" w:rsidRDefault="00016C24" w:rsidP="00C67457">
      <w:pPr>
        <w:pStyle w:val="8TfGMStandardDocumentText"/>
        <w:spacing w:after="100" w:afterAutospacing="1"/>
        <w:contextualSpacing/>
        <w:jc w:val="left"/>
        <w:rPr>
          <w:rFonts w:ascii="Arial" w:hAnsi="Arial"/>
          <w:sz w:val="24"/>
          <w:lang w:eastAsia="en-US"/>
        </w:rPr>
      </w:pPr>
    </w:p>
    <w:p w14:paraId="41505543" w14:textId="77777777" w:rsidR="00016C24" w:rsidRPr="006522F4" w:rsidRDefault="00016C24" w:rsidP="00C67457">
      <w:pPr>
        <w:pStyle w:val="8TfGMStandardDocumentText"/>
        <w:spacing w:after="100" w:afterAutospacing="1"/>
        <w:contextualSpacing/>
        <w:jc w:val="left"/>
        <w:rPr>
          <w:rFonts w:ascii="Arial" w:hAnsi="Arial"/>
          <w:sz w:val="24"/>
          <w:lang w:eastAsia="en-US"/>
        </w:rPr>
      </w:pPr>
      <w:r w:rsidRPr="006522F4">
        <w:rPr>
          <w:rFonts w:ascii="Arial" w:hAnsi="Arial"/>
          <w:bCs/>
          <w:sz w:val="24"/>
          <w:lang w:eastAsia="en-US"/>
        </w:rPr>
        <w:t xml:space="preserve">The period covered by this Statement of Accounts and the period since the year end continue to have been significantly impacted in a number of ways by the COVID-19 pandemic and the recovery from it.  </w:t>
      </w:r>
    </w:p>
    <w:p w14:paraId="41E3CCD2" w14:textId="77777777" w:rsidR="00016C24" w:rsidRPr="007769BE" w:rsidRDefault="00016C24" w:rsidP="00C67457">
      <w:pPr>
        <w:pStyle w:val="8TfGMStandardDocumentText"/>
        <w:spacing w:after="100" w:afterAutospacing="1"/>
        <w:contextualSpacing/>
        <w:jc w:val="left"/>
        <w:rPr>
          <w:rFonts w:ascii="Arial" w:hAnsi="Arial"/>
          <w:sz w:val="24"/>
        </w:rPr>
      </w:pPr>
    </w:p>
    <w:p w14:paraId="5B357A31" w14:textId="77777777" w:rsidR="00016C24" w:rsidRPr="00451DD8" w:rsidRDefault="00016C24" w:rsidP="00C67457">
      <w:pPr>
        <w:pStyle w:val="8TfGMStandardDocumentText"/>
        <w:spacing w:after="100" w:afterAutospacing="1"/>
        <w:contextualSpacing/>
        <w:jc w:val="left"/>
        <w:rPr>
          <w:rFonts w:ascii="Arial" w:hAnsi="Arial"/>
          <w:sz w:val="24"/>
          <w:u w:val="single"/>
        </w:rPr>
      </w:pPr>
      <w:r w:rsidRPr="00451DD8">
        <w:rPr>
          <w:rFonts w:ascii="Arial" w:hAnsi="Arial"/>
          <w:sz w:val="24"/>
          <w:u w:val="single"/>
        </w:rPr>
        <w:t xml:space="preserve">Highways </w:t>
      </w:r>
    </w:p>
    <w:p w14:paraId="2D9D84D7" w14:textId="77777777" w:rsidR="00016C24" w:rsidRPr="00AB7F4D" w:rsidRDefault="00016C24" w:rsidP="00C67457">
      <w:pPr>
        <w:pStyle w:val="8TfGMStandardDocumentText"/>
        <w:spacing w:after="100" w:afterAutospacing="1"/>
        <w:contextualSpacing/>
        <w:jc w:val="left"/>
        <w:rPr>
          <w:rFonts w:ascii="Arial" w:hAnsi="Arial"/>
          <w:b/>
          <w:bCs/>
          <w:sz w:val="24"/>
        </w:rPr>
      </w:pPr>
    </w:p>
    <w:p w14:paraId="0EFDFA2F" w14:textId="77777777" w:rsidR="00016C24" w:rsidRPr="00AB7F4D" w:rsidRDefault="00016C24" w:rsidP="00C67457">
      <w:pPr>
        <w:pStyle w:val="8TfGMStandardDocumentText"/>
        <w:spacing w:after="100" w:afterAutospacing="1"/>
        <w:contextualSpacing/>
        <w:jc w:val="left"/>
        <w:rPr>
          <w:rFonts w:ascii="Arial" w:hAnsi="Arial"/>
          <w:sz w:val="24"/>
        </w:rPr>
      </w:pPr>
      <w:r w:rsidRPr="00AB7F4D">
        <w:rPr>
          <w:rFonts w:ascii="Arial" w:hAnsi="Arial"/>
          <w:sz w:val="24"/>
        </w:rPr>
        <w:t xml:space="preserve">TfGM has strategic oversight of the Key Route Network (“KRN”), making up over 650km of Greater Manchester’s busiest roads. While this is just 7% of the total length of the highways network, it carries two-thirds of all peak-time traffic.  TfGM works closely with local authority partners and Highways England to coordinate day-to-day operations and deal with incidents and events on Greater Manchester’s roads and motorways. This includes work aimed at tackling congestion such as managing signals to improve traffic flow, controlling pedestrian crossings, conducting long-term planning and modelling and design, and installing and modifying new traffic signal junctions. </w:t>
      </w:r>
    </w:p>
    <w:p w14:paraId="40739AE4" w14:textId="77777777" w:rsidR="00016C24" w:rsidRPr="00AB7F4D" w:rsidRDefault="00016C24" w:rsidP="00C67457">
      <w:pPr>
        <w:pStyle w:val="8TfGMStandardDocumentText"/>
        <w:spacing w:after="100" w:afterAutospacing="1"/>
        <w:contextualSpacing/>
        <w:jc w:val="left"/>
        <w:rPr>
          <w:rFonts w:ascii="Arial" w:hAnsi="Arial"/>
          <w:sz w:val="24"/>
        </w:rPr>
      </w:pPr>
      <w:r w:rsidRPr="00AB7F4D">
        <w:rPr>
          <w:rFonts w:ascii="Arial" w:hAnsi="Arial"/>
          <w:sz w:val="24"/>
        </w:rPr>
        <w:t xml:space="preserve"> </w:t>
      </w:r>
    </w:p>
    <w:p w14:paraId="2E09F10D" w14:textId="77777777" w:rsidR="00016C24" w:rsidRDefault="00016C24" w:rsidP="00C67457">
      <w:pPr>
        <w:pStyle w:val="8TfGMStandardDocumentText"/>
        <w:spacing w:after="100" w:afterAutospacing="1"/>
        <w:contextualSpacing/>
        <w:jc w:val="left"/>
        <w:rPr>
          <w:rFonts w:ascii="Arial" w:hAnsi="Arial"/>
          <w:sz w:val="24"/>
        </w:rPr>
      </w:pPr>
      <w:r w:rsidRPr="00AB7F4D">
        <w:rPr>
          <w:rFonts w:ascii="Arial" w:hAnsi="Arial"/>
          <w:sz w:val="24"/>
        </w:rPr>
        <w:t xml:space="preserve">Having both visual oversight and close working relationships with each of the districts enables TfGM to communicate up-to-date travel advice across its various media platforms – ranging from web and social media channels through to roadside message boards. Such travel information helps the travelling public to plan their journeys in advance of major events or upcoming roadworks. </w:t>
      </w:r>
    </w:p>
    <w:p w14:paraId="4E71397E" w14:textId="77777777" w:rsidR="00016C24" w:rsidRDefault="00016C24" w:rsidP="00C67457">
      <w:pPr>
        <w:pStyle w:val="8TfGMStandardDocumentText"/>
        <w:spacing w:after="100" w:afterAutospacing="1"/>
        <w:contextualSpacing/>
        <w:jc w:val="left"/>
        <w:rPr>
          <w:rFonts w:ascii="Arial" w:hAnsi="Arial"/>
          <w:sz w:val="24"/>
        </w:rPr>
      </w:pPr>
    </w:p>
    <w:p w14:paraId="68B77255" w14:textId="77777777" w:rsidR="00016C24" w:rsidRPr="00E0065C" w:rsidRDefault="00016C24" w:rsidP="00C67457">
      <w:pPr>
        <w:pStyle w:val="8TfGMStandardDocumentText"/>
        <w:spacing w:after="100" w:afterAutospacing="1"/>
        <w:contextualSpacing/>
        <w:jc w:val="left"/>
        <w:rPr>
          <w:rFonts w:ascii="Arial" w:hAnsi="Arial"/>
          <w:sz w:val="24"/>
        </w:rPr>
      </w:pPr>
      <w:r w:rsidRPr="00AB7F4D">
        <w:rPr>
          <w:rFonts w:ascii="Arial" w:eastAsia="Calibri" w:hAnsi="Arial"/>
          <w:sz w:val="24"/>
        </w:rPr>
        <w:t>Based on 2021 data, in the city-region, 70% of all journeys were made by road, with an estimated 1.6 billion trips made on the Greater Manchester (GM) road network (with an origin and/or destination inside GM) each year.  It is a critical asset on which public transport, freight, business, visitors and commuters rely including, increasingly, for active travel modes. Journey numbers on highways were relatively steady throughout the COVID-19 pandemic and despite recent record fuel prices have remained close to pre-pandemic levels.  During March 2022 the number of road journeys had returned to c. 99% of pre pandemic levels.</w:t>
      </w:r>
    </w:p>
    <w:p w14:paraId="60AA25BB" w14:textId="77777777" w:rsidR="00016C24" w:rsidRPr="009D6B32" w:rsidRDefault="00016C24" w:rsidP="00C67457">
      <w:pPr>
        <w:pStyle w:val="8TfGMStandardDocumentText"/>
        <w:spacing w:after="100" w:afterAutospacing="1"/>
        <w:contextualSpacing/>
        <w:jc w:val="left"/>
        <w:rPr>
          <w:rFonts w:ascii="Arial" w:hAnsi="Arial"/>
          <w:sz w:val="24"/>
          <w:highlight w:val="lightGray"/>
        </w:rPr>
      </w:pPr>
    </w:p>
    <w:p w14:paraId="7A7664A0" w14:textId="77777777" w:rsidR="00016C24" w:rsidRPr="00451DD8" w:rsidRDefault="00016C24" w:rsidP="00C67457">
      <w:pPr>
        <w:pStyle w:val="8TfGMStandardDocumentText"/>
        <w:spacing w:after="100" w:afterAutospacing="1"/>
        <w:contextualSpacing/>
        <w:jc w:val="left"/>
        <w:rPr>
          <w:rFonts w:ascii="Arial" w:hAnsi="Arial"/>
          <w:sz w:val="24"/>
          <w:u w:val="single"/>
        </w:rPr>
      </w:pPr>
      <w:r w:rsidRPr="00451DD8">
        <w:rPr>
          <w:rFonts w:ascii="Arial" w:hAnsi="Arial"/>
          <w:sz w:val="24"/>
          <w:u w:val="single"/>
        </w:rPr>
        <w:t xml:space="preserve">Metrolink </w:t>
      </w:r>
    </w:p>
    <w:p w14:paraId="2AFF4B55" w14:textId="77777777" w:rsidR="00016C24" w:rsidRPr="00384FB9" w:rsidRDefault="00016C24" w:rsidP="00C67457">
      <w:pPr>
        <w:pStyle w:val="8TfGMStandardDocumentText"/>
        <w:spacing w:after="100" w:afterAutospacing="1"/>
        <w:contextualSpacing/>
        <w:jc w:val="left"/>
        <w:rPr>
          <w:rFonts w:ascii="Arial" w:hAnsi="Arial"/>
          <w:sz w:val="24"/>
        </w:rPr>
      </w:pPr>
      <w:r w:rsidRPr="00384FB9">
        <w:rPr>
          <w:rFonts w:ascii="Arial" w:hAnsi="Arial"/>
          <w:sz w:val="24"/>
        </w:rPr>
        <w:t xml:space="preserve"> </w:t>
      </w:r>
    </w:p>
    <w:p w14:paraId="1EF9C370" w14:textId="77777777" w:rsidR="00016C24" w:rsidRPr="00384FB9" w:rsidRDefault="00016C24" w:rsidP="00C67457">
      <w:pPr>
        <w:pStyle w:val="8TfGMStandardDocumentText"/>
        <w:spacing w:after="100" w:afterAutospacing="1"/>
        <w:contextualSpacing/>
        <w:jc w:val="left"/>
        <w:rPr>
          <w:rFonts w:ascii="Arial" w:hAnsi="Arial"/>
          <w:sz w:val="24"/>
        </w:rPr>
      </w:pPr>
      <w:r w:rsidRPr="00384FB9">
        <w:rPr>
          <w:rFonts w:ascii="Arial" w:hAnsi="Arial"/>
          <w:sz w:val="24"/>
        </w:rPr>
        <w:lastRenderedPageBreak/>
        <w:t xml:space="preserve">Metrolink is owned by TfGM and operated and maintained by KeolisAmey Metrolink (KAM) on a seven year contract which began in July 2017. While KAM operates and maintains the network, TfGM is responsible for setting the price of tickets, renewing, enhancing and expanding the network and planning future development, as well as overseeing the operations and maintenance contract. </w:t>
      </w:r>
    </w:p>
    <w:p w14:paraId="6ECB6512" w14:textId="77777777" w:rsidR="00016C24" w:rsidRPr="009D6B32" w:rsidRDefault="00016C24" w:rsidP="00016C24">
      <w:pPr>
        <w:pStyle w:val="8TfGMStandardDocumentText"/>
        <w:spacing w:after="100" w:afterAutospacing="1"/>
        <w:contextualSpacing/>
        <w:rPr>
          <w:rFonts w:ascii="Arial" w:hAnsi="Arial"/>
          <w:sz w:val="24"/>
          <w:highlight w:val="lightGray"/>
        </w:rPr>
      </w:pPr>
      <w:r w:rsidRPr="009D6B32">
        <w:rPr>
          <w:rFonts w:ascii="Arial" w:hAnsi="Arial"/>
          <w:sz w:val="24"/>
          <w:highlight w:val="lightGray"/>
        </w:rPr>
        <w:t xml:space="preserve"> </w:t>
      </w:r>
    </w:p>
    <w:p w14:paraId="0BF14506" w14:textId="52A70FAD" w:rsidR="00016C24" w:rsidRPr="00384FB9" w:rsidRDefault="00016C24" w:rsidP="00016C24">
      <w:pPr>
        <w:pStyle w:val="8TfGMStandardDocumentText"/>
        <w:spacing w:after="100" w:afterAutospacing="1"/>
        <w:contextualSpacing/>
        <w:jc w:val="left"/>
        <w:rPr>
          <w:rFonts w:ascii="Arial" w:hAnsi="Arial"/>
          <w:sz w:val="24"/>
        </w:rPr>
      </w:pPr>
      <w:r w:rsidRPr="00384FB9">
        <w:rPr>
          <w:rFonts w:ascii="Arial" w:hAnsi="Arial"/>
          <w:sz w:val="24"/>
        </w:rPr>
        <w:t>Metrolink services began operating in 1992 and since then the network has grown extensively and is now the largest light rail network in the UK. The system began to expand in 2010, with a c£2 billion expansion and extension programm</w:t>
      </w:r>
      <w:r>
        <w:rPr>
          <w:rFonts w:ascii="Arial" w:hAnsi="Arial"/>
          <w:sz w:val="24"/>
        </w:rPr>
        <w:t>e,</w:t>
      </w:r>
      <w:r w:rsidRPr="00384FB9">
        <w:rPr>
          <w:rFonts w:ascii="Arial" w:hAnsi="Arial"/>
          <w:sz w:val="24"/>
        </w:rPr>
        <w:t xml:space="preserve"> the latest extension being the Trafford Park Line which opened in March 2020. The network now has a total of 99 stops and 103km of track. Metrolink is one of the most accessible forms of transport with step-free access at all stops and level access from the platform to the tram. The system is powered by electricity produced from wind or solar power, making it zero-emission at street level. </w:t>
      </w:r>
    </w:p>
    <w:p w14:paraId="41F1B6CB" w14:textId="77777777" w:rsidR="00016C24" w:rsidRPr="00384FB9" w:rsidRDefault="00016C24" w:rsidP="00016C24">
      <w:pPr>
        <w:pStyle w:val="8TfGMStandardDocumentText"/>
        <w:spacing w:after="100" w:afterAutospacing="1"/>
        <w:contextualSpacing/>
        <w:jc w:val="left"/>
        <w:rPr>
          <w:rFonts w:ascii="Arial" w:hAnsi="Arial"/>
          <w:sz w:val="24"/>
        </w:rPr>
      </w:pPr>
      <w:r w:rsidRPr="00384FB9">
        <w:rPr>
          <w:rFonts w:ascii="Arial" w:hAnsi="Arial"/>
          <w:sz w:val="24"/>
        </w:rPr>
        <w:t xml:space="preserve"> </w:t>
      </w:r>
    </w:p>
    <w:p w14:paraId="70FE6BC0" w14:textId="77777777" w:rsidR="00016C24" w:rsidRPr="00384FB9" w:rsidRDefault="00016C24" w:rsidP="00016C24">
      <w:pPr>
        <w:pStyle w:val="8TfGMStandardDocumentText"/>
        <w:spacing w:after="100" w:afterAutospacing="1"/>
        <w:contextualSpacing/>
        <w:jc w:val="left"/>
        <w:rPr>
          <w:rFonts w:ascii="Arial" w:hAnsi="Arial"/>
          <w:sz w:val="24"/>
        </w:rPr>
      </w:pPr>
      <w:r w:rsidRPr="00384FB9">
        <w:rPr>
          <w:rFonts w:ascii="Arial" w:hAnsi="Arial"/>
          <w:sz w:val="24"/>
        </w:rPr>
        <w:t xml:space="preserve">As agreed by GMCA, as part of the funding strategy for the Greater Manchester Transport Fund (GMTF) which funded the majority of the investment in the network referred to above, all net revenues generated from Metrolink are ring fenced to fund the financing costs associated with the local borrowings taken out as part of the GMTF. </w:t>
      </w:r>
    </w:p>
    <w:p w14:paraId="6B789511" w14:textId="77777777" w:rsidR="00016C24" w:rsidRPr="009D6B32" w:rsidRDefault="00016C24" w:rsidP="00016C24">
      <w:pPr>
        <w:pStyle w:val="8TfGMStandardDocumentText"/>
        <w:spacing w:after="100" w:afterAutospacing="1"/>
        <w:contextualSpacing/>
        <w:rPr>
          <w:rFonts w:ascii="Arial" w:hAnsi="Arial"/>
          <w:sz w:val="24"/>
          <w:highlight w:val="lightGray"/>
        </w:rPr>
      </w:pPr>
    </w:p>
    <w:p w14:paraId="0BFB91CF" w14:textId="77777777" w:rsidR="00016C24" w:rsidRDefault="00016C24" w:rsidP="00016C24">
      <w:pPr>
        <w:pStyle w:val="8TfGMStandardDocumentText"/>
        <w:spacing w:after="100" w:afterAutospacing="1"/>
        <w:contextualSpacing/>
        <w:jc w:val="left"/>
        <w:rPr>
          <w:rFonts w:ascii="Arial" w:hAnsi="Arial"/>
          <w:sz w:val="24"/>
        </w:rPr>
      </w:pPr>
      <w:r w:rsidRPr="00384FB9">
        <w:rPr>
          <w:rFonts w:ascii="Arial" w:hAnsi="Arial"/>
          <w:sz w:val="24"/>
        </w:rPr>
        <w:t xml:space="preserve">Patronage and revenues on Metrolink have been significantly impacted by COVID-19 and the lockdowns throughout the last two years, as well as the changes in work and travel patterns and behaviours which have occurred during the recovery period to date.  Patronage fell to as low as c. 5% of pre-pandemic levels during the first lockdown before recovering back to c. 50% and then reducing again in subsequent lockdowns.  </w:t>
      </w:r>
    </w:p>
    <w:p w14:paraId="4D156394" w14:textId="77777777" w:rsidR="00016C24" w:rsidRDefault="00016C24" w:rsidP="00016C24">
      <w:pPr>
        <w:pStyle w:val="8TfGMStandardDocumentText"/>
        <w:spacing w:after="100" w:afterAutospacing="1"/>
        <w:contextualSpacing/>
        <w:jc w:val="left"/>
        <w:rPr>
          <w:rFonts w:ascii="Arial" w:hAnsi="Arial"/>
          <w:sz w:val="24"/>
        </w:rPr>
      </w:pPr>
      <w:r w:rsidRPr="00384FB9">
        <w:rPr>
          <w:rFonts w:ascii="Arial" w:hAnsi="Arial"/>
          <w:sz w:val="24"/>
        </w:rPr>
        <w:t xml:space="preserve">As at June 2022, patronage has reached circa 70% of pre-pandemic levels. </w:t>
      </w:r>
    </w:p>
    <w:p w14:paraId="4899F324" w14:textId="77777777" w:rsidR="00016C24" w:rsidRDefault="00016C24" w:rsidP="00016C24">
      <w:pPr>
        <w:pStyle w:val="8TfGMStandardDocumentText"/>
        <w:spacing w:after="100" w:afterAutospacing="1"/>
        <w:contextualSpacing/>
        <w:jc w:val="left"/>
        <w:rPr>
          <w:rFonts w:ascii="Arial" w:hAnsi="Arial"/>
          <w:sz w:val="24"/>
        </w:rPr>
      </w:pPr>
    </w:p>
    <w:p w14:paraId="551185C4" w14:textId="6E114140" w:rsidR="00016C24" w:rsidRPr="00384FB9" w:rsidRDefault="00016C24" w:rsidP="00016C24">
      <w:pPr>
        <w:pStyle w:val="8TfGMStandardDocumentText"/>
        <w:spacing w:after="100" w:afterAutospacing="1"/>
        <w:contextualSpacing/>
        <w:jc w:val="left"/>
        <w:rPr>
          <w:rFonts w:ascii="Arial" w:hAnsi="Arial"/>
          <w:sz w:val="24"/>
        </w:rPr>
      </w:pPr>
      <w:r w:rsidRPr="00384FB9">
        <w:rPr>
          <w:rFonts w:ascii="Arial" w:hAnsi="Arial"/>
          <w:sz w:val="24"/>
        </w:rPr>
        <w:t xml:space="preserve">Since the start of the pandemic, funding has been provided by DfT to support the loss in farebox revenues and to enable the continued operation of these essential services which, along with the other modes (such as bus and rail), have been key to providing transport to key workers and latterly to help the local economy recover from the impacts of the pandemic.  Although patronage and revenues have started to recover, patronage and farebox income are still well below pre pandemic levels. DfT has announced a further funding package for the period to 4 October 2022, which it has indicated will be the last period of government funding for light rail systems such as Metrolink.  </w:t>
      </w:r>
    </w:p>
    <w:p w14:paraId="1C459A4E" w14:textId="77777777" w:rsidR="00016C24" w:rsidRPr="009D6B32" w:rsidRDefault="00016C24" w:rsidP="00016C24">
      <w:pPr>
        <w:pStyle w:val="8TfGMStandardDocumentText"/>
        <w:spacing w:after="100" w:afterAutospacing="1"/>
        <w:contextualSpacing/>
        <w:rPr>
          <w:rFonts w:ascii="Arial" w:hAnsi="Arial"/>
          <w:sz w:val="24"/>
          <w:highlight w:val="lightGray"/>
        </w:rPr>
      </w:pPr>
      <w:r w:rsidRPr="009D6B32">
        <w:rPr>
          <w:rFonts w:ascii="Arial" w:hAnsi="Arial"/>
          <w:sz w:val="24"/>
          <w:highlight w:val="lightGray"/>
        </w:rPr>
        <w:t xml:space="preserve"> </w:t>
      </w:r>
    </w:p>
    <w:p w14:paraId="353D5D9B" w14:textId="77777777" w:rsidR="00016C24" w:rsidRPr="00451DD8" w:rsidRDefault="00016C24" w:rsidP="00016C24">
      <w:pPr>
        <w:pStyle w:val="8TfGMStandardDocumentText"/>
        <w:spacing w:after="100" w:afterAutospacing="1"/>
        <w:contextualSpacing/>
        <w:jc w:val="left"/>
        <w:rPr>
          <w:rFonts w:ascii="Arial" w:hAnsi="Arial"/>
          <w:sz w:val="24"/>
          <w:u w:val="single"/>
        </w:rPr>
      </w:pPr>
      <w:r w:rsidRPr="00451DD8">
        <w:rPr>
          <w:rFonts w:ascii="Arial" w:hAnsi="Arial"/>
          <w:sz w:val="24"/>
          <w:u w:val="single"/>
        </w:rPr>
        <w:t xml:space="preserve">Bus </w:t>
      </w:r>
    </w:p>
    <w:p w14:paraId="0E3CD0CA" w14:textId="77777777" w:rsidR="00016C24" w:rsidRPr="00E0065C" w:rsidRDefault="00016C24" w:rsidP="00016C24">
      <w:pPr>
        <w:pStyle w:val="8TfGMStandardDocumentText"/>
        <w:spacing w:after="100" w:afterAutospacing="1"/>
        <w:contextualSpacing/>
        <w:jc w:val="left"/>
        <w:rPr>
          <w:rFonts w:ascii="Arial" w:hAnsi="Arial"/>
          <w:sz w:val="24"/>
        </w:rPr>
      </w:pPr>
      <w:r w:rsidRPr="00E0065C">
        <w:rPr>
          <w:rFonts w:ascii="Arial" w:hAnsi="Arial"/>
          <w:sz w:val="24"/>
        </w:rPr>
        <w:t xml:space="preserve"> </w:t>
      </w:r>
    </w:p>
    <w:p w14:paraId="4E2281D1" w14:textId="77777777" w:rsidR="00016C24" w:rsidRPr="00E0065C" w:rsidRDefault="00016C24" w:rsidP="00016C24">
      <w:pPr>
        <w:pStyle w:val="8TfGMStandardDocumentText"/>
        <w:spacing w:after="100" w:afterAutospacing="1"/>
        <w:contextualSpacing/>
        <w:jc w:val="left"/>
        <w:rPr>
          <w:rFonts w:ascii="Arial" w:hAnsi="Arial"/>
          <w:sz w:val="24"/>
        </w:rPr>
      </w:pPr>
      <w:r w:rsidRPr="00E0065C">
        <w:rPr>
          <w:rFonts w:ascii="Arial" w:hAnsi="Arial"/>
          <w:sz w:val="24"/>
        </w:rPr>
        <w:t>Greater Manchester’s bus network plays a key role in keeping the city-region moving by helping to reduce car journeys and easing congestion on our roads. Bus services were deregulated in 1986 under the Transport Act 1985. Consequently, there are currently two interacting bus markets in Greater Manchester: a commercial (deregulated) market and a subsidised (contracted) market.</w:t>
      </w:r>
    </w:p>
    <w:p w14:paraId="1CDAFDC1" w14:textId="77777777" w:rsidR="00016C24" w:rsidRPr="00E0065C" w:rsidRDefault="00016C24" w:rsidP="00016C24">
      <w:pPr>
        <w:pStyle w:val="8TfGMStandardDocumentText"/>
        <w:spacing w:after="100" w:afterAutospacing="1"/>
        <w:contextualSpacing/>
        <w:rPr>
          <w:rFonts w:ascii="Arial" w:hAnsi="Arial"/>
          <w:sz w:val="24"/>
        </w:rPr>
      </w:pPr>
    </w:p>
    <w:p w14:paraId="18458BE3" w14:textId="6717656F" w:rsidR="00016C24" w:rsidRPr="00E0065C" w:rsidRDefault="00016C24" w:rsidP="00E95F9F">
      <w:pPr>
        <w:pStyle w:val="8TfGMStandardDocumentText"/>
        <w:spacing w:after="100" w:afterAutospacing="1"/>
        <w:contextualSpacing/>
        <w:jc w:val="left"/>
        <w:rPr>
          <w:rFonts w:ascii="Arial" w:hAnsi="Arial"/>
          <w:sz w:val="24"/>
        </w:rPr>
      </w:pPr>
      <w:r w:rsidRPr="00E0065C">
        <w:rPr>
          <w:rFonts w:ascii="Arial" w:hAnsi="Arial"/>
          <w:sz w:val="24"/>
        </w:rPr>
        <w:t xml:space="preserve">As with other travel modes, patronage on bus has been significantly impacted by the COVID-19 pandemic and the network and its operators have been dependent on ongoing financial assistance from the government to support the continuation of services at current levels.  As referred to above for Metrolink, the DfT has indicated that the period to 4 October 2022 will be the last period when COVID-19 recovery funding will be available for bus operators. TfGM is working with bus operators to assess the likely impacts on services beyond this date. This work includes the requirement for a ‘Network </w:t>
      </w:r>
      <w:r w:rsidRPr="00E0065C">
        <w:rPr>
          <w:rFonts w:ascii="Arial" w:hAnsi="Arial"/>
          <w:sz w:val="24"/>
        </w:rPr>
        <w:lastRenderedPageBreak/>
        <w:t xml:space="preserve">Review’ </w:t>
      </w:r>
      <w:r>
        <w:rPr>
          <w:rFonts w:ascii="Arial" w:hAnsi="Arial"/>
          <w:sz w:val="24"/>
        </w:rPr>
        <w:t xml:space="preserve">being </w:t>
      </w:r>
      <w:r w:rsidRPr="00E0065C">
        <w:rPr>
          <w:rFonts w:ascii="Arial" w:hAnsi="Arial"/>
          <w:sz w:val="24"/>
        </w:rPr>
        <w:t xml:space="preserve">carried out by GMCA/TfGM, as the Local Transport Authority for GM, and </w:t>
      </w:r>
      <w:r>
        <w:rPr>
          <w:rFonts w:ascii="Arial" w:hAnsi="Arial"/>
          <w:sz w:val="24"/>
        </w:rPr>
        <w:t>is</w:t>
      </w:r>
      <w:r w:rsidRPr="00E0065C">
        <w:rPr>
          <w:rFonts w:ascii="Arial" w:hAnsi="Arial"/>
          <w:sz w:val="24"/>
        </w:rPr>
        <w:t xml:space="preserve"> consider</w:t>
      </w:r>
      <w:r>
        <w:rPr>
          <w:rFonts w:ascii="Arial" w:hAnsi="Arial"/>
          <w:sz w:val="24"/>
        </w:rPr>
        <w:t>ing</w:t>
      </w:r>
      <w:r w:rsidRPr="00E0065C">
        <w:rPr>
          <w:rFonts w:ascii="Arial" w:hAnsi="Arial"/>
          <w:sz w:val="24"/>
        </w:rPr>
        <w:t xml:space="preserve"> the future required development of transport across all modes including bus and light rail.  </w:t>
      </w:r>
    </w:p>
    <w:p w14:paraId="3F1454D6" w14:textId="77777777" w:rsidR="00016C24" w:rsidRPr="00E0065C" w:rsidRDefault="00016C24" w:rsidP="00E95F9F">
      <w:pPr>
        <w:pStyle w:val="8TfGMStandardDocumentText"/>
        <w:spacing w:after="100" w:afterAutospacing="1"/>
        <w:contextualSpacing/>
        <w:jc w:val="left"/>
        <w:rPr>
          <w:rFonts w:ascii="Arial" w:hAnsi="Arial"/>
          <w:sz w:val="24"/>
        </w:rPr>
      </w:pPr>
    </w:p>
    <w:p w14:paraId="0A0779A0" w14:textId="0AC36064" w:rsidR="00016C24" w:rsidRPr="00E0065C" w:rsidRDefault="00016C24" w:rsidP="00E95F9F">
      <w:pPr>
        <w:pStyle w:val="8TfGMStandardDocumentText"/>
        <w:spacing w:after="100" w:afterAutospacing="1"/>
        <w:contextualSpacing/>
        <w:jc w:val="left"/>
        <w:rPr>
          <w:rFonts w:ascii="Arial" w:hAnsi="Arial"/>
          <w:sz w:val="24"/>
        </w:rPr>
      </w:pPr>
      <w:r w:rsidRPr="00E0065C">
        <w:rPr>
          <w:rFonts w:ascii="Arial" w:hAnsi="Arial"/>
          <w:sz w:val="24"/>
        </w:rPr>
        <w:t xml:space="preserve">In April 2022, TfGM was informed that that it had been successful in being awarded an indicative revenue funding allocation of up to £94.8 million to commence delivery of the Greater Manchester BSIP. This funding is for the period from 2022/23 to 2024/25. As with the situation for other LTA’s, discussions continue with the Department for Transport and HM Treasury prior to a final award being confirmed. </w:t>
      </w:r>
    </w:p>
    <w:p w14:paraId="5BD1A778" w14:textId="77777777" w:rsidR="00016C24" w:rsidRPr="00CA5DB4" w:rsidRDefault="00016C24" w:rsidP="00E95F9F">
      <w:pPr>
        <w:pStyle w:val="8TfGMStandardDocumentText"/>
        <w:spacing w:after="100" w:afterAutospacing="1"/>
        <w:contextualSpacing/>
        <w:jc w:val="left"/>
        <w:rPr>
          <w:rFonts w:ascii="Arial" w:hAnsi="Arial"/>
          <w:sz w:val="24"/>
        </w:rPr>
      </w:pPr>
    </w:p>
    <w:p w14:paraId="15129737" w14:textId="079B4A9D" w:rsidR="00016C24" w:rsidRPr="008B47AC" w:rsidRDefault="00016C24" w:rsidP="00E95F9F">
      <w:pPr>
        <w:pStyle w:val="8TfGMStandardDocumentText"/>
        <w:spacing w:after="100" w:afterAutospacing="1"/>
        <w:contextualSpacing/>
        <w:jc w:val="left"/>
        <w:rPr>
          <w:rFonts w:ascii="Arial" w:hAnsi="Arial"/>
          <w:sz w:val="24"/>
        </w:rPr>
      </w:pPr>
      <w:r w:rsidRPr="00CA5DB4">
        <w:rPr>
          <w:rFonts w:ascii="Arial" w:hAnsi="Arial"/>
          <w:sz w:val="24"/>
        </w:rPr>
        <w:t>In March 2021, the Mayor of Greater Manchester</w:t>
      </w:r>
      <w:r>
        <w:rPr>
          <w:rFonts w:ascii="Arial" w:hAnsi="Arial"/>
          <w:sz w:val="24"/>
        </w:rPr>
        <w:t xml:space="preserve"> </w:t>
      </w:r>
      <w:r w:rsidRPr="00CA5DB4">
        <w:rPr>
          <w:rFonts w:ascii="Arial" w:hAnsi="Arial"/>
          <w:sz w:val="24"/>
        </w:rPr>
        <w:t>made a decision, to implement bus franchising as part of plans for a joined-up and truly passenger-focused transport network.</w:t>
      </w:r>
      <w:r>
        <w:rPr>
          <w:rFonts w:ascii="Arial" w:hAnsi="Arial"/>
          <w:sz w:val="24"/>
        </w:rPr>
        <w:t xml:space="preserve"> </w:t>
      </w:r>
      <w:r w:rsidRPr="00CA5DB4">
        <w:rPr>
          <w:rFonts w:ascii="Arial" w:hAnsi="Arial"/>
          <w:sz w:val="24"/>
        </w:rPr>
        <w:t>Once implemented Greater Manchester will be the first city-region outside London to have buses that are under local control, allowing local leaders to set routes, frequencies, fares and tickets. This will allow GMCA and TfGM to fully integrate buses with the rest of the transport network, as part of a passenger-focused network with easy end-to-end journeys.</w:t>
      </w:r>
      <w:r>
        <w:rPr>
          <w:rFonts w:ascii="Arial" w:hAnsi="Arial"/>
          <w:sz w:val="24"/>
        </w:rPr>
        <w:t xml:space="preserve">  </w:t>
      </w:r>
      <w:r w:rsidRPr="00CA5DB4">
        <w:rPr>
          <w:rFonts w:ascii="Arial" w:hAnsi="Arial"/>
          <w:sz w:val="24"/>
        </w:rPr>
        <w:t xml:space="preserve">TfGM will be implementing and managing bus franchising on behalf of GMCA (the franchising authority). To ensure a smooth transition, franchising will be introduced in phases, with the first franchised buses starting to run in Bolton and Wigan in September 2023. </w:t>
      </w:r>
    </w:p>
    <w:p w14:paraId="053FCCAF" w14:textId="77777777" w:rsidR="00016C24" w:rsidRPr="009D6B32" w:rsidRDefault="00016C24" w:rsidP="00E95F9F">
      <w:pPr>
        <w:pStyle w:val="8TfGMStandardDocumentText"/>
        <w:spacing w:after="100" w:afterAutospacing="1"/>
        <w:contextualSpacing/>
        <w:jc w:val="left"/>
        <w:rPr>
          <w:rFonts w:ascii="Arial" w:hAnsi="Arial"/>
          <w:b/>
          <w:bCs/>
          <w:sz w:val="24"/>
          <w:highlight w:val="lightGray"/>
        </w:rPr>
      </w:pPr>
    </w:p>
    <w:p w14:paraId="7B9C15C9" w14:textId="77777777" w:rsidR="00016C24" w:rsidRPr="00451DD8" w:rsidRDefault="00016C24" w:rsidP="00E95F9F">
      <w:pPr>
        <w:pStyle w:val="8TfGMStandardDocumentText"/>
        <w:spacing w:after="100" w:afterAutospacing="1"/>
        <w:contextualSpacing/>
        <w:jc w:val="left"/>
        <w:rPr>
          <w:rFonts w:ascii="Arial" w:hAnsi="Arial"/>
          <w:sz w:val="24"/>
          <w:u w:val="single"/>
        </w:rPr>
      </w:pPr>
      <w:r w:rsidRPr="00451DD8">
        <w:rPr>
          <w:rFonts w:ascii="Arial" w:hAnsi="Arial"/>
          <w:sz w:val="24"/>
          <w:u w:val="single"/>
        </w:rPr>
        <w:t xml:space="preserve">Rail </w:t>
      </w:r>
    </w:p>
    <w:p w14:paraId="2DFCB369" w14:textId="77777777" w:rsidR="00016C24" w:rsidRPr="00602F57" w:rsidRDefault="00016C24" w:rsidP="00E95F9F">
      <w:pPr>
        <w:pStyle w:val="8TfGMStandardDocumentText"/>
        <w:spacing w:after="100" w:afterAutospacing="1"/>
        <w:contextualSpacing/>
        <w:jc w:val="left"/>
        <w:rPr>
          <w:rFonts w:ascii="Arial" w:hAnsi="Arial"/>
          <w:sz w:val="24"/>
        </w:rPr>
      </w:pPr>
      <w:r w:rsidRPr="00602F57">
        <w:rPr>
          <w:rFonts w:ascii="Arial" w:hAnsi="Arial"/>
          <w:sz w:val="24"/>
        </w:rPr>
        <w:t xml:space="preserve"> </w:t>
      </w:r>
    </w:p>
    <w:p w14:paraId="527B927E" w14:textId="77777777" w:rsidR="00016C24" w:rsidRPr="00602F57" w:rsidRDefault="00016C24" w:rsidP="00E95F9F">
      <w:pPr>
        <w:pStyle w:val="8TfGMStandardDocumentText"/>
        <w:spacing w:after="100" w:afterAutospacing="1"/>
        <w:contextualSpacing/>
        <w:jc w:val="left"/>
        <w:rPr>
          <w:rFonts w:ascii="Arial" w:hAnsi="Arial"/>
          <w:sz w:val="24"/>
        </w:rPr>
      </w:pPr>
      <w:r w:rsidRPr="00602F57">
        <w:rPr>
          <w:rFonts w:ascii="Arial" w:hAnsi="Arial"/>
          <w:sz w:val="24"/>
        </w:rPr>
        <w:t>Greater Manchester is a prominent regional and national centre for rail passenger travel. Typically, 40 million rail trips per year took place (pre</w:t>
      </w:r>
      <w:r>
        <w:rPr>
          <w:rFonts w:ascii="Arial" w:hAnsi="Arial"/>
          <w:sz w:val="24"/>
        </w:rPr>
        <w:t xml:space="preserve"> </w:t>
      </w:r>
      <w:r w:rsidRPr="00602F57">
        <w:rPr>
          <w:rFonts w:ascii="Arial" w:hAnsi="Arial"/>
          <w:sz w:val="24"/>
        </w:rPr>
        <w:t>COVID</w:t>
      </w:r>
      <w:r>
        <w:rPr>
          <w:rFonts w:ascii="Arial" w:hAnsi="Arial"/>
          <w:sz w:val="24"/>
        </w:rPr>
        <w:t>-19</w:t>
      </w:r>
      <w:r w:rsidRPr="00602F57">
        <w:rPr>
          <w:rFonts w:ascii="Arial" w:hAnsi="Arial"/>
          <w:sz w:val="24"/>
        </w:rPr>
        <w:t xml:space="preserve">) within the Greater Manchester city-region and rail passenger use has increased by 30% over the last decade. A further 30 million trips either started or finished in GM from a location outside the city-region. In the context of journeys to, from and within the wider North West, around 50% of all journeys involve Greater Manchester.  </w:t>
      </w:r>
    </w:p>
    <w:p w14:paraId="69AFD352" w14:textId="77777777" w:rsidR="00016C24" w:rsidRPr="00602F57" w:rsidRDefault="00016C24" w:rsidP="00E95F9F">
      <w:pPr>
        <w:pStyle w:val="8TfGMStandardDocumentText"/>
        <w:spacing w:after="100" w:afterAutospacing="1"/>
        <w:contextualSpacing/>
        <w:jc w:val="left"/>
        <w:rPr>
          <w:rFonts w:ascii="Arial" w:hAnsi="Arial"/>
          <w:sz w:val="24"/>
        </w:rPr>
      </w:pPr>
    </w:p>
    <w:p w14:paraId="194AF20B" w14:textId="77777777" w:rsidR="00016C24" w:rsidRPr="007769BE" w:rsidRDefault="00016C24" w:rsidP="00E95F9F">
      <w:pPr>
        <w:pStyle w:val="8TfGMStandardDocumentText"/>
        <w:spacing w:after="100" w:afterAutospacing="1"/>
        <w:contextualSpacing/>
        <w:jc w:val="left"/>
        <w:rPr>
          <w:rFonts w:ascii="Arial" w:hAnsi="Arial"/>
          <w:sz w:val="24"/>
        </w:rPr>
      </w:pPr>
      <w:r w:rsidRPr="00602F57">
        <w:rPr>
          <w:rFonts w:ascii="Arial" w:hAnsi="Arial"/>
          <w:sz w:val="24"/>
        </w:rPr>
        <w:t xml:space="preserve">Currently, Greater Manchester does not have devolved control over rail services or infrastructure. TfGM therefore takes a collaborative approach to working with Network Rail, rail operators and the Department for Transport in order to see services delivered as effectively as possible. TfGM uses communications channels such as social media to ensure Greater Manchester’s residents are made aware of planned service disruption and improvements, and using local insight, expertise and data continues to make the case for investment from central government.  </w:t>
      </w:r>
    </w:p>
    <w:p w14:paraId="6B345022" w14:textId="77777777" w:rsidR="00016C24" w:rsidRPr="00451DD8" w:rsidRDefault="00016C24" w:rsidP="00E95F9F">
      <w:pPr>
        <w:rPr>
          <w:rFonts w:ascii="Arial" w:hAnsi="Arial" w:cs="Arial"/>
          <w:u w:val="single"/>
        </w:rPr>
      </w:pPr>
      <w:r w:rsidRPr="00451DD8">
        <w:rPr>
          <w:rFonts w:ascii="Arial" w:hAnsi="Arial" w:cs="Arial"/>
          <w:u w:val="single"/>
        </w:rPr>
        <w:t>Greater Manchester Clean Air Plan</w:t>
      </w:r>
    </w:p>
    <w:p w14:paraId="50F314C6" w14:textId="77777777" w:rsidR="00016C24" w:rsidRPr="00D7673B" w:rsidRDefault="00016C24" w:rsidP="00E95F9F">
      <w:pPr>
        <w:rPr>
          <w:rFonts w:ascii="Arial" w:hAnsi="Arial" w:cs="Arial"/>
          <w:b/>
          <w:bCs/>
        </w:rPr>
      </w:pPr>
    </w:p>
    <w:p w14:paraId="1870C37A" w14:textId="77777777" w:rsidR="00016C24" w:rsidRPr="00D7673B" w:rsidRDefault="00016C24" w:rsidP="00E95F9F">
      <w:pPr>
        <w:rPr>
          <w:rFonts w:ascii="Arial" w:hAnsi="Arial" w:cs="Arial"/>
        </w:rPr>
      </w:pPr>
      <w:r w:rsidRPr="00D7673B">
        <w:rPr>
          <w:rFonts w:ascii="Arial" w:hAnsi="Arial" w:cs="Arial"/>
        </w:rPr>
        <w:t>The government has instructed many local authorities across the UK to take quick action to bring harmful nitrogen dioxide (NO</w:t>
      </w:r>
      <w:r w:rsidRPr="00D7673B">
        <w:rPr>
          <w:rFonts w:ascii="Arial" w:hAnsi="Arial" w:cs="Arial"/>
          <w:vertAlign w:val="subscript"/>
        </w:rPr>
        <w:t>2</w:t>
      </w:r>
      <w:r w:rsidRPr="00D7673B">
        <w:rPr>
          <w:rFonts w:ascii="Arial" w:hAnsi="Arial" w:cs="Arial"/>
        </w:rPr>
        <w:t>) air pollution levels within legal limits.</w:t>
      </w:r>
    </w:p>
    <w:p w14:paraId="3907E71A" w14:textId="77777777" w:rsidR="00016C24" w:rsidRPr="00D7673B" w:rsidRDefault="00016C24" w:rsidP="00E95F9F">
      <w:pPr>
        <w:rPr>
          <w:rFonts w:ascii="Arial" w:hAnsi="Arial" w:cs="Arial"/>
        </w:rPr>
      </w:pPr>
    </w:p>
    <w:p w14:paraId="7F39AABB" w14:textId="77777777" w:rsidR="00016C24" w:rsidRPr="00D7673B" w:rsidRDefault="00016C24" w:rsidP="00E95F9F">
      <w:pPr>
        <w:rPr>
          <w:rFonts w:ascii="Arial" w:hAnsi="Arial" w:cs="Arial"/>
        </w:rPr>
      </w:pPr>
      <w:r w:rsidRPr="00D7673B">
        <w:rPr>
          <w:rFonts w:ascii="Arial" w:hAnsi="Arial" w:cs="Arial"/>
        </w:rPr>
        <w:t>In Greater Manchester, the ten local authorities, with the support of GMCA and TfGM, are working together to develop a Greater Manchester Clean Air Plan (GM CAP) to tackle NO</w:t>
      </w:r>
      <w:r w:rsidRPr="00D7673B">
        <w:rPr>
          <w:rFonts w:ascii="Arial" w:hAnsi="Arial" w:cs="Arial"/>
          <w:vertAlign w:val="subscript"/>
        </w:rPr>
        <w:t>2</w:t>
      </w:r>
      <w:r w:rsidRPr="00D7673B">
        <w:rPr>
          <w:rFonts w:ascii="Arial" w:hAnsi="Arial" w:cs="Arial"/>
        </w:rPr>
        <w:t xml:space="preserve"> exceedances at the roadside.  In June 2021 the GMCA endorsed a final GM Clean Air Plan and policy following a review of the information from the GM CAP consultation and wider data, evidence and modelling work. The plan was then agreed by the ten GM local authorities. </w:t>
      </w:r>
      <w:r w:rsidRPr="00D7673B">
        <w:rPr>
          <w:rFonts w:ascii="Arial" w:eastAsia="Calibri" w:hAnsi="Arial" w:cs="Arial"/>
        </w:rPr>
        <w:t>This included a Greater Manchester-wide category C charging Clean Air Zone (CAZ), where only the most polluting vehicles which don’t meet emission standards would have been charged to drive in the Zone.</w:t>
      </w:r>
    </w:p>
    <w:p w14:paraId="6257C36A" w14:textId="77777777" w:rsidR="00016C24" w:rsidRPr="00D7673B" w:rsidRDefault="00016C24" w:rsidP="00E95F9F">
      <w:pPr>
        <w:rPr>
          <w:rFonts w:ascii="Arial" w:eastAsia="Calibri" w:hAnsi="Arial" w:cs="Arial"/>
        </w:rPr>
      </w:pPr>
    </w:p>
    <w:p w14:paraId="5BF0A088" w14:textId="77777777" w:rsidR="00016C24" w:rsidRPr="00D7673B" w:rsidRDefault="00016C24" w:rsidP="00E95F9F">
      <w:pPr>
        <w:spacing w:after="160"/>
        <w:rPr>
          <w:rFonts w:ascii="Arial" w:eastAsia="Calibri" w:hAnsi="Arial" w:cs="Arial"/>
        </w:rPr>
      </w:pPr>
      <w:r w:rsidRPr="00D7673B">
        <w:rPr>
          <w:rFonts w:ascii="Arial" w:eastAsia="Arial" w:hAnsi="Arial" w:cs="Arial"/>
        </w:rPr>
        <w:t>It was originally intended that the CAZ would go live from 30 May 2022, affecting n</w:t>
      </w:r>
      <w:r w:rsidRPr="00D7673B">
        <w:rPr>
          <w:rFonts w:ascii="Arial" w:hAnsi="Arial" w:cs="Arial"/>
        </w:rPr>
        <w:t>on-compliant HGVs, buses and non-GM-registered taxi and private hire vehicles</w:t>
      </w:r>
      <w:r w:rsidRPr="00D7673B">
        <w:rPr>
          <w:rFonts w:ascii="Arial" w:eastAsia="Arial" w:hAnsi="Arial" w:cs="Arial"/>
        </w:rPr>
        <w:t>. Work to install the CAZ signage and Automatic Number Plate Recognition (ANPR) cameras for monitoring the CAZ began in summer 2021, alongside the development of back office systems.</w:t>
      </w:r>
    </w:p>
    <w:p w14:paraId="394B783E" w14:textId="77777777" w:rsidR="00016C24" w:rsidRPr="00D7673B" w:rsidRDefault="00016C24" w:rsidP="00E95F9F">
      <w:pPr>
        <w:spacing w:after="160"/>
        <w:rPr>
          <w:rFonts w:ascii="Arial" w:eastAsia="Calibri" w:hAnsi="Arial" w:cs="Arial"/>
        </w:rPr>
      </w:pPr>
      <w:r w:rsidRPr="00D7673B">
        <w:rPr>
          <w:rFonts w:ascii="Arial" w:eastAsia="Calibri" w:hAnsi="Arial" w:cs="Arial"/>
        </w:rPr>
        <w:t xml:space="preserve">The CAZ was designed to comply with a legal direction from government issued before the coronavirus pandemic, to deliver compliance with </w:t>
      </w:r>
      <w:r w:rsidRPr="00D7673B">
        <w:rPr>
          <w:rFonts w:ascii="Arial" w:hAnsi="Arial" w:cs="Arial"/>
        </w:rPr>
        <w:t>NO</w:t>
      </w:r>
      <w:r w:rsidRPr="00D7673B">
        <w:rPr>
          <w:rFonts w:ascii="Arial" w:hAnsi="Arial" w:cs="Arial"/>
          <w:vertAlign w:val="subscript"/>
        </w:rPr>
        <w:t xml:space="preserve">2 </w:t>
      </w:r>
      <w:r w:rsidRPr="00D7673B">
        <w:rPr>
          <w:rFonts w:ascii="Arial" w:eastAsia="Calibri" w:hAnsi="Arial" w:cs="Arial"/>
        </w:rPr>
        <w:t>legal limits on the local road network by 2024. However, since then there have been significant vehicle supply chain issues and the cost of living has increased leading to concerns about the availability of compliant vehicles and financial hardship for local people.</w:t>
      </w:r>
    </w:p>
    <w:p w14:paraId="1F50BF83" w14:textId="125D9862" w:rsidR="00016C24" w:rsidRPr="00D7673B" w:rsidRDefault="00016C24" w:rsidP="00E95F9F">
      <w:pPr>
        <w:spacing w:after="160"/>
        <w:rPr>
          <w:rFonts w:ascii="Arial" w:eastAsia="Calibri" w:hAnsi="Arial" w:cs="Arial"/>
        </w:rPr>
      </w:pPr>
      <w:r w:rsidRPr="00D7673B">
        <w:rPr>
          <w:rFonts w:ascii="Arial" w:eastAsia="Calibri" w:hAnsi="Arial" w:cs="Arial"/>
        </w:rPr>
        <w:t>Late last year, Greater Manchester commissioned an independent review of emerging global supply chain issues and the impact this could have on the cost and availability of vehicles. Based on this the Greater Manchester Mayor and Leaders determined that the original Clean Air Plan was unworkable, Government agreed in February 2022 to lift the previous legal direction requiring GM to achieve compliance with legal NO</w:t>
      </w:r>
      <w:r w:rsidRPr="00D7673B">
        <w:rPr>
          <w:rFonts w:ascii="Cambria Math" w:eastAsia="Calibri" w:hAnsi="Cambria Math" w:cs="Cambria Math"/>
        </w:rPr>
        <w:t>₂</w:t>
      </w:r>
      <w:r w:rsidRPr="00D7673B">
        <w:rPr>
          <w:rFonts w:ascii="Arial" w:eastAsia="Calibri" w:hAnsi="Arial" w:cs="Arial"/>
        </w:rPr>
        <w:t xml:space="preserve"> limits by 2024.</w:t>
      </w:r>
      <w:r>
        <w:rPr>
          <w:rFonts w:ascii="Arial" w:eastAsia="Calibri" w:hAnsi="Arial" w:cs="Arial"/>
        </w:rPr>
        <w:t xml:space="preserve">  </w:t>
      </w:r>
      <w:r w:rsidRPr="00D7673B">
        <w:rPr>
          <w:rFonts w:ascii="Arial" w:eastAsia="Calibri" w:hAnsi="Arial" w:cs="Arial"/>
        </w:rPr>
        <w:t xml:space="preserve">Government </w:t>
      </w:r>
      <w:r>
        <w:rPr>
          <w:rFonts w:ascii="Arial" w:eastAsia="Calibri" w:hAnsi="Arial" w:cs="Arial"/>
        </w:rPr>
        <w:t xml:space="preserve">gave </w:t>
      </w:r>
      <w:r w:rsidRPr="00D7673B">
        <w:rPr>
          <w:rFonts w:ascii="Arial" w:eastAsia="Calibri" w:hAnsi="Arial" w:cs="Arial"/>
        </w:rPr>
        <w:t>Greater Manchester until July 2022 to present a revised plan to achieve compliance with legal levels of NO</w:t>
      </w:r>
      <w:r w:rsidRPr="00D7673B">
        <w:rPr>
          <w:rFonts w:ascii="Cambria Math" w:eastAsia="Calibri" w:hAnsi="Cambria Math" w:cs="Cambria Math"/>
        </w:rPr>
        <w:t>₂</w:t>
      </w:r>
      <w:r w:rsidRPr="00D7673B">
        <w:rPr>
          <w:rFonts w:ascii="Arial" w:eastAsia="Calibri" w:hAnsi="Arial" w:cs="Arial"/>
        </w:rPr>
        <w:t xml:space="preserve"> on the local road network in the shortest time possible and by no later than 2026</w:t>
      </w:r>
      <w:r>
        <w:rPr>
          <w:rFonts w:ascii="Arial" w:eastAsia="Calibri" w:hAnsi="Arial" w:cs="Arial"/>
        </w:rPr>
        <w:t>. This was submitted on 1 July 2022.</w:t>
      </w:r>
    </w:p>
    <w:p w14:paraId="77CFC806" w14:textId="77777777" w:rsidR="00016C24" w:rsidRPr="00982EF6" w:rsidRDefault="00016C24" w:rsidP="00016C24">
      <w:pPr>
        <w:pStyle w:val="Heading3"/>
        <w:spacing w:after="120"/>
        <w:rPr>
          <w:sz w:val="24"/>
          <w:szCs w:val="24"/>
        </w:rPr>
      </w:pPr>
      <w:bookmarkStart w:id="38" w:name="_Toc109922588"/>
      <w:r w:rsidRPr="00982EF6">
        <w:rPr>
          <w:sz w:val="24"/>
          <w:szCs w:val="24"/>
        </w:rPr>
        <w:t>Greater Manchester Local Enterprise Partnership (LEP)</w:t>
      </w:r>
      <w:bookmarkEnd w:id="38"/>
      <w:r w:rsidRPr="00982EF6">
        <w:rPr>
          <w:sz w:val="24"/>
          <w:szCs w:val="24"/>
        </w:rPr>
        <w:t xml:space="preserve"> </w:t>
      </w:r>
    </w:p>
    <w:p w14:paraId="79397A4C" w14:textId="77777777" w:rsidR="00016C24" w:rsidRPr="00C34F59" w:rsidRDefault="00016C24" w:rsidP="00016C24">
      <w:pPr>
        <w:pStyle w:val="Normal0"/>
        <w:spacing w:after="120" w:line="240" w:lineRule="auto"/>
        <w:rPr>
          <w:rFonts w:ascii="Arial" w:hAnsi="Arial" w:cs="Arial"/>
          <w:sz w:val="24"/>
          <w:szCs w:val="24"/>
          <w:lang w:val="en-GB"/>
        </w:rPr>
      </w:pPr>
      <w:bookmarkStart w:id="39" w:name="_Hlk106981449"/>
      <w:r w:rsidRPr="00C34F59">
        <w:rPr>
          <w:rFonts w:ascii="Arial" w:hAnsi="Arial" w:cs="Arial"/>
          <w:sz w:val="24"/>
          <w:szCs w:val="24"/>
          <w:lang w:val="en-GB"/>
        </w:rPr>
        <w:t xml:space="preserve">The Authority acts as the accountable body for the Greater Manchester LEP, with funds such as, Growth Deal, LEP Capacity and Business Growth Hub being awarded to it. The tables below show Income and Expenditure activity within 2021/22, along with funds held in reserves on behalf of the LEP. </w:t>
      </w:r>
    </w:p>
    <w:tbl>
      <w:tblPr>
        <w:tblStyle w:val="TableGrid1"/>
        <w:tblW w:w="0" w:type="auto"/>
        <w:tblLook w:val="04A0" w:firstRow="1" w:lastRow="0" w:firstColumn="1" w:lastColumn="0" w:noHBand="0" w:noVBand="1"/>
      </w:tblPr>
      <w:tblGrid>
        <w:gridCol w:w="3964"/>
        <w:gridCol w:w="1276"/>
        <w:gridCol w:w="1603"/>
        <w:gridCol w:w="1417"/>
      </w:tblGrid>
      <w:tr w:rsidR="00016C24" w:rsidRPr="00C34F59" w14:paraId="5E55DB51" w14:textId="77777777" w:rsidTr="00500FD5">
        <w:tc>
          <w:tcPr>
            <w:tcW w:w="3964" w:type="dxa"/>
            <w:tcBorders>
              <w:bottom w:val="single" w:sz="4" w:space="0" w:color="auto"/>
            </w:tcBorders>
          </w:tcPr>
          <w:p w14:paraId="2D15BA02" w14:textId="77777777" w:rsidR="00016C24" w:rsidRPr="00C34F59" w:rsidRDefault="00016C24" w:rsidP="00500FD5">
            <w:pPr>
              <w:pStyle w:val="NoSpacing"/>
              <w:rPr>
                <w:rFonts w:ascii="Arial" w:hAnsi="Arial" w:cs="Arial"/>
                <w:sz w:val="24"/>
                <w:szCs w:val="24"/>
                <w:lang w:val="en-GB"/>
              </w:rPr>
            </w:pPr>
          </w:p>
        </w:tc>
        <w:tc>
          <w:tcPr>
            <w:tcW w:w="1276" w:type="dxa"/>
            <w:tcBorders>
              <w:bottom w:val="single" w:sz="4" w:space="0" w:color="auto"/>
            </w:tcBorders>
          </w:tcPr>
          <w:p w14:paraId="358DB711" w14:textId="77777777" w:rsidR="00016C24" w:rsidRPr="00C34F59" w:rsidRDefault="00016C24" w:rsidP="00500FD5">
            <w:pPr>
              <w:pStyle w:val="NoSpacing"/>
              <w:jc w:val="right"/>
              <w:rPr>
                <w:rFonts w:ascii="Arial" w:hAnsi="Arial" w:cs="Arial"/>
                <w:b/>
                <w:bCs/>
                <w:sz w:val="24"/>
                <w:szCs w:val="24"/>
                <w:lang w:val="en-GB"/>
              </w:rPr>
            </w:pPr>
            <w:r w:rsidRPr="00C34F59">
              <w:rPr>
                <w:rFonts w:ascii="Arial" w:hAnsi="Arial" w:cs="Arial"/>
                <w:b/>
                <w:bCs/>
                <w:sz w:val="24"/>
                <w:szCs w:val="24"/>
                <w:lang w:val="en-GB"/>
              </w:rPr>
              <w:t>Income</w:t>
            </w:r>
          </w:p>
          <w:p w14:paraId="18B4E6F0" w14:textId="77777777" w:rsidR="00016C24" w:rsidRPr="00C34F59" w:rsidRDefault="00016C24" w:rsidP="00500FD5">
            <w:pPr>
              <w:pStyle w:val="NoSpacing"/>
              <w:jc w:val="right"/>
              <w:rPr>
                <w:rFonts w:ascii="Arial" w:hAnsi="Arial" w:cs="Arial"/>
                <w:b/>
                <w:bCs/>
                <w:sz w:val="24"/>
                <w:szCs w:val="24"/>
                <w:lang w:val="en-GB"/>
              </w:rPr>
            </w:pPr>
            <w:r w:rsidRPr="00C34F59">
              <w:rPr>
                <w:rFonts w:ascii="Arial" w:hAnsi="Arial" w:cs="Arial"/>
                <w:b/>
                <w:bCs/>
                <w:sz w:val="24"/>
                <w:szCs w:val="24"/>
                <w:lang w:val="en-GB"/>
              </w:rPr>
              <w:t>£000s</w:t>
            </w:r>
          </w:p>
        </w:tc>
        <w:tc>
          <w:tcPr>
            <w:tcW w:w="1603" w:type="dxa"/>
            <w:tcBorders>
              <w:bottom w:val="single" w:sz="4" w:space="0" w:color="auto"/>
            </w:tcBorders>
          </w:tcPr>
          <w:p w14:paraId="6F0C3DE8" w14:textId="77777777" w:rsidR="00016C24" w:rsidRPr="00C34F59" w:rsidRDefault="00016C24" w:rsidP="00500FD5">
            <w:pPr>
              <w:pStyle w:val="NoSpacing"/>
              <w:jc w:val="right"/>
              <w:rPr>
                <w:rFonts w:ascii="Arial" w:hAnsi="Arial" w:cs="Arial"/>
                <w:b/>
                <w:bCs/>
                <w:sz w:val="24"/>
                <w:szCs w:val="24"/>
                <w:lang w:val="en-GB"/>
              </w:rPr>
            </w:pPr>
            <w:r w:rsidRPr="00C34F59">
              <w:rPr>
                <w:rFonts w:ascii="Arial" w:hAnsi="Arial" w:cs="Arial"/>
                <w:b/>
                <w:bCs/>
                <w:sz w:val="24"/>
                <w:szCs w:val="24"/>
                <w:lang w:val="en-GB"/>
              </w:rPr>
              <w:t>Expenditure</w:t>
            </w:r>
          </w:p>
          <w:p w14:paraId="43AFDA60" w14:textId="77777777" w:rsidR="00016C24" w:rsidRPr="00C34F59" w:rsidRDefault="00016C24" w:rsidP="00500FD5">
            <w:pPr>
              <w:pStyle w:val="NoSpacing"/>
              <w:jc w:val="right"/>
              <w:rPr>
                <w:rFonts w:ascii="Arial" w:hAnsi="Arial" w:cs="Arial"/>
                <w:b/>
                <w:bCs/>
                <w:sz w:val="24"/>
                <w:szCs w:val="24"/>
                <w:lang w:val="en-GB"/>
              </w:rPr>
            </w:pPr>
            <w:r w:rsidRPr="00C34F59">
              <w:rPr>
                <w:rFonts w:ascii="Arial" w:hAnsi="Arial" w:cs="Arial"/>
                <w:b/>
                <w:bCs/>
                <w:sz w:val="24"/>
                <w:szCs w:val="24"/>
                <w:lang w:val="en-GB"/>
              </w:rPr>
              <w:t>£000s</w:t>
            </w:r>
          </w:p>
        </w:tc>
        <w:tc>
          <w:tcPr>
            <w:tcW w:w="1417" w:type="dxa"/>
            <w:tcBorders>
              <w:bottom w:val="single" w:sz="4" w:space="0" w:color="auto"/>
            </w:tcBorders>
          </w:tcPr>
          <w:p w14:paraId="4C5980B2" w14:textId="77777777" w:rsidR="00016C24" w:rsidRPr="00C34F59" w:rsidRDefault="00016C24" w:rsidP="00500FD5">
            <w:pPr>
              <w:pStyle w:val="NoSpacing"/>
              <w:jc w:val="right"/>
              <w:rPr>
                <w:rFonts w:ascii="Arial" w:hAnsi="Arial" w:cs="Arial"/>
                <w:b/>
                <w:bCs/>
                <w:sz w:val="24"/>
                <w:szCs w:val="24"/>
                <w:lang w:val="en-GB"/>
              </w:rPr>
            </w:pPr>
            <w:r w:rsidRPr="00C34F59">
              <w:rPr>
                <w:rFonts w:ascii="Arial" w:hAnsi="Arial" w:cs="Arial"/>
                <w:b/>
                <w:bCs/>
                <w:sz w:val="24"/>
                <w:szCs w:val="24"/>
                <w:lang w:val="en-GB"/>
              </w:rPr>
              <w:t>Variance</w:t>
            </w:r>
          </w:p>
          <w:p w14:paraId="20AB151E" w14:textId="77777777" w:rsidR="00016C24" w:rsidRPr="00C34F59" w:rsidRDefault="00016C24" w:rsidP="00500FD5">
            <w:pPr>
              <w:pStyle w:val="NoSpacing"/>
              <w:jc w:val="right"/>
              <w:rPr>
                <w:rFonts w:ascii="Arial" w:hAnsi="Arial" w:cs="Arial"/>
                <w:b/>
                <w:bCs/>
                <w:sz w:val="24"/>
                <w:szCs w:val="24"/>
                <w:lang w:val="en-GB"/>
              </w:rPr>
            </w:pPr>
            <w:r w:rsidRPr="00C34F59">
              <w:rPr>
                <w:rFonts w:ascii="Arial" w:hAnsi="Arial" w:cs="Arial"/>
                <w:b/>
                <w:bCs/>
                <w:sz w:val="24"/>
                <w:szCs w:val="24"/>
                <w:lang w:val="en-GB"/>
              </w:rPr>
              <w:t>£000s</w:t>
            </w:r>
          </w:p>
        </w:tc>
      </w:tr>
      <w:tr w:rsidR="00016C24" w:rsidRPr="00C34F59" w14:paraId="3FA2EFF7" w14:textId="77777777" w:rsidTr="00500FD5">
        <w:tc>
          <w:tcPr>
            <w:tcW w:w="3964" w:type="dxa"/>
            <w:tcBorders>
              <w:top w:val="single" w:sz="4" w:space="0" w:color="auto"/>
              <w:left w:val="single" w:sz="4" w:space="0" w:color="auto"/>
              <w:bottom w:val="nil"/>
              <w:right w:val="single" w:sz="4" w:space="0" w:color="auto"/>
            </w:tcBorders>
          </w:tcPr>
          <w:p w14:paraId="1ECB8DD7" w14:textId="77777777" w:rsidR="00016C24" w:rsidRPr="00C34F59" w:rsidRDefault="00016C24" w:rsidP="00500FD5">
            <w:pPr>
              <w:pStyle w:val="NoSpacing"/>
              <w:rPr>
                <w:rFonts w:ascii="Arial" w:hAnsi="Arial" w:cs="Arial"/>
                <w:b/>
                <w:bCs/>
                <w:sz w:val="24"/>
                <w:szCs w:val="24"/>
                <w:lang w:val="en-GB"/>
              </w:rPr>
            </w:pPr>
            <w:r w:rsidRPr="00C34F59">
              <w:rPr>
                <w:rFonts w:ascii="Arial" w:hAnsi="Arial" w:cs="Arial"/>
                <w:b/>
                <w:bCs/>
                <w:sz w:val="24"/>
                <w:szCs w:val="24"/>
                <w:lang w:val="en-GB"/>
              </w:rPr>
              <w:t>Revenue Funds</w:t>
            </w:r>
          </w:p>
        </w:tc>
        <w:tc>
          <w:tcPr>
            <w:tcW w:w="1276" w:type="dxa"/>
            <w:tcBorders>
              <w:top w:val="single" w:sz="4" w:space="0" w:color="auto"/>
              <w:left w:val="single" w:sz="4" w:space="0" w:color="auto"/>
              <w:bottom w:val="nil"/>
              <w:right w:val="single" w:sz="4" w:space="0" w:color="auto"/>
            </w:tcBorders>
          </w:tcPr>
          <w:p w14:paraId="020D3BAA" w14:textId="77777777" w:rsidR="00016C24" w:rsidRPr="00C34F59" w:rsidRDefault="00016C24" w:rsidP="00500FD5">
            <w:pPr>
              <w:pStyle w:val="NoSpacing"/>
              <w:rPr>
                <w:rFonts w:ascii="Arial" w:hAnsi="Arial" w:cs="Arial"/>
                <w:sz w:val="24"/>
                <w:szCs w:val="24"/>
                <w:lang w:val="en-GB"/>
              </w:rPr>
            </w:pPr>
          </w:p>
        </w:tc>
        <w:tc>
          <w:tcPr>
            <w:tcW w:w="1603" w:type="dxa"/>
            <w:tcBorders>
              <w:top w:val="single" w:sz="4" w:space="0" w:color="auto"/>
              <w:left w:val="single" w:sz="4" w:space="0" w:color="auto"/>
              <w:bottom w:val="nil"/>
              <w:right w:val="single" w:sz="4" w:space="0" w:color="auto"/>
            </w:tcBorders>
          </w:tcPr>
          <w:p w14:paraId="50B691F8" w14:textId="77777777" w:rsidR="00016C24" w:rsidRPr="00C34F59" w:rsidRDefault="00016C24" w:rsidP="00500FD5">
            <w:pPr>
              <w:pStyle w:val="NoSpacing"/>
              <w:rPr>
                <w:rFonts w:ascii="Arial" w:hAnsi="Arial" w:cs="Arial"/>
                <w:sz w:val="24"/>
                <w:szCs w:val="24"/>
                <w:lang w:val="en-GB"/>
              </w:rPr>
            </w:pPr>
          </w:p>
        </w:tc>
        <w:tc>
          <w:tcPr>
            <w:tcW w:w="1417" w:type="dxa"/>
            <w:tcBorders>
              <w:top w:val="single" w:sz="4" w:space="0" w:color="auto"/>
              <w:left w:val="single" w:sz="4" w:space="0" w:color="auto"/>
              <w:bottom w:val="nil"/>
              <w:right w:val="single" w:sz="4" w:space="0" w:color="auto"/>
            </w:tcBorders>
          </w:tcPr>
          <w:p w14:paraId="070AAD31" w14:textId="77777777" w:rsidR="00016C24" w:rsidRPr="00C34F59" w:rsidRDefault="00016C24" w:rsidP="00500FD5">
            <w:pPr>
              <w:pStyle w:val="NoSpacing"/>
              <w:rPr>
                <w:rFonts w:ascii="Arial" w:hAnsi="Arial" w:cs="Arial"/>
                <w:sz w:val="24"/>
                <w:szCs w:val="24"/>
                <w:lang w:val="en-GB"/>
              </w:rPr>
            </w:pPr>
          </w:p>
        </w:tc>
      </w:tr>
      <w:tr w:rsidR="00016C24" w:rsidRPr="00C34F59" w14:paraId="34603424" w14:textId="77777777" w:rsidTr="00500FD5">
        <w:tc>
          <w:tcPr>
            <w:tcW w:w="3964" w:type="dxa"/>
            <w:tcBorders>
              <w:top w:val="nil"/>
              <w:left w:val="single" w:sz="4" w:space="0" w:color="auto"/>
              <w:bottom w:val="nil"/>
              <w:right w:val="single" w:sz="4" w:space="0" w:color="auto"/>
            </w:tcBorders>
          </w:tcPr>
          <w:p w14:paraId="68DCB54A" w14:textId="77777777" w:rsidR="00016C24" w:rsidRPr="00C34F59" w:rsidRDefault="00016C24" w:rsidP="00500FD5">
            <w:pPr>
              <w:pStyle w:val="NoSpacing"/>
              <w:rPr>
                <w:rFonts w:ascii="Arial" w:hAnsi="Arial" w:cs="Arial"/>
                <w:sz w:val="24"/>
                <w:szCs w:val="24"/>
                <w:lang w:val="en-GB"/>
              </w:rPr>
            </w:pPr>
            <w:r w:rsidRPr="00C34F59">
              <w:rPr>
                <w:rFonts w:ascii="Arial" w:hAnsi="Arial" w:cs="Arial"/>
                <w:sz w:val="24"/>
                <w:szCs w:val="24"/>
                <w:lang w:val="en-GB"/>
              </w:rPr>
              <w:t>LEP Capacity</w:t>
            </w:r>
          </w:p>
        </w:tc>
        <w:tc>
          <w:tcPr>
            <w:tcW w:w="1276" w:type="dxa"/>
            <w:tcBorders>
              <w:top w:val="nil"/>
              <w:left w:val="single" w:sz="4" w:space="0" w:color="auto"/>
              <w:bottom w:val="nil"/>
              <w:right w:val="single" w:sz="4" w:space="0" w:color="auto"/>
            </w:tcBorders>
          </w:tcPr>
          <w:p w14:paraId="7623BA8F" w14:textId="77777777" w:rsidR="00016C24" w:rsidRPr="00C34F59" w:rsidRDefault="00016C24" w:rsidP="00500FD5">
            <w:pPr>
              <w:pStyle w:val="NoSpacing"/>
              <w:jc w:val="right"/>
              <w:rPr>
                <w:rFonts w:ascii="Arial" w:hAnsi="Arial" w:cs="Arial"/>
                <w:sz w:val="24"/>
                <w:szCs w:val="24"/>
                <w:lang w:val="en-GB"/>
              </w:rPr>
            </w:pPr>
            <w:r w:rsidRPr="00C34F59">
              <w:rPr>
                <w:rFonts w:ascii="Arial" w:hAnsi="Arial" w:cs="Arial"/>
                <w:sz w:val="24"/>
                <w:szCs w:val="24"/>
                <w:lang w:val="en-GB"/>
              </w:rPr>
              <w:t>(</w:t>
            </w:r>
            <w:r>
              <w:rPr>
                <w:rFonts w:ascii="Arial" w:hAnsi="Arial" w:cs="Arial"/>
                <w:sz w:val="24"/>
                <w:szCs w:val="24"/>
                <w:lang w:val="en-GB"/>
              </w:rPr>
              <w:t>556</w:t>
            </w:r>
            <w:r w:rsidRPr="00C34F59">
              <w:rPr>
                <w:rFonts w:ascii="Arial" w:hAnsi="Arial" w:cs="Arial"/>
                <w:sz w:val="24"/>
                <w:szCs w:val="24"/>
                <w:lang w:val="en-GB"/>
              </w:rPr>
              <w:t>)</w:t>
            </w:r>
          </w:p>
        </w:tc>
        <w:tc>
          <w:tcPr>
            <w:tcW w:w="1603" w:type="dxa"/>
            <w:tcBorders>
              <w:top w:val="nil"/>
              <w:left w:val="single" w:sz="4" w:space="0" w:color="auto"/>
              <w:bottom w:val="nil"/>
              <w:right w:val="single" w:sz="4" w:space="0" w:color="auto"/>
            </w:tcBorders>
          </w:tcPr>
          <w:p w14:paraId="53B9089E" w14:textId="77777777" w:rsidR="00016C24" w:rsidRPr="00C34F59" w:rsidRDefault="00016C24" w:rsidP="00500FD5">
            <w:pPr>
              <w:pStyle w:val="NoSpacing"/>
              <w:jc w:val="right"/>
              <w:rPr>
                <w:rFonts w:ascii="Arial" w:hAnsi="Arial" w:cs="Arial"/>
                <w:sz w:val="24"/>
                <w:szCs w:val="24"/>
                <w:lang w:val="en-GB"/>
              </w:rPr>
            </w:pPr>
            <w:r>
              <w:rPr>
                <w:rFonts w:ascii="Arial" w:hAnsi="Arial" w:cs="Arial"/>
                <w:sz w:val="24"/>
                <w:szCs w:val="24"/>
                <w:lang w:val="en-GB"/>
              </w:rPr>
              <w:t>556</w:t>
            </w:r>
          </w:p>
        </w:tc>
        <w:tc>
          <w:tcPr>
            <w:tcW w:w="1417" w:type="dxa"/>
            <w:tcBorders>
              <w:top w:val="nil"/>
              <w:left w:val="single" w:sz="4" w:space="0" w:color="auto"/>
              <w:bottom w:val="nil"/>
              <w:right w:val="single" w:sz="4" w:space="0" w:color="auto"/>
            </w:tcBorders>
          </w:tcPr>
          <w:p w14:paraId="7C8C7B39" w14:textId="77777777" w:rsidR="00016C24" w:rsidRPr="00C34F59" w:rsidRDefault="00016C24" w:rsidP="00500FD5">
            <w:pPr>
              <w:pStyle w:val="NoSpacing"/>
              <w:jc w:val="right"/>
              <w:rPr>
                <w:rFonts w:ascii="Arial" w:hAnsi="Arial" w:cs="Arial"/>
                <w:sz w:val="24"/>
                <w:szCs w:val="24"/>
                <w:lang w:val="en-GB"/>
              </w:rPr>
            </w:pPr>
            <w:r w:rsidRPr="00C34F59">
              <w:rPr>
                <w:rFonts w:ascii="Arial" w:hAnsi="Arial" w:cs="Arial"/>
                <w:sz w:val="24"/>
                <w:szCs w:val="24"/>
                <w:lang w:val="en-GB"/>
              </w:rPr>
              <w:t>0</w:t>
            </w:r>
          </w:p>
        </w:tc>
      </w:tr>
      <w:tr w:rsidR="00016C24" w:rsidRPr="00C34F59" w14:paraId="50D63CA7" w14:textId="77777777" w:rsidTr="00500FD5">
        <w:tc>
          <w:tcPr>
            <w:tcW w:w="3964" w:type="dxa"/>
            <w:tcBorders>
              <w:top w:val="nil"/>
              <w:left w:val="single" w:sz="4" w:space="0" w:color="auto"/>
              <w:bottom w:val="nil"/>
              <w:right w:val="single" w:sz="4" w:space="0" w:color="auto"/>
            </w:tcBorders>
          </w:tcPr>
          <w:p w14:paraId="69BD1B6C" w14:textId="77777777" w:rsidR="00016C24" w:rsidRPr="00C34F59" w:rsidRDefault="00016C24" w:rsidP="00500FD5">
            <w:pPr>
              <w:pStyle w:val="NoSpacing"/>
              <w:rPr>
                <w:rFonts w:ascii="Arial" w:hAnsi="Arial" w:cs="Arial"/>
                <w:sz w:val="24"/>
                <w:szCs w:val="24"/>
                <w:lang w:val="en-GB"/>
              </w:rPr>
            </w:pPr>
            <w:r w:rsidRPr="00C34F59">
              <w:rPr>
                <w:rFonts w:ascii="Arial" w:hAnsi="Arial" w:cs="Arial"/>
                <w:sz w:val="24"/>
                <w:szCs w:val="24"/>
                <w:lang w:val="en-GB"/>
              </w:rPr>
              <w:t>Business Growth Hub</w:t>
            </w:r>
          </w:p>
        </w:tc>
        <w:tc>
          <w:tcPr>
            <w:tcW w:w="1276" w:type="dxa"/>
            <w:tcBorders>
              <w:top w:val="nil"/>
              <w:left w:val="single" w:sz="4" w:space="0" w:color="auto"/>
              <w:bottom w:val="nil"/>
              <w:right w:val="single" w:sz="4" w:space="0" w:color="auto"/>
            </w:tcBorders>
          </w:tcPr>
          <w:p w14:paraId="16D1EFFA" w14:textId="77777777" w:rsidR="00016C24" w:rsidRPr="00C34F59" w:rsidRDefault="00016C24" w:rsidP="00500FD5">
            <w:pPr>
              <w:pStyle w:val="NoSpacing"/>
              <w:jc w:val="right"/>
              <w:rPr>
                <w:rFonts w:ascii="Arial" w:hAnsi="Arial" w:cs="Arial"/>
                <w:sz w:val="24"/>
                <w:szCs w:val="24"/>
                <w:lang w:val="en-GB"/>
              </w:rPr>
            </w:pPr>
            <w:r w:rsidRPr="00C34F59">
              <w:rPr>
                <w:rFonts w:ascii="Arial" w:hAnsi="Arial" w:cs="Arial"/>
                <w:sz w:val="24"/>
                <w:szCs w:val="24"/>
                <w:lang w:val="en-GB"/>
              </w:rPr>
              <w:t>(</w:t>
            </w:r>
            <w:r>
              <w:rPr>
                <w:rFonts w:ascii="Arial" w:hAnsi="Arial" w:cs="Arial"/>
                <w:sz w:val="24"/>
                <w:szCs w:val="24"/>
                <w:lang w:val="en-GB"/>
              </w:rPr>
              <w:t>780</w:t>
            </w:r>
            <w:r w:rsidRPr="00C34F59">
              <w:rPr>
                <w:rFonts w:ascii="Arial" w:hAnsi="Arial" w:cs="Arial"/>
                <w:sz w:val="24"/>
                <w:szCs w:val="24"/>
                <w:lang w:val="en-GB"/>
              </w:rPr>
              <w:t>)</w:t>
            </w:r>
          </w:p>
        </w:tc>
        <w:tc>
          <w:tcPr>
            <w:tcW w:w="1603" w:type="dxa"/>
            <w:tcBorders>
              <w:top w:val="nil"/>
              <w:left w:val="single" w:sz="4" w:space="0" w:color="auto"/>
              <w:bottom w:val="nil"/>
              <w:right w:val="single" w:sz="4" w:space="0" w:color="auto"/>
            </w:tcBorders>
          </w:tcPr>
          <w:p w14:paraId="0EF01953" w14:textId="77777777" w:rsidR="00016C24" w:rsidRPr="00C34F59" w:rsidRDefault="00016C24" w:rsidP="00500FD5">
            <w:pPr>
              <w:pStyle w:val="NoSpacing"/>
              <w:jc w:val="right"/>
              <w:rPr>
                <w:rFonts w:ascii="Arial" w:hAnsi="Arial" w:cs="Arial"/>
                <w:sz w:val="24"/>
                <w:szCs w:val="24"/>
                <w:lang w:val="en-GB"/>
              </w:rPr>
            </w:pPr>
            <w:r>
              <w:rPr>
                <w:rFonts w:ascii="Arial" w:hAnsi="Arial" w:cs="Arial"/>
                <w:sz w:val="24"/>
                <w:szCs w:val="24"/>
                <w:lang w:val="en-GB"/>
              </w:rPr>
              <w:t>780</w:t>
            </w:r>
          </w:p>
        </w:tc>
        <w:tc>
          <w:tcPr>
            <w:tcW w:w="1417" w:type="dxa"/>
            <w:tcBorders>
              <w:top w:val="nil"/>
              <w:left w:val="single" w:sz="4" w:space="0" w:color="auto"/>
              <w:bottom w:val="nil"/>
              <w:right w:val="single" w:sz="4" w:space="0" w:color="auto"/>
            </w:tcBorders>
          </w:tcPr>
          <w:p w14:paraId="2C082DEA" w14:textId="77777777" w:rsidR="00016C24" w:rsidRPr="00C34F59" w:rsidRDefault="00016C24" w:rsidP="00500FD5">
            <w:pPr>
              <w:pStyle w:val="NoSpacing"/>
              <w:jc w:val="right"/>
              <w:rPr>
                <w:rFonts w:ascii="Arial" w:hAnsi="Arial" w:cs="Arial"/>
                <w:sz w:val="24"/>
                <w:szCs w:val="24"/>
                <w:lang w:val="en-GB"/>
              </w:rPr>
            </w:pPr>
            <w:r w:rsidRPr="00C34F59">
              <w:rPr>
                <w:rFonts w:ascii="Arial" w:hAnsi="Arial" w:cs="Arial"/>
                <w:sz w:val="24"/>
                <w:szCs w:val="24"/>
                <w:lang w:val="en-GB"/>
              </w:rPr>
              <w:t>0</w:t>
            </w:r>
          </w:p>
        </w:tc>
      </w:tr>
      <w:tr w:rsidR="00016C24" w:rsidRPr="00C34F59" w14:paraId="1DB109E2" w14:textId="77777777" w:rsidTr="00500FD5">
        <w:tc>
          <w:tcPr>
            <w:tcW w:w="3964" w:type="dxa"/>
            <w:tcBorders>
              <w:top w:val="single" w:sz="4" w:space="0" w:color="auto"/>
              <w:left w:val="single" w:sz="4" w:space="0" w:color="auto"/>
              <w:bottom w:val="single" w:sz="4" w:space="0" w:color="auto"/>
              <w:right w:val="single" w:sz="4" w:space="0" w:color="auto"/>
            </w:tcBorders>
          </w:tcPr>
          <w:p w14:paraId="45E1B9EB" w14:textId="77777777" w:rsidR="00016C24" w:rsidRPr="00C34F59" w:rsidRDefault="00016C24" w:rsidP="00500FD5">
            <w:pPr>
              <w:pStyle w:val="NoSpacing"/>
              <w:rPr>
                <w:rFonts w:ascii="Arial" w:hAnsi="Arial" w:cs="Arial"/>
                <w:b/>
                <w:bCs/>
                <w:sz w:val="24"/>
                <w:szCs w:val="24"/>
                <w:lang w:val="en-GB"/>
              </w:rPr>
            </w:pPr>
            <w:r w:rsidRPr="00C34F59">
              <w:rPr>
                <w:rFonts w:ascii="Arial" w:hAnsi="Arial" w:cs="Arial"/>
                <w:b/>
                <w:bCs/>
                <w:sz w:val="24"/>
                <w:szCs w:val="24"/>
                <w:lang w:val="en-GB"/>
              </w:rPr>
              <w:t>Total Revenue</w:t>
            </w:r>
          </w:p>
        </w:tc>
        <w:tc>
          <w:tcPr>
            <w:tcW w:w="1276" w:type="dxa"/>
            <w:tcBorders>
              <w:top w:val="single" w:sz="4" w:space="0" w:color="auto"/>
              <w:left w:val="single" w:sz="4" w:space="0" w:color="auto"/>
              <w:bottom w:val="single" w:sz="4" w:space="0" w:color="auto"/>
              <w:right w:val="single" w:sz="4" w:space="0" w:color="auto"/>
            </w:tcBorders>
          </w:tcPr>
          <w:p w14:paraId="7FA651BF" w14:textId="77777777" w:rsidR="00016C24" w:rsidRPr="00C34F59" w:rsidRDefault="00016C24" w:rsidP="00500FD5">
            <w:pPr>
              <w:pStyle w:val="NoSpacing"/>
              <w:jc w:val="right"/>
              <w:rPr>
                <w:rFonts w:ascii="Arial" w:hAnsi="Arial" w:cs="Arial"/>
                <w:b/>
                <w:bCs/>
                <w:sz w:val="24"/>
                <w:szCs w:val="24"/>
                <w:lang w:val="en-GB"/>
              </w:rPr>
            </w:pPr>
            <w:r w:rsidRPr="00C34F59">
              <w:rPr>
                <w:rFonts w:ascii="Arial" w:hAnsi="Arial" w:cs="Arial"/>
                <w:b/>
                <w:bCs/>
                <w:sz w:val="24"/>
                <w:szCs w:val="24"/>
                <w:lang w:val="en-GB"/>
              </w:rPr>
              <w:t>(</w:t>
            </w:r>
            <w:r>
              <w:rPr>
                <w:rFonts w:ascii="Arial" w:hAnsi="Arial" w:cs="Arial"/>
                <w:b/>
                <w:bCs/>
                <w:sz w:val="24"/>
                <w:szCs w:val="24"/>
                <w:lang w:val="en-GB"/>
              </w:rPr>
              <w:t>1,336</w:t>
            </w:r>
            <w:r w:rsidRPr="00C34F59">
              <w:rPr>
                <w:rFonts w:ascii="Arial" w:hAnsi="Arial" w:cs="Arial"/>
                <w:b/>
                <w:bCs/>
                <w:sz w:val="24"/>
                <w:szCs w:val="24"/>
                <w:lang w:val="en-GB"/>
              </w:rPr>
              <w:t>)</w:t>
            </w:r>
          </w:p>
        </w:tc>
        <w:tc>
          <w:tcPr>
            <w:tcW w:w="1603" w:type="dxa"/>
            <w:tcBorders>
              <w:top w:val="single" w:sz="4" w:space="0" w:color="auto"/>
              <w:left w:val="single" w:sz="4" w:space="0" w:color="auto"/>
              <w:bottom w:val="single" w:sz="4" w:space="0" w:color="auto"/>
              <w:right w:val="single" w:sz="4" w:space="0" w:color="auto"/>
            </w:tcBorders>
          </w:tcPr>
          <w:p w14:paraId="2A9B0360" w14:textId="77777777" w:rsidR="00016C24" w:rsidRPr="00C34F59" w:rsidRDefault="00016C24" w:rsidP="00500FD5">
            <w:pPr>
              <w:pStyle w:val="NoSpacing"/>
              <w:jc w:val="right"/>
              <w:rPr>
                <w:rFonts w:ascii="Arial" w:hAnsi="Arial" w:cs="Arial"/>
                <w:b/>
                <w:bCs/>
                <w:sz w:val="24"/>
                <w:szCs w:val="24"/>
                <w:lang w:val="en-GB"/>
              </w:rPr>
            </w:pPr>
            <w:r>
              <w:rPr>
                <w:rFonts w:ascii="Arial" w:hAnsi="Arial" w:cs="Arial"/>
                <w:b/>
                <w:bCs/>
                <w:sz w:val="24"/>
                <w:szCs w:val="24"/>
                <w:lang w:val="en-GB"/>
              </w:rPr>
              <w:t>1,336</w:t>
            </w:r>
          </w:p>
        </w:tc>
        <w:tc>
          <w:tcPr>
            <w:tcW w:w="1417" w:type="dxa"/>
            <w:tcBorders>
              <w:top w:val="single" w:sz="4" w:space="0" w:color="auto"/>
              <w:left w:val="single" w:sz="4" w:space="0" w:color="auto"/>
              <w:bottom w:val="single" w:sz="4" w:space="0" w:color="auto"/>
              <w:right w:val="single" w:sz="4" w:space="0" w:color="auto"/>
            </w:tcBorders>
          </w:tcPr>
          <w:p w14:paraId="17DD3E70" w14:textId="77777777" w:rsidR="00016C24" w:rsidRPr="00C34F59" w:rsidRDefault="00016C24" w:rsidP="00500FD5">
            <w:pPr>
              <w:pStyle w:val="NoSpacing"/>
              <w:jc w:val="right"/>
              <w:rPr>
                <w:rFonts w:ascii="Arial" w:hAnsi="Arial" w:cs="Arial"/>
                <w:b/>
                <w:bCs/>
                <w:sz w:val="24"/>
                <w:szCs w:val="24"/>
                <w:lang w:val="en-GB"/>
              </w:rPr>
            </w:pPr>
            <w:r w:rsidRPr="00C34F59">
              <w:rPr>
                <w:rFonts w:ascii="Arial" w:hAnsi="Arial" w:cs="Arial"/>
                <w:b/>
                <w:bCs/>
                <w:sz w:val="24"/>
                <w:szCs w:val="24"/>
                <w:lang w:val="en-GB"/>
              </w:rPr>
              <w:t>0</w:t>
            </w:r>
          </w:p>
        </w:tc>
      </w:tr>
      <w:tr w:rsidR="00016C24" w:rsidRPr="00C34F59" w14:paraId="1B82B941" w14:textId="77777777" w:rsidTr="00500FD5">
        <w:tc>
          <w:tcPr>
            <w:tcW w:w="3964" w:type="dxa"/>
            <w:tcBorders>
              <w:top w:val="single" w:sz="4" w:space="0" w:color="auto"/>
              <w:left w:val="single" w:sz="4" w:space="0" w:color="auto"/>
              <w:bottom w:val="nil"/>
              <w:right w:val="single" w:sz="4" w:space="0" w:color="auto"/>
            </w:tcBorders>
          </w:tcPr>
          <w:p w14:paraId="2BD4E99C" w14:textId="77777777" w:rsidR="00016C24" w:rsidRPr="00C34F59" w:rsidRDefault="00016C24" w:rsidP="00500FD5">
            <w:pPr>
              <w:pStyle w:val="NoSpacing"/>
              <w:rPr>
                <w:rFonts w:ascii="Arial" w:hAnsi="Arial" w:cs="Arial"/>
                <w:sz w:val="24"/>
                <w:szCs w:val="24"/>
                <w:lang w:val="en-GB"/>
              </w:rPr>
            </w:pPr>
          </w:p>
        </w:tc>
        <w:tc>
          <w:tcPr>
            <w:tcW w:w="1276" w:type="dxa"/>
            <w:tcBorders>
              <w:top w:val="single" w:sz="4" w:space="0" w:color="auto"/>
              <w:left w:val="single" w:sz="4" w:space="0" w:color="auto"/>
              <w:bottom w:val="nil"/>
              <w:right w:val="single" w:sz="4" w:space="0" w:color="auto"/>
            </w:tcBorders>
          </w:tcPr>
          <w:p w14:paraId="2212DC97" w14:textId="77777777" w:rsidR="00016C24" w:rsidRPr="00C34F59" w:rsidRDefault="00016C24" w:rsidP="00500FD5">
            <w:pPr>
              <w:pStyle w:val="NoSpacing"/>
              <w:jc w:val="right"/>
              <w:rPr>
                <w:rFonts w:ascii="Arial" w:hAnsi="Arial" w:cs="Arial"/>
                <w:sz w:val="24"/>
                <w:szCs w:val="24"/>
                <w:lang w:val="en-GB"/>
              </w:rPr>
            </w:pPr>
          </w:p>
        </w:tc>
        <w:tc>
          <w:tcPr>
            <w:tcW w:w="1603" w:type="dxa"/>
            <w:tcBorders>
              <w:top w:val="single" w:sz="4" w:space="0" w:color="auto"/>
              <w:left w:val="single" w:sz="4" w:space="0" w:color="auto"/>
              <w:bottom w:val="nil"/>
              <w:right w:val="single" w:sz="4" w:space="0" w:color="auto"/>
            </w:tcBorders>
          </w:tcPr>
          <w:p w14:paraId="48A55B4E" w14:textId="77777777" w:rsidR="00016C24" w:rsidRPr="00C34F59" w:rsidRDefault="00016C24" w:rsidP="00500FD5">
            <w:pPr>
              <w:pStyle w:val="NoSpacing"/>
              <w:jc w:val="right"/>
              <w:rPr>
                <w:rFonts w:ascii="Arial" w:hAnsi="Arial" w:cs="Arial"/>
                <w:sz w:val="24"/>
                <w:szCs w:val="24"/>
                <w:lang w:val="en-GB"/>
              </w:rPr>
            </w:pPr>
          </w:p>
        </w:tc>
        <w:tc>
          <w:tcPr>
            <w:tcW w:w="1417" w:type="dxa"/>
            <w:tcBorders>
              <w:top w:val="single" w:sz="4" w:space="0" w:color="auto"/>
              <w:left w:val="single" w:sz="4" w:space="0" w:color="auto"/>
              <w:bottom w:val="nil"/>
              <w:right w:val="single" w:sz="4" w:space="0" w:color="auto"/>
            </w:tcBorders>
          </w:tcPr>
          <w:p w14:paraId="0AAC9FFF" w14:textId="77777777" w:rsidR="00016C24" w:rsidRPr="00C34F59" w:rsidRDefault="00016C24" w:rsidP="00500FD5">
            <w:pPr>
              <w:pStyle w:val="NoSpacing"/>
              <w:jc w:val="right"/>
              <w:rPr>
                <w:rFonts w:ascii="Arial" w:hAnsi="Arial" w:cs="Arial"/>
                <w:sz w:val="24"/>
                <w:szCs w:val="24"/>
                <w:lang w:val="en-GB"/>
              </w:rPr>
            </w:pPr>
          </w:p>
        </w:tc>
      </w:tr>
      <w:tr w:rsidR="00016C24" w:rsidRPr="00C34F59" w14:paraId="259E87C8" w14:textId="77777777" w:rsidTr="00500FD5">
        <w:tc>
          <w:tcPr>
            <w:tcW w:w="3964" w:type="dxa"/>
            <w:tcBorders>
              <w:top w:val="nil"/>
              <w:left w:val="single" w:sz="4" w:space="0" w:color="auto"/>
              <w:bottom w:val="nil"/>
              <w:right w:val="single" w:sz="4" w:space="0" w:color="auto"/>
            </w:tcBorders>
          </w:tcPr>
          <w:p w14:paraId="0109AE43" w14:textId="77777777" w:rsidR="00016C24" w:rsidRPr="00C34F59" w:rsidRDefault="00016C24" w:rsidP="00500FD5">
            <w:pPr>
              <w:pStyle w:val="NoSpacing"/>
              <w:rPr>
                <w:rFonts w:ascii="Arial" w:hAnsi="Arial" w:cs="Arial"/>
                <w:b/>
                <w:bCs/>
                <w:sz w:val="24"/>
                <w:szCs w:val="24"/>
                <w:lang w:val="en-GB"/>
              </w:rPr>
            </w:pPr>
            <w:r w:rsidRPr="00C34F59">
              <w:rPr>
                <w:rFonts w:ascii="Arial" w:hAnsi="Arial" w:cs="Arial"/>
                <w:b/>
                <w:bCs/>
                <w:sz w:val="24"/>
                <w:szCs w:val="24"/>
                <w:lang w:val="en-GB"/>
              </w:rPr>
              <w:t>Capital Funds</w:t>
            </w:r>
          </w:p>
        </w:tc>
        <w:tc>
          <w:tcPr>
            <w:tcW w:w="1276" w:type="dxa"/>
            <w:tcBorders>
              <w:top w:val="nil"/>
              <w:left w:val="single" w:sz="4" w:space="0" w:color="auto"/>
              <w:bottom w:val="nil"/>
              <w:right w:val="single" w:sz="4" w:space="0" w:color="auto"/>
            </w:tcBorders>
          </w:tcPr>
          <w:p w14:paraId="6B6EE3EE" w14:textId="77777777" w:rsidR="00016C24" w:rsidRPr="00C34F59" w:rsidRDefault="00016C24" w:rsidP="00500FD5">
            <w:pPr>
              <w:pStyle w:val="NoSpacing"/>
              <w:jc w:val="right"/>
              <w:rPr>
                <w:rFonts w:ascii="Arial" w:hAnsi="Arial" w:cs="Arial"/>
                <w:sz w:val="24"/>
                <w:szCs w:val="24"/>
                <w:lang w:val="en-GB"/>
              </w:rPr>
            </w:pPr>
          </w:p>
        </w:tc>
        <w:tc>
          <w:tcPr>
            <w:tcW w:w="1603" w:type="dxa"/>
            <w:tcBorders>
              <w:top w:val="nil"/>
              <w:left w:val="single" w:sz="4" w:space="0" w:color="auto"/>
              <w:bottom w:val="nil"/>
              <w:right w:val="single" w:sz="4" w:space="0" w:color="auto"/>
            </w:tcBorders>
          </w:tcPr>
          <w:p w14:paraId="182B0605" w14:textId="77777777" w:rsidR="00016C24" w:rsidRPr="00C34F59" w:rsidRDefault="00016C24" w:rsidP="00500FD5">
            <w:pPr>
              <w:pStyle w:val="NoSpacing"/>
              <w:jc w:val="right"/>
              <w:rPr>
                <w:rFonts w:ascii="Arial" w:hAnsi="Arial" w:cs="Arial"/>
                <w:sz w:val="24"/>
                <w:szCs w:val="24"/>
                <w:lang w:val="en-GB"/>
              </w:rPr>
            </w:pPr>
          </w:p>
        </w:tc>
        <w:tc>
          <w:tcPr>
            <w:tcW w:w="1417" w:type="dxa"/>
            <w:tcBorders>
              <w:top w:val="nil"/>
              <w:left w:val="single" w:sz="4" w:space="0" w:color="auto"/>
              <w:bottom w:val="nil"/>
              <w:right w:val="single" w:sz="4" w:space="0" w:color="auto"/>
            </w:tcBorders>
          </w:tcPr>
          <w:p w14:paraId="4592A3B1" w14:textId="77777777" w:rsidR="00016C24" w:rsidRPr="00C34F59" w:rsidRDefault="00016C24" w:rsidP="00500FD5">
            <w:pPr>
              <w:pStyle w:val="NoSpacing"/>
              <w:jc w:val="right"/>
              <w:rPr>
                <w:rFonts w:ascii="Arial" w:hAnsi="Arial" w:cs="Arial"/>
                <w:sz w:val="24"/>
                <w:szCs w:val="24"/>
                <w:lang w:val="en-GB"/>
              </w:rPr>
            </w:pPr>
          </w:p>
        </w:tc>
      </w:tr>
      <w:tr w:rsidR="00016C24" w:rsidRPr="00C34F59" w14:paraId="0CC0BD84" w14:textId="77777777" w:rsidTr="00500FD5">
        <w:tc>
          <w:tcPr>
            <w:tcW w:w="3964" w:type="dxa"/>
            <w:tcBorders>
              <w:top w:val="nil"/>
              <w:left w:val="single" w:sz="4" w:space="0" w:color="auto"/>
              <w:bottom w:val="single" w:sz="4" w:space="0" w:color="auto"/>
              <w:right w:val="single" w:sz="4" w:space="0" w:color="auto"/>
            </w:tcBorders>
          </w:tcPr>
          <w:p w14:paraId="4DCBCC43" w14:textId="77777777" w:rsidR="00016C24" w:rsidRPr="00C34F59" w:rsidRDefault="00016C24" w:rsidP="00500FD5">
            <w:pPr>
              <w:pStyle w:val="NoSpacing"/>
              <w:rPr>
                <w:rFonts w:ascii="Arial" w:hAnsi="Arial" w:cs="Arial"/>
                <w:sz w:val="24"/>
                <w:szCs w:val="24"/>
              </w:rPr>
            </w:pPr>
            <w:r w:rsidRPr="00C34F59">
              <w:rPr>
                <w:rFonts w:ascii="Arial" w:hAnsi="Arial" w:cs="Arial"/>
                <w:sz w:val="24"/>
                <w:szCs w:val="24"/>
              </w:rPr>
              <w:t>Growing Places Fund</w:t>
            </w:r>
          </w:p>
        </w:tc>
        <w:tc>
          <w:tcPr>
            <w:tcW w:w="1276" w:type="dxa"/>
            <w:tcBorders>
              <w:top w:val="nil"/>
              <w:left w:val="single" w:sz="4" w:space="0" w:color="auto"/>
              <w:bottom w:val="single" w:sz="4" w:space="0" w:color="auto"/>
              <w:right w:val="single" w:sz="4" w:space="0" w:color="auto"/>
            </w:tcBorders>
          </w:tcPr>
          <w:p w14:paraId="1E68008E" w14:textId="77777777" w:rsidR="00016C24" w:rsidRPr="00C34F59" w:rsidRDefault="00016C24" w:rsidP="00500FD5">
            <w:pPr>
              <w:pStyle w:val="NoSpacing"/>
              <w:jc w:val="right"/>
              <w:rPr>
                <w:rFonts w:ascii="Arial" w:hAnsi="Arial" w:cs="Arial"/>
                <w:sz w:val="24"/>
                <w:szCs w:val="24"/>
              </w:rPr>
            </w:pPr>
            <w:r w:rsidRPr="00C34F59">
              <w:rPr>
                <w:rFonts w:ascii="Arial" w:hAnsi="Arial" w:cs="Arial"/>
                <w:sz w:val="24"/>
                <w:szCs w:val="24"/>
              </w:rPr>
              <w:t>(</w:t>
            </w:r>
            <w:r>
              <w:rPr>
                <w:rFonts w:ascii="Arial" w:hAnsi="Arial" w:cs="Arial"/>
                <w:sz w:val="24"/>
                <w:szCs w:val="24"/>
              </w:rPr>
              <w:t>4</w:t>
            </w:r>
            <w:r w:rsidRPr="00C34F59">
              <w:rPr>
                <w:rFonts w:ascii="Arial" w:hAnsi="Arial" w:cs="Arial"/>
                <w:sz w:val="24"/>
                <w:szCs w:val="24"/>
              </w:rPr>
              <w:t>,</w:t>
            </w:r>
            <w:r>
              <w:rPr>
                <w:rFonts w:ascii="Arial" w:hAnsi="Arial" w:cs="Arial"/>
                <w:sz w:val="24"/>
                <w:szCs w:val="24"/>
              </w:rPr>
              <w:t>795</w:t>
            </w:r>
            <w:r w:rsidRPr="00C34F59">
              <w:rPr>
                <w:rFonts w:ascii="Arial" w:hAnsi="Arial" w:cs="Arial"/>
                <w:sz w:val="24"/>
                <w:szCs w:val="24"/>
              </w:rPr>
              <w:t>)</w:t>
            </w:r>
          </w:p>
        </w:tc>
        <w:tc>
          <w:tcPr>
            <w:tcW w:w="1603" w:type="dxa"/>
            <w:tcBorders>
              <w:top w:val="nil"/>
              <w:left w:val="single" w:sz="4" w:space="0" w:color="auto"/>
              <w:bottom w:val="single" w:sz="4" w:space="0" w:color="auto"/>
              <w:right w:val="single" w:sz="4" w:space="0" w:color="auto"/>
            </w:tcBorders>
          </w:tcPr>
          <w:p w14:paraId="16EA15BD" w14:textId="77777777" w:rsidR="00016C24" w:rsidRPr="00C34F59" w:rsidRDefault="00016C24" w:rsidP="00500FD5">
            <w:pPr>
              <w:pStyle w:val="NoSpacing"/>
              <w:jc w:val="right"/>
              <w:rPr>
                <w:rFonts w:ascii="Arial" w:hAnsi="Arial" w:cs="Arial"/>
                <w:sz w:val="24"/>
                <w:szCs w:val="24"/>
              </w:rPr>
            </w:pPr>
            <w:r>
              <w:rPr>
                <w:rFonts w:ascii="Arial" w:hAnsi="Arial" w:cs="Arial"/>
                <w:sz w:val="24"/>
                <w:szCs w:val="24"/>
              </w:rPr>
              <w:t>4</w:t>
            </w:r>
            <w:r w:rsidRPr="00C34F59">
              <w:rPr>
                <w:rFonts w:ascii="Arial" w:hAnsi="Arial" w:cs="Arial"/>
                <w:sz w:val="24"/>
                <w:szCs w:val="24"/>
              </w:rPr>
              <w:t>,</w:t>
            </w:r>
            <w:r>
              <w:rPr>
                <w:rFonts w:ascii="Arial" w:hAnsi="Arial" w:cs="Arial"/>
                <w:sz w:val="24"/>
                <w:szCs w:val="24"/>
              </w:rPr>
              <w:t>795</w:t>
            </w:r>
          </w:p>
        </w:tc>
        <w:tc>
          <w:tcPr>
            <w:tcW w:w="1417" w:type="dxa"/>
            <w:tcBorders>
              <w:top w:val="nil"/>
              <w:left w:val="single" w:sz="4" w:space="0" w:color="auto"/>
              <w:bottom w:val="single" w:sz="4" w:space="0" w:color="auto"/>
              <w:right w:val="single" w:sz="4" w:space="0" w:color="auto"/>
            </w:tcBorders>
          </w:tcPr>
          <w:p w14:paraId="2D50B872" w14:textId="77777777" w:rsidR="00016C24" w:rsidRPr="00C34F59" w:rsidRDefault="00016C24" w:rsidP="00500FD5">
            <w:pPr>
              <w:pStyle w:val="NoSpacing"/>
              <w:jc w:val="right"/>
              <w:rPr>
                <w:rFonts w:ascii="Arial" w:hAnsi="Arial" w:cs="Arial"/>
                <w:sz w:val="24"/>
                <w:szCs w:val="24"/>
              </w:rPr>
            </w:pPr>
            <w:r w:rsidRPr="00C34F59">
              <w:rPr>
                <w:rFonts w:ascii="Arial" w:hAnsi="Arial" w:cs="Arial"/>
                <w:sz w:val="24"/>
                <w:szCs w:val="24"/>
              </w:rPr>
              <w:t>0</w:t>
            </w:r>
          </w:p>
        </w:tc>
      </w:tr>
      <w:tr w:rsidR="00016C24" w:rsidRPr="00C34F59" w14:paraId="69682E57" w14:textId="77777777" w:rsidTr="00500FD5">
        <w:tc>
          <w:tcPr>
            <w:tcW w:w="3964" w:type="dxa"/>
            <w:tcBorders>
              <w:top w:val="single" w:sz="4" w:space="0" w:color="auto"/>
              <w:left w:val="single" w:sz="4" w:space="0" w:color="auto"/>
              <w:bottom w:val="single" w:sz="4" w:space="0" w:color="auto"/>
              <w:right w:val="single" w:sz="4" w:space="0" w:color="auto"/>
            </w:tcBorders>
          </w:tcPr>
          <w:p w14:paraId="59332B19" w14:textId="77777777" w:rsidR="00016C24" w:rsidRPr="00C34F59" w:rsidRDefault="00016C24" w:rsidP="00500FD5">
            <w:pPr>
              <w:pStyle w:val="NoSpacing"/>
              <w:rPr>
                <w:rFonts w:ascii="Arial" w:hAnsi="Arial" w:cs="Arial"/>
                <w:b/>
                <w:bCs/>
                <w:sz w:val="24"/>
                <w:szCs w:val="24"/>
              </w:rPr>
            </w:pPr>
            <w:r w:rsidRPr="00C34F59">
              <w:rPr>
                <w:rFonts w:ascii="Arial" w:hAnsi="Arial" w:cs="Arial"/>
                <w:b/>
                <w:bCs/>
                <w:sz w:val="24"/>
                <w:szCs w:val="24"/>
              </w:rPr>
              <w:t>Total Capital</w:t>
            </w:r>
          </w:p>
        </w:tc>
        <w:tc>
          <w:tcPr>
            <w:tcW w:w="1276" w:type="dxa"/>
            <w:tcBorders>
              <w:top w:val="single" w:sz="4" w:space="0" w:color="auto"/>
              <w:left w:val="single" w:sz="4" w:space="0" w:color="auto"/>
              <w:bottom w:val="single" w:sz="4" w:space="0" w:color="auto"/>
              <w:right w:val="single" w:sz="4" w:space="0" w:color="auto"/>
            </w:tcBorders>
          </w:tcPr>
          <w:p w14:paraId="1B093620" w14:textId="77777777" w:rsidR="00016C24" w:rsidRPr="00C34F59" w:rsidRDefault="00016C24" w:rsidP="00500FD5">
            <w:pPr>
              <w:pStyle w:val="NoSpacing"/>
              <w:jc w:val="right"/>
              <w:rPr>
                <w:rFonts w:ascii="Arial" w:hAnsi="Arial" w:cs="Arial"/>
                <w:b/>
                <w:bCs/>
                <w:sz w:val="24"/>
                <w:szCs w:val="24"/>
              </w:rPr>
            </w:pPr>
            <w:r w:rsidRPr="00C34F59">
              <w:rPr>
                <w:rFonts w:ascii="Arial" w:hAnsi="Arial" w:cs="Arial"/>
                <w:b/>
                <w:bCs/>
                <w:sz w:val="24"/>
                <w:szCs w:val="24"/>
              </w:rPr>
              <w:t>(</w:t>
            </w:r>
            <w:r>
              <w:rPr>
                <w:rFonts w:ascii="Arial" w:hAnsi="Arial" w:cs="Arial"/>
                <w:b/>
                <w:bCs/>
                <w:sz w:val="24"/>
                <w:szCs w:val="24"/>
              </w:rPr>
              <w:t>4</w:t>
            </w:r>
            <w:r w:rsidRPr="00C34F59">
              <w:rPr>
                <w:rFonts w:ascii="Arial" w:hAnsi="Arial" w:cs="Arial"/>
                <w:b/>
                <w:bCs/>
                <w:sz w:val="24"/>
                <w:szCs w:val="24"/>
              </w:rPr>
              <w:t>,</w:t>
            </w:r>
            <w:r>
              <w:rPr>
                <w:rFonts w:ascii="Arial" w:hAnsi="Arial" w:cs="Arial"/>
                <w:b/>
                <w:bCs/>
                <w:sz w:val="24"/>
                <w:szCs w:val="24"/>
              </w:rPr>
              <w:t>795</w:t>
            </w:r>
            <w:r w:rsidRPr="00C34F59">
              <w:rPr>
                <w:rFonts w:ascii="Arial" w:hAnsi="Arial" w:cs="Arial"/>
                <w:b/>
                <w:bCs/>
                <w:sz w:val="24"/>
                <w:szCs w:val="24"/>
              </w:rPr>
              <w:t>)</w:t>
            </w:r>
          </w:p>
        </w:tc>
        <w:tc>
          <w:tcPr>
            <w:tcW w:w="1603" w:type="dxa"/>
            <w:tcBorders>
              <w:top w:val="single" w:sz="4" w:space="0" w:color="auto"/>
              <w:left w:val="single" w:sz="4" w:space="0" w:color="auto"/>
              <w:bottom w:val="single" w:sz="4" w:space="0" w:color="auto"/>
              <w:right w:val="single" w:sz="4" w:space="0" w:color="auto"/>
            </w:tcBorders>
          </w:tcPr>
          <w:p w14:paraId="4B6E2D82" w14:textId="77777777" w:rsidR="00016C24" w:rsidRPr="00C34F59" w:rsidRDefault="00016C24" w:rsidP="00500FD5">
            <w:pPr>
              <w:pStyle w:val="NoSpacing"/>
              <w:jc w:val="right"/>
              <w:rPr>
                <w:rFonts w:ascii="Arial" w:hAnsi="Arial" w:cs="Arial"/>
                <w:b/>
                <w:bCs/>
                <w:sz w:val="24"/>
                <w:szCs w:val="24"/>
              </w:rPr>
            </w:pPr>
            <w:r>
              <w:rPr>
                <w:rFonts w:ascii="Arial" w:hAnsi="Arial" w:cs="Arial"/>
                <w:b/>
                <w:bCs/>
                <w:sz w:val="24"/>
                <w:szCs w:val="24"/>
              </w:rPr>
              <w:t>4,795</w:t>
            </w:r>
          </w:p>
        </w:tc>
        <w:tc>
          <w:tcPr>
            <w:tcW w:w="1417" w:type="dxa"/>
            <w:tcBorders>
              <w:top w:val="single" w:sz="4" w:space="0" w:color="auto"/>
              <w:left w:val="single" w:sz="4" w:space="0" w:color="auto"/>
              <w:bottom w:val="single" w:sz="4" w:space="0" w:color="auto"/>
              <w:right w:val="single" w:sz="4" w:space="0" w:color="auto"/>
            </w:tcBorders>
          </w:tcPr>
          <w:p w14:paraId="5CD4C3CB" w14:textId="77777777" w:rsidR="00016C24" w:rsidRPr="00C34F59" w:rsidRDefault="00016C24" w:rsidP="00500FD5">
            <w:pPr>
              <w:pStyle w:val="NoSpacing"/>
              <w:jc w:val="right"/>
              <w:rPr>
                <w:rFonts w:ascii="Arial" w:hAnsi="Arial" w:cs="Arial"/>
                <w:b/>
                <w:bCs/>
                <w:sz w:val="24"/>
                <w:szCs w:val="24"/>
              </w:rPr>
            </w:pPr>
            <w:r w:rsidRPr="00C34F59">
              <w:rPr>
                <w:rFonts w:ascii="Arial" w:hAnsi="Arial" w:cs="Arial"/>
                <w:b/>
                <w:bCs/>
                <w:sz w:val="24"/>
                <w:szCs w:val="24"/>
              </w:rPr>
              <w:t>0</w:t>
            </w:r>
          </w:p>
        </w:tc>
      </w:tr>
      <w:tr w:rsidR="00016C24" w:rsidRPr="00C34F59" w14:paraId="725C84B2" w14:textId="77777777" w:rsidTr="00500FD5">
        <w:tc>
          <w:tcPr>
            <w:tcW w:w="3964" w:type="dxa"/>
            <w:tcBorders>
              <w:top w:val="single" w:sz="4" w:space="0" w:color="auto"/>
              <w:left w:val="single" w:sz="4" w:space="0" w:color="auto"/>
              <w:bottom w:val="single" w:sz="4" w:space="0" w:color="auto"/>
              <w:right w:val="single" w:sz="4" w:space="0" w:color="auto"/>
            </w:tcBorders>
          </w:tcPr>
          <w:p w14:paraId="5CC6B983" w14:textId="77777777" w:rsidR="00016C24" w:rsidRPr="00C34F59" w:rsidRDefault="00016C24" w:rsidP="00500FD5">
            <w:pPr>
              <w:pStyle w:val="NoSpacing"/>
              <w:rPr>
                <w:rFonts w:ascii="Arial" w:hAnsi="Arial" w:cs="Arial"/>
                <w:b/>
                <w:bCs/>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EC7C4BC" w14:textId="77777777" w:rsidR="00016C24" w:rsidRPr="00C34F59" w:rsidRDefault="00016C24" w:rsidP="00500FD5">
            <w:pPr>
              <w:pStyle w:val="NoSpacing"/>
              <w:jc w:val="right"/>
              <w:rPr>
                <w:rFonts w:ascii="Arial" w:hAnsi="Arial" w:cs="Arial"/>
                <w:b/>
                <w:bCs/>
                <w:sz w:val="24"/>
                <w:szCs w:val="24"/>
              </w:rPr>
            </w:pPr>
          </w:p>
        </w:tc>
        <w:tc>
          <w:tcPr>
            <w:tcW w:w="1603" w:type="dxa"/>
            <w:tcBorders>
              <w:top w:val="single" w:sz="4" w:space="0" w:color="auto"/>
              <w:left w:val="single" w:sz="4" w:space="0" w:color="auto"/>
              <w:bottom w:val="single" w:sz="4" w:space="0" w:color="auto"/>
              <w:right w:val="single" w:sz="4" w:space="0" w:color="auto"/>
            </w:tcBorders>
          </w:tcPr>
          <w:p w14:paraId="60D33A95" w14:textId="77777777" w:rsidR="00016C24" w:rsidRPr="00C34F59" w:rsidRDefault="00016C24" w:rsidP="00500FD5">
            <w:pPr>
              <w:pStyle w:val="NoSpacing"/>
              <w:jc w:val="right"/>
              <w:rPr>
                <w:rFonts w:ascii="Arial" w:hAnsi="Arial" w:cs="Arial"/>
                <w:b/>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27B619D" w14:textId="77777777" w:rsidR="00016C24" w:rsidRPr="00C34F59" w:rsidRDefault="00016C24" w:rsidP="00500FD5">
            <w:pPr>
              <w:pStyle w:val="NoSpacing"/>
              <w:jc w:val="right"/>
              <w:rPr>
                <w:rFonts w:ascii="Arial" w:hAnsi="Arial" w:cs="Arial"/>
                <w:b/>
                <w:bCs/>
                <w:sz w:val="24"/>
                <w:szCs w:val="24"/>
              </w:rPr>
            </w:pPr>
          </w:p>
        </w:tc>
      </w:tr>
      <w:tr w:rsidR="00016C24" w:rsidRPr="00C34F59" w14:paraId="6FB12CF6" w14:textId="77777777" w:rsidTr="00500FD5">
        <w:tc>
          <w:tcPr>
            <w:tcW w:w="3964" w:type="dxa"/>
            <w:tcBorders>
              <w:top w:val="single" w:sz="4" w:space="0" w:color="auto"/>
            </w:tcBorders>
          </w:tcPr>
          <w:p w14:paraId="625B9780" w14:textId="77777777" w:rsidR="00016C24" w:rsidRPr="00C34F59" w:rsidRDefault="00016C24" w:rsidP="00500FD5">
            <w:pPr>
              <w:pStyle w:val="NoSpacing"/>
              <w:rPr>
                <w:rFonts w:ascii="Arial" w:hAnsi="Arial" w:cs="Arial"/>
                <w:b/>
                <w:bCs/>
                <w:sz w:val="24"/>
                <w:szCs w:val="24"/>
              </w:rPr>
            </w:pPr>
            <w:r w:rsidRPr="00C34F59">
              <w:rPr>
                <w:rFonts w:ascii="Arial" w:hAnsi="Arial" w:cs="Arial"/>
                <w:b/>
                <w:bCs/>
                <w:sz w:val="24"/>
                <w:szCs w:val="24"/>
              </w:rPr>
              <w:t>Grand Total</w:t>
            </w:r>
          </w:p>
        </w:tc>
        <w:tc>
          <w:tcPr>
            <w:tcW w:w="1276" w:type="dxa"/>
            <w:tcBorders>
              <w:top w:val="single" w:sz="4" w:space="0" w:color="auto"/>
            </w:tcBorders>
          </w:tcPr>
          <w:p w14:paraId="6ECFE6A2" w14:textId="77777777" w:rsidR="00016C24" w:rsidRPr="00C34F59" w:rsidRDefault="00016C24" w:rsidP="00500FD5">
            <w:pPr>
              <w:pStyle w:val="NoSpacing"/>
              <w:jc w:val="right"/>
              <w:rPr>
                <w:rFonts w:ascii="Arial" w:hAnsi="Arial" w:cs="Arial"/>
                <w:b/>
                <w:bCs/>
                <w:sz w:val="24"/>
                <w:szCs w:val="24"/>
              </w:rPr>
            </w:pPr>
          </w:p>
        </w:tc>
        <w:tc>
          <w:tcPr>
            <w:tcW w:w="1603" w:type="dxa"/>
            <w:tcBorders>
              <w:top w:val="single" w:sz="4" w:space="0" w:color="auto"/>
            </w:tcBorders>
          </w:tcPr>
          <w:p w14:paraId="38CFCC96" w14:textId="77777777" w:rsidR="00016C24" w:rsidRPr="00C34F59" w:rsidRDefault="00016C24" w:rsidP="00500FD5">
            <w:pPr>
              <w:pStyle w:val="NoSpacing"/>
              <w:jc w:val="right"/>
              <w:rPr>
                <w:rFonts w:ascii="Arial" w:hAnsi="Arial" w:cs="Arial"/>
                <w:b/>
                <w:bCs/>
                <w:sz w:val="24"/>
                <w:szCs w:val="24"/>
              </w:rPr>
            </w:pPr>
          </w:p>
        </w:tc>
        <w:tc>
          <w:tcPr>
            <w:tcW w:w="1417" w:type="dxa"/>
            <w:tcBorders>
              <w:top w:val="single" w:sz="4" w:space="0" w:color="auto"/>
            </w:tcBorders>
          </w:tcPr>
          <w:p w14:paraId="16E87A86" w14:textId="77777777" w:rsidR="00016C24" w:rsidRPr="00C34F59" w:rsidRDefault="00016C24" w:rsidP="00500FD5">
            <w:pPr>
              <w:pStyle w:val="NoSpacing"/>
              <w:jc w:val="right"/>
              <w:rPr>
                <w:rFonts w:ascii="Arial" w:hAnsi="Arial" w:cs="Arial"/>
                <w:b/>
                <w:bCs/>
                <w:sz w:val="24"/>
                <w:szCs w:val="24"/>
              </w:rPr>
            </w:pPr>
          </w:p>
        </w:tc>
      </w:tr>
    </w:tbl>
    <w:p w14:paraId="7B16C1BD" w14:textId="77777777" w:rsidR="00016C24" w:rsidRPr="00C34F59" w:rsidRDefault="00016C24" w:rsidP="00016C24">
      <w:pPr>
        <w:rPr>
          <w:rFonts w:ascii="Arial" w:hAnsi="Arial" w:cs="Arial"/>
        </w:rPr>
      </w:pPr>
    </w:p>
    <w:tbl>
      <w:tblPr>
        <w:tblStyle w:val="TableGrid"/>
        <w:tblW w:w="0" w:type="auto"/>
        <w:tblLook w:val="04A0" w:firstRow="1" w:lastRow="0" w:firstColumn="1" w:lastColumn="0" w:noHBand="0" w:noVBand="1"/>
      </w:tblPr>
      <w:tblGrid>
        <w:gridCol w:w="3964"/>
        <w:gridCol w:w="1276"/>
        <w:gridCol w:w="1559"/>
        <w:gridCol w:w="1418"/>
      </w:tblGrid>
      <w:tr w:rsidR="00016C24" w:rsidRPr="00C34F59" w14:paraId="276CA47E" w14:textId="77777777" w:rsidTr="00500FD5">
        <w:trPr>
          <w:trHeight w:val="475"/>
        </w:trPr>
        <w:tc>
          <w:tcPr>
            <w:tcW w:w="3964" w:type="dxa"/>
            <w:tcBorders>
              <w:top w:val="single" w:sz="4" w:space="0" w:color="auto"/>
              <w:left w:val="single" w:sz="4" w:space="0" w:color="auto"/>
              <w:bottom w:val="nil"/>
              <w:right w:val="single" w:sz="4" w:space="0" w:color="auto"/>
            </w:tcBorders>
            <w:noWrap/>
            <w:hideMark/>
          </w:tcPr>
          <w:p w14:paraId="331370EA" w14:textId="77777777" w:rsidR="00016C24" w:rsidRPr="00C34F59" w:rsidRDefault="00016C24" w:rsidP="00500FD5">
            <w:pPr>
              <w:pStyle w:val="Normal0"/>
              <w:rPr>
                <w:rFonts w:ascii="Arial" w:hAnsi="Arial" w:cs="Arial"/>
                <w:b/>
                <w:bCs/>
                <w:sz w:val="24"/>
                <w:szCs w:val="24"/>
              </w:rPr>
            </w:pPr>
            <w:r w:rsidRPr="00C34F59">
              <w:rPr>
                <w:rFonts w:ascii="Arial" w:hAnsi="Arial" w:cs="Arial"/>
                <w:b/>
                <w:bCs/>
                <w:sz w:val="24"/>
                <w:szCs w:val="24"/>
              </w:rPr>
              <w:t>LEP Reserves</w:t>
            </w:r>
          </w:p>
        </w:tc>
        <w:tc>
          <w:tcPr>
            <w:tcW w:w="1276" w:type="dxa"/>
            <w:tcBorders>
              <w:top w:val="single" w:sz="4" w:space="0" w:color="auto"/>
              <w:left w:val="single" w:sz="4" w:space="0" w:color="auto"/>
              <w:bottom w:val="nil"/>
              <w:right w:val="single" w:sz="4" w:space="0" w:color="auto"/>
            </w:tcBorders>
            <w:hideMark/>
          </w:tcPr>
          <w:p w14:paraId="0BDF813A" w14:textId="77777777" w:rsidR="00016C24" w:rsidRPr="00C34F59" w:rsidRDefault="00016C24" w:rsidP="00500FD5">
            <w:pPr>
              <w:pStyle w:val="NoSpacing"/>
              <w:jc w:val="right"/>
              <w:rPr>
                <w:rFonts w:ascii="Arial" w:hAnsi="Arial" w:cs="Arial"/>
                <w:b/>
                <w:bCs/>
                <w:sz w:val="24"/>
                <w:szCs w:val="24"/>
              </w:rPr>
            </w:pPr>
            <w:r w:rsidRPr="00C34F59">
              <w:rPr>
                <w:rFonts w:ascii="Arial" w:hAnsi="Arial" w:cs="Arial"/>
                <w:b/>
                <w:bCs/>
                <w:sz w:val="24"/>
                <w:szCs w:val="24"/>
              </w:rPr>
              <w:t>31 March 202</w:t>
            </w:r>
            <w:r>
              <w:rPr>
                <w:rFonts w:ascii="Arial" w:hAnsi="Arial" w:cs="Arial"/>
                <w:b/>
                <w:bCs/>
                <w:sz w:val="24"/>
                <w:szCs w:val="24"/>
              </w:rPr>
              <w:t>1</w:t>
            </w:r>
          </w:p>
        </w:tc>
        <w:tc>
          <w:tcPr>
            <w:tcW w:w="1559" w:type="dxa"/>
            <w:tcBorders>
              <w:top w:val="single" w:sz="4" w:space="0" w:color="auto"/>
              <w:left w:val="single" w:sz="4" w:space="0" w:color="auto"/>
              <w:bottom w:val="nil"/>
              <w:right w:val="single" w:sz="4" w:space="0" w:color="auto"/>
            </w:tcBorders>
            <w:hideMark/>
          </w:tcPr>
          <w:p w14:paraId="186D34BC" w14:textId="77777777" w:rsidR="00016C24" w:rsidRPr="00C34F59" w:rsidRDefault="00016C24" w:rsidP="00500FD5">
            <w:pPr>
              <w:pStyle w:val="NoSpacing"/>
              <w:jc w:val="right"/>
              <w:rPr>
                <w:rFonts w:ascii="Arial" w:hAnsi="Arial" w:cs="Arial"/>
                <w:b/>
                <w:bCs/>
                <w:sz w:val="24"/>
                <w:szCs w:val="24"/>
              </w:rPr>
            </w:pPr>
            <w:r w:rsidRPr="00C34F59">
              <w:rPr>
                <w:rFonts w:ascii="Arial" w:hAnsi="Arial" w:cs="Arial"/>
                <w:b/>
                <w:bCs/>
                <w:sz w:val="24"/>
                <w:szCs w:val="24"/>
              </w:rPr>
              <w:t>Transfers in/out</w:t>
            </w:r>
          </w:p>
        </w:tc>
        <w:tc>
          <w:tcPr>
            <w:tcW w:w="1418" w:type="dxa"/>
            <w:tcBorders>
              <w:top w:val="single" w:sz="4" w:space="0" w:color="auto"/>
              <w:left w:val="single" w:sz="4" w:space="0" w:color="auto"/>
              <w:bottom w:val="nil"/>
              <w:right w:val="single" w:sz="4" w:space="0" w:color="auto"/>
            </w:tcBorders>
            <w:hideMark/>
          </w:tcPr>
          <w:p w14:paraId="308CDFA6" w14:textId="77777777" w:rsidR="00016C24" w:rsidRPr="00C34F59" w:rsidRDefault="00016C24" w:rsidP="00500FD5">
            <w:pPr>
              <w:pStyle w:val="NoSpacing"/>
              <w:jc w:val="right"/>
              <w:rPr>
                <w:rFonts w:ascii="Arial" w:hAnsi="Arial" w:cs="Arial"/>
                <w:b/>
                <w:bCs/>
                <w:sz w:val="24"/>
                <w:szCs w:val="24"/>
              </w:rPr>
            </w:pPr>
            <w:r w:rsidRPr="00C34F59">
              <w:rPr>
                <w:rFonts w:ascii="Arial" w:hAnsi="Arial" w:cs="Arial"/>
                <w:b/>
                <w:bCs/>
                <w:sz w:val="24"/>
                <w:szCs w:val="24"/>
              </w:rPr>
              <w:t>31 March 202</w:t>
            </w:r>
            <w:r>
              <w:rPr>
                <w:rFonts w:ascii="Arial" w:hAnsi="Arial" w:cs="Arial"/>
                <w:b/>
                <w:bCs/>
                <w:sz w:val="24"/>
                <w:szCs w:val="24"/>
              </w:rPr>
              <w:t>2</w:t>
            </w:r>
          </w:p>
        </w:tc>
      </w:tr>
      <w:tr w:rsidR="00016C24" w:rsidRPr="00C34F59" w14:paraId="20A84031" w14:textId="77777777" w:rsidTr="00500FD5">
        <w:trPr>
          <w:trHeight w:val="280"/>
        </w:trPr>
        <w:tc>
          <w:tcPr>
            <w:tcW w:w="3964" w:type="dxa"/>
            <w:tcBorders>
              <w:top w:val="nil"/>
            </w:tcBorders>
            <w:noWrap/>
            <w:hideMark/>
          </w:tcPr>
          <w:p w14:paraId="0DEF50AA" w14:textId="77777777" w:rsidR="00016C24" w:rsidRPr="00C34F59" w:rsidRDefault="00016C24" w:rsidP="00500FD5">
            <w:pPr>
              <w:pStyle w:val="NoSpacing"/>
              <w:rPr>
                <w:rFonts w:ascii="Arial" w:eastAsiaTheme="minorHAnsi" w:hAnsi="Arial" w:cs="Arial"/>
                <w:b/>
                <w:bCs/>
                <w:sz w:val="24"/>
                <w:szCs w:val="24"/>
              </w:rPr>
            </w:pPr>
          </w:p>
        </w:tc>
        <w:tc>
          <w:tcPr>
            <w:tcW w:w="1276" w:type="dxa"/>
            <w:tcBorders>
              <w:top w:val="nil"/>
            </w:tcBorders>
            <w:noWrap/>
            <w:hideMark/>
          </w:tcPr>
          <w:p w14:paraId="30F649E6" w14:textId="77777777" w:rsidR="00016C24" w:rsidRPr="00C34F59" w:rsidRDefault="00016C24" w:rsidP="00500FD5">
            <w:pPr>
              <w:pStyle w:val="NoSpacing"/>
              <w:jc w:val="right"/>
              <w:rPr>
                <w:rFonts w:ascii="Arial" w:eastAsiaTheme="minorHAnsi" w:hAnsi="Arial" w:cs="Arial"/>
                <w:b/>
                <w:bCs/>
                <w:sz w:val="24"/>
                <w:szCs w:val="24"/>
              </w:rPr>
            </w:pPr>
            <w:r w:rsidRPr="00C34F59">
              <w:rPr>
                <w:rFonts w:ascii="Arial" w:eastAsiaTheme="minorHAnsi" w:hAnsi="Arial" w:cs="Arial"/>
                <w:b/>
                <w:bCs/>
                <w:sz w:val="24"/>
                <w:szCs w:val="24"/>
              </w:rPr>
              <w:t>£000s</w:t>
            </w:r>
          </w:p>
        </w:tc>
        <w:tc>
          <w:tcPr>
            <w:tcW w:w="1559" w:type="dxa"/>
            <w:tcBorders>
              <w:top w:val="nil"/>
            </w:tcBorders>
            <w:noWrap/>
            <w:hideMark/>
          </w:tcPr>
          <w:p w14:paraId="737DC29C" w14:textId="77777777" w:rsidR="00016C24" w:rsidRPr="00C34F59" w:rsidRDefault="00016C24" w:rsidP="00500FD5">
            <w:pPr>
              <w:pStyle w:val="NoSpacing"/>
              <w:jc w:val="right"/>
              <w:rPr>
                <w:rFonts w:ascii="Arial" w:eastAsiaTheme="minorHAnsi" w:hAnsi="Arial" w:cs="Arial"/>
                <w:b/>
                <w:bCs/>
                <w:sz w:val="24"/>
                <w:szCs w:val="24"/>
              </w:rPr>
            </w:pPr>
            <w:r w:rsidRPr="00C34F59">
              <w:rPr>
                <w:rFonts w:ascii="Arial" w:eastAsiaTheme="minorHAnsi" w:hAnsi="Arial" w:cs="Arial"/>
                <w:b/>
                <w:bCs/>
                <w:sz w:val="24"/>
                <w:szCs w:val="24"/>
              </w:rPr>
              <w:t>£000s</w:t>
            </w:r>
          </w:p>
        </w:tc>
        <w:tc>
          <w:tcPr>
            <w:tcW w:w="1418" w:type="dxa"/>
            <w:tcBorders>
              <w:top w:val="nil"/>
            </w:tcBorders>
            <w:noWrap/>
            <w:hideMark/>
          </w:tcPr>
          <w:p w14:paraId="3A9FD482" w14:textId="77777777" w:rsidR="00016C24" w:rsidRPr="00C34F59" w:rsidRDefault="00016C24" w:rsidP="00500FD5">
            <w:pPr>
              <w:pStyle w:val="NoSpacing"/>
              <w:jc w:val="right"/>
              <w:rPr>
                <w:rFonts w:ascii="Arial" w:eastAsiaTheme="minorHAnsi" w:hAnsi="Arial" w:cs="Arial"/>
                <w:b/>
                <w:bCs/>
                <w:sz w:val="24"/>
                <w:szCs w:val="24"/>
              </w:rPr>
            </w:pPr>
            <w:r w:rsidRPr="00C34F59">
              <w:rPr>
                <w:rFonts w:ascii="Arial" w:eastAsiaTheme="minorHAnsi" w:hAnsi="Arial" w:cs="Arial"/>
                <w:b/>
                <w:bCs/>
                <w:sz w:val="24"/>
                <w:szCs w:val="24"/>
              </w:rPr>
              <w:t>£000s</w:t>
            </w:r>
          </w:p>
        </w:tc>
      </w:tr>
      <w:tr w:rsidR="00016C24" w:rsidRPr="00C34F59" w14:paraId="1ED48AB3" w14:textId="77777777" w:rsidTr="00500FD5">
        <w:trPr>
          <w:trHeight w:val="200"/>
        </w:trPr>
        <w:tc>
          <w:tcPr>
            <w:tcW w:w="3964" w:type="dxa"/>
            <w:noWrap/>
            <w:hideMark/>
          </w:tcPr>
          <w:p w14:paraId="71B35DC8" w14:textId="77777777" w:rsidR="00016C24" w:rsidRPr="00C34F59" w:rsidRDefault="00016C24" w:rsidP="00500FD5">
            <w:pPr>
              <w:pStyle w:val="NoSpacing"/>
              <w:rPr>
                <w:rFonts w:ascii="Arial" w:eastAsiaTheme="minorHAnsi" w:hAnsi="Arial" w:cs="Arial"/>
                <w:sz w:val="24"/>
                <w:szCs w:val="24"/>
              </w:rPr>
            </w:pPr>
            <w:r w:rsidRPr="00C34F59">
              <w:rPr>
                <w:rFonts w:ascii="Arial" w:eastAsiaTheme="minorHAnsi" w:hAnsi="Arial" w:cs="Arial"/>
                <w:sz w:val="24"/>
                <w:szCs w:val="24"/>
              </w:rPr>
              <w:t>LEP Capacity</w:t>
            </w:r>
          </w:p>
        </w:tc>
        <w:tc>
          <w:tcPr>
            <w:tcW w:w="1276" w:type="dxa"/>
            <w:noWrap/>
            <w:hideMark/>
          </w:tcPr>
          <w:p w14:paraId="0921B486" w14:textId="77777777" w:rsidR="00016C24" w:rsidRPr="00C34F59" w:rsidRDefault="00016C24" w:rsidP="00500FD5">
            <w:pPr>
              <w:pStyle w:val="NoSpacing"/>
              <w:jc w:val="right"/>
              <w:rPr>
                <w:rFonts w:ascii="Arial" w:eastAsiaTheme="minorHAnsi" w:hAnsi="Arial" w:cs="Arial"/>
                <w:sz w:val="24"/>
                <w:szCs w:val="24"/>
              </w:rPr>
            </w:pPr>
            <w:r w:rsidRPr="00C34F59">
              <w:rPr>
                <w:rFonts w:ascii="Arial" w:eastAsiaTheme="minorHAnsi" w:hAnsi="Arial" w:cs="Arial"/>
                <w:sz w:val="24"/>
                <w:szCs w:val="24"/>
              </w:rPr>
              <w:t>(</w:t>
            </w:r>
            <w:r>
              <w:rPr>
                <w:rFonts w:ascii="Arial" w:eastAsiaTheme="minorHAnsi" w:hAnsi="Arial" w:cs="Arial"/>
                <w:sz w:val="24"/>
                <w:szCs w:val="24"/>
              </w:rPr>
              <w:t>396</w:t>
            </w:r>
            <w:r w:rsidRPr="00C34F59">
              <w:rPr>
                <w:rFonts w:ascii="Arial" w:eastAsiaTheme="minorHAnsi" w:hAnsi="Arial" w:cs="Arial"/>
                <w:sz w:val="24"/>
                <w:szCs w:val="24"/>
              </w:rPr>
              <w:t>)</w:t>
            </w:r>
          </w:p>
        </w:tc>
        <w:tc>
          <w:tcPr>
            <w:tcW w:w="1559" w:type="dxa"/>
            <w:noWrap/>
            <w:hideMark/>
          </w:tcPr>
          <w:p w14:paraId="6D173DB0" w14:textId="1BF57DD9" w:rsidR="00016C24" w:rsidRPr="00C34F59" w:rsidRDefault="00A064B3" w:rsidP="00500FD5">
            <w:pPr>
              <w:pStyle w:val="NoSpacing"/>
              <w:jc w:val="right"/>
              <w:rPr>
                <w:rFonts w:ascii="Arial" w:eastAsiaTheme="minorHAnsi" w:hAnsi="Arial" w:cs="Arial"/>
                <w:sz w:val="24"/>
                <w:szCs w:val="24"/>
              </w:rPr>
            </w:pPr>
            <w:r>
              <w:rPr>
                <w:rFonts w:ascii="Arial" w:eastAsiaTheme="minorHAnsi" w:hAnsi="Arial" w:cs="Arial"/>
                <w:sz w:val="24"/>
                <w:szCs w:val="24"/>
              </w:rPr>
              <w:t>(56)</w:t>
            </w:r>
            <w:r w:rsidR="00016C24" w:rsidRPr="00C34F59">
              <w:rPr>
                <w:rFonts w:ascii="Arial" w:eastAsiaTheme="minorHAnsi" w:hAnsi="Arial" w:cs="Arial"/>
                <w:sz w:val="24"/>
                <w:szCs w:val="24"/>
              </w:rPr>
              <w:t xml:space="preserve"> </w:t>
            </w:r>
          </w:p>
        </w:tc>
        <w:tc>
          <w:tcPr>
            <w:tcW w:w="1418" w:type="dxa"/>
            <w:noWrap/>
            <w:hideMark/>
          </w:tcPr>
          <w:p w14:paraId="2FA66DF1" w14:textId="77777777" w:rsidR="00016C24" w:rsidRPr="00C34F59" w:rsidRDefault="00016C24" w:rsidP="00500FD5">
            <w:pPr>
              <w:pStyle w:val="NoSpacing"/>
              <w:jc w:val="right"/>
              <w:rPr>
                <w:rFonts w:ascii="Arial" w:eastAsiaTheme="minorHAnsi" w:hAnsi="Arial" w:cs="Arial"/>
                <w:b/>
                <w:bCs/>
                <w:sz w:val="24"/>
                <w:szCs w:val="24"/>
              </w:rPr>
            </w:pPr>
            <w:r w:rsidRPr="00C34F59">
              <w:rPr>
                <w:rFonts w:ascii="Arial" w:eastAsiaTheme="minorHAnsi" w:hAnsi="Arial" w:cs="Arial"/>
                <w:b/>
                <w:bCs/>
                <w:sz w:val="24"/>
                <w:szCs w:val="24"/>
              </w:rPr>
              <w:t>(</w:t>
            </w:r>
            <w:r>
              <w:rPr>
                <w:rFonts w:ascii="Arial" w:eastAsiaTheme="minorHAnsi" w:hAnsi="Arial" w:cs="Arial"/>
                <w:b/>
                <w:bCs/>
                <w:sz w:val="24"/>
                <w:szCs w:val="24"/>
              </w:rPr>
              <w:t>452</w:t>
            </w:r>
            <w:r w:rsidRPr="00C34F59">
              <w:rPr>
                <w:rFonts w:ascii="Arial" w:eastAsiaTheme="minorHAnsi" w:hAnsi="Arial" w:cs="Arial"/>
                <w:b/>
                <w:bCs/>
                <w:sz w:val="24"/>
                <w:szCs w:val="24"/>
              </w:rPr>
              <w:t>)</w:t>
            </w:r>
          </w:p>
        </w:tc>
      </w:tr>
      <w:tr w:rsidR="00016C24" w:rsidRPr="00C34F59" w14:paraId="0BCB34B2" w14:textId="77777777" w:rsidTr="00500FD5">
        <w:trPr>
          <w:trHeight w:val="96"/>
        </w:trPr>
        <w:tc>
          <w:tcPr>
            <w:tcW w:w="3964" w:type="dxa"/>
            <w:noWrap/>
            <w:hideMark/>
          </w:tcPr>
          <w:p w14:paraId="5AD9A7D4" w14:textId="77777777" w:rsidR="00016C24" w:rsidRPr="00C34F59" w:rsidRDefault="00016C24" w:rsidP="00500FD5">
            <w:pPr>
              <w:pStyle w:val="NoSpacing"/>
              <w:rPr>
                <w:rFonts w:ascii="Arial" w:eastAsiaTheme="minorHAnsi" w:hAnsi="Arial" w:cs="Arial"/>
                <w:sz w:val="24"/>
                <w:szCs w:val="24"/>
              </w:rPr>
            </w:pPr>
            <w:r w:rsidRPr="00C34F59">
              <w:rPr>
                <w:rFonts w:ascii="Arial" w:eastAsiaTheme="minorHAnsi" w:hAnsi="Arial" w:cs="Arial"/>
                <w:sz w:val="24"/>
                <w:szCs w:val="24"/>
              </w:rPr>
              <w:t>Business Rates (Enterprise Zones)</w:t>
            </w:r>
          </w:p>
        </w:tc>
        <w:tc>
          <w:tcPr>
            <w:tcW w:w="1276" w:type="dxa"/>
            <w:noWrap/>
            <w:hideMark/>
          </w:tcPr>
          <w:p w14:paraId="6B084FB2" w14:textId="77777777" w:rsidR="00016C24" w:rsidRPr="00C34F59" w:rsidRDefault="00016C24" w:rsidP="00500FD5">
            <w:pPr>
              <w:pStyle w:val="NoSpacing"/>
              <w:jc w:val="right"/>
              <w:rPr>
                <w:rFonts w:ascii="Arial" w:eastAsiaTheme="minorHAnsi" w:hAnsi="Arial" w:cs="Arial"/>
                <w:sz w:val="24"/>
                <w:szCs w:val="24"/>
              </w:rPr>
            </w:pPr>
            <w:r w:rsidRPr="00C34F59">
              <w:rPr>
                <w:rFonts w:ascii="Arial" w:eastAsiaTheme="minorHAnsi" w:hAnsi="Arial" w:cs="Arial"/>
                <w:sz w:val="24"/>
                <w:szCs w:val="24"/>
              </w:rPr>
              <w:t>(3</w:t>
            </w:r>
            <w:r>
              <w:rPr>
                <w:rFonts w:ascii="Arial" w:eastAsiaTheme="minorHAnsi" w:hAnsi="Arial" w:cs="Arial"/>
                <w:sz w:val="24"/>
                <w:szCs w:val="24"/>
              </w:rPr>
              <w:t>40</w:t>
            </w:r>
            <w:r w:rsidRPr="00C34F59">
              <w:rPr>
                <w:rFonts w:ascii="Arial" w:eastAsiaTheme="minorHAnsi" w:hAnsi="Arial" w:cs="Arial"/>
                <w:sz w:val="24"/>
                <w:szCs w:val="24"/>
              </w:rPr>
              <w:t>)</w:t>
            </w:r>
          </w:p>
        </w:tc>
        <w:tc>
          <w:tcPr>
            <w:tcW w:w="1559" w:type="dxa"/>
            <w:noWrap/>
            <w:hideMark/>
          </w:tcPr>
          <w:p w14:paraId="38E65E25" w14:textId="77777777" w:rsidR="00016C24" w:rsidRPr="00C34F59" w:rsidRDefault="00016C24" w:rsidP="00500FD5">
            <w:pPr>
              <w:pStyle w:val="NoSpacing"/>
              <w:jc w:val="right"/>
              <w:rPr>
                <w:rFonts w:ascii="Arial" w:eastAsiaTheme="minorHAnsi" w:hAnsi="Arial" w:cs="Arial"/>
                <w:sz w:val="24"/>
                <w:szCs w:val="24"/>
              </w:rPr>
            </w:pPr>
            <w:r w:rsidRPr="00C34F59">
              <w:rPr>
                <w:rFonts w:ascii="Arial" w:eastAsiaTheme="minorHAnsi" w:hAnsi="Arial" w:cs="Arial"/>
                <w:sz w:val="24"/>
                <w:szCs w:val="24"/>
              </w:rPr>
              <w:t xml:space="preserve">0 </w:t>
            </w:r>
          </w:p>
        </w:tc>
        <w:tc>
          <w:tcPr>
            <w:tcW w:w="1418" w:type="dxa"/>
            <w:noWrap/>
            <w:hideMark/>
          </w:tcPr>
          <w:p w14:paraId="78B67C4B" w14:textId="77777777" w:rsidR="00016C24" w:rsidRPr="00C34F59" w:rsidRDefault="00016C24" w:rsidP="00500FD5">
            <w:pPr>
              <w:pStyle w:val="NoSpacing"/>
              <w:jc w:val="right"/>
              <w:rPr>
                <w:rFonts w:ascii="Arial" w:eastAsiaTheme="minorHAnsi" w:hAnsi="Arial" w:cs="Arial"/>
                <w:b/>
                <w:bCs/>
                <w:sz w:val="24"/>
                <w:szCs w:val="24"/>
              </w:rPr>
            </w:pPr>
            <w:r w:rsidRPr="00C34F59">
              <w:rPr>
                <w:rFonts w:ascii="Arial" w:eastAsiaTheme="minorHAnsi" w:hAnsi="Arial" w:cs="Arial"/>
                <w:b/>
                <w:bCs/>
                <w:sz w:val="24"/>
                <w:szCs w:val="24"/>
              </w:rPr>
              <w:t>(</w:t>
            </w:r>
            <w:r>
              <w:rPr>
                <w:rFonts w:ascii="Arial" w:eastAsiaTheme="minorHAnsi" w:hAnsi="Arial" w:cs="Arial"/>
                <w:b/>
                <w:bCs/>
                <w:sz w:val="24"/>
                <w:szCs w:val="24"/>
              </w:rPr>
              <w:t>340</w:t>
            </w:r>
            <w:r w:rsidRPr="00C34F59">
              <w:rPr>
                <w:rFonts w:ascii="Arial" w:eastAsiaTheme="minorHAnsi" w:hAnsi="Arial" w:cs="Arial"/>
                <w:b/>
                <w:bCs/>
                <w:sz w:val="24"/>
                <w:szCs w:val="24"/>
              </w:rPr>
              <w:t>)</w:t>
            </w:r>
          </w:p>
        </w:tc>
      </w:tr>
      <w:tr w:rsidR="00016C24" w:rsidRPr="00982EF6" w14:paraId="6844B21F" w14:textId="77777777" w:rsidTr="00500FD5">
        <w:trPr>
          <w:trHeight w:val="200"/>
        </w:trPr>
        <w:tc>
          <w:tcPr>
            <w:tcW w:w="3964" w:type="dxa"/>
            <w:noWrap/>
            <w:hideMark/>
          </w:tcPr>
          <w:p w14:paraId="0DB1566D" w14:textId="77777777" w:rsidR="00016C24" w:rsidRPr="00C34F59" w:rsidRDefault="00016C24" w:rsidP="00500FD5">
            <w:pPr>
              <w:pStyle w:val="NoSpacing"/>
              <w:rPr>
                <w:rFonts w:ascii="Arial" w:eastAsiaTheme="minorHAnsi" w:hAnsi="Arial" w:cs="Arial"/>
                <w:b/>
                <w:bCs/>
                <w:sz w:val="24"/>
                <w:szCs w:val="24"/>
              </w:rPr>
            </w:pPr>
            <w:r w:rsidRPr="00C34F59">
              <w:rPr>
                <w:rFonts w:ascii="Arial" w:eastAsiaTheme="minorHAnsi" w:hAnsi="Arial" w:cs="Arial"/>
                <w:b/>
                <w:bCs/>
                <w:sz w:val="24"/>
                <w:szCs w:val="24"/>
              </w:rPr>
              <w:t>Total Reserves</w:t>
            </w:r>
          </w:p>
        </w:tc>
        <w:tc>
          <w:tcPr>
            <w:tcW w:w="1276" w:type="dxa"/>
            <w:noWrap/>
            <w:hideMark/>
          </w:tcPr>
          <w:p w14:paraId="674D4B31" w14:textId="77777777" w:rsidR="00016C24" w:rsidRPr="00C34F59" w:rsidRDefault="00016C24" w:rsidP="00500FD5">
            <w:pPr>
              <w:pStyle w:val="NoSpacing"/>
              <w:jc w:val="right"/>
              <w:rPr>
                <w:rFonts w:ascii="Arial" w:eastAsiaTheme="minorHAnsi" w:hAnsi="Arial" w:cs="Arial"/>
                <w:b/>
                <w:bCs/>
                <w:sz w:val="24"/>
                <w:szCs w:val="24"/>
              </w:rPr>
            </w:pPr>
            <w:r w:rsidRPr="00C34F59">
              <w:rPr>
                <w:rFonts w:ascii="Arial" w:eastAsiaTheme="minorHAnsi" w:hAnsi="Arial" w:cs="Arial"/>
                <w:b/>
                <w:bCs/>
                <w:sz w:val="24"/>
                <w:szCs w:val="24"/>
              </w:rPr>
              <w:t>(</w:t>
            </w:r>
            <w:r>
              <w:rPr>
                <w:rFonts w:ascii="Arial" w:eastAsiaTheme="minorHAnsi" w:hAnsi="Arial" w:cs="Arial"/>
                <w:b/>
                <w:bCs/>
                <w:sz w:val="24"/>
                <w:szCs w:val="24"/>
              </w:rPr>
              <w:t>736</w:t>
            </w:r>
            <w:r w:rsidRPr="00C34F59">
              <w:rPr>
                <w:rFonts w:ascii="Arial" w:eastAsiaTheme="minorHAnsi" w:hAnsi="Arial" w:cs="Arial"/>
                <w:b/>
                <w:bCs/>
                <w:sz w:val="24"/>
                <w:szCs w:val="24"/>
              </w:rPr>
              <w:t>)</w:t>
            </w:r>
          </w:p>
        </w:tc>
        <w:tc>
          <w:tcPr>
            <w:tcW w:w="1559" w:type="dxa"/>
            <w:noWrap/>
            <w:hideMark/>
          </w:tcPr>
          <w:p w14:paraId="1B4A8E77" w14:textId="0464FF47" w:rsidR="00016C24" w:rsidRPr="00C34F59" w:rsidRDefault="00A064B3" w:rsidP="00500FD5">
            <w:pPr>
              <w:pStyle w:val="NoSpacing"/>
              <w:jc w:val="right"/>
              <w:rPr>
                <w:rFonts w:ascii="Arial" w:eastAsiaTheme="minorHAnsi" w:hAnsi="Arial" w:cs="Arial"/>
                <w:b/>
                <w:bCs/>
                <w:sz w:val="24"/>
                <w:szCs w:val="24"/>
              </w:rPr>
            </w:pPr>
            <w:r>
              <w:rPr>
                <w:rFonts w:ascii="Arial" w:eastAsiaTheme="minorHAnsi" w:hAnsi="Arial" w:cs="Arial"/>
                <w:b/>
                <w:bCs/>
                <w:sz w:val="24"/>
                <w:szCs w:val="24"/>
              </w:rPr>
              <w:t>(56)</w:t>
            </w:r>
          </w:p>
        </w:tc>
        <w:tc>
          <w:tcPr>
            <w:tcW w:w="1418" w:type="dxa"/>
            <w:noWrap/>
            <w:hideMark/>
          </w:tcPr>
          <w:p w14:paraId="164821C8" w14:textId="77777777" w:rsidR="00016C24" w:rsidRPr="00C34F59" w:rsidRDefault="00016C24" w:rsidP="00500FD5">
            <w:pPr>
              <w:pStyle w:val="NoSpacing"/>
              <w:jc w:val="right"/>
              <w:rPr>
                <w:rFonts w:ascii="Arial" w:eastAsiaTheme="minorHAnsi" w:hAnsi="Arial" w:cs="Arial"/>
                <w:b/>
                <w:bCs/>
                <w:sz w:val="24"/>
                <w:szCs w:val="24"/>
              </w:rPr>
            </w:pPr>
            <w:r w:rsidRPr="00C34F59">
              <w:rPr>
                <w:rFonts w:ascii="Arial" w:eastAsiaTheme="minorHAnsi" w:hAnsi="Arial" w:cs="Arial"/>
                <w:b/>
                <w:bCs/>
                <w:sz w:val="24"/>
                <w:szCs w:val="24"/>
              </w:rPr>
              <w:t>(</w:t>
            </w:r>
            <w:r>
              <w:rPr>
                <w:rFonts w:ascii="Arial" w:eastAsiaTheme="minorHAnsi" w:hAnsi="Arial" w:cs="Arial"/>
                <w:b/>
                <w:bCs/>
                <w:sz w:val="24"/>
                <w:szCs w:val="24"/>
              </w:rPr>
              <w:t>792</w:t>
            </w:r>
            <w:r w:rsidRPr="00C34F59">
              <w:rPr>
                <w:rFonts w:ascii="Arial" w:eastAsiaTheme="minorHAnsi" w:hAnsi="Arial" w:cs="Arial"/>
                <w:b/>
                <w:bCs/>
                <w:sz w:val="24"/>
                <w:szCs w:val="24"/>
              </w:rPr>
              <w:t>)</w:t>
            </w:r>
          </w:p>
        </w:tc>
      </w:tr>
      <w:bookmarkEnd w:id="39"/>
    </w:tbl>
    <w:p w14:paraId="2E723F81" w14:textId="77777777" w:rsidR="00016C24" w:rsidRPr="00982EF6" w:rsidRDefault="00016C24" w:rsidP="00016C24">
      <w:pPr>
        <w:pStyle w:val="Normal0"/>
        <w:spacing w:line="240" w:lineRule="auto"/>
        <w:rPr>
          <w:rFonts w:ascii="Arial" w:hAnsi="Arial" w:cs="Arial"/>
          <w:sz w:val="24"/>
          <w:szCs w:val="24"/>
          <w:highlight w:val="green"/>
        </w:rPr>
      </w:pPr>
    </w:p>
    <w:p w14:paraId="0CE2C957" w14:textId="77777777" w:rsidR="00016C24" w:rsidRPr="00AD2D07" w:rsidRDefault="00016C24" w:rsidP="00016C24">
      <w:pPr>
        <w:pStyle w:val="Heading3"/>
        <w:spacing w:after="160"/>
      </w:pPr>
      <w:bookmarkStart w:id="40" w:name="_Toc109922589"/>
      <w:r w:rsidRPr="00AD2D07">
        <w:t>Revenue Outturn 202</w:t>
      </w:r>
      <w:r>
        <w:t>1</w:t>
      </w:r>
      <w:r w:rsidRPr="00AD2D07">
        <w:t>/2</w:t>
      </w:r>
      <w:r>
        <w:t>2</w:t>
      </w:r>
      <w:bookmarkEnd w:id="40"/>
    </w:p>
    <w:p w14:paraId="7352CBF8" w14:textId="77777777" w:rsidR="00016C24" w:rsidRDefault="00016C24" w:rsidP="004466F7">
      <w:pPr>
        <w:widowControl w:val="0"/>
        <w:spacing w:after="160"/>
        <w:rPr>
          <w:rFonts w:ascii="Arial" w:hAnsi="Arial" w:cs="Arial"/>
          <w:bCs/>
          <w:snapToGrid w:val="0"/>
          <w:lang w:eastAsia="en-GB"/>
        </w:rPr>
      </w:pPr>
      <w:r w:rsidRPr="004358E3">
        <w:rPr>
          <w:rFonts w:ascii="Arial" w:hAnsi="Arial" w:cs="Arial"/>
          <w:snapToGrid w:val="0"/>
          <w:lang w:eastAsia="en-GB"/>
        </w:rPr>
        <w:t xml:space="preserve">The 2021/22 revenue outturn position in relation to the Mayoral budget, GMCA General </w:t>
      </w:r>
      <w:r w:rsidRPr="004358E3">
        <w:rPr>
          <w:rFonts w:ascii="Arial" w:hAnsi="Arial" w:cs="Arial"/>
          <w:snapToGrid w:val="0"/>
          <w:lang w:eastAsia="en-GB"/>
        </w:rPr>
        <w:lastRenderedPageBreak/>
        <w:t xml:space="preserve">Budget, GM Fire and Rescue, Waste and Resources and Transport, including TfGM and the Police Fund is </w:t>
      </w:r>
      <w:r w:rsidRPr="004358E3">
        <w:rPr>
          <w:rFonts w:ascii="Arial" w:hAnsi="Arial" w:cs="Arial"/>
          <w:bCs/>
          <w:snapToGrid w:val="0"/>
          <w:lang w:eastAsia="en-GB"/>
        </w:rPr>
        <w:t xml:space="preserve">shown in the table below: </w:t>
      </w:r>
    </w:p>
    <w:tbl>
      <w:tblPr>
        <w:tblW w:w="11021" w:type="dxa"/>
        <w:tblInd w:w="-441" w:type="dxa"/>
        <w:tblLook w:val="04A0" w:firstRow="1" w:lastRow="0" w:firstColumn="1" w:lastColumn="0" w:noHBand="0" w:noVBand="1"/>
      </w:tblPr>
      <w:tblGrid>
        <w:gridCol w:w="2021"/>
        <w:gridCol w:w="1085"/>
        <w:gridCol w:w="1182"/>
        <w:gridCol w:w="732"/>
        <w:gridCol w:w="990"/>
        <w:gridCol w:w="1078"/>
        <w:gridCol w:w="961"/>
        <w:gridCol w:w="990"/>
        <w:gridCol w:w="1021"/>
        <w:gridCol w:w="990"/>
      </w:tblGrid>
      <w:tr w:rsidR="00016C24" w:rsidRPr="00363FC5" w14:paraId="021A2E81" w14:textId="77777777" w:rsidTr="00500FD5">
        <w:trPr>
          <w:trHeight w:val="260"/>
        </w:trPr>
        <w:tc>
          <w:tcPr>
            <w:tcW w:w="2021" w:type="dxa"/>
            <w:tcBorders>
              <w:top w:val="single" w:sz="8" w:space="0" w:color="auto"/>
              <w:left w:val="single" w:sz="8" w:space="0" w:color="auto"/>
              <w:bottom w:val="nil"/>
              <w:right w:val="nil"/>
            </w:tcBorders>
            <w:shd w:val="clear" w:color="000000" w:fill="BFBFBF"/>
            <w:noWrap/>
            <w:vAlign w:val="bottom"/>
            <w:hideMark/>
          </w:tcPr>
          <w:p w14:paraId="4A67E03B" w14:textId="77777777" w:rsidR="00016C24" w:rsidRPr="00363FC5" w:rsidRDefault="00016C24" w:rsidP="00500FD5">
            <w:pPr>
              <w:rPr>
                <w:rFonts w:ascii="Arial" w:hAnsi="Arial" w:cs="Arial"/>
                <w:b/>
                <w:bCs/>
                <w:color w:val="000000"/>
                <w:sz w:val="20"/>
                <w:szCs w:val="20"/>
                <w:lang w:val="en-US"/>
              </w:rPr>
            </w:pPr>
            <w:r w:rsidRPr="00363FC5">
              <w:rPr>
                <w:rFonts w:ascii="Arial" w:hAnsi="Arial" w:cs="Arial"/>
                <w:b/>
                <w:bCs/>
                <w:color w:val="000000"/>
                <w:sz w:val="20"/>
                <w:szCs w:val="20"/>
                <w:lang w:val="en-US"/>
              </w:rPr>
              <w:t>2021/22 Summary</w:t>
            </w:r>
          </w:p>
        </w:tc>
        <w:tc>
          <w:tcPr>
            <w:tcW w:w="2999" w:type="dxa"/>
            <w:gridSpan w:val="3"/>
            <w:tcBorders>
              <w:top w:val="single" w:sz="8" w:space="0" w:color="auto"/>
              <w:left w:val="single" w:sz="4" w:space="0" w:color="auto"/>
              <w:bottom w:val="nil"/>
              <w:right w:val="single" w:sz="4" w:space="0" w:color="000000"/>
            </w:tcBorders>
            <w:shd w:val="clear" w:color="000000" w:fill="BFBFBF"/>
            <w:noWrap/>
            <w:vAlign w:val="bottom"/>
            <w:hideMark/>
          </w:tcPr>
          <w:p w14:paraId="0E120A15" w14:textId="77777777" w:rsidR="00016C24" w:rsidRPr="00363FC5" w:rsidRDefault="00016C24" w:rsidP="00500FD5">
            <w:pPr>
              <w:jc w:val="center"/>
              <w:rPr>
                <w:rFonts w:ascii="Arial" w:hAnsi="Arial" w:cs="Arial"/>
                <w:b/>
                <w:bCs/>
                <w:color w:val="000000"/>
                <w:sz w:val="20"/>
                <w:szCs w:val="20"/>
                <w:lang w:val="en-US"/>
              </w:rPr>
            </w:pPr>
            <w:r w:rsidRPr="00363FC5">
              <w:rPr>
                <w:rFonts w:ascii="Arial" w:hAnsi="Arial" w:cs="Arial"/>
                <w:b/>
                <w:bCs/>
                <w:color w:val="000000"/>
                <w:sz w:val="20"/>
                <w:szCs w:val="20"/>
                <w:lang w:val="en-US"/>
              </w:rPr>
              <w:t>Original/Approved Budget</w:t>
            </w:r>
          </w:p>
        </w:tc>
        <w:tc>
          <w:tcPr>
            <w:tcW w:w="3000" w:type="dxa"/>
            <w:gridSpan w:val="3"/>
            <w:tcBorders>
              <w:top w:val="single" w:sz="8" w:space="0" w:color="auto"/>
              <w:left w:val="nil"/>
              <w:bottom w:val="nil"/>
              <w:right w:val="single" w:sz="4" w:space="0" w:color="000000"/>
            </w:tcBorders>
            <w:shd w:val="clear" w:color="000000" w:fill="BFBFBF"/>
            <w:noWrap/>
            <w:vAlign w:val="bottom"/>
            <w:hideMark/>
          </w:tcPr>
          <w:p w14:paraId="65198884" w14:textId="77777777" w:rsidR="00016C24" w:rsidRPr="00363FC5" w:rsidRDefault="00016C24" w:rsidP="00500FD5">
            <w:pPr>
              <w:jc w:val="center"/>
              <w:rPr>
                <w:rFonts w:ascii="Arial" w:hAnsi="Arial" w:cs="Arial"/>
                <w:b/>
                <w:bCs/>
                <w:color w:val="000000"/>
                <w:sz w:val="20"/>
                <w:szCs w:val="20"/>
                <w:lang w:val="en-US"/>
              </w:rPr>
            </w:pPr>
            <w:r w:rsidRPr="00363FC5">
              <w:rPr>
                <w:rFonts w:ascii="Arial" w:hAnsi="Arial" w:cs="Arial"/>
                <w:b/>
                <w:bCs/>
                <w:color w:val="000000"/>
                <w:sz w:val="20"/>
                <w:szCs w:val="20"/>
                <w:lang w:val="en-US"/>
              </w:rPr>
              <w:t>Provisional Outturn</w:t>
            </w:r>
          </w:p>
        </w:tc>
        <w:tc>
          <w:tcPr>
            <w:tcW w:w="3001" w:type="dxa"/>
            <w:gridSpan w:val="3"/>
            <w:tcBorders>
              <w:top w:val="single" w:sz="8" w:space="0" w:color="auto"/>
              <w:left w:val="nil"/>
              <w:bottom w:val="nil"/>
              <w:right w:val="single" w:sz="8" w:space="0" w:color="000000"/>
            </w:tcBorders>
            <w:shd w:val="clear" w:color="000000" w:fill="BFBFBF"/>
            <w:noWrap/>
            <w:vAlign w:val="bottom"/>
            <w:hideMark/>
          </w:tcPr>
          <w:p w14:paraId="1F971555" w14:textId="77777777" w:rsidR="00016C24" w:rsidRPr="00363FC5" w:rsidRDefault="00016C24" w:rsidP="00500FD5">
            <w:pPr>
              <w:jc w:val="center"/>
              <w:rPr>
                <w:rFonts w:ascii="Arial" w:hAnsi="Arial" w:cs="Arial"/>
                <w:b/>
                <w:bCs/>
                <w:color w:val="000000"/>
                <w:sz w:val="20"/>
                <w:szCs w:val="20"/>
                <w:lang w:val="en-US"/>
              </w:rPr>
            </w:pPr>
            <w:r w:rsidRPr="00363FC5">
              <w:rPr>
                <w:rFonts w:ascii="Arial" w:hAnsi="Arial" w:cs="Arial"/>
                <w:b/>
                <w:bCs/>
                <w:color w:val="000000"/>
                <w:sz w:val="20"/>
                <w:szCs w:val="20"/>
                <w:lang w:val="en-US"/>
              </w:rPr>
              <w:t>Variance*</w:t>
            </w:r>
          </w:p>
        </w:tc>
      </w:tr>
      <w:tr w:rsidR="00016C24" w:rsidRPr="00363FC5" w14:paraId="42CECADB" w14:textId="77777777" w:rsidTr="00500FD5">
        <w:trPr>
          <w:trHeight w:val="260"/>
        </w:trPr>
        <w:tc>
          <w:tcPr>
            <w:tcW w:w="2021" w:type="dxa"/>
            <w:tcBorders>
              <w:top w:val="nil"/>
              <w:left w:val="single" w:sz="8" w:space="0" w:color="auto"/>
              <w:bottom w:val="single" w:sz="4" w:space="0" w:color="auto"/>
              <w:right w:val="nil"/>
            </w:tcBorders>
            <w:shd w:val="clear" w:color="000000" w:fill="BFBFBF"/>
            <w:noWrap/>
            <w:vAlign w:val="bottom"/>
            <w:hideMark/>
          </w:tcPr>
          <w:p w14:paraId="4176CF6C" w14:textId="77777777" w:rsidR="00016C24" w:rsidRPr="00363FC5" w:rsidRDefault="00016C24" w:rsidP="00500FD5">
            <w:pPr>
              <w:rPr>
                <w:rFonts w:ascii="Arial" w:hAnsi="Arial" w:cs="Arial"/>
                <w:color w:val="000000"/>
                <w:sz w:val="20"/>
                <w:szCs w:val="20"/>
                <w:lang w:val="en-US"/>
              </w:rPr>
            </w:pPr>
            <w:r w:rsidRPr="00363FC5">
              <w:rPr>
                <w:rFonts w:ascii="Arial" w:hAnsi="Arial" w:cs="Arial"/>
                <w:color w:val="000000"/>
                <w:sz w:val="20"/>
                <w:szCs w:val="20"/>
                <w:lang w:val="en-US"/>
              </w:rPr>
              <w:t> </w:t>
            </w:r>
          </w:p>
        </w:tc>
        <w:tc>
          <w:tcPr>
            <w:tcW w:w="1085" w:type="dxa"/>
            <w:tcBorders>
              <w:top w:val="nil"/>
              <w:left w:val="single" w:sz="4" w:space="0" w:color="auto"/>
              <w:bottom w:val="single" w:sz="4" w:space="0" w:color="auto"/>
              <w:right w:val="nil"/>
            </w:tcBorders>
            <w:shd w:val="clear" w:color="000000" w:fill="BFBFBF"/>
            <w:noWrap/>
            <w:vAlign w:val="bottom"/>
            <w:hideMark/>
          </w:tcPr>
          <w:p w14:paraId="060043CC" w14:textId="77777777" w:rsidR="00016C24" w:rsidRPr="00363FC5" w:rsidRDefault="00016C24" w:rsidP="00500FD5">
            <w:pPr>
              <w:jc w:val="center"/>
              <w:rPr>
                <w:rFonts w:ascii="Arial" w:hAnsi="Arial" w:cs="Arial"/>
                <w:b/>
                <w:bCs/>
                <w:color w:val="000000"/>
                <w:sz w:val="20"/>
                <w:szCs w:val="20"/>
                <w:lang w:val="en-US"/>
              </w:rPr>
            </w:pPr>
            <w:r w:rsidRPr="00363FC5">
              <w:rPr>
                <w:rFonts w:ascii="Arial" w:hAnsi="Arial" w:cs="Arial"/>
                <w:b/>
                <w:bCs/>
                <w:color w:val="000000"/>
                <w:sz w:val="20"/>
                <w:szCs w:val="20"/>
                <w:lang w:val="en-US"/>
              </w:rPr>
              <w:t>Exp</w:t>
            </w:r>
          </w:p>
        </w:tc>
        <w:tc>
          <w:tcPr>
            <w:tcW w:w="1182" w:type="dxa"/>
            <w:tcBorders>
              <w:top w:val="nil"/>
              <w:left w:val="nil"/>
              <w:bottom w:val="single" w:sz="4" w:space="0" w:color="auto"/>
              <w:right w:val="nil"/>
            </w:tcBorders>
            <w:shd w:val="clear" w:color="000000" w:fill="BFBFBF"/>
            <w:noWrap/>
            <w:vAlign w:val="bottom"/>
            <w:hideMark/>
          </w:tcPr>
          <w:p w14:paraId="5335A041" w14:textId="77777777" w:rsidR="00016C24" w:rsidRPr="00363FC5" w:rsidRDefault="00016C24" w:rsidP="00500FD5">
            <w:pPr>
              <w:jc w:val="center"/>
              <w:rPr>
                <w:rFonts w:ascii="Arial" w:hAnsi="Arial" w:cs="Arial"/>
                <w:b/>
                <w:bCs/>
                <w:color w:val="000000"/>
                <w:sz w:val="20"/>
                <w:szCs w:val="20"/>
                <w:lang w:val="en-US"/>
              </w:rPr>
            </w:pPr>
            <w:r w:rsidRPr="00363FC5">
              <w:rPr>
                <w:rFonts w:ascii="Arial" w:hAnsi="Arial" w:cs="Arial"/>
                <w:b/>
                <w:bCs/>
                <w:color w:val="000000"/>
                <w:sz w:val="20"/>
                <w:szCs w:val="20"/>
                <w:lang w:val="en-US"/>
              </w:rPr>
              <w:t xml:space="preserve">Income </w:t>
            </w:r>
          </w:p>
        </w:tc>
        <w:tc>
          <w:tcPr>
            <w:tcW w:w="732" w:type="dxa"/>
            <w:tcBorders>
              <w:top w:val="nil"/>
              <w:left w:val="nil"/>
              <w:bottom w:val="single" w:sz="4" w:space="0" w:color="auto"/>
              <w:right w:val="single" w:sz="4" w:space="0" w:color="auto"/>
            </w:tcBorders>
            <w:shd w:val="clear" w:color="000000" w:fill="BFBFBF"/>
            <w:noWrap/>
            <w:vAlign w:val="bottom"/>
            <w:hideMark/>
          </w:tcPr>
          <w:p w14:paraId="4B51D1D4" w14:textId="77777777" w:rsidR="00016C24" w:rsidRPr="00363FC5" w:rsidRDefault="00016C24" w:rsidP="00500FD5">
            <w:pPr>
              <w:jc w:val="center"/>
              <w:rPr>
                <w:rFonts w:ascii="Arial" w:hAnsi="Arial" w:cs="Arial"/>
                <w:b/>
                <w:bCs/>
                <w:color w:val="000000"/>
                <w:sz w:val="20"/>
                <w:szCs w:val="20"/>
                <w:lang w:val="en-US"/>
              </w:rPr>
            </w:pPr>
            <w:r w:rsidRPr="00363FC5">
              <w:rPr>
                <w:rFonts w:ascii="Arial" w:hAnsi="Arial" w:cs="Arial"/>
                <w:b/>
                <w:bCs/>
                <w:color w:val="000000"/>
                <w:sz w:val="20"/>
                <w:szCs w:val="20"/>
                <w:lang w:val="en-US"/>
              </w:rPr>
              <w:t>Total</w:t>
            </w:r>
          </w:p>
        </w:tc>
        <w:tc>
          <w:tcPr>
            <w:tcW w:w="990" w:type="dxa"/>
            <w:tcBorders>
              <w:top w:val="nil"/>
              <w:left w:val="nil"/>
              <w:bottom w:val="single" w:sz="4" w:space="0" w:color="auto"/>
              <w:right w:val="nil"/>
            </w:tcBorders>
            <w:shd w:val="clear" w:color="000000" w:fill="BFBFBF"/>
            <w:noWrap/>
            <w:vAlign w:val="bottom"/>
            <w:hideMark/>
          </w:tcPr>
          <w:p w14:paraId="1CEB814B" w14:textId="77777777" w:rsidR="00016C24" w:rsidRPr="00363FC5" w:rsidRDefault="00016C24" w:rsidP="00500FD5">
            <w:pPr>
              <w:jc w:val="center"/>
              <w:rPr>
                <w:rFonts w:ascii="Arial" w:hAnsi="Arial" w:cs="Arial"/>
                <w:b/>
                <w:bCs/>
                <w:color w:val="000000"/>
                <w:sz w:val="20"/>
                <w:szCs w:val="20"/>
                <w:lang w:val="en-US"/>
              </w:rPr>
            </w:pPr>
            <w:r w:rsidRPr="00363FC5">
              <w:rPr>
                <w:rFonts w:ascii="Arial" w:hAnsi="Arial" w:cs="Arial"/>
                <w:b/>
                <w:bCs/>
                <w:color w:val="000000"/>
                <w:sz w:val="20"/>
                <w:szCs w:val="20"/>
                <w:lang w:val="en-US"/>
              </w:rPr>
              <w:t>Exp</w:t>
            </w:r>
          </w:p>
        </w:tc>
        <w:tc>
          <w:tcPr>
            <w:tcW w:w="1078" w:type="dxa"/>
            <w:tcBorders>
              <w:top w:val="nil"/>
              <w:left w:val="nil"/>
              <w:bottom w:val="single" w:sz="4" w:space="0" w:color="auto"/>
              <w:right w:val="nil"/>
            </w:tcBorders>
            <w:shd w:val="clear" w:color="000000" w:fill="BFBFBF"/>
            <w:noWrap/>
            <w:vAlign w:val="bottom"/>
            <w:hideMark/>
          </w:tcPr>
          <w:p w14:paraId="11CBD478" w14:textId="77777777" w:rsidR="00016C24" w:rsidRPr="00363FC5" w:rsidRDefault="00016C24" w:rsidP="00500FD5">
            <w:pPr>
              <w:jc w:val="center"/>
              <w:rPr>
                <w:rFonts w:ascii="Arial" w:hAnsi="Arial" w:cs="Arial"/>
                <w:b/>
                <w:bCs/>
                <w:color w:val="000000"/>
                <w:sz w:val="20"/>
                <w:szCs w:val="20"/>
                <w:lang w:val="en-US"/>
              </w:rPr>
            </w:pPr>
            <w:r w:rsidRPr="00363FC5">
              <w:rPr>
                <w:rFonts w:ascii="Arial" w:hAnsi="Arial" w:cs="Arial"/>
                <w:b/>
                <w:bCs/>
                <w:color w:val="000000"/>
                <w:sz w:val="20"/>
                <w:szCs w:val="20"/>
                <w:lang w:val="en-US"/>
              </w:rPr>
              <w:t xml:space="preserve">Income </w:t>
            </w:r>
          </w:p>
        </w:tc>
        <w:tc>
          <w:tcPr>
            <w:tcW w:w="932" w:type="dxa"/>
            <w:tcBorders>
              <w:top w:val="nil"/>
              <w:left w:val="nil"/>
              <w:bottom w:val="single" w:sz="4" w:space="0" w:color="auto"/>
              <w:right w:val="single" w:sz="4" w:space="0" w:color="auto"/>
            </w:tcBorders>
            <w:shd w:val="clear" w:color="000000" w:fill="BFBFBF"/>
            <w:noWrap/>
            <w:vAlign w:val="bottom"/>
            <w:hideMark/>
          </w:tcPr>
          <w:p w14:paraId="53A2B83D" w14:textId="77777777" w:rsidR="00016C24" w:rsidRPr="00363FC5" w:rsidRDefault="00016C24" w:rsidP="00500FD5">
            <w:pPr>
              <w:jc w:val="center"/>
              <w:rPr>
                <w:rFonts w:ascii="Arial" w:hAnsi="Arial" w:cs="Arial"/>
                <w:b/>
                <w:bCs/>
                <w:color w:val="000000"/>
                <w:sz w:val="20"/>
                <w:szCs w:val="20"/>
                <w:lang w:val="en-US"/>
              </w:rPr>
            </w:pPr>
            <w:r w:rsidRPr="00363FC5">
              <w:rPr>
                <w:rFonts w:ascii="Arial" w:hAnsi="Arial" w:cs="Arial"/>
                <w:b/>
                <w:bCs/>
                <w:color w:val="000000"/>
                <w:sz w:val="20"/>
                <w:szCs w:val="20"/>
                <w:lang w:val="en-US"/>
              </w:rPr>
              <w:t>Total</w:t>
            </w:r>
          </w:p>
        </w:tc>
        <w:tc>
          <w:tcPr>
            <w:tcW w:w="990" w:type="dxa"/>
            <w:tcBorders>
              <w:top w:val="nil"/>
              <w:left w:val="nil"/>
              <w:bottom w:val="single" w:sz="4" w:space="0" w:color="auto"/>
              <w:right w:val="nil"/>
            </w:tcBorders>
            <w:shd w:val="clear" w:color="000000" w:fill="BFBFBF"/>
            <w:noWrap/>
            <w:vAlign w:val="bottom"/>
            <w:hideMark/>
          </w:tcPr>
          <w:p w14:paraId="2482E24A" w14:textId="77777777" w:rsidR="00016C24" w:rsidRPr="00363FC5" w:rsidRDefault="00016C24" w:rsidP="00500FD5">
            <w:pPr>
              <w:jc w:val="center"/>
              <w:rPr>
                <w:rFonts w:ascii="Arial" w:hAnsi="Arial" w:cs="Arial"/>
                <w:b/>
                <w:bCs/>
                <w:color w:val="000000"/>
                <w:sz w:val="20"/>
                <w:szCs w:val="20"/>
                <w:lang w:val="en-US"/>
              </w:rPr>
            </w:pPr>
            <w:r w:rsidRPr="00363FC5">
              <w:rPr>
                <w:rFonts w:ascii="Arial" w:hAnsi="Arial" w:cs="Arial"/>
                <w:b/>
                <w:bCs/>
                <w:color w:val="000000"/>
                <w:sz w:val="20"/>
                <w:szCs w:val="20"/>
                <w:lang w:val="en-US"/>
              </w:rPr>
              <w:t>Exp</w:t>
            </w:r>
          </w:p>
        </w:tc>
        <w:tc>
          <w:tcPr>
            <w:tcW w:w="1021" w:type="dxa"/>
            <w:tcBorders>
              <w:top w:val="nil"/>
              <w:left w:val="nil"/>
              <w:bottom w:val="single" w:sz="4" w:space="0" w:color="auto"/>
              <w:right w:val="nil"/>
            </w:tcBorders>
            <w:shd w:val="clear" w:color="000000" w:fill="BFBFBF"/>
            <w:noWrap/>
            <w:vAlign w:val="bottom"/>
            <w:hideMark/>
          </w:tcPr>
          <w:p w14:paraId="4C2FFA76" w14:textId="77777777" w:rsidR="00016C24" w:rsidRPr="00363FC5" w:rsidRDefault="00016C24" w:rsidP="00500FD5">
            <w:pPr>
              <w:jc w:val="center"/>
              <w:rPr>
                <w:rFonts w:ascii="Arial" w:hAnsi="Arial" w:cs="Arial"/>
                <w:b/>
                <w:bCs/>
                <w:color w:val="000000"/>
                <w:sz w:val="20"/>
                <w:szCs w:val="20"/>
                <w:lang w:val="en-US"/>
              </w:rPr>
            </w:pPr>
            <w:r w:rsidRPr="00363FC5">
              <w:rPr>
                <w:rFonts w:ascii="Arial" w:hAnsi="Arial" w:cs="Arial"/>
                <w:b/>
                <w:bCs/>
                <w:color w:val="000000"/>
                <w:sz w:val="20"/>
                <w:szCs w:val="20"/>
                <w:lang w:val="en-US"/>
              </w:rPr>
              <w:t xml:space="preserve">Income </w:t>
            </w:r>
          </w:p>
        </w:tc>
        <w:tc>
          <w:tcPr>
            <w:tcW w:w="990" w:type="dxa"/>
            <w:tcBorders>
              <w:top w:val="nil"/>
              <w:left w:val="nil"/>
              <w:bottom w:val="single" w:sz="4" w:space="0" w:color="auto"/>
              <w:right w:val="single" w:sz="8" w:space="0" w:color="auto"/>
            </w:tcBorders>
            <w:shd w:val="clear" w:color="000000" w:fill="BFBFBF"/>
            <w:noWrap/>
            <w:vAlign w:val="bottom"/>
            <w:hideMark/>
          </w:tcPr>
          <w:p w14:paraId="67A868F1" w14:textId="77777777" w:rsidR="00016C24" w:rsidRPr="00363FC5" w:rsidRDefault="00016C24" w:rsidP="00500FD5">
            <w:pPr>
              <w:jc w:val="center"/>
              <w:rPr>
                <w:rFonts w:ascii="Arial" w:hAnsi="Arial" w:cs="Arial"/>
                <w:b/>
                <w:bCs/>
                <w:color w:val="000000"/>
                <w:sz w:val="20"/>
                <w:szCs w:val="20"/>
                <w:lang w:val="en-US"/>
              </w:rPr>
            </w:pPr>
            <w:r w:rsidRPr="00363FC5">
              <w:rPr>
                <w:rFonts w:ascii="Arial" w:hAnsi="Arial" w:cs="Arial"/>
                <w:b/>
                <w:bCs/>
                <w:color w:val="000000"/>
                <w:sz w:val="20"/>
                <w:szCs w:val="20"/>
                <w:lang w:val="en-US"/>
              </w:rPr>
              <w:t>Total</w:t>
            </w:r>
          </w:p>
        </w:tc>
      </w:tr>
      <w:tr w:rsidR="00016C24" w:rsidRPr="00363FC5" w14:paraId="7F8E8258" w14:textId="77777777" w:rsidTr="00500FD5">
        <w:trPr>
          <w:trHeight w:val="250"/>
        </w:trPr>
        <w:tc>
          <w:tcPr>
            <w:tcW w:w="2021" w:type="dxa"/>
            <w:tcBorders>
              <w:top w:val="nil"/>
              <w:left w:val="single" w:sz="8" w:space="0" w:color="auto"/>
              <w:bottom w:val="nil"/>
              <w:right w:val="nil"/>
            </w:tcBorders>
            <w:shd w:val="clear" w:color="auto" w:fill="auto"/>
            <w:noWrap/>
            <w:vAlign w:val="bottom"/>
            <w:hideMark/>
          </w:tcPr>
          <w:p w14:paraId="1248FD37" w14:textId="77777777" w:rsidR="00016C24" w:rsidRPr="00363FC5" w:rsidRDefault="00016C24" w:rsidP="00500FD5">
            <w:pPr>
              <w:rPr>
                <w:rFonts w:ascii="Arial" w:hAnsi="Arial" w:cs="Arial"/>
                <w:color w:val="000000"/>
                <w:sz w:val="20"/>
                <w:szCs w:val="20"/>
                <w:lang w:val="en-US"/>
              </w:rPr>
            </w:pPr>
            <w:r w:rsidRPr="00363FC5">
              <w:rPr>
                <w:rFonts w:ascii="Arial" w:hAnsi="Arial" w:cs="Arial"/>
                <w:color w:val="000000"/>
                <w:sz w:val="20"/>
                <w:szCs w:val="20"/>
                <w:lang w:val="en-US"/>
              </w:rPr>
              <w:t> </w:t>
            </w:r>
          </w:p>
        </w:tc>
        <w:tc>
          <w:tcPr>
            <w:tcW w:w="1085" w:type="dxa"/>
            <w:tcBorders>
              <w:top w:val="nil"/>
              <w:left w:val="single" w:sz="4" w:space="0" w:color="auto"/>
              <w:bottom w:val="nil"/>
              <w:right w:val="nil"/>
            </w:tcBorders>
            <w:shd w:val="clear" w:color="auto" w:fill="auto"/>
            <w:noWrap/>
            <w:vAlign w:val="bottom"/>
            <w:hideMark/>
          </w:tcPr>
          <w:p w14:paraId="1526EFAA" w14:textId="77777777" w:rsidR="00016C24" w:rsidRPr="00363FC5" w:rsidRDefault="00016C24" w:rsidP="00500FD5">
            <w:pPr>
              <w:jc w:val="center"/>
              <w:rPr>
                <w:rFonts w:ascii="Arial" w:hAnsi="Arial" w:cs="Arial"/>
                <w:color w:val="000000"/>
                <w:sz w:val="20"/>
                <w:szCs w:val="20"/>
                <w:lang w:val="en-US"/>
              </w:rPr>
            </w:pPr>
            <w:r w:rsidRPr="00363FC5">
              <w:rPr>
                <w:rFonts w:ascii="Arial" w:hAnsi="Arial" w:cs="Arial"/>
                <w:color w:val="000000"/>
                <w:sz w:val="20"/>
                <w:szCs w:val="20"/>
                <w:lang w:val="en-US"/>
              </w:rPr>
              <w:t>£000</w:t>
            </w:r>
          </w:p>
        </w:tc>
        <w:tc>
          <w:tcPr>
            <w:tcW w:w="1182" w:type="dxa"/>
            <w:tcBorders>
              <w:top w:val="nil"/>
              <w:left w:val="nil"/>
              <w:bottom w:val="nil"/>
              <w:right w:val="nil"/>
            </w:tcBorders>
            <w:shd w:val="clear" w:color="auto" w:fill="auto"/>
            <w:noWrap/>
            <w:vAlign w:val="bottom"/>
            <w:hideMark/>
          </w:tcPr>
          <w:p w14:paraId="11C50794" w14:textId="77777777" w:rsidR="00016C24" w:rsidRPr="00363FC5" w:rsidRDefault="00016C24" w:rsidP="00500FD5">
            <w:pPr>
              <w:jc w:val="center"/>
              <w:rPr>
                <w:rFonts w:ascii="Arial" w:hAnsi="Arial" w:cs="Arial"/>
                <w:color w:val="000000"/>
                <w:sz w:val="20"/>
                <w:szCs w:val="20"/>
                <w:lang w:val="en-US"/>
              </w:rPr>
            </w:pPr>
            <w:r w:rsidRPr="00363FC5">
              <w:rPr>
                <w:rFonts w:ascii="Arial" w:hAnsi="Arial" w:cs="Arial"/>
                <w:color w:val="000000"/>
                <w:sz w:val="20"/>
                <w:szCs w:val="20"/>
                <w:lang w:val="en-US"/>
              </w:rPr>
              <w:t>£000</w:t>
            </w:r>
          </w:p>
        </w:tc>
        <w:tc>
          <w:tcPr>
            <w:tcW w:w="732" w:type="dxa"/>
            <w:tcBorders>
              <w:top w:val="nil"/>
              <w:left w:val="nil"/>
              <w:bottom w:val="nil"/>
              <w:right w:val="single" w:sz="4" w:space="0" w:color="auto"/>
            </w:tcBorders>
            <w:shd w:val="clear" w:color="auto" w:fill="auto"/>
            <w:noWrap/>
            <w:vAlign w:val="bottom"/>
            <w:hideMark/>
          </w:tcPr>
          <w:p w14:paraId="4EC082CB" w14:textId="77777777" w:rsidR="00016C24" w:rsidRPr="00363FC5" w:rsidRDefault="00016C24" w:rsidP="00500FD5">
            <w:pPr>
              <w:jc w:val="center"/>
              <w:rPr>
                <w:rFonts w:ascii="Arial" w:hAnsi="Arial" w:cs="Arial"/>
                <w:color w:val="000000"/>
                <w:sz w:val="20"/>
                <w:szCs w:val="20"/>
                <w:lang w:val="en-US"/>
              </w:rPr>
            </w:pPr>
            <w:r w:rsidRPr="00363FC5">
              <w:rPr>
                <w:rFonts w:ascii="Arial" w:hAnsi="Arial" w:cs="Arial"/>
                <w:color w:val="000000"/>
                <w:sz w:val="20"/>
                <w:szCs w:val="20"/>
                <w:lang w:val="en-US"/>
              </w:rPr>
              <w:t>£000</w:t>
            </w:r>
          </w:p>
        </w:tc>
        <w:tc>
          <w:tcPr>
            <w:tcW w:w="990" w:type="dxa"/>
            <w:tcBorders>
              <w:top w:val="nil"/>
              <w:left w:val="nil"/>
              <w:bottom w:val="nil"/>
              <w:right w:val="nil"/>
            </w:tcBorders>
            <w:shd w:val="clear" w:color="auto" w:fill="auto"/>
            <w:noWrap/>
            <w:vAlign w:val="bottom"/>
            <w:hideMark/>
          </w:tcPr>
          <w:p w14:paraId="4A669145" w14:textId="77777777" w:rsidR="00016C24" w:rsidRPr="00363FC5" w:rsidRDefault="00016C24" w:rsidP="00500FD5">
            <w:pPr>
              <w:jc w:val="center"/>
              <w:rPr>
                <w:rFonts w:ascii="Arial" w:hAnsi="Arial" w:cs="Arial"/>
                <w:color w:val="000000"/>
                <w:sz w:val="20"/>
                <w:szCs w:val="20"/>
                <w:lang w:val="en-US"/>
              </w:rPr>
            </w:pPr>
            <w:r w:rsidRPr="00363FC5">
              <w:rPr>
                <w:rFonts w:ascii="Arial" w:hAnsi="Arial" w:cs="Arial"/>
                <w:color w:val="000000"/>
                <w:sz w:val="20"/>
                <w:szCs w:val="20"/>
                <w:lang w:val="en-US"/>
              </w:rPr>
              <w:t>£000</w:t>
            </w:r>
          </w:p>
        </w:tc>
        <w:tc>
          <w:tcPr>
            <w:tcW w:w="1078" w:type="dxa"/>
            <w:tcBorders>
              <w:top w:val="nil"/>
              <w:left w:val="nil"/>
              <w:bottom w:val="nil"/>
              <w:right w:val="nil"/>
            </w:tcBorders>
            <w:shd w:val="clear" w:color="auto" w:fill="auto"/>
            <w:noWrap/>
            <w:vAlign w:val="bottom"/>
            <w:hideMark/>
          </w:tcPr>
          <w:p w14:paraId="5BDFD0A4" w14:textId="77777777" w:rsidR="00016C24" w:rsidRPr="00363FC5" w:rsidRDefault="00016C24" w:rsidP="00500FD5">
            <w:pPr>
              <w:jc w:val="center"/>
              <w:rPr>
                <w:rFonts w:ascii="Arial" w:hAnsi="Arial" w:cs="Arial"/>
                <w:color w:val="000000"/>
                <w:sz w:val="20"/>
                <w:szCs w:val="20"/>
                <w:lang w:val="en-US"/>
              </w:rPr>
            </w:pPr>
            <w:r w:rsidRPr="00363FC5">
              <w:rPr>
                <w:rFonts w:ascii="Arial" w:hAnsi="Arial" w:cs="Arial"/>
                <w:color w:val="000000"/>
                <w:sz w:val="20"/>
                <w:szCs w:val="20"/>
                <w:lang w:val="en-US"/>
              </w:rPr>
              <w:t>£000</w:t>
            </w:r>
          </w:p>
        </w:tc>
        <w:tc>
          <w:tcPr>
            <w:tcW w:w="932" w:type="dxa"/>
            <w:tcBorders>
              <w:top w:val="nil"/>
              <w:left w:val="nil"/>
              <w:bottom w:val="nil"/>
              <w:right w:val="single" w:sz="4" w:space="0" w:color="auto"/>
            </w:tcBorders>
            <w:shd w:val="clear" w:color="auto" w:fill="auto"/>
            <w:noWrap/>
            <w:vAlign w:val="bottom"/>
            <w:hideMark/>
          </w:tcPr>
          <w:p w14:paraId="345415D8" w14:textId="77777777" w:rsidR="00016C24" w:rsidRPr="00363FC5" w:rsidRDefault="00016C24" w:rsidP="00500FD5">
            <w:pPr>
              <w:jc w:val="center"/>
              <w:rPr>
                <w:rFonts w:ascii="Arial" w:hAnsi="Arial" w:cs="Arial"/>
                <w:color w:val="000000"/>
                <w:sz w:val="20"/>
                <w:szCs w:val="20"/>
                <w:lang w:val="en-US"/>
              </w:rPr>
            </w:pPr>
            <w:r w:rsidRPr="00363FC5">
              <w:rPr>
                <w:rFonts w:ascii="Arial" w:hAnsi="Arial" w:cs="Arial"/>
                <w:color w:val="000000"/>
                <w:sz w:val="20"/>
                <w:szCs w:val="20"/>
                <w:lang w:val="en-US"/>
              </w:rPr>
              <w:t>£000</w:t>
            </w:r>
          </w:p>
        </w:tc>
        <w:tc>
          <w:tcPr>
            <w:tcW w:w="990" w:type="dxa"/>
            <w:tcBorders>
              <w:top w:val="nil"/>
              <w:left w:val="nil"/>
              <w:bottom w:val="nil"/>
              <w:right w:val="nil"/>
            </w:tcBorders>
            <w:shd w:val="clear" w:color="auto" w:fill="auto"/>
            <w:noWrap/>
            <w:vAlign w:val="bottom"/>
            <w:hideMark/>
          </w:tcPr>
          <w:p w14:paraId="18D6D963" w14:textId="77777777" w:rsidR="00016C24" w:rsidRPr="00363FC5" w:rsidRDefault="00016C24" w:rsidP="00500FD5">
            <w:pPr>
              <w:jc w:val="center"/>
              <w:rPr>
                <w:rFonts w:ascii="Arial" w:hAnsi="Arial" w:cs="Arial"/>
                <w:color w:val="000000"/>
                <w:sz w:val="20"/>
                <w:szCs w:val="20"/>
                <w:lang w:val="en-US"/>
              </w:rPr>
            </w:pPr>
            <w:r w:rsidRPr="00363FC5">
              <w:rPr>
                <w:rFonts w:ascii="Arial" w:hAnsi="Arial" w:cs="Arial"/>
                <w:color w:val="000000"/>
                <w:sz w:val="20"/>
                <w:szCs w:val="20"/>
                <w:lang w:val="en-US"/>
              </w:rPr>
              <w:t>£000</w:t>
            </w:r>
          </w:p>
        </w:tc>
        <w:tc>
          <w:tcPr>
            <w:tcW w:w="1021" w:type="dxa"/>
            <w:tcBorders>
              <w:top w:val="nil"/>
              <w:left w:val="nil"/>
              <w:bottom w:val="nil"/>
              <w:right w:val="nil"/>
            </w:tcBorders>
            <w:shd w:val="clear" w:color="auto" w:fill="auto"/>
            <w:noWrap/>
            <w:vAlign w:val="bottom"/>
            <w:hideMark/>
          </w:tcPr>
          <w:p w14:paraId="055E5D3F" w14:textId="77777777" w:rsidR="00016C24" w:rsidRPr="00363FC5" w:rsidRDefault="00016C24" w:rsidP="00500FD5">
            <w:pPr>
              <w:jc w:val="center"/>
              <w:rPr>
                <w:rFonts w:ascii="Arial" w:hAnsi="Arial" w:cs="Arial"/>
                <w:color w:val="000000"/>
                <w:sz w:val="20"/>
                <w:szCs w:val="20"/>
                <w:lang w:val="en-US"/>
              </w:rPr>
            </w:pPr>
            <w:r w:rsidRPr="00363FC5">
              <w:rPr>
                <w:rFonts w:ascii="Arial" w:hAnsi="Arial" w:cs="Arial"/>
                <w:color w:val="000000"/>
                <w:sz w:val="20"/>
                <w:szCs w:val="20"/>
                <w:lang w:val="en-US"/>
              </w:rPr>
              <w:t>£000</w:t>
            </w:r>
          </w:p>
        </w:tc>
        <w:tc>
          <w:tcPr>
            <w:tcW w:w="990" w:type="dxa"/>
            <w:tcBorders>
              <w:top w:val="nil"/>
              <w:left w:val="nil"/>
              <w:bottom w:val="nil"/>
              <w:right w:val="single" w:sz="8" w:space="0" w:color="auto"/>
            </w:tcBorders>
            <w:shd w:val="clear" w:color="auto" w:fill="auto"/>
            <w:noWrap/>
            <w:vAlign w:val="bottom"/>
            <w:hideMark/>
          </w:tcPr>
          <w:p w14:paraId="102BE8CC" w14:textId="77777777" w:rsidR="00016C24" w:rsidRPr="00363FC5" w:rsidRDefault="00016C24" w:rsidP="00500FD5">
            <w:pPr>
              <w:jc w:val="center"/>
              <w:rPr>
                <w:rFonts w:ascii="Arial" w:hAnsi="Arial" w:cs="Arial"/>
                <w:color w:val="000000"/>
                <w:sz w:val="20"/>
                <w:szCs w:val="20"/>
                <w:lang w:val="en-US"/>
              </w:rPr>
            </w:pPr>
            <w:r w:rsidRPr="00363FC5">
              <w:rPr>
                <w:rFonts w:ascii="Arial" w:hAnsi="Arial" w:cs="Arial"/>
                <w:color w:val="000000"/>
                <w:sz w:val="20"/>
                <w:szCs w:val="20"/>
                <w:lang w:val="en-US"/>
              </w:rPr>
              <w:t>£000</w:t>
            </w:r>
          </w:p>
        </w:tc>
      </w:tr>
      <w:tr w:rsidR="00016C24" w:rsidRPr="00363FC5" w14:paraId="6597F6CC" w14:textId="77777777" w:rsidTr="00500FD5">
        <w:trPr>
          <w:trHeight w:val="250"/>
        </w:trPr>
        <w:tc>
          <w:tcPr>
            <w:tcW w:w="2021" w:type="dxa"/>
            <w:tcBorders>
              <w:top w:val="nil"/>
              <w:left w:val="single" w:sz="8" w:space="0" w:color="auto"/>
              <w:bottom w:val="nil"/>
              <w:right w:val="nil"/>
            </w:tcBorders>
            <w:shd w:val="clear" w:color="auto" w:fill="auto"/>
            <w:noWrap/>
            <w:vAlign w:val="bottom"/>
            <w:hideMark/>
          </w:tcPr>
          <w:p w14:paraId="192B5891" w14:textId="77777777" w:rsidR="00016C24" w:rsidRPr="00363FC5" w:rsidRDefault="00016C24" w:rsidP="00500FD5">
            <w:pPr>
              <w:rPr>
                <w:rFonts w:ascii="Arial" w:hAnsi="Arial" w:cs="Arial"/>
                <w:color w:val="000000"/>
                <w:sz w:val="20"/>
                <w:szCs w:val="20"/>
                <w:lang w:val="en-US"/>
              </w:rPr>
            </w:pPr>
            <w:r w:rsidRPr="00363FC5">
              <w:rPr>
                <w:rFonts w:ascii="Arial" w:hAnsi="Arial" w:cs="Arial"/>
                <w:color w:val="000000"/>
                <w:sz w:val="20"/>
                <w:szCs w:val="20"/>
                <w:lang w:val="en-US"/>
              </w:rPr>
              <w:t>GMCA General</w:t>
            </w:r>
          </w:p>
        </w:tc>
        <w:tc>
          <w:tcPr>
            <w:tcW w:w="1085" w:type="dxa"/>
            <w:tcBorders>
              <w:top w:val="nil"/>
              <w:left w:val="single" w:sz="4" w:space="0" w:color="auto"/>
              <w:bottom w:val="nil"/>
              <w:right w:val="nil"/>
            </w:tcBorders>
            <w:shd w:val="clear" w:color="auto" w:fill="auto"/>
            <w:noWrap/>
            <w:vAlign w:val="bottom"/>
            <w:hideMark/>
          </w:tcPr>
          <w:p w14:paraId="2EF16A0D" w14:textId="77777777" w:rsidR="00016C24" w:rsidRPr="00363FC5" w:rsidRDefault="00016C24" w:rsidP="00500FD5">
            <w:pPr>
              <w:jc w:val="right"/>
              <w:rPr>
                <w:rFonts w:ascii="Arial" w:hAnsi="Arial" w:cs="Arial"/>
                <w:color w:val="000000"/>
                <w:sz w:val="20"/>
                <w:szCs w:val="20"/>
                <w:lang w:val="en-US"/>
              </w:rPr>
            </w:pPr>
            <w:r w:rsidRPr="00363FC5">
              <w:rPr>
                <w:rFonts w:ascii="Arial" w:hAnsi="Arial" w:cs="Arial"/>
                <w:color w:val="000000"/>
                <w:sz w:val="20"/>
                <w:szCs w:val="20"/>
                <w:lang w:val="en-US"/>
              </w:rPr>
              <w:t>259,765</w:t>
            </w:r>
          </w:p>
        </w:tc>
        <w:tc>
          <w:tcPr>
            <w:tcW w:w="1182" w:type="dxa"/>
            <w:tcBorders>
              <w:top w:val="nil"/>
              <w:left w:val="nil"/>
              <w:bottom w:val="nil"/>
              <w:right w:val="nil"/>
            </w:tcBorders>
            <w:shd w:val="clear" w:color="auto" w:fill="auto"/>
            <w:noWrap/>
            <w:vAlign w:val="bottom"/>
            <w:hideMark/>
          </w:tcPr>
          <w:p w14:paraId="7E7E311D" w14:textId="176E95AB" w:rsidR="00016C24" w:rsidRPr="00363FC5" w:rsidRDefault="00C67457" w:rsidP="00500FD5">
            <w:pPr>
              <w:jc w:val="right"/>
              <w:rPr>
                <w:rFonts w:ascii="Arial" w:hAnsi="Arial" w:cs="Arial"/>
                <w:color w:val="000000"/>
                <w:sz w:val="20"/>
                <w:szCs w:val="20"/>
                <w:lang w:val="en-US"/>
              </w:rPr>
            </w:pPr>
            <w:r>
              <w:rPr>
                <w:rFonts w:ascii="Arial" w:hAnsi="Arial" w:cs="Arial"/>
                <w:color w:val="000000"/>
                <w:sz w:val="20"/>
                <w:szCs w:val="20"/>
                <w:lang w:val="en-US"/>
              </w:rPr>
              <w:t>(</w:t>
            </w:r>
            <w:r w:rsidR="00016C24" w:rsidRPr="00363FC5">
              <w:rPr>
                <w:rFonts w:ascii="Arial" w:hAnsi="Arial" w:cs="Arial"/>
                <w:color w:val="000000"/>
                <w:sz w:val="20"/>
                <w:szCs w:val="20"/>
                <w:lang w:val="en-US"/>
              </w:rPr>
              <w:t>259,765</w:t>
            </w:r>
            <w:r>
              <w:rPr>
                <w:rFonts w:ascii="Arial" w:hAnsi="Arial" w:cs="Arial"/>
                <w:color w:val="000000"/>
                <w:sz w:val="20"/>
                <w:szCs w:val="20"/>
                <w:lang w:val="en-US"/>
              </w:rPr>
              <w:t>)</w:t>
            </w:r>
          </w:p>
        </w:tc>
        <w:tc>
          <w:tcPr>
            <w:tcW w:w="732" w:type="dxa"/>
            <w:tcBorders>
              <w:top w:val="nil"/>
              <w:left w:val="nil"/>
              <w:bottom w:val="nil"/>
              <w:right w:val="single" w:sz="4" w:space="0" w:color="auto"/>
            </w:tcBorders>
            <w:shd w:val="clear" w:color="auto" w:fill="auto"/>
            <w:noWrap/>
            <w:vAlign w:val="bottom"/>
            <w:hideMark/>
          </w:tcPr>
          <w:p w14:paraId="4A2F0ECF" w14:textId="77777777" w:rsidR="00016C24" w:rsidRPr="00363FC5" w:rsidRDefault="00016C24" w:rsidP="00500FD5">
            <w:pPr>
              <w:jc w:val="right"/>
              <w:rPr>
                <w:rFonts w:ascii="Arial" w:hAnsi="Arial" w:cs="Arial"/>
                <w:color w:val="000000"/>
                <w:sz w:val="20"/>
                <w:szCs w:val="20"/>
                <w:lang w:val="en-US"/>
              </w:rPr>
            </w:pPr>
            <w:r w:rsidRPr="00363FC5">
              <w:rPr>
                <w:rFonts w:ascii="Arial" w:hAnsi="Arial" w:cs="Arial"/>
                <w:color w:val="000000"/>
                <w:sz w:val="20"/>
                <w:szCs w:val="20"/>
                <w:lang w:val="en-US"/>
              </w:rPr>
              <w:t>0</w:t>
            </w:r>
          </w:p>
        </w:tc>
        <w:tc>
          <w:tcPr>
            <w:tcW w:w="990" w:type="dxa"/>
            <w:tcBorders>
              <w:top w:val="nil"/>
              <w:left w:val="nil"/>
              <w:bottom w:val="nil"/>
              <w:right w:val="nil"/>
            </w:tcBorders>
            <w:shd w:val="clear" w:color="auto" w:fill="auto"/>
            <w:noWrap/>
            <w:vAlign w:val="bottom"/>
            <w:hideMark/>
          </w:tcPr>
          <w:p w14:paraId="0A57FCFC" w14:textId="77777777" w:rsidR="00016C24" w:rsidRPr="00363FC5" w:rsidRDefault="00016C24" w:rsidP="00500FD5">
            <w:pPr>
              <w:jc w:val="right"/>
              <w:rPr>
                <w:rFonts w:ascii="Arial" w:hAnsi="Arial" w:cs="Arial"/>
                <w:color w:val="000000"/>
                <w:sz w:val="20"/>
                <w:szCs w:val="20"/>
                <w:lang w:val="en-US"/>
              </w:rPr>
            </w:pPr>
            <w:r w:rsidRPr="00363FC5">
              <w:rPr>
                <w:rFonts w:ascii="Arial" w:hAnsi="Arial" w:cs="Arial"/>
                <w:color w:val="000000"/>
                <w:sz w:val="20"/>
                <w:szCs w:val="20"/>
                <w:lang w:val="en-US"/>
              </w:rPr>
              <w:t>259,765</w:t>
            </w:r>
          </w:p>
        </w:tc>
        <w:tc>
          <w:tcPr>
            <w:tcW w:w="1078" w:type="dxa"/>
            <w:tcBorders>
              <w:top w:val="nil"/>
              <w:left w:val="nil"/>
              <w:bottom w:val="nil"/>
              <w:right w:val="nil"/>
            </w:tcBorders>
            <w:shd w:val="clear" w:color="auto" w:fill="auto"/>
            <w:noWrap/>
            <w:vAlign w:val="bottom"/>
            <w:hideMark/>
          </w:tcPr>
          <w:p w14:paraId="6C910498" w14:textId="75FA2F86" w:rsidR="00016C24" w:rsidRPr="00363FC5" w:rsidRDefault="00C67457" w:rsidP="00500FD5">
            <w:pPr>
              <w:jc w:val="right"/>
              <w:rPr>
                <w:rFonts w:ascii="Arial" w:hAnsi="Arial" w:cs="Arial"/>
                <w:color w:val="000000"/>
                <w:sz w:val="20"/>
                <w:szCs w:val="20"/>
                <w:lang w:val="en-US"/>
              </w:rPr>
            </w:pPr>
            <w:r>
              <w:rPr>
                <w:rFonts w:ascii="Arial" w:hAnsi="Arial" w:cs="Arial"/>
                <w:color w:val="000000"/>
                <w:sz w:val="20"/>
                <w:szCs w:val="20"/>
                <w:lang w:val="en-US"/>
              </w:rPr>
              <w:t>(</w:t>
            </w:r>
            <w:r w:rsidR="00016C24" w:rsidRPr="00363FC5">
              <w:rPr>
                <w:rFonts w:ascii="Arial" w:hAnsi="Arial" w:cs="Arial"/>
                <w:color w:val="000000"/>
                <w:sz w:val="20"/>
                <w:szCs w:val="20"/>
                <w:lang w:val="en-US"/>
              </w:rPr>
              <w:t>259,765</w:t>
            </w:r>
            <w:r>
              <w:rPr>
                <w:rFonts w:ascii="Arial" w:hAnsi="Arial" w:cs="Arial"/>
                <w:color w:val="000000"/>
                <w:sz w:val="20"/>
                <w:szCs w:val="20"/>
                <w:lang w:val="en-US"/>
              </w:rPr>
              <w:t>)</w:t>
            </w:r>
          </w:p>
        </w:tc>
        <w:tc>
          <w:tcPr>
            <w:tcW w:w="932" w:type="dxa"/>
            <w:tcBorders>
              <w:top w:val="nil"/>
              <w:left w:val="nil"/>
              <w:bottom w:val="nil"/>
              <w:right w:val="single" w:sz="4" w:space="0" w:color="auto"/>
            </w:tcBorders>
            <w:shd w:val="clear" w:color="auto" w:fill="auto"/>
            <w:noWrap/>
            <w:vAlign w:val="bottom"/>
            <w:hideMark/>
          </w:tcPr>
          <w:p w14:paraId="126A2C24" w14:textId="77777777" w:rsidR="00016C24" w:rsidRPr="00363FC5" w:rsidRDefault="00016C24" w:rsidP="00500FD5">
            <w:pPr>
              <w:jc w:val="right"/>
              <w:rPr>
                <w:rFonts w:ascii="Arial" w:hAnsi="Arial" w:cs="Arial"/>
                <w:color w:val="000000"/>
                <w:sz w:val="20"/>
                <w:szCs w:val="20"/>
                <w:lang w:val="en-US"/>
              </w:rPr>
            </w:pPr>
            <w:r w:rsidRPr="00363FC5">
              <w:rPr>
                <w:rFonts w:ascii="Arial" w:hAnsi="Arial" w:cs="Arial"/>
                <w:color w:val="000000"/>
                <w:sz w:val="20"/>
                <w:szCs w:val="20"/>
                <w:lang w:val="en-US"/>
              </w:rPr>
              <w:t>0</w:t>
            </w:r>
          </w:p>
        </w:tc>
        <w:tc>
          <w:tcPr>
            <w:tcW w:w="990" w:type="dxa"/>
            <w:tcBorders>
              <w:top w:val="nil"/>
              <w:left w:val="nil"/>
              <w:bottom w:val="nil"/>
              <w:right w:val="nil"/>
            </w:tcBorders>
            <w:shd w:val="clear" w:color="auto" w:fill="auto"/>
            <w:noWrap/>
            <w:vAlign w:val="bottom"/>
            <w:hideMark/>
          </w:tcPr>
          <w:p w14:paraId="0E2C0A5E" w14:textId="77777777" w:rsidR="00016C24" w:rsidRPr="00363FC5" w:rsidRDefault="00016C24" w:rsidP="00500FD5">
            <w:pPr>
              <w:jc w:val="right"/>
              <w:rPr>
                <w:rFonts w:ascii="Arial" w:hAnsi="Arial" w:cs="Arial"/>
                <w:color w:val="000000"/>
                <w:sz w:val="20"/>
                <w:szCs w:val="20"/>
                <w:lang w:val="en-US"/>
              </w:rPr>
            </w:pPr>
            <w:r w:rsidRPr="00363FC5">
              <w:rPr>
                <w:rFonts w:ascii="Arial" w:hAnsi="Arial" w:cs="Arial"/>
                <w:color w:val="000000"/>
                <w:sz w:val="20"/>
                <w:szCs w:val="20"/>
                <w:lang w:val="en-US"/>
              </w:rPr>
              <w:t>0</w:t>
            </w:r>
          </w:p>
        </w:tc>
        <w:tc>
          <w:tcPr>
            <w:tcW w:w="1021" w:type="dxa"/>
            <w:tcBorders>
              <w:top w:val="nil"/>
              <w:left w:val="nil"/>
              <w:bottom w:val="nil"/>
              <w:right w:val="nil"/>
            </w:tcBorders>
            <w:shd w:val="clear" w:color="auto" w:fill="auto"/>
            <w:noWrap/>
            <w:vAlign w:val="bottom"/>
            <w:hideMark/>
          </w:tcPr>
          <w:p w14:paraId="4A966ED9" w14:textId="77777777" w:rsidR="00016C24" w:rsidRPr="00363FC5" w:rsidRDefault="00016C24" w:rsidP="00500FD5">
            <w:pPr>
              <w:jc w:val="right"/>
              <w:rPr>
                <w:rFonts w:ascii="Arial" w:hAnsi="Arial" w:cs="Arial"/>
                <w:color w:val="000000"/>
                <w:sz w:val="20"/>
                <w:szCs w:val="20"/>
                <w:lang w:val="en-US"/>
              </w:rPr>
            </w:pPr>
            <w:r w:rsidRPr="00363FC5">
              <w:rPr>
                <w:rFonts w:ascii="Arial" w:hAnsi="Arial" w:cs="Arial"/>
                <w:color w:val="000000"/>
                <w:sz w:val="20"/>
                <w:szCs w:val="20"/>
                <w:lang w:val="en-US"/>
              </w:rPr>
              <w:t>0</w:t>
            </w:r>
          </w:p>
        </w:tc>
        <w:tc>
          <w:tcPr>
            <w:tcW w:w="990" w:type="dxa"/>
            <w:tcBorders>
              <w:top w:val="nil"/>
              <w:left w:val="nil"/>
              <w:bottom w:val="nil"/>
              <w:right w:val="single" w:sz="8" w:space="0" w:color="auto"/>
            </w:tcBorders>
            <w:shd w:val="clear" w:color="auto" w:fill="auto"/>
            <w:noWrap/>
            <w:vAlign w:val="bottom"/>
            <w:hideMark/>
          </w:tcPr>
          <w:p w14:paraId="0827453D" w14:textId="77777777" w:rsidR="00016C24" w:rsidRPr="00363FC5" w:rsidRDefault="00016C24" w:rsidP="00500FD5">
            <w:pPr>
              <w:jc w:val="right"/>
              <w:rPr>
                <w:rFonts w:ascii="Arial" w:hAnsi="Arial" w:cs="Arial"/>
                <w:color w:val="000000"/>
                <w:sz w:val="20"/>
                <w:szCs w:val="20"/>
                <w:lang w:val="en-US"/>
              </w:rPr>
            </w:pPr>
            <w:r w:rsidRPr="00363FC5">
              <w:rPr>
                <w:rFonts w:ascii="Arial" w:hAnsi="Arial" w:cs="Arial"/>
                <w:color w:val="000000"/>
                <w:sz w:val="20"/>
                <w:szCs w:val="20"/>
                <w:lang w:val="en-US"/>
              </w:rPr>
              <w:t>0</w:t>
            </w:r>
          </w:p>
        </w:tc>
      </w:tr>
      <w:tr w:rsidR="00016C24" w:rsidRPr="00363FC5" w14:paraId="0AC4292B" w14:textId="77777777" w:rsidTr="00500FD5">
        <w:trPr>
          <w:trHeight w:val="250"/>
        </w:trPr>
        <w:tc>
          <w:tcPr>
            <w:tcW w:w="2021" w:type="dxa"/>
            <w:tcBorders>
              <w:top w:val="nil"/>
              <w:left w:val="single" w:sz="8" w:space="0" w:color="auto"/>
              <w:bottom w:val="nil"/>
              <w:right w:val="nil"/>
            </w:tcBorders>
            <w:shd w:val="clear" w:color="auto" w:fill="auto"/>
            <w:noWrap/>
            <w:vAlign w:val="bottom"/>
            <w:hideMark/>
          </w:tcPr>
          <w:p w14:paraId="11E3CE72" w14:textId="77777777" w:rsidR="00016C24" w:rsidRPr="00363FC5" w:rsidRDefault="00016C24" w:rsidP="00500FD5">
            <w:pPr>
              <w:rPr>
                <w:rFonts w:ascii="Arial" w:hAnsi="Arial" w:cs="Arial"/>
                <w:color w:val="000000"/>
                <w:sz w:val="20"/>
                <w:szCs w:val="20"/>
                <w:lang w:val="en-US"/>
              </w:rPr>
            </w:pPr>
            <w:r w:rsidRPr="00363FC5">
              <w:rPr>
                <w:rFonts w:ascii="Arial" w:hAnsi="Arial" w:cs="Arial"/>
                <w:color w:val="000000"/>
                <w:sz w:val="20"/>
                <w:szCs w:val="20"/>
                <w:lang w:val="en-US"/>
              </w:rPr>
              <w:t>Mayoral General</w:t>
            </w:r>
          </w:p>
        </w:tc>
        <w:tc>
          <w:tcPr>
            <w:tcW w:w="1085" w:type="dxa"/>
            <w:tcBorders>
              <w:top w:val="nil"/>
              <w:left w:val="single" w:sz="4" w:space="0" w:color="auto"/>
              <w:bottom w:val="nil"/>
              <w:right w:val="nil"/>
            </w:tcBorders>
            <w:shd w:val="clear" w:color="auto" w:fill="auto"/>
            <w:noWrap/>
            <w:vAlign w:val="bottom"/>
            <w:hideMark/>
          </w:tcPr>
          <w:p w14:paraId="6B73B930" w14:textId="77777777" w:rsidR="00016C24" w:rsidRPr="00363FC5" w:rsidRDefault="00016C24" w:rsidP="00500FD5">
            <w:pPr>
              <w:jc w:val="right"/>
              <w:rPr>
                <w:rFonts w:ascii="Arial" w:hAnsi="Arial" w:cs="Arial"/>
                <w:color w:val="000000"/>
                <w:sz w:val="20"/>
                <w:szCs w:val="20"/>
                <w:lang w:val="en-US"/>
              </w:rPr>
            </w:pPr>
            <w:r w:rsidRPr="00363FC5">
              <w:rPr>
                <w:rFonts w:ascii="Arial" w:hAnsi="Arial" w:cs="Arial"/>
                <w:color w:val="000000"/>
                <w:sz w:val="20"/>
                <w:szCs w:val="20"/>
                <w:lang w:val="en-US"/>
              </w:rPr>
              <w:t>126,749</w:t>
            </w:r>
          </w:p>
        </w:tc>
        <w:tc>
          <w:tcPr>
            <w:tcW w:w="1182" w:type="dxa"/>
            <w:tcBorders>
              <w:top w:val="nil"/>
              <w:left w:val="nil"/>
              <w:bottom w:val="nil"/>
              <w:right w:val="nil"/>
            </w:tcBorders>
            <w:shd w:val="clear" w:color="auto" w:fill="auto"/>
            <w:noWrap/>
            <w:vAlign w:val="bottom"/>
            <w:hideMark/>
          </w:tcPr>
          <w:p w14:paraId="5194551B" w14:textId="0D1AF36E" w:rsidR="00016C24" w:rsidRPr="00363FC5" w:rsidRDefault="00C67457" w:rsidP="00500FD5">
            <w:pPr>
              <w:jc w:val="right"/>
              <w:rPr>
                <w:rFonts w:ascii="Arial" w:hAnsi="Arial" w:cs="Arial"/>
                <w:color w:val="000000"/>
                <w:sz w:val="20"/>
                <w:szCs w:val="20"/>
                <w:lang w:val="en-US"/>
              </w:rPr>
            </w:pPr>
            <w:r>
              <w:rPr>
                <w:rFonts w:ascii="Arial" w:hAnsi="Arial" w:cs="Arial"/>
                <w:color w:val="000000"/>
                <w:sz w:val="20"/>
                <w:szCs w:val="20"/>
                <w:lang w:val="en-US"/>
              </w:rPr>
              <w:t>(</w:t>
            </w:r>
            <w:r w:rsidR="00016C24" w:rsidRPr="00363FC5">
              <w:rPr>
                <w:rFonts w:ascii="Arial" w:hAnsi="Arial" w:cs="Arial"/>
                <w:color w:val="000000"/>
                <w:sz w:val="20"/>
                <w:szCs w:val="20"/>
                <w:lang w:val="en-US"/>
              </w:rPr>
              <w:t>126,749</w:t>
            </w:r>
            <w:r>
              <w:rPr>
                <w:rFonts w:ascii="Arial" w:hAnsi="Arial" w:cs="Arial"/>
                <w:color w:val="000000"/>
                <w:sz w:val="20"/>
                <w:szCs w:val="20"/>
                <w:lang w:val="en-US"/>
              </w:rPr>
              <w:t>)</w:t>
            </w:r>
          </w:p>
        </w:tc>
        <w:tc>
          <w:tcPr>
            <w:tcW w:w="732" w:type="dxa"/>
            <w:tcBorders>
              <w:top w:val="nil"/>
              <w:left w:val="nil"/>
              <w:bottom w:val="nil"/>
              <w:right w:val="single" w:sz="4" w:space="0" w:color="auto"/>
            </w:tcBorders>
            <w:shd w:val="clear" w:color="auto" w:fill="auto"/>
            <w:noWrap/>
            <w:vAlign w:val="bottom"/>
            <w:hideMark/>
          </w:tcPr>
          <w:p w14:paraId="4291D196" w14:textId="77777777" w:rsidR="00016C24" w:rsidRPr="00363FC5" w:rsidRDefault="00016C24" w:rsidP="00500FD5">
            <w:pPr>
              <w:jc w:val="right"/>
              <w:rPr>
                <w:rFonts w:ascii="Arial" w:hAnsi="Arial" w:cs="Arial"/>
                <w:color w:val="000000"/>
                <w:sz w:val="20"/>
                <w:szCs w:val="20"/>
                <w:lang w:val="en-US"/>
              </w:rPr>
            </w:pPr>
            <w:r w:rsidRPr="00363FC5">
              <w:rPr>
                <w:rFonts w:ascii="Arial" w:hAnsi="Arial" w:cs="Arial"/>
                <w:color w:val="000000"/>
                <w:sz w:val="20"/>
                <w:szCs w:val="20"/>
                <w:lang w:val="en-US"/>
              </w:rPr>
              <w:t>0</w:t>
            </w:r>
          </w:p>
        </w:tc>
        <w:tc>
          <w:tcPr>
            <w:tcW w:w="990" w:type="dxa"/>
            <w:tcBorders>
              <w:top w:val="nil"/>
              <w:left w:val="nil"/>
              <w:bottom w:val="nil"/>
              <w:right w:val="nil"/>
            </w:tcBorders>
            <w:shd w:val="clear" w:color="auto" w:fill="auto"/>
            <w:noWrap/>
            <w:vAlign w:val="bottom"/>
            <w:hideMark/>
          </w:tcPr>
          <w:p w14:paraId="6F224D18" w14:textId="77777777" w:rsidR="00016C24" w:rsidRPr="00363FC5" w:rsidRDefault="00016C24" w:rsidP="00500FD5">
            <w:pPr>
              <w:jc w:val="right"/>
              <w:rPr>
                <w:rFonts w:ascii="Arial" w:hAnsi="Arial" w:cs="Arial"/>
                <w:color w:val="000000"/>
                <w:sz w:val="20"/>
                <w:szCs w:val="20"/>
                <w:lang w:val="en-US"/>
              </w:rPr>
            </w:pPr>
            <w:r w:rsidRPr="00363FC5">
              <w:rPr>
                <w:rFonts w:ascii="Arial" w:hAnsi="Arial" w:cs="Arial"/>
                <w:color w:val="000000"/>
                <w:sz w:val="20"/>
                <w:szCs w:val="20"/>
                <w:lang w:val="en-US"/>
              </w:rPr>
              <w:t>126,427</w:t>
            </w:r>
          </w:p>
        </w:tc>
        <w:tc>
          <w:tcPr>
            <w:tcW w:w="1078" w:type="dxa"/>
            <w:tcBorders>
              <w:top w:val="nil"/>
              <w:left w:val="nil"/>
              <w:bottom w:val="nil"/>
              <w:right w:val="nil"/>
            </w:tcBorders>
            <w:shd w:val="clear" w:color="auto" w:fill="auto"/>
            <w:noWrap/>
            <w:vAlign w:val="bottom"/>
            <w:hideMark/>
          </w:tcPr>
          <w:p w14:paraId="11F47740" w14:textId="3CC53E77" w:rsidR="00016C24" w:rsidRPr="00363FC5" w:rsidRDefault="00C67457" w:rsidP="00500FD5">
            <w:pPr>
              <w:jc w:val="right"/>
              <w:rPr>
                <w:rFonts w:ascii="Arial" w:hAnsi="Arial" w:cs="Arial"/>
                <w:color w:val="000000"/>
                <w:sz w:val="20"/>
                <w:szCs w:val="20"/>
                <w:lang w:val="en-US"/>
              </w:rPr>
            </w:pPr>
            <w:r>
              <w:rPr>
                <w:rFonts w:ascii="Arial" w:hAnsi="Arial" w:cs="Arial"/>
                <w:color w:val="000000"/>
                <w:sz w:val="20"/>
                <w:szCs w:val="20"/>
                <w:lang w:val="en-US"/>
              </w:rPr>
              <w:t>(</w:t>
            </w:r>
            <w:r w:rsidR="00016C24" w:rsidRPr="00363FC5">
              <w:rPr>
                <w:rFonts w:ascii="Arial" w:hAnsi="Arial" w:cs="Arial"/>
                <w:color w:val="000000"/>
                <w:sz w:val="20"/>
                <w:szCs w:val="20"/>
                <w:lang w:val="en-US"/>
              </w:rPr>
              <w:t>126,427</w:t>
            </w:r>
            <w:r>
              <w:rPr>
                <w:rFonts w:ascii="Arial" w:hAnsi="Arial" w:cs="Arial"/>
                <w:color w:val="000000"/>
                <w:sz w:val="20"/>
                <w:szCs w:val="20"/>
                <w:lang w:val="en-US"/>
              </w:rPr>
              <w:t>)</w:t>
            </w:r>
          </w:p>
        </w:tc>
        <w:tc>
          <w:tcPr>
            <w:tcW w:w="932" w:type="dxa"/>
            <w:tcBorders>
              <w:top w:val="nil"/>
              <w:left w:val="nil"/>
              <w:bottom w:val="nil"/>
              <w:right w:val="single" w:sz="4" w:space="0" w:color="auto"/>
            </w:tcBorders>
            <w:shd w:val="clear" w:color="auto" w:fill="auto"/>
            <w:noWrap/>
            <w:vAlign w:val="bottom"/>
            <w:hideMark/>
          </w:tcPr>
          <w:p w14:paraId="6A8F8A85" w14:textId="77777777" w:rsidR="00016C24" w:rsidRPr="00363FC5" w:rsidRDefault="00016C24" w:rsidP="00500FD5">
            <w:pPr>
              <w:jc w:val="right"/>
              <w:rPr>
                <w:rFonts w:ascii="Arial" w:hAnsi="Arial" w:cs="Arial"/>
                <w:color w:val="000000"/>
                <w:sz w:val="20"/>
                <w:szCs w:val="20"/>
                <w:lang w:val="en-US"/>
              </w:rPr>
            </w:pPr>
            <w:r w:rsidRPr="00363FC5">
              <w:rPr>
                <w:rFonts w:ascii="Arial" w:hAnsi="Arial" w:cs="Arial"/>
                <w:color w:val="000000"/>
                <w:sz w:val="20"/>
                <w:szCs w:val="20"/>
                <w:lang w:val="en-US"/>
              </w:rPr>
              <w:t>0</w:t>
            </w:r>
          </w:p>
        </w:tc>
        <w:tc>
          <w:tcPr>
            <w:tcW w:w="990" w:type="dxa"/>
            <w:tcBorders>
              <w:top w:val="nil"/>
              <w:left w:val="nil"/>
              <w:bottom w:val="nil"/>
              <w:right w:val="nil"/>
            </w:tcBorders>
            <w:shd w:val="clear" w:color="auto" w:fill="auto"/>
            <w:noWrap/>
            <w:vAlign w:val="bottom"/>
            <w:hideMark/>
          </w:tcPr>
          <w:p w14:paraId="1FC1F9F8" w14:textId="002D63F0" w:rsidR="00016C24" w:rsidRPr="00363FC5" w:rsidRDefault="00C67457" w:rsidP="00500FD5">
            <w:pPr>
              <w:jc w:val="right"/>
              <w:rPr>
                <w:rFonts w:ascii="Arial" w:hAnsi="Arial" w:cs="Arial"/>
                <w:color w:val="000000"/>
                <w:sz w:val="20"/>
                <w:szCs w:val="20"/>
                <w:lang w:val="en-US"/>
              </w:rPr>
            </w:pPr>
            <w:r>
              <w:rPr>
                <w:rFonts w:ascii="Arial" w:hAnsi="Arial" w:cs="Arial"/>
                <w:color w:val="000000"/>
                <w:sz w:val="20"/>
                <w:szCs w:val="20"/>
                <w:lang w:val="en-US"/>
              </w:rPr>
              <w:t>(</w:t>
            </w:r>
            <w:r w:rsidR="00016C24" w:rsidRPr="00363FC5">
              <w:rPr>
                <w:rFonts w:ascii="Arial" w:hAnsi="Arial" w:cs="Arial"/>
                <w:color w:val="000000"/>
                <w:sz w:val="20"/>
                <w:szCs w:val="20"/>
                <w:lang w:val="en-US"/>
              </w:rPr>
              <w:t>322</w:t>
            </w:r>
            <w:r>
              <w:rPr>
                <w:rFonts w:ascii="Arial" w:hAnsi="Arial" w:cs="Arial"/>
                <w:color w:val="000000"/>
                <w:sz w:val="20"/>
                <w:szCs w:val="20"/>
                <w:lang w:val="en-US"/>
              </w:rPr>
              <w:t>)</w:t>
            </w:r>
          </w:p>
        </w:tc>
        <w:tc>
          <w:tcPr>
            <w:tcW w:w="1021" w:type="dxa"/>
            <w:tcBorders>
              <w:top w:val="nil"/>
              <w:left w:val="nil"/>
              <w:bottom w:val="nil"/>
              <w:right w:val="nil"/>
            </w:tcBorders>
            <w:shd w:val="clear" w:color="auto" w:fill="auto"/>
            <w:noWrap/>
            <w:vAlign w:val="bottom"/>
            <w:hideMark/>
          </w:tcPr>
          <w:p w14:paraId="6F9F56EA" w14:textId="77777777" w:rsidR="00016C24" w:rsidRPr="00363FC5" w:rsidRDefault="00016C24" w:rsidP="00500FD5">
            <w:pPr>
              <w:jc w:val="right"/>
              <w:rPr>
                <w:rFonts w:ascii="Arial" w:hAnsi="Arial" w:cs="Arial"/>
                <w:color w:val="000000"/>
                <w:sz w:val="20"/>
                <w:szCs w:val="20"/>
                <w:lang w:val="en-US"/>
              </w:rPr>
            </w:pPr>
            <w:r w:rsidRPr="00363FC5">
              <w:rPr>
                <w:rFonts w:ascii="Arial" w:hAnsi="Arial" w:cs="Arial"/>
                <w:color w:val="000000"/>
                <w:sz w:val="20"/>
                <w:szCs w:val="20"/>
                <w:lang w:val="en-US"/>
              </w:rPr>
              <w:t>322</w:t>
            </w:r>
          </w:p>
        </w:tc>
        <w:tc>
          <w:tcPr>
            <w:tcW w:w="990" w:type="dxa"/>
            <w:tcBorders>
              <w:top w:val="nil"/>
              <w:left w:val="nil"/>
              <w:bottom w:val="nil"/>
              <w:right w:val="single" w:sz="8" w:space="0" w:color="auto"/>
            </w:tcBorders>
            <w:shd w:val="clear" w:color="auto" w:fill="auto"/>
            <w:noWrap/>
            <w:vAlign w:val="bottom"/>
            <w:hideMark/>
          </w:tcPr>
          <w:p w14:paraId="4ED63536" w14:textId="77777777" w:rsidR="00016C24" w:rsidRPr="00363FC5" w:rsidRDefault="00016C24" w:rsidP="00500FD5">
            <w:pPr>
              <w:jc w:val="right"/>
              <w:rPr>
                <w:rFonts w:ascii="Arial" w:hAnsi="Arial" w:cs="Arial"/>
                <w:color w:val="000000"/>
                <w:sz w:val="20"/>
                <w:szCs w:val="20"/>
                <w:lang w:val="en-US"/>
              </w:rPr>
            </w:pPr>
            <w:r w:rsidRPr="00363FC5">
              <w:rPr>
                <w:rFonts w:ascii="Arial" w:hAnsi="Arial" w:cs="Arial"/>
                <w:color w:val="000000"/>
                <w:sz w:val="20"/>
                <w:szCs w:val="20"/>
                <w:lang w:val="en-US"/>
              </w:rPr>
              <w:t>0</w:t>
            </w:r>
          </w:p>
        </w:tc>
      </w:tr>
      <w:tr w:rsidR="00016C24" w:rsidRPr="00363FC5" w14:paraId="127519EC" w14:textId="77777777" w:rsidTr="00500FD5">
        <w:trPr>
          <w:trHeight w:val="250"/>
        </w:trPr>
        <w:tc>
          <w:tcPr>
            <w:tcW w:w="2021" w:type="dxa"/>
            <w:tcBorders>
              <w:top w:val="nil"/>
              <w:left w:val="single" w:sz="8" w:space="0" w:color="auto"/>
              <w:bottom w:val="nil"/>
              <w:right w:val="nil"/>
            </w:tcBorders>
            <w:shd w:val="clear" w:color="auto" w:fill="auto"/>
            <w:noWrap/>
            <w:vAlign w:val="bottom"/>
            <w:hideMark/>
          </w:tcPr>
          <w:p w14:paraId="226C1437" w14:textId="77777777" w:rsidR="00016C24" w:rsidRPr="00363FC5" w:rsidRDefault="00016C24" w:rsidP="00500FD5">
            <w:pPr>
              <w:rPr>
                <w:rFonts w:ascii="Arial" w:hAnsi="Arial" w:cs="Arial"/>
                <w:color w:val="000000"/>
                <w:sz w:val="20"/>
                <w:szCs w:val="20"/>
                <w:lang w:val="en-US"/>
              </w:rPr>
            </w:pPr>
            <w:r w:rsidRPr="00363FC5">
              <w:rPr>
                <w:rFonts w:ascii="Arial" w:hAnsi="Arial" w:cs="Arial"/>
                <w:color w:val="000000"/>
                <w:sz w:val="20"/>
                <w:szCs w:val="20"/>
                <w:lang w:val="en-US"/>
              </w:rPr>
              <w:t>GM Fire &amp; Rescue</w:t>
            </w:r>
          </w:p>
        </w:tc>
        <w:tc>
          <w:tcPr>
            <w:tcW w:w="1085" w:type="dxa"/>
            <w:tcBorders>
              <w:top w:val="nil"/>
              <w:left w:val="single" w:sz="4" w:space="0" w:color="auto"/>
              <w:bottom w:val="nil"/>
              <w:right w:val="nil"/>
            </w:tcBorders>
            <w:shd w:val="clear" w:color="auto" w:fill="auto"/>
            <w:noWrap/>
            <w:vAlign w:val="bottom"/>
            <w:hideMark/>
          </w:tcPr>
          <w:p w14:paraId="2750414C" w14:textId="77777777" w:rsidR="00016C24" w:rsidRPr="00363FC5" w:rsidRDefault="00016C24" w:rsidP="00500FD5">
            <w:pPr>
              <w:jc w:val="right"/>
              <w:rPr>
                <w:rFonts w:ascii="Arial" w:hAnsi="Arial" w:cs="Arial"/>
                <w:color w:val="000000"/>
                <w:sz w:val="20"/>
                <w:szCs w:val="20"/>
                <w:lang w:val="en-US"/>
              </w:rPr>
            </w:pPr>
            <w:r w:rsidRPr="00363FC5">
              <w:rPr>
                <w:rFonts w:ascii="Arial" w:hAnsi="Arial" w:cs="Arial"/>
                <w:color w:val="000000"/>
                <w:sz w:val="20"/>
                <w:szCs w:val="20"/>
                <w:lang w:val="en-US"/>
              </w:rPr>
              <w:t>112,173</w:t>
            </w:r>
          </w:p>
        </w:tc>
        <w:tc>
          <w:tcPr>
            <w:tcW w:w="1182" w:type="dxa"/>
            <w:tcBorders>
              <w:top w:val="nil"/>
              <w:left w:val="nil"/>
              <w:bottom w:val="nil"/>
              <w:right w:val="nil"/>
            </w:tcBorders>
            <w:shd w:val="clear" w:color="auto" w:fill="auto"/>
            <w:noWrap/>
            <w:vAlign w:val="bottom"/>
            <w:hideMark/>
          </w:tcPr>
          <w:p w14:paraId="4CE5C6BE" w14:textId="49DB0E72" w:rsidR="00016C24" w:rsidRPr="00363FC5" w:rsidRDefault="00C67457" w:rsidP="00500FD5">
            <w:pPr>
              <w:jc w:val="right"/>
              <w:rPr>
                <w:rFonts w:ascii="Arial" w:hAnsi="Arial" w:cs="Arial"/>
                <w:color w:val="000000"/>
                <w:sz w:val="20"/>
                <w:szCs w:val="20"/>
                <w:lang w:val="en-US"/>
              </w:rPr>
            </w:pPr>
            <w:r>
              <w:rPr>
                <w:rFonts w:ascii="Arial" w:hAnsi="Arial" w:cs="Arial"/>
                <w:color w:val="000000"/>
                <w:sz w:val="20"/>
                <w:szCs w:val="20"/>
                <w:lang w:val="en-US"/>
              </w:rPr>
              <w:t>(</w:t>
            </w:r>
            <w:r w:rsidR="00016C24" w:rsidRPr="00363FC5">
              <w:rPr>
                <w:rFonts w:ascii="Arial" w:hAnsi="Arial" w:cs="Arial"/>
                <w:color w:val="000000"/>
                <w:sz w:val="20"/>
                <w:szCs w:val="20"/>
                <w:lang w:val="en-US"/>
              </w:rPr>
              <w:t>112,173</w:t>
            </w:r>
            <w:r>
              <w:rPr>
                <w:rFonts w:ascii="Arial" w:hAnsi="Arial" w:cs="Arial"/>
                <w:color w:val="000000"/>
                <w:sz w:val="20"/>
                <w:szCs w:val="20"/>
                <w:lang w:val="en-US"/>
              </w:rPr>
              <w:t>)</w:t>
            </w:r>
          </w:p>
        </w:tc>
        <w:tc>
          <w:tcPr>
            <w:tcW w:w="732" w:type="dxa"/>
            <w:tcBorders>
              <w:top w:val="nil"/>
              <w:left w:val="nil"/>
              <w:bottom w:val="nil"/>
              <w:right w:val="single" w:sz="4" w:space="0" w:color="auto"/>
            </w:tcBorders>
            <w:shd w:val="clear" w:color="auto" w:fill="auto"/>
            <w:noWrap/>
            <w:vAlign w:val="bottom"/>
            <w:hideMark/>
          </w:tcPr>
          <w:p w14:paraId="26064177" w14:textId="77777777" w:rsidR="00016C24" w:rsidRPr="00363FC5" w:rsidRDefault="00016C24" w:rsidP="00500FD5">
            <w:pPr>
              <w:jc w:val="right"/>
              <w:rPr>
                <w:rFonts w:ascii="Arial" w:hAnsi="Arial" w:cs="Arial"/>
                <w:color w:val="000000"/>
                <w:sz w:val="20"/>
                <w:szCs w:val="20"/>
                <w:lang w:val="en-US"/>
              </w:rPr>
            </w:pPr>
            <w:r w:rsidRPr="00363FC5">
              <w:rPr>
                <w:rFonts w:ascii="Arial" w:hAnsi="Arial" w:cs="Arial"/>
                <w:color w:val="000000"/>
                <w:sz w:val="20"/>
                <w:szCs w:val="20"/>
                <w:lang w:val="en-US"/>
              </w:rPr>
              <w:t>0</w:t>
            </w:r>
          </w:p>
        </w:tc>
        <w:tc>
          <w:tcPr>
            <w:tcW w:w="990" w:type="dxa"/>
            <w:tcBorders>
              <w:top w:val="nil"/>
              <w:left w:val="nil"/>
              <w:bottom w:val="nil"/>
              <w:right w:val="nil"/>
            </w:tcBorders>
            <w:shd w:val="clear" w:color="auto" w:fill="auto"/>
            <w:noWrap/>
            <w:vAlign w:val="bottom"/>
            <w:hideMark/>
          </w:tcPr>
          <w:p w14:paraId="590A2EEC" w14:textId="77777777" w:rsidR="00016C24" w:rsidRPr="00363FC5" w:rsidRDefault="00016C24" w:rsidP="00500FD5">
            <w:pPr>
              <w:jc w:val="right"/>
              <w:rPr>
                <w:rFonts w:ascii="Arial" w:hAnsi="Arial" w:cs="Arial"/>
                <w:color w:val="000000"/>
                <w:sz w:val="20"/>
                <w:szCs w:val="20"/>
                <w:lang w:val="en-US"/>
              </w:rPr>
            </w:pPr>
            <w:r w:rsidRPr="00363FC5">
              <w:rPr>
                <w:rFonts w:ascii="Arial" w:hAnsi="Arial" w:cs="Arial"/>
                <w:color w:val="000000"/>
                <w:sz w:val="20"/>
                <w:szCs w:val="20"/>
                <w:lang w:val="en-US"/>
              </w:rPr>
              <w:t>113,176</w:t>
            </w:r>
          </w:p>
        </w:tc>
        <w:tc>
          <w:tcPr>
            <w:tcW w:w="1078" w:type="dxa"/>
            <w:tcBorders>
              <w:top w:val="nil"/>
              <w:left w:val="nil"/>
              <w:bottom w:val="nil"/>
              <w:right w:val="nil"/>
            </w:tcBorders>
            <w:shd w:val="clear" w:color="auto" w:fill="auto"/>
            <w:noWrap/>
            <w:vAlign w:val="bottom"/>
            <w:hideMark/>
          </w:tcPr>
          <w:p w14:paraId="76B6F284" w14:textId="70886CDD" w:rsidR="00016C24" w:rsidRPr="00363FC5" w:rsidRDefault="00C67457" w:rsidP="00500FD5">
            <w:pPr>
              <w:jc w:val="right"/>
              <w:rPr>
                <w:rFonts w:ascii="Arial" w:hAnsi="Arial" w:cs="Arial"/>
                <w:color w:val="000000"/>
                <w:sz w:val="20"/>
                <w:szCs w:val="20"/>
                <w:lang w:val="en-US"/>
              </w:rPr>
            </w:pPr>
            <w:r>
              <w:rPr>
                <w:rFonts w:ascii="Arial" w:hAnsi="Arial" w:cs="Arial"/>
                <w:color w:val="000000"/>
                <w:sz w:val="20"/>
                <w:szCs w:val="20"/>
                <w:lang w:val="en-US"/>
              </w:rPr>
              <w:t>(</w:t>
            </w:r>
            <w:r w:rsidR="00016C24" w:rsidRPr="00363FC5">
              <w:rPr>
                <w:rFonts w:ascii="Arial" w:hAnsi="Arial" w:cs="Arial"/>
                <w:color w:val="000000"/>
                <w:sz w:val="20"/>
                <w:szCs w:val="20"/>
                <w:lang w:val="en-US"/>
              </w:rPr>
              <w:t>115,146</w:t>
            </w:r>
            <w:r>
              <w:rPr>
                <w:rFonts w:ascii="Arial" w:hAnsi="Arial" w:cs="Arial"/>
                <w:color w:val="000000"/>
                <w:sz w:val="20"/>
                <w:szCs w:val="20"/>
                <w:lang w:val="en-US"/>
              </w:rPr>
              <w:t>)</w:t>
            </w:r>
          </w:p>
        </w:tc>
        <w:tc>
          <w:tcPr>
            <w:tcW w:w="932" w:type="dxa"/>
            <w:tcBorders>
              <w:top w:val="nil"/>
              <w:left w:val="nil"/>
              <w:bottom w:val="nil"/>
              <w:right w:val="single" w:sz="4" w:space="0" w:color="auto"/>
            </w:tcBorders>
            <w:shd w:val="clear" w:color="auto" w:fill="auto"/>
            <w:noWrap/>
            <w:vAlign w:val="bottom"/>
            <w:hideMark/>
          </w:tcPr>
          <w:p w14:paraId="6382A989" w14:textId="3F4D25F3" w:rsidR="00016C24" w:rsidRPr="00363FC5" w:rsidRDefault="00C67457" w:rsidP="00500FD5">
            <w:pPr>
              <w:jc w:val="right"/>
              <w:rPr>
                <w:rFonts w:ascii="Arial" w:hAnsi="Arial" w:cs="Arial"/>
                <w:color w:val="000000"/>
                <w:sz w:val="20"/>
                <w:szCs w:val="20"/>
                <w:lang w:val="en-US"/>
              </w:rPr>
            </w:pPr>
            <w:r>
              <w:rPr>
                <w:rFonts w:ascii="Arial" w:hAnsi="Arial" w:cs="Arial"/>
                <w:color w:val="000000"/>
                <w:sz w:val="20"/>
                <w:szCs w:val="20"/>
                <w:lang w:val="en-US"/>
              </w:rPr>
              <w:t>(</w:t>
            </w:r>
            <w:r w:rsidR="00016C24" w:rsidRPr="00363FC5">
              <w:rPr>
                <w:rFonts w:ascii="Arial" w:hAnsi="Arial" w:cs="Arial"/>
                <w:color w:val="000000"/>
                <w:sz w:val="20"/>
                <w:szCs w:val="20"/>
                <w:lang w:val="en-US"/>
              </w:rPr>
              <w:t>1,970</w:t>
            </w:r>
            <w:r>
              <w:rPr>
                <w:rFonts w:ascii="Arial" w:hAnsi="Arial" w:cs="Arial"/>
                <w:color w:val="000000"/>
                <w:sz w:val="20"/>
                <w:szCs w:val="20"/>
                <w:lang w:val="en-US"/>
              </w:rPr>
              <w:t>)</w:t>
            </w:r>
          </w:p>
        </w:tc>
        <w:tc>
          <w:tcPr>
            <w:tcW w:w="990" w:type="dxa"/>
            <w:tcBorders>
              <w:top w:val="nil"/>
              <w:left w:val="nil"/>
              <w:bottom w:val="nil"/>
              <w:right w:val="nil"/>
            </w:tcBorders>
            <w:shd w:val="clear" w:color="auto" w:fill="auto"/>
            <w:noWrap/>
            <w:vAlign w:val="bottom"/>
            <w:hideMark/>
          </w:tcPr>
          <w:p w14:paraId="26AEE914" w14:textId="77777777" w:rsidR="00016C24" w:rsidRPr="00363FC5" w:rsidRDefault="00016C24" w:rsidP="00500FD5">
            <w:pPr>
              <w:jc w:val="right"/>
              <w:rPr>
                <w:rFonts w:ascii="Arial" w:hAnsi="Arial" w:cs="Arial"/>
                <w:color w:val="000000"/>
                <w:sz w:val="20"/>
                <w:szCs w:val="20"/>
                <w:lang w:val="en-US"/>
              </w:rPr>
            </w:pPr>
            <w:r w:rsidRPr="00363FC5">
              <w:rPr>
                <w:rFonts w:ascii="Arial" w:hAnsi="Arial" w:cs="Arial"/>
                <w:color w:val="000000"/>
                <w:sz w:val="20"/>
                <w:szCs w:val="20"/>
                <w:lang w:val="en-US"/>
              </w:rPr>
              <w:t>1,003</w:t>
            </w:r>
          </w:p>
        </w:tc>
        <w:tc>
          <w:tcPr>
            <w:tcW w:w="1021" w:type="dxa"/>
            <w:tcBorders>
              <w:top w:val="nil"/>
              <w:left w:val="nil"/>
              <w:bottom w:val="nil"/>
              <w:right w:val="nil"/>
            </w:tcBorders>
            <w:shd w:val="clear" w:color="auto" w:fill="auto"/>
            <w:noWrap/>
            <w:vAlign w:val="bottom"/>
            <w:hideMark/>
          </w:tcPr>
          <w:p w14:paraId="1F3064DB" w14:textId="535945F3" w:rsidR="00016C24" w:rsidRPr="00363FC5" w:rsidRDefault="00C67457" w:rsidP="00500FD5">
            <w:pPr>
              <w:jc w:val="right"/>
              <w:rPr>
                <w:rFonts w:ascii="Arial" w:hAnsi="Arial" w:cs="Arial"/>
                <w:color w:val="000000"/>
                <w:sz w:val="20"/>
                <w:szCs w:val="20"/>
                <w:lang w:val="en-US"/>
              </w:rPr>
            </w:pPr>
            <w:r>
              <w:rPr>
                <w:rFonts w:ascii="Arial" w:hAnsi="Arial" w:cs="Arial"/>
                <w:color w:val="000000"/>
                <w:sz w:val="20"/>
                <w:szCs w:val="20"/>
                <w:lang w:val="en-US"/>
              </w:rPr>
              <w:t>(</w:t>
            </w:r>
            <w:r w:rsidR="00016C24" w:rsidRPr="00363FC5">
              <w:rPr>
                <w:rFonts w:ascii="Arial" w:hAnsi="Arial" w:cs="Arial"/>
                <w:color w:val="000000"/>
                <w:sz w:val="20"/>
                <w:szCs w:val="20"/>
                <w:lang w:val="en-US"/>
              </w:rPr>
              <w:t>2,973</w:t>
            </w:r>
            <w:r>
              <w:rPr>
                <w:rFonts w:ascii="Arial" w:hAnsi="Arial" w:cs="Arial"/>
                <w:color w:val="000000"/>
                <w:sz w:val="20"/>
                <w:szCs w:val="20"/>
                <w:lang w:val="en-US"/>
              </w:rPr>
              <w:t>)</w:t>
            </w:r>
          </w:p>
        </w:tc>
        <w:tc>
          <w:tcPr>
            <w:tcW w:w="990" w:type="dxa"/>
            <w:tcBorders>
              <w:top w:val="nil"/>
              <w:left w:val="nil"/>
              <w:bottom w:val="nil"/>
              <w:right w:val="single" w:sz="8" w:space="0" w:color="auto"/>
            </w:tcBorders>
            <w:shd w:val="clear" w:color="auto" w:fill="auto"/>
            <w:noWrap/>
            <w:vAlign w:val="bottom"/>
            <w:hideMark/>
          </w:tcPr>
          <w:p w14:paraId="1E99EF11" w14:textId="7977A47A" w:rsidR="00016C24" w:rsidRPr="00363FC5" w:rsidRDefault="00C67457" w:rsidP="00500FD5">
            <w:pPr>
              <w:jc w:val="right"/>
              <w:rPr>
                <w:rFonts w:ascii="Arial" w:hAnsi="Arial" w:cs="Arial"/>
                <w:color w:val="000000"/>
                <w:sz w:val="20"/>
                <w:szCs w:val="20"/>
                <w:lang w:val="en-US"/>
              </w:rPr>
            </w:pPr>
            <w:r>
              <w:rPr>
                <w:rFonts w:ascii="Arial" w:hAnsi="Arial" w:cs="Arial"/>
                <w:color w:val="000000"/>
                <w:sz w:val="20"/>
                <w:szCs w:val="20"/>
                <w:lang w:val="en-US"/>
              </w:rPr>
              <w:t>(</w:t>
            </w:r>
            <w:r w:rsidR="00016C24" w:rsidRPr="00363FC5">
              <w:rPr>
                <w:rFonts w:ascii="Arial" w:hAnsi="Arial" w:cs="Arial"/>
                <w:color w:val="000000"/>
                <w:sz w:val="20"/>
                <w:szCs w:val="20"/>
                <w:lang w:val="en-US"/>
              </w:rPr>
              <w:t>1,970</w:t>
            </w:r>
            <w:r>
              <w:rPr>
                <w:rFonts w:ascii="Arial" w:hAnsi="Arial" w:cs="Arial"/>
                <w:color w:val="000000"/>
                <w:sz w:val="20"/>
                <w:szCs w:val="20"/>
                <w:lang w:val="en-US"/>
              </w:rPr>
              <w:t>)</w:t>
            </w:r>
          </w:p>
        </w:tc>
      </w:tr>
      <w:tr w:rsidR="00016C24" w:rsidRPr="00363FC5" w14:paraId="4A92639B" w14:textId="77777777" w:rsidTr="00500FD5">
        <w:trPr>
          <w:trHeight w:val="250"/>
        </w:trPr>
        <w:tc>
          <w:tcPr>
            <w:tcW w:w="2021" w:type="dxa"/>
            <w:tcBorders>
              <w:top w:val="nil"/>
              <w:left w:val="single" w:sz="8" w:space="0" w:color="auto"/>
              <w:bottom w:val="nil"/>
              <w:right w:val="nil"/>
            </w:tcBorders>
            <w:shd w:val="clear" w:color="auto" w:fill="auto"/>
            <w:noWrap/>
            <w:vAlign w:val="bottom"/>
            <w:hideMark/>
          </w:tcPr>
          <w:p w14:paraId="317035CC" w14:textId="77777777" w:rsidR="00016C24" w:rsidRPr="00363FC5" w:rsidRDefault="00016C24" w:rsidP="00500FD5">
            <w:pPr>
              <w:rPr>
                <w:rFonts w:ascii="Arial" w:hAnsi="Arial" w:cs="Arial"/>
                <w:color w:val="000000"/>
                <w:sz w:val="20"/>
                <w:szCs w:val="20"/>
                <w:lang w:val="en-US"/>
              </w:rPr>
            </w:pPr>
            <w:r w:rsidRPr="00363FC5">
              <w:rPr>
                <w:rFonts w:ascii="Arial" w:hAnsi="Arial" w:cs="Arial"/>
                <w:color w:val="000000"/>
                <w:sz w:val="20"/>
                <w:szCs w:val="20"/>
                <w:lang w:val="en-US"/>
              </w:rPr>
              <w:t>Waste &amp; Res</w:t>
            </w:r>
          </w:p>
        </w:tc>
        <w:tc>
          <w:tcPr>
            <w:tcW w:w="1085" w:type="dxa"/>
            <w:tcBorders>
              <w:top w:val="nil"/>
              <w:left w:val="single" w:sz="4" w:space="0" w:color="auto"/>
              <w:bottom w:val="nil"/>
              <w:right w:val="nil"/>
            </w:tcBorders>
            <w:shd w:val="clear" w:color="auto" w:fill="auto"/>
            <w:noWrap/>
            <w:vAlign w:val="bottom"/>
            <w:hideMark/>
          </w:tcPr>
          <w:p w14:paraId="38CC9C64" w14:textId="77777777" w:rsidR="00016C24" w:rsidRPr="00363FC5" w:rsidRDefault="00016C24" w:rsidP="00500FD5">
            <w:pPr>
              <w:jc w:val="right"/>
              <w:rPr>
                <w:rFonts w:ascii="Arial" w:hAnsi="Arial" w:cs="Arial"/>
                <w:color w:val="000000"/>
                <w:sz w:val="20"/>
                <w:szCs w:val="20"/>
                <w:lang w:val="en-US"/>
              </w:rPr>
            </w:pPr>
            <w:r w:rsidRPr="00363FC5">
              <w:rPr>
                <w:rFonts w:ascii="Arial" w:hAnsi="Arial" w:cs="Arial"/>
                <w:color w:val="000000"/>
                <w:sz w:val="20"/>
                <w:szCs w:val="20"/>
                <w:lang w:val="en-US"/>
              </w:rPr>
              <w:t>162,402</w:t>
            </w:r>
          </w:p>
        </w:tc>
        <w:tc>
          <w:tcPr>
            <w:tcW w:w="1182" w:type="dxa"/>
            <w:tcBorders>
              <w:top w:val="nil"/>
              <w:left w:val="nil"/>
              <w:bottom w:val="nil"/>
              <w:right w:val="nil"/>
            </w:tcBorders>
            <w:shd w:val="clear" w:color="auto" w:fill="auto"/>
            <w:noWrap/>
            <w:vAlign w:val="bottom"/>
            <w:hideMark/>
          </w:tcPr>
          <w:p w14:paraId="1C987488" w14:textId="2812B43E" w:rsidR="00016C24" w:rsidRPr="00363FC5" w:rsidRDefault="00C67457" w:rsidP="00500FD5">
            <w:pPr>
              <w:jc w:val="right"/>
              <w:rPr>
                <w:rFonts w:ascii="Arial" w:hAnsi="Arial" w:cs="Arial"/>
                <w:color w:val="000000"/>
                <w:sz w:val="20"/>
                <w:szCs w:val="20"/>
                <w:lang w:val="en-US"/>
              </w:rPr>
            </w:pPr>
            <w:r>
              <w:rPr>
                <w:rFonts w:ascii="Arial" w:hAnsi="Arial" w:cs="Arial"/>
                <w:color w:val="000000"/>
                <w:sz w:val="20"/>
                <w:szCs w:val="20"/>
                <w:lang w:val="en-US"/>
              </w:rPr>
              <w:t>(</w:t>
            </w:r>
            <w:r w:rsidR="00016C24" w:rsidRPr="00363FC5">
              <w:rPr>
                <w:rFonts w:ascii="Arial" w:hAnsi="Arial" w:cs="Arial"/>
                <w:color w:val="000000"/>
                <w:sz w:val="20"/>
                <w:szCs w:val="20"/>
                <w:lang w:val="en-US"/>
              </w:rPr>
              <w:t>162,402</w:t>
            </w:r>
            <w:r>
              <w:rPr>
                <w:rFonts w:ascii="Arial" w:hAnsi="Arial" w:cs="Arial"/>
                <w:color w:val="000000"/>
                <w:sz w:val="20"/>
                <w:szCs w:val="20"/>
                <w:lang w:val="en-US"/>
              </w:rPr>
              <w:t>)</w:t>
            </w:r>
          </w:p>
        </w:tc>
        <w:tc>
          <w:tcPr>
            <w:tcW w:w="732" w:type="dxa"/>
            <w:tcBorders>
              <w:top w:val="nil"/>
              <w:left w:val="nil"/>
              <w:bottom w:val="nil"/>
              <w:right w:val="single" w:sz="4" w:space="0" w:color="auto"/>
            </w:tcBorders>
            <w:shd w:val="clear" w:color="auto" w:fill="auto"/>
            <w:noWrap/>
            <w:vAlign w:val="bottom"/>
            <w:hideMark/>
          </w:tcPr>
          <w:p w14:paraId="1FBB54D5" w14:textId="77777777" w:rsidR="00016C24" w:rsidRPr="00363FC5" w:rsidRDefault="00016C24" w:rsidP="00500FD5">
            <w:pPr>
              <w:jc w:val="right"/>
              <w:rPr>
                <w:rFonts w:ascii="Arial" w:hAnsi="Arial" w:cs="Arial"/>
                <w:color w:val="000000"/>
                <w:sz w:val="20"/>
                <w:szCs w:val="20"/>
                <w:lang w:val="en-US"/>
              </w:rPr>
            </w:pPr>
            <w:r w:rsidRPr="00363FC5">
              <w:rPr>
                <w:rFonts w:ascii="Arial" w:hAnsi="Arial" w:cs="Arial"/>
                <w:color w:val="000000"/>
                <w:sz w:val="20"/>
                <w:szCs w:val="20"/>
                <w:lang w:val="en-US"/>
              </w:rPr>
              <w:t>0</w:t>
            </w:r>
          </w:p>
        </w:tc>
        <w:tc>
          <w:tcPr>
            <w:tcW w:w="990" w:type="dxa"/>
            <w:tcBorders>
              <w:top w:val="nil"/>
              <w:left w:val="nil"/>
              <w:bottom w:val="nil"/>
              <w:right w:val="nil"/>
            </w:tcBorders>
            <w:shd w:val="clear" w:color="auto" w:fill="auto"/>
            <w:noWrap/>
            <w:vAlign w:val="bottom"/>
            <w:hideMark/>
          </w:tcPr>
          <w:p w14:paraId="70B23788" w14:textId="77777777" w:rsidR="00016C24" w:rsidRPr="00363FC5" w:rsidRDefault="00016C24" w:rsidP="00500FD5">
            <w:pPr>
              <w:jc w:val="right"/>
              <w:rPr>
                <w:rFonts w:ascii="Arial" w:hAnsi="Arial" w:cs="Arial"/>
                <w:color w:val="000000"/>
                <w:sz w:val="20"/>
                <w:szCs w:val="20"/>
                <w:lang w:val="en-US"/>
              </w:rPr>
            </w:pPr>
            <w:r w:rsidRPr="00363FC5">
              <w:rPr>
                <w:rFonts w:ascii="Arial" w:hAnsi="Arial" w:cs="Arial"/>
                <w:color w:val="000000"/>
                <w:sz w:val="20"/>
                <w:szCs w:val="20"/>
                <w:lang w:val="en-US"/>
              </w:rPr>
              <w:t>162,402</w:t>
            </w:r>
          </w:p>
        </w:tc>
        <w:tc>
          <w:tcPr>
            <w:tcW w:w="1078" w:type="dxa"/>
            <w:tcBorders>
              <w:top w:val="nil"/>
              <w:left w:val="nil"/>
              <w:bottom w:val="nil"/>
              <w:right w:val="nil"/>
            </w:tcBorders>
            <w:shd w:val="clear" w:color="auto" w:fill="auto"/>
            <w:noWrap/>
            <w:vAlign w:val="bottom"/>
            <w:hideMark/>
          </w:tcPr>
          <w:p w14:paraId="0009598A" w14:textId="71C36862" w:rsidR="00016C24" w:rsidRPr="00363FC5" w:rsidRDefault="00C67457" w:rsidP="00500FD5">
            <w:pPr>
              <w:jc w:val="right"/>
              <w:rPr>
                <w:rFonts w:ascii="Arial" w:hAnsi="Arial" w:cs="Arial"/>
                <w:color w:val="000000"/>
                <w:sz w:val="20"/>
                <w:szCs w:val="20"/>
                <w:lang w:val="en-US"/>
              </w:rPr>
            </w:pPr>
            <w:r>
              <w:rPr>
                <w:rFonts w:ascii="Arial" w:hAnsi="Arial" w:cs="Arial"/>
                <w:color w:val="000000"/>
                <w:sz w:val="20"/>
                <w:szCs w:val="20"/>
                <w:lang w:val="en-US"/>
              </w:rPr>
              <w:t>(</w:t>
            </w:r>
            <w:r w:rsidR="00016C24" w:rsidRPr="00363FC5">
              <w:rPr>
                <w:rFonts w:ascii="Arial" w:hAnsi="Arial" w:cs="Arial"/>
                <w:color w:val="000000"/>
                <w:sz w:val="20"/>
                <w:szCs w:val="20"/>
                <w:lang w:val="en-US"/>
              </w:rPr>
              <w:t>162,402</w:t>
            </w:r>
            <w:r>
              <w:rPr>
                <w:rFonts w:ascii="Arial" w:hAnsi="Arial" w:cs="Arial"/>
                <w:color w:val="000000"/>
                <w:sz w:val="20"/>
                <w:szCs w:val="20"/>
                <w:lang w:val="en-US"/>
              </w:rPr>
              <w:t>)</w:t>
            </w:r>
          </w:p>
        </w:tc>
        <w:tc>
          <w:tcPr>
            <w:tcW w:w="932" w:type="dxa"/>
            <w:tcBorders>
              <w:top w:val="nil"/>
              <w:left w:val="nil"/>
              <w:bottom w:val="nil"/>
              <w:right w:val="single" w:sz="4" w:space="0" w:color="auto"/>
            </w:tcBorders>
            <w:shd w:val="clear" w:color="auto" w:fill="auto"/>
            <w:noWrap/>
            <w:vAlign w:val="bottom"/>
            <w:hideMark/>
          </w:tcPr>
          <w:p w14:paraId="01BCC3CD" w14:textId="77777777" w:rsidR="00016C24" w:rsidRPr="00363FC5" w:rsidRDefault="00016C24" w:rsidP="00500FD5">
            <w:pPr>
              <w:jc w:val="right"/>
              <w:rPr>
                <w:rFonts w:ascii="Arial" w:hAnsi="Arial" w:cs="Arial"/>
                <w:color w:val="000000"/>
                <w:sz w:val="20"/>
                <w:szCs w:val="20"/>
                <w:lang w:val="en-US"/>
              </w:rPr>
            </w:pPr>
            <w:r w:rsidRPr="00363FC5">
              <w:rPr>
                <w:rFonts w:ascii="Arial" w:hAnsi="Arial" w:cs="Arial"/>
                <w:color w:val="000000"/>
                <w:sz w:val="20"/>
                <w:szCs w:val="20"/>
                <w:lang w:val="en-US"/>
              </w:rPr>
              <w:t>0</w:t>
            </w:r>
          </w:p>
        </w:tc>
        <w:tc>
          <w:tcPr>
            <w:tcW w:w="990" w:type="dxa"/>
            <w:tcBorders>
              <w:top w:val="nil"/>
              <w:left w:val="nil"/>
              <w:bottom w:val="nil"/>
              <w:right w:val="nil"/>
            </w:tcBorders>
            <w:shd w:val="clear" w:color="auto" w:fill="auto"/>
            <w:noWrap/>
            <w:vAlign w:val="bottom"/>
            <w:hideMark/>
          </w:tcPr>
          <w:p w14:paraId="41B03995" w14:textId="77777777" w:rsidR="00016C24" w:rsidRPr="00363FC5" w:rsidRDefault="00016C24" w:rsidP="00500FD5">
            <w:pPr>
              <w:jc w:val="right"/>
              <w:rPr>
                <w:rFonts w:ascii="Arial" w:hAnsi="Arial" w:cs="Arial"/>
                <w:color w:val="000000"/>
                <w:sz w:val="20"/>
                <w:szCs w:val="20"/>
                <w:lang w:val="en-US"/>
              </w:rPr>
            </w:pPr>
            <w:r w:rsidRPr="00363FC5">
              <w:rPr>
                <w:rFonts w:ascii="Arial" w:hAnsi="Arial" w:cs="Arial"/>
                <w:color w:val="000000"/>
                <w:sz w:val="20"/>
                <w:szCs w:val="20"/>
                <w:lang w:val="en-US"/>
              </w:rPr>
              <w:t>0</w:t>
            </w:r>
          </w:p>
        </w:tc>
        <w:tc>
          <w:tcPr>
            <w:tcW w:w="1021" w:type="dxa"/>
            <w:tcBorders>
              <w:top w:val="nil"/>
              <w:left w:val="nil"/>
              <w:bottom w:val="nil"/>
              <w:right w:val="nil"/>
            </w:tcBorders>
            <w:shd w:val="clear" w:color="auto" w:fill="auto"/>
            <w:noWrap/>
            <w:vAlign w:val="bottom"/>
            <w:hideMark/>
          </w:tcPr>
          <w:p w14:paraId="209DF3C6" w14:textId="77777777" w:rsidR="00016C24" w:rsidRPr="00363FC5" w:rsidRDefault="00016C24" w:rsidP="00500FD5">
            <w:pPr>
              <w:jc w:val="right"/>
              <w:rPr>
                <w:rFonts w:ascii="Arial" w:hAnsi="Arial" w:cs="Arial"/>
                <w:color w:val="000000"/>
                <w:sz w:val="20"/>
                <w:szCs w:val="20"/>
                <w:lang w:val="en-US"/>
              </w:rPr>
            </w:pPr>
            <w:r w:rsidRPr="00363FC5">
              <w:rPr>
                <w:rFonts w:ascii="Arial" w:hAnsi="Arial" w:cs="Arial"/>
                <w:color w:val="000000"/>
                <w:sz w:val="20"/>
                <w:szCs w:val="20"/>
                <w:lang w:val="en-US"/>
              </w:rPr>
              <w:t>0</w:t>
            </w:r>
          </w:p>
        </w:tc>
        <w:tc>
          <w:tcPr>
            <w:tcW w:w="990" w:type="dxa"/>
            <w:tcBorders>
              <w:top w:val="nil"/>
              <w:left w:val="nil"/>
              <w:bottom w:val="nil"/>
              <w:right w:val="single" w:sz="8" w:space="0" w:color="auto"/>
            </w:tcBorders>
            <w:shd w:val="clear" w:color="auto" w:fill="auto"/>
            <w:noWrap/>
            <w:vAlign w:val="bottom"/>
            <w:hideMark/>
          </w:tcPr>
          <w:p w14:paraId="669DB0BE" w14:textId="77777777" w:rsidR="00016C24" w:rsidRPr="00363FC5" w:rsidRDefault="00016C24" w:rsidP="00500FD5">
            <w:pPr>
              <w:jc w:val="right"/>
              <w:rPr>
                <w:rFonts w:ascii="Arial" w:hAnsi="Arial" w:cs="Arial"/>
                <w:color w:val="000000"/>
                <w:sz w:val="20"/>
                <w:szCs w:val="20"/>
                <w:lang w:val="en-US"/>
              </w:rPr>
            </w:pPr>
            <w:r w:rsidRPr="00363FC5">
              <w:rPr>
                <w:rFonts w:ascii="Arial" w:hAnsi="Arial" w:cs="Arial"/>
                <w:color w:val="000000"/>
                <w:sz w:val="20"/>
                <w:szCs w:val="20"/>
                <w:lang w:val="en-US"/>
              </w:rPr>
              <w:t>0</w:t>
            </w:r>
          </w:p>
        </w:tc>
      </w:tr>
      <w:tr w:rsidR="00016C24" w:rsidRPr="00363FC5" w14:paraId="4003EF89" w14:textId="77777777" w:rsidTr="00500FD5">
        <w:trPr>
          <w:trHeight w:val="250"/>
        </w:trPr>
        <w:tc>
          <w:tcPr>
            <w:tcW w:w="2021" w:type="dxa"/>
            <w:tcBorders>
              <w:top w:val="nil"/>
              <w:left w:val="single" w:sz="8" w:space="0" w:color="auto"/>
              <w:bottom w:val="nil"/>
              <w:right w:val="nil"/>
            </w:tcBorders>
            <w:shd w:val="clear" w:color="auto" w:fill="auto"/>
            <w:noWrap/>
            <w:vAlign w:val="bottom"/>
            <w:hideMark/>
          </w:tcPr>
          <w:p w14:paraId="6D041170" w14:textId="77777777" w:rsidR="00016C24" w:rsidRPr="00363FC5" w:rsidRDefault="00016C24" w:rsidP="00500FD5">
            <w:pPr>
              <w:rPr>
                <w:rFonts w:ascii="Arial" w:hAnsi="Arial" w:cs="Arial"/>
                <w:color w:val="000000"/>
                <w:sz w:val="20"/>
                <w:szCs w:val="20"/>
                <w:lang w:val="en-US"/>
              </w:rPr>
            </w:pPr>
            <w:r w:rsidRPr="00363FC5">
              <w:rPr>
                <w:rFonts w:ascii="Arial" w:hAnsi="Arial" w:cs="Arial"/>
                <w:color w:val="000000"/>
                <w:sz w:val="20"/>
                <w:szCs w:val="20"/>
                <w:lang w:val="en-US"/>
              </w:rPr>
              <w:t>Transport</w:t>
            </w:r>
          </w:p>
        </w:tc>
        <w:tc>
          <w:tcPr>
            <w:tcW w:w="1085" w:type="dxa"/>
            <w:tcBorders>
              <w:top w:val="nil"/>
              <w:left w:val="single" w:sz="4" w:space="0" w:color="auto"/>
              <w:bottom w:val="nil"/>
              <w:right w:val="nil"/>
            </w:tcBorders>
            <w:shd w:val="clear" w:color="auto" w:fill="auto"/>
            <w:noWrap/>
            <w:vAlign w:val="bottom"/>
            <w:hideMark/>
          </w:tcPr>
          <w:p w14:paraId="501DF79D" w14:textId="77777777" w:rsidR="00016C24" w:rsidRPr="00363FC5" w:rsidRDefault="00016C24" w:rsidP="00500FD5">
            <w:pPr>
              <w:jc w:val="right"/>
              <w:rPr>
                <w:rFonts w:ascii="Arial" w:hAnsi="Arial" w:cs="Arial"/>
                <w:color w:val="000000"/>
                <w:sz w:val="20"/>
                <w:szCs w:val="20"/>
                <w:lang w:val="en-US"/>
              </w:rPr>
            </w:pPr>
            <w:r w:rsidRPr="00363FC5">
              <w:rPr>
                <w:rFonts w:ascii="Arial" w:hAnsi="Arial" w:cs="Arial"/>
                <w:color w:val="000000"/>
                <w:sz w:val="20"/>
                <w:szCs w:val="20"/>
                <w:lang w:val="en-US"/>
              </w:rPr>
              <w:t>246,426</w:t>
            </w:r>
          </w:p>
        </w:tc>
        <w:tc>
          <w:tcPr>
            <w:tcW w:w="1182" w:type="dxa"/>
            <w:tcBorders>
              <w:top w:val="nil"/>
              <w:left w:val="nil"/>
              <w:bottom w:val="nil"/>
              <w:right w:val="nil"/>
            </w:tcBorders>
            <w:shd w:val="clear" w:color="auto" w:fill="auto"/>
            <w:noWrap/>
            <w:vAlign w:val="bottom"/>
            <w:hideMark/>
          </w:tcPr>
          <w:p w14:paraId="28B11AAD" w14:textId="4245DFED" w:rsidR="00016C24" w:rsidRPr="00363FC5" w:rsidRDefault="00C67457" w:rsidP="00500FD5">
            <w:pPr>
              <w:jc w:val="right"/>
              <w:rPr>
                <w:rFonts w:ascii="Arial" w:hAnsi="Arial" w:cs="Arial"/>
                <w:color w:val="000000"/>
                <w:sz w:val="20"/>
                <w:szCs w:val="20"/>
                <w:lang w:val="en-US"/>
              </w:rPr>
            </w:pPr>
            <w:r>
              <w:rPr>
                <w:rFonts w:ascii="Arial" w:hAnsi="Arial" w:cs="Arial"/>
                <w:color w:val="000000"/>
                <w:sz w:val="20"/>
                <w:szCs w:val="20"/>
                <w:lang w:val="en-US"/>
              </w:rPr>
              <w:t>(</w:t>
            </w:r>
            <w:r w:rsidR="00016C24" w:rsidRPr="00363FC5">
              <w:rPr>
                <w:rFonts w:ascii="Arial" w:hAnsi="Arial" w:cs="Arial"/>
                <w:color w:val="000000"/>
                <w:sz w:val="20"/>
                <w:szCs w:val="20"/>
                <w:lang w:val="en-US"/>
              </w:rPr>
              <w:t>246,426</w:t>
            </w:r>
            <w:r>
              <w:rPr>
                <w:rFonts w:ascii="Arial" w:hAnsi="Arial" w:cs="Arial"/>
                <w:color w:val="000000"/>
                <w:sz w:val="20"/>
                <w:szCs w:val="20"/>
                <w:lang w:val="en-US"/>
              </w:rPr>
              <w:t>)</w:t>
            </w:r>
          </w:p>
        </w:tc>
        <w:tc>
          <w:tcPr>
            <w:tcW w:w="732" w:type="dxa"/>
            <w:tcBorders>
              <w:top w:val="nil"/>
              <w:left w:val="nil"/>
              <w:bottom w:val="nil"/>
              <w:right w:val="single" w:sz="4" w:space="0" w:color="auto"/>
            </w:tcBorders>
            <w:shd w:val="clear" w:color="auto" w:fill="auto"/>
            <w:noWrap/>
            <w:vAlign w:val="bottom"/>
            <w:hideMark/>
          </w:tcPr>
          <w:p w14:paraId="2D59341E" w14:textId="77777777" w:rsidR="00016C24" w:rsidRPr="00363FC5" w:rsidRDefault="00016C24" w:rsidP="00500FD5">
            <w:pPr>
              <w:jc w:val="right"/>
              <w:rPr>
                <w:rFonts w:ascii="Arial" w:hAnsi="Arial" w:cs="Arial"/>
                <w:color w:val="000000"/>
                <w:sz w:val="20"/>
                <w:szCs w:val="20"/>
                <w:lang w:val="en-US"/>
              </w:rPr>
            </w:pPr>
            <w:r w:rsidRPr="00363FC5">
              <w:rPr>
                <w:rFonts w:ascii="Arial" w:hAnsi="Arial" w:cs="Arial"/>
                <w:color w:val="000000"/>
                <w:sz w:val="20"/>
                <w:szCs w:val="20"/>
                <w:lang w:val="en-US"/>
              </w:rPr>
              <w:t>0</w:t>
            </w:r>
          </w:p>
        </w:tc>
        <w:tc>
          <w:tcPr>
            <w:tcW w:w="990" w:type="dxa"/>
            <w:tcBorders>
              <w:top w:val="nil"/>
              <w:left w:val="nil"/>
              <w:bottom w:val="nil"/>
              <w:right w:val="nil"/>
            </w:tcBorders>
            <w:shd w:val="clear" w:color="auto" w:fill="auto"/>
            <w:noWrap/>
            <w:vAlign w:val="bottom"/>
            <w:hideMark/>
          </w:tcPr>
          <w:p w14:paraId="5231317F" w14:textId="77777777" w:rsidR="00016C24" w:rsidRPr="00363FC5" w:rsidRDefault="00016C24" w:rsidP="00500FD5">
            <w:pPr>
              <w:jc w:val="right"/>
              <w:rPr>
                <w:rFonts w:ascii="Arial" w:hAnsi="Arial" w:cs="Arial"/>
                <w:color w:val="000000"/>
                <w:sz w:val="20"/>
                <w:szCs w:val="20"/>
                <w:lang w:val="en-US"/>
              </w:rPr>
            </w:pPr>
            <w:r w:rsidRPr="00363FC5">
              <w:rPr>
                <w:rFonts w:ascii="Arial" w:hAnsi="Arial" w:cs="Arial"/>
                <w:color w:val="000000"/>
                <w:sz w:val="20"/>
                <w:szCs w:val="20"/>
                <w:lang w:val="en-US"/>
              </w:rPr>
              <w:t>234,503</w:t>
            </w:r>
          </w:p>
        </w:tc>
        <w:tc>
          <w:tcPr>
            <w:tcW w:w="1078" w:type="dxa"/>
            <w:tcBorders>
              <w:top w:val="nil"/>
              <w:left w:val="nil"/>
              <w:bottom w:val="nil"/>
              <w:right w:val="nil"/>
            </w:tcBorders>
            <w:shd w:val="clear" w:color="auto" w:fill="auto"/>
            <w:noWrap/>
            <w:vAlign w:val="bottom"/>
            <w:hideMark/>
          </w:tcPr>
          <w:p w14:paraId="4444C3BB" w14:textId="2DC17572" w:rsidR="00016C24" w:rsidRPr="00363FC5" w:rsidRDefault="00C67457" w:rsidP="00500FD5">
            <w:pPr>
              <w:jc w:val="right"/>
              <w:rPr>
                <w:rFonts w:ascii="Arial" w:hAnsi="Arial" w:cs="Arial"/>
                <w:color w:val="000000"/>
                <w:sz w:val="20"/>
                <w:szCs w:val="20"/>
                <w:lang w:val="en-US"/>
              </w:rPr>
            </w:pPr>
            <w:r>
              <w:rPr>
                <w:rFonts w:ascii="Arial" w:hAnsi="Arial" w:cs="Arial"/>
                <w:color w:val="000000"/>
                <w:sz w:val="20"/>
                <w:szCs w:val="20"/>
                <w:lang w:val="en-US"/>
              </w:rPr>
              <w:t>(</w:t>
            </w:r>
            <w:r w:rsidR="00016C24" w:rsidRPr="00363FC5">
              <w:rPr>
                <w:rFonts w:ascii="Arial" w:hAnsi="Arial" w:cs="Arial"/>
                <w:color w:val="000000"/>
                <w:sz w:val="20"/>
                <w:szCs w:val="20"/>
                <w:lang w:val="en-US"/>
              </w:rPr>
              <w:t>246,426</w:t>
            </w:r>
            <w:r>
              <w:rPr>
                <w:rFonts w:ascii="Arial" w:hAnsi="Arial" w:cs="Arial"/>
                <w:color w:val="000000"/>
                <w:sz w:val="20"/>
                <w:szCs w:val="20"/>
                <w:lang w:val="en-US"/>
              </w:rPr>
              <w:t>)</w:t>
            </w:r>
          </w:p>
        </w:tc>
        <w:tc>
          <w:tcPr>
            <w:tcW w:w="932" w:type="dxa"/>
            <w:tcBorders>
              <w:top w:val="nil"/>
              <w:left w:val="nil"/>
              <w:bottom w:val="nil"/>
              <w:right w:val="single" w:sz="4" w:space="0" w:color="auto"/>
            </w:tcBorders>
            <w:shd w:val="clear" w:color="auto" w:fill="auto"/>
            <w:noWrap/>
            <w:vAlign w:val="bottom"/>
            <w:hideMark/>
          </w:tcPr>
          <w:p w14:paraId="1D15BAAC" w14:textId="52BB4B93" w:rsidR="00016C24" w:rsidRPr="00363FC5" w:rsidRDefault="00C67457" w:rsidP="00500FD5">
            <w:pPr>
              <w:jc w:val="right"/>
              <w:rPr>
                <w:rFonts w:ascii="Arial" w:hAnsi="Arial" w:cs="Arial"/>
                <w:color w:val="000000"/>
                <w:sz w:val="20"/>
                <w:szCs w:val="20"/>
                <w:lang w:val="en-US"/>
              </w:rPr>
            </w:pPr>
            <w:r>
              <w:rPr>
                <w:rFonts w:ascii="Arial" w:hAnsi="Arial" w:cs="Arial"/>
                <w:color w:val="000000"/>
                <w:sz w:val="20"/>
                <w:szCs w:val="20"/>
                <w:lang w:val="en-US"/>
              </w:rPr>
              <w:t>(</w:t>
            </w:r>
            <w:r w:rsidR="00016C24" w:rsidRPr="00363FC5">
              <w:rPr>
                <w:rFonts w:ascii="Arial" w:hAnsi="Arial" w:cs="Arial"/>
                <w:color w:val="000000"/>
                <w:sz w:val="20"/>
                <w:szCs w:val="20"/>
                <w:lang w:val="en-US"/>
              </w:rPr>
              <w:t>11,923</w:t>
            </w:r>
            <w:r>
              <w:rPr>
                <w:rFonts w:ascii="Arial" w:hAnsi="Arial" w:cs="Arial"/>
                <w:color w:val="000000"/>
                <w:sz w:val="20"/>
                <w:szCs w:val="20"/>
                <w:lang w:val="en-US"/>
              </w:rPr>
              <w:t>)</w:t>
            </w:r>
          </w:p>
        </w:tc>
        <w:tc>
          <w:tcPr>
            <w:tcW w:w="990" w:type="dxa"/>
            <w:tcBorders>
              <w:top w:val="nil"/>
              <w:left w:val="nil"/>
              <w:bottom w:val="nil"/>
              <w:right w:val="nil"/>
            </w:tcBorders>
            <w:shd w:val="clear" w:color="auto" w:fill="auto"/>
            <w:noWrap/>
            <w:vAlign w:val="bottom"/>
            <w:hideMark/>
          </w:tcPr>
          <w:p w14:paraId="65A714E0" w14:textId="1289D35D" w:rsidR="00016C24" w:rsidRPr="00363FC5" w:rsidRDefault="00C67457" w:rsidP="00500FD5">
            <w:pPr>
              <w:jc w:val="right"/>
              <w:rPr>
                <w:rFonts w:ascii="Arial" w:hAnsi="Arial" w:cs="Arial"/>
                <w:color w:val="000000"/>
                <w:sz w:val="20"/>
                <w:szCs w:val="20"/>
                <w:lang w:val="en-US"/>
              </w:rPr>
            </w:pPr>
            <w:r>
              <w:rPr>
                <w:rFonts w:ascii="Arial" w:hAnsi="Arial" w:cs="Arial"/>
                <w:color w:val="000000"/>
                <w:sz w:val="20"/>
                <w:szCs w:val="20"/>
                <w:lang w:val="en-US"/>
              </w:rPr>
              <w:t>(</w:t>
            </w:r>
            <w:r w:rsidR="00016C24" w:rsidRPr="00363FC5">
              <w:rPr>
                <w:rFonts w:ascii="Arial" w:hAnsi="Arial" w:cs="Arial"/>
                <w:color w:val="000000"/>
                <w:sz w:val="20"/>
                <w:szCs w:val="20"/>
                <w:lang w:val="en-US"/>
              </w:rPr>
              <w:t>11,923</w:t>
            </w:r>
            <w:r>
              <w:rPr>
                <w:rFonts w:ascii="Arial" w:hAnsi="Arial" w:cs="Arial"/>
                <w:color w:val="000000"/>
                <w:sz w:val="20"/>
                <w:szCs w:val="20"/>
                <w:lang w:val="en-US"/>
              </w:rPr>
              <w:t>)</w:t>
            </w:r>
          </w:p>
        </w:tc>
        <w:tc>
          <w:tcPr>
            <w:tcW w:w="1021" w:type="dxa"/>
            <w:tcBorders>
              <w:top w:val="nil"/>
              <w:left w:val="nil"/>
              <w:bottom w:val="nil"/>
              <w:right w:val="nil"/>
            </w:tcBorders>
            <w:shd w:val="clear" w:color="auto" w:fill="auto"/>
            <w:noWrap/>
            <w:vAlign w:val="bottom"/>
            <w:hideMark/>
          </w:tcPr>
          <w:p w14:paraId="55D8BEA6" w14:textId="77777777" w:rsidR="00016C24" w:rsidRPr="00363FC5" w:rsidRDefault="00016C24" w:rsidP="00500FD5">
            <w:pPr>
              <w:jc w:val="right"/>
              <w:rPr>
                <w:rFonts w:ascii="Arial" w:hAnsi="Arial" w:cs="Arial"/>
                <w:color w:val="000000"/>
                <w:sz w:val="20"/>
                <w:szCs w:val="20"/>
                <w:lang w:val="en-US"/>
              </w:rPr>
            </w:pPr>
            <w:r w:rsidRPr="00363FC5">
              <w:rPr>
                <w:rFonts w:ascii="Arial" w:hAnsi="Arial" w:cs="Arial"/>
                <w:color w:val="000000"/>
                <w:sz w:val="20"/>
                <w:szCs w:val="20"/>
                <w:lang w:val="en-US"/>
              </w:rPr>
              <w:t>0</w:t>
            </w:r>
          </w:p>
        </w:tc>
        <w:tc>
          <w:tcPr>
            <w:tcW w:w="990" w:type="dxa"/>
            <w:tcBorders>
              <w:top w:val="nil"/>
              <w:left w:val="nil"/>
              <w:bottom w:val="nil"/>
              <w:right w:val="single" w:sz="8" w:space="0" w:color="auto"/>
            </w:tcBorders>
            <w:shd w:val="clear" w:color="auto" w:fill="auto"/>
            <w:noWrap/>
            <w:vAlign w:val="bottom"/>
            <w:hideMark/>
          </w:tcPr>
          <w:p w14:paraId="7716C802" w14:textId="7D172C38" w:rsidR="00016C24" w:rsidRPr="00363FC5" w:rsidRDefault="00C67457" w:rsidP="00500FD5">
            <w:pPr>
              <w:jc w:val="right"/>
              <w:rPr>
                <w:rFonts w:ascii="Arial" w:hAnsi="Arial" w:cs="Arial"/>
                <w:color w:val="000000"/>
                <w:sz w:val="20"/>
                <w:szCs w:val="20"/>
                <w:lang w:val="en-US"/>
              </w:rPr>
            </w:pPr>
            <w:r>
              <w:rPr>
                <w:rFonts w:ascii="Arial" w:hAnsi="Arial" w:cs="Arial"/>
                <w:color w:val="000000"/>
                <w:sz w:val="20"/>
                <w:szCs w:val="20"/>
                <w:lang w:val="en-US"/>
              </w:rPr>
              <w:t>(</w:t>
            </w:r>
            <w:r w:rsidR="00016C24" w:rsidRPr="00363FC5">
              <w:rPr>
                <w:rFonts w:ascii="Arial" w:hAnsi="Arial" w:cs="Arial"/>
                <w:color w:val="000000"/>
                <w:sz w:val="20"/>
                <w:szCs w:val="20"/>
                <w:lang w:val="en-US"/>
              </w:rPr>
              <w:t>11,923</w:t>
            </w:r>
            <w:r>
              <w:rPr>
                <w:rFonts w:ascii="Arial" w:hAnsi="Arial" w:cs="Arial"/>
                <w:color w:val="000000"/>
                <w:sz w:val="20"/>
                <w:szCs w:val="20"/>
                <w:lang w:val="en-US"/>
              </w:rPr>
              <w:t>)</w:t>
            </w:r>
          </w:p>
        </w:tc>
      </w:tr>
      <w:tr w:rsidR="00016C24" w:rsidRPr="00363FC5" w14:paraId="2704550C" w14:textId="77777777" w:rsidTr="00500FD5">
        <w:trPr>
          <w:trHeight w:val="270"/>
        </w:trPr>
        <w:tc>
          <w:tcPr>
            <w:tcW w:w="2021" w:type="dxa"/>
            <w:tcBorders>
              <w:top w:val="nil"/>
              <w:left w:val="single" w:sz="8" w:space="0" w:color="auto"/>
              <w:bottom w:val="single" w:sz="8" w:space="0" w:color="auto"/>
              <w:right w:val="nil"/>
            </w:tcBorders>
            <w:shd w:val="clear" w:color="auto" w:fill="auto"/>
            <w:noWrap/>
            <w:vAlign w:val="bottom"/>
            <w:hideMark/>
          </w:tcPr>
          <w:p w14:paraId="72092984" w14:textId="77777777" w:rsidR="00016C24" w:rsidRPr="00363FC5" w:rsidRDefault="00016C24" w:rsidP="00500FD5">
            <w:pPr>
              <w:rPr>
                <w:rFonts w:ascii="Arial" w:hAnsi="Arial" w:cs="Arial"/>
                <w:b/>
                <w:bCs/>
                <w:color w:val="000000"/>
                <w:sz w:val="20"/>
                <w:szCs w:val="20"/>
                <w:lang w:val="en-US"/>
              </w:rPr>
            </w:pPr>
            <w:r w:rsidRPr="00363FC5">
              <w:rPr>
                <w:rFonts w:ascii="Arial" w:hAnsi="Arial" w:cs="Arial"/>
                <w:color w:val="000000"/>
                <w:sz w:val="20"/>
                <w:szCs w:val="20"/>
                <w:lang w:val="en-US"/>
              </w:rPr>
              <w:t>Police Fund</w:t>
            </w:r>
          </w:p>
        </w:tc>
        <w:tc>
          <w:tcPr>
            <w:tcW w:w="1085" w:type="dxa"/>
            <w:tcBorders>
              <w:top w:val="nil"/>
              <w:left w:val="single" w:sz="4" w:space="0" w:color="auto"/>
              <w:bottom w:val="single" w:sz="8" w:space="0" w:color="auto"/>
              <w:right w:val="nil"/>
            </w:tcBorders>
            <w:shd w:val="clear" w:color="auto" w:fill="auto"/>
            <w:noWrap/>
            <w:vAlign w:val="bottom"/>
            <w:hideMark/>
          </w:tcPr>
          <w:p w14:paraId="648AA97B" w14:textId="77777777" w:rsidR="00016C24" w:rsidRPr="00363FC5" w:rsidRDefault="00016C24" w:rsidP="00500FD5">
            <w:pPr>
              <w:jc w:val="right"/>
              <w:rPr>
                <w:rFonts w:ascii="Arial" w:hAnsi="Arial" w:cs="Arial"/>
                <w:color w:val="000000"/>
                <w:sz w:val="20"/>
                <w:szCs w:val="20"/>
                <w:lang w:val="en-US"/>
              </w:rPr>
            </w:pPr>
            <w:r w:rsidRPr="00363FC5">
              <w:rPr>
                <w:rFonts w:ascii="Arial" w:hAnsi="Arial" w:cs="Arial"/>
                <w:color w:val="000000"/>
                <w:sz w:val="20"/>
                <w:szCs w:val="20"/>
                <w:lang w:val="en-US"/>
              </w:rPr>
              <w:t>646,654</w:t>
            </w:r>
          </w:p>
        </w:tc>
        <w:tc>
          <w:tcPr>
            <w:tcW w:w="1182" w:type="dxa"/>
            <w:tcBorders>
              <w:top w:val="nil"/>
              <w:left w:val="nil"/>
              <w:bottom w:val="single" w:sz="8" w:space="0" w:color="auto"/>
              <w:right w:val="nil"/>
            </w:tcBorders>
            <w:shd w:val="clear" w:color="auto" w:fill="auto"/>
            <w:noWrap/>
            <w:vAlign w:val="bottom"/>
            <w:hideMark/>
          </w:tcPr>
          <w:p w14:paraId="3694CFB1" w14:textId="0E1CB5A1" w:rsidR="00016C24" w:rsidRPr="00363FC5" w:rsidRDefault="00C67457" w:rsidP="00500FD5">
            <w:pPr>
              <w:jc w:val="right"/>
              <w:rPr>
                <w:rFonts w:ascii="Arial" w:hAnsi="Arial" w:cs="Arial"/>
                <w:color w:val="000000"/>
                <w:sz w:val="20"/>
                <w:szCs w:val="20"/>
                <w:lang w:val="en-US"/>
              </w:rPr>
            </w:pPr>
            <w:r>
              <w:rPr>
                <w:rFonts w:ascii="Arial" w:hAnsi="Arial" w:cs="Arial"/>
                <w:color w:val="000000"/>
                <w:sz w:val="20"/>
                <w:szCs w:val="20"/>
                <w:lang w:val="en-US"/>
              </w:rPr>
              <w:t>(</w:t>
            </w:r>
            <w:r w:rsidR="00016C24" w:rsidRPr="00363FC5">
              <w:rPr>
                <w:rFonts w:ascii="Arial" w:hAnsi="Arial" w:cs="Arial"/>
                <w:color w:val="000000"/>
                <w:sz w:val="20"/>
                <w:szCs w:val="20"/>
                <w:lang w:val="en-US"/>
              </w:rPr>
              <w:t>646,654</w:t>
            </w:r>
            <w:r>
              <w:rPr>
                <w:rFonts w:ascii="Arial" w:hAnsi="Arial" w:cs="Arial"/>
                <w:color w:val="000000"/>
                <w:sz w:val="20"/>
                <w:szCs w:val="20"/>
                <w:lang w:val="en-US"/>
              </w:rPr>
              <w:t>)</w:t>
            </w:r>
          </w:p>
        </w:tc>
        <w:tc>
          <w:tcPr>
            <w:tcW w:w="732" w:type="dxa"/>
            <w:tcBorders>
              <w:top w:val="nil"/>
              <w:left w:val="nil"/>
              <w:bottom w:val="single" w:sz="8" w:space="0" w:color="auto"/>
              <w:right w:val="single" w:sz="4" w:space="0" w:color="auto"/>
            </w:tcBorders>
            <w:shd w:val="clear" w:color="auto" w:fill="auto"/>
            <w:noWrap/>
            <w:vAlign w:val="bottom"/>
            <w:hideMark/>
          </w:tcPr>
          <w:p w14:paraId="05F08462" w14:textId="77777777" w:rsidR="00016C24" w:rsidRPr="00363FC5" w:rsidRDefault="00016C24" w:rsidP="00500FD5">
            <w:pPr>
              <w:jc w:val="right"/>
              <w:rPr>
                <w:rFonts w:ascii="Arial" w:hAnsi="Arial" w:cs="Arial"/>
                <w:color w:val="000000"/>
                <w:sz w:val="20"/>
                <w:szCs w:val="20"/>
                <w:lang w:val="en-US"/>
              </w:rPr>
            </w:pPr>
            <w:r w:rsidRPr="00363FC5">
              <w:rPr>
                <w:rFonts w:ascii="Arial" w:hAnsi="Arial" w:cs="Arial"/>
                <w:color w:val="000000"/>
                <w:sz w:val="20"/>
                <w:szCs w:val="20"/>
                <w:lang w:val="en-US"/>
              </w:rPr>
              <w:t>0</w:t>
            </w:r>
          </w:p>
        </w:tc>
        <w:tc>
          <w:tcPr>
            <w:tcW w:w="990" w:type="dxa"/>
            <w:tcBorders>
              <w:top w:val="nil"/>
              <w:left w:val="nil"/>
              <w:bottom w:val="single" w:sz="8" w:space="0" w:color="auto"/>
              <w:right w:val="nil"/>
            </w:tcBorders>
            <w:shd w:val="clear" w:color="auto" w:fill="auto"/>
            <w:noWrap/>
            <w:vAlign w:val="bottom"/>
            <w:hideMark/>
          </w:tcPr>
          <w:p w14:paraId="77135739" w14:textId="77777777" w:rsidR="00016C24" w:rsidRPr="00363FC5" w:rsidRDefault="00016C24" w:rsidP="00500FD5">
            <w:pPr>
              <w:jc w:val="right"/>
              <w:rPr>
                <w:rFonts w:ascii="Arial" w:hAnsi="Arial" w:cs="Arial"/>
                <w:color w:val="000000"/>
                <w:sz w:val="20"/>
                <w:szCs w:val="20"/>
                <w:lang w:val="en-US"/>
              </w:rPr>
            </w:pPr>
            <w:r w:rsidRPr="00363FC5">
              <w:rPr>
                <w:rFonts w:ascii="Arial" w:hAnsi="Arial" w:cs="Arial"/>
                <w:color w:val="000000"/>
                <w:sz w:val="20"/>
                <w:szCs w:val="20"/>
                <w:lang w:val="en-US"/>
              </w:rPr>
              <w:t>646,654</w:t>
            </w:r>
          </w:p>
        </w:tc>
        <w:tc>
          <w:tcPr>
            <w:tcW w:w="1078" w:type="dxa"/>
            <w:tcBorders>
              <w:top w:val="nil"/>
              <w:left w:val="nil"/>
              <w:bottom w:val="single" w:sz="8" w:space="0" w:color="auto"/>
              <w:right w:val="nil"/>
            </w:tcBorders>
            <w:shd w:val="clear" w:color="auto" w:fill="auto"/>
            <w:noWrap/>
            <w:vAlign w:val="bottom"/>
            <w:hideMark/>
          </w:tcPr>
          <w:p w14:paraId="3C062BAE" w14:textId="62107E12" w:rsidR="00016C24" w:rsidRPr="00363FC5" w:rsidRDefault="00C67457" w:rsidP="00500FD5">
            <w:pPr>
              <w:jc w:val="right"/>
              <w:rPr>
                <w:rFonts w:ascii="Arial" w:hAnsi="Arial" w:cs="Arial"/>
                <w:color w:val="000000"/>
                <w:sz w:val="20"/>
                <w:szCs w:val="20"/>
                <w:lang w:val="en-US"/>
              </w:rPr>
            </w:pPr>
            <w:r>
              <w:rPr>
                <w:rFonts w:ascii="Arial" w:hAnsi="Arial" w:cs="Arial"/>
                <w:color w:val="000000"/>
                <w:sz w:val="20"/>
                <w:szCs w:val="20"/>
                <w:lang w:val="en-US"/>
              </w:rPr>
              <w:t>(</w:t>
            </w:r>
            <w:r w:rsidR="00016C24" w:rsidRPr="00363FC5">
              <w:rPr>
                <w:rFonts w:ascii="Arial" w:hAnsi="Arial" w:cs="Arial"/>
                <w:color w:val="000000"/>
                <w:sz w:val="20"/>
                <w:szCs w:val="20"/>
                <w:lang w:val="en-US"/>
              </w:rPr>
              <w:t>646,654</w:t>
            </w:r>
            <w:r>
              <w:rPr>
                <w:rFonts w:ascii="Arial" w:hAnsi="Arial" w:cs="Arial"/>
                <w:color w:val="000000"/>
                <w:sz w:val="20"/>
                <w:szCs w:val="20"/>
                <w:lang w:val="en-US"/>
              </w:rPr>
              <w:t>)</w:t>
            </w:r>
          </w:p>
        </w:tc>
        <w:tc>
          <w:tcPr>
            <w:tcW w:w="932" w:type="dxa"/>
            <w:tcBorders>
              <w:top w:val="nil"/>
              <w:left w:val="nil"/>
              <w:bottom w:val="single" w:sz="8" w:space="0" w:color="auto"/>
              <w:right w:val="single" w:sz="4" w:space="0" w:color="auto"/>
            </w:tcBorders>
            <w:shd w:val="clear" w:color="auto" w:fill="auto"/>
            <w:noWrap/>
            <w:vAlign w:val="bottom"/>
            <w:hideMark/>
          </w:tcPr>
          <w:p w14:paraId="53C6835B" w14:textId="77777777" w:rsidR="00016C24" w:rsidRPr="00363FC5" w:rsidRDefault="00016C24" w:rsidP="00500FD5">
            <w:pPr>
              <w:jc w:val="right"/>
              <w:rPr>
                <w:rFonts w:ascii="Arial" w:hAnsi="Arial" w:cs="Arial"/>
                <w:color w:val="000000"/>
                <w:sz w:val="20"/>
                <w:szCs w:val="20"/>
                <w:lang w:val="en-US"/>
              </w:rPr>
            </w:pPr>
            <w:r w:rsidRPr="00363FC5">
              <w:rPr>
                <w:rFonts w:ascii="Arial" w:hAnsi="Arial" w:cs="Arial"/>
                <w:color w:val="000000"/>
                <w:sz w:val="20"/>
                <w:szCs w:val="20"/>
                <w:lang w:val="en-US"/>
              </w:rPr>
              <w:t>0</w:t>
            </w:r>
          </w:p>
        </w:tc>
        <w:tc>
          <w:tcPr>
            <w:tcW w:w="990" w:type="dxa"/>
            <w:tcBorders>
              <w:top w:val="nil"/>
              <w:left w:val="nil"/>
              <w:bottom w:val="single" w:sz="8" w:space="0" w:color="auto"/>
              <w:right w:val="nil"/>
            </w:tcBorders>
            <w:shd w:val="clear" w:color="auto" w:fill="auto"/>
            <w:noWrap/>
            <w:vAlign w:val="bottom"/>
            <w:hideMark/>
          </w:tcPr>
          <w:p w14:paraId="01AA2F67" w14:textId="77777777" w:rsidR="00016C24" w:rsidRPr="00363FC5" w:rsidRDefault="00016C24" w:rsidP="00500FD5">
            <w:pPr>
              <w:jc w:val="right"/>
              <w:rPr>
                <w:rFonts w:ascii="Arial" w:hAnsi="Arial" w:cs="Arial"/>
                <w:color w:val="000000"/>
                <w:sz w:val="20"/>
                <w:szCs w:val="20"/>
                <w:lang w:val="en-US"/>
              </w:rPr>
            </w:pPr>
            <w:r w:rsidRPr="00363FC5">
              <w:rPr>
                <w:rFonts w:ascii="Arial" w:hAnsi="Arial" w:cs="Arial"/>
                <w:color w:val="000000"/>
                <w:sz w:val="20"/>
                <w:szCs w:val="20"/>
                <w:lang w:val="en-US"/>
              </w:rPr>
              <w:t>0</w:t>
            </w:r>
          </w:p>
        </w:tc>
        <w:tc>
          <w:tcPr>
            <w:tcW w:w="1021" w:type="dxa"/>
            <w:tcBorders>
              <w:top w:val="nil"/>
              <w:left w:val="nil"/>
              <w:bottom w:val="single" w:sz="8" w:space="0" w:color="auto"/>
              <w:right w:val="nil"/>
            </w:tcBorders>
            <w:shd w:val="clear" w:color="auto" w:fill="auto"/>
            <w:noWrap/>
            <w:vAlign w:val="bottom"/>
            <w:hideMark/>
          </w:tcPr>
          <w:p w14:paraId="78E920C3" w14:textId="77777777" w:rsidR="00016C24" w:rsidRPr="00363FC5" w:rsidRDefault="00016C24" w:rsidP="00500FD5">
            <w:pPr>
              <w:jc w:val="right"/>
              <w:rPr>
                <w:rFonts w:ascii="Arial" w:hAnsi="Arial" w:cs="Arial"/>
                <w:color w:val="000000"/>
                <w:sz w:val="20"/>
                <w:szCs w:val="20"/>
                <w:lang w:val="en-US"/>
              </w:rPr>
            </w:pPr>
            <w:r w:rsidRPr="00363FC5">
              <w:rPr>
                <w:rFonts w:ascii="Arial" w:hAnsi="Arial" w:cs="Arial"/>
                <w:color w:val="000000"/>
                <w:sz w:val="20"/>
                <w:szCs w:val="20"/>
                <w:lang w:val="en-US"/>
              </w:rPr>
              <w:t>0</w:t>
            </w:r>
          </w:p>
        </w:tc>
        <w:tc>
          <w:tcPr>
            <w:tcW w:w="990" w:type="dxa"/>
            <w:tcBorders>
              <w:top w:val="nil"/>
              <w:left w:val="nil"/>
              <w:bottom w:val="single" w:sz="8" w:space="0" w:color="auto"/>
              <w:right w:val="single" w:sz="8" w:space="0" w:color="auto"/>
            </w:tcBorders>
            <w:shd w:val="clear" w:color="auto" w:fill="auto"/>
            <w:noWrap/>
            <w:vAlign w:val="bottom"/>
            <w:hideMark/>
          </w:tcPr>
          <w:p w14:paraId="229AC856" w14:textId="77777777" w:rsidR="00016C24" w:rsidRPr="00363FC5" w:rsidRDefault="00016C24" w:rsidP="00500FD5">
            <w:pPr>
              <w:jc w:val="right"/>
              <w:rPr>
                <w:rFonts w:ascii="Arial" w:hAnsi="Arial" w:cs="Arial"/>
                <w:color w:val="000000"/>
                <w:sz w:val="20"/>
                <w:szCs w:val="20"/>
                <w:lang w:val="en-US"/>
              </w:rPr>
            </w:pPr>
            <w:r w:rsidRPr="00363FC5">
              <w:rPr>
                <w:rFonts w:ascii="Arial" w:hAnsi="Arial" w:cs="Arial"/>
                <w:color w:val="000000"/>
                <w:sz w:val="20"/>
                <w:szCs w:val="20"/>
                <w:lang w:val="en-US"/>
              </w:rPr>
              <w:t>0</w:t>
            </w:r>
          </w:p>
        </w:tc>
      </w:tr>
    </w:tbl>
    <w:p w14:paraId="6C3F83F9" w14:textId="77777777" w:rsidR="00016C24" w:rsidRPr="00D571F7" w:rsidRDefault="00016C24" w:rsidP="00016C24">
      <w:pPr>
        <w:widowControl w:val="0"/>
        <w:spacing w:after="240"/>
        <w:jc w:val="both"/>
        <w:rPr>
          <w:rFonts w:ascii="Arial" w:hAnsi="Arial" w:cs="Arial"/>
          <w:bCs/>
          <w:snapToGrid w:val="0"/>
          <w:sz w:val="18"/>
          <w:szCs w:val="18"/>
          <w:lang w:eastAsia="en-GB"/>
        </w:rPr>
      </w:pPr>
      <w:r w:rsidRPr="00D571F7">
        <w:rPr>
          <w:rFonts w:ascii="Arial" w:hAnsi="Arial" w:cs="Arial"/>
          <w:b/>
          <w:snapToGrid w:val="0"/>
          <w:sz w:val="18"/>
          <w:szCs w:val="18"/>
          <w:lang w:eastAsia="en-GB"/>
        </w:rPr>
        <w:t>*</w:t>
      </w:r>
      <w:r w:rsidRPr="00D571F7">
        <w:rPr>
          <w:rFonts w:ascii="Arial" w:hAnsi="Arial" w:cs="Arial"/>
          <w:bCs/>
          <w:snapToGrid w:val="0"/>
          <w:sz w:val="18"/>
          <w:szCs w:val="18"/>
          <w:lang w:eastAsia="en-GB"/>
        </w:rPr>
        <w:t>Over/</w:t>
      </w:r>
      <w:r>
        <w:rPr>
          <w:rFonts w:ascii="Arial" w:hAnsi="Arial" w:cs="Arial"/>
          <w:bCs/>
          <w:snapToGrid w:val="0"/>
          <w:sz w:val="18"/>
          <w:szCs w:val="18"/>
          <w:lang w:eastAsia="en-GB"/>
        </w:rPr>
        <w:t>-</w:t>
      </w:r>
      <w:r w:rsidRPr="00D571F7">
        <w:rPr>
          <w:rFonts w:ascii="Arial" w:hAnsi="Arial" w:cs="Arial"/>
          <w:bCs/>
          <w:snapToGrid w:val="0"/>
          <w:sz w:val="18"/>
          <w:szCs w:val="18"/>
          <w:lang w:eastAsia="en-GB"/>
        </w:rPr>
        <w:t>Under</w:t>
      </w:r>
      <w:r>
        <w:rPr>
          <w:rFonts w:ascii="Arial" w:hAnsi="Arial" w:cs="Arial"/>
          <w:bCs/>
          <w:snapToGrid w:val="0"/>
          <w:sz w:val="18"/>
          <w:szCs w:val="18"/>
          <w:lang w:eastAsia="en-GB"/>
        </w:rPr>
        <w:t xml:space="preserve"> </w:t>
      </w:r>
      <w:r w:rsidRPr="00D571F7">
        <w:rPr>
          <w:rFonts w:ascii="Arial" w:hAnsi="Arial" w:cs="Arial"/>
          <w:bCs/>
          <w:snapToGrid w:val="0"/>
          <w:sz w:val="18"/>
          <w:szCs w:val="18"/>
          <w:lang w:eastAsia="en-GB"/>
        </w:rPr>
        <w:t>Spend</w:t>
      </w:r>
    </w:p>
    <w:p w14:paraId="5BB6E6C2" w14:textId="77777777" w:rsidR="00016C24" w:rsidRPr="00522643" w:rsidRDefault="00016C24" w:rsidP="00016C24">
      <w:pPr>
        <w:pStyle w:val="Heading3"/>
        <w:spacing w:after="160"/>
      </w:pPr>
      <w:bookmarkStart w:id="41" w:name="_Toc109922590"/>
      <w:r w:rsidRPr="00522643">
        <w:t>Capital Programme and Financing 202</w:t>
      </w:r>
      <w:r>
        <w:t>1</w:t>
      </w:r>
      <w:r w:rsidRPr="00522643">
        <w:t>/2</w:t>
      </w:r>
      <w:r>
        <w:t>2</w:t>
      </w:r>
      <w:bookmarkEnd w:id="41"/>
    </w:p>
    <w:p w14:paraId="12BF91B2" w14:textId="77777777" w:rsidR="00016C24" w:rsidRPr="00522643" w:rsidRDefault="00016C24" w:rsidP="00016C24">
      <w:pPr>
        <w:pStyle w:val="NoSpacing"/>
        <w:rPr>
          <w:rFonts w:ascii="Arial" w:hAnsi="Arial" w:cs="Arial"/>
          <w:sz w:val="24"/>
          <w:szCs w:val="24"/>
          <w:u w:val="single"/>
        </w:rPr>
      </w:pPr>
      <w:r w:rsidRPr="00522643">
        <w:rPr>
          <w:rFonts w:ascii="Arial" w:hAnsi="Arial" w:cs="Arial"/>
          <w:sz w:val="24"/>
          <w:szCs w:val="24"/>
          <w:u w:val="single"/>
        </w:rPr>
        <w:t>GMCA Capital Programme</w:t>
      </w:r>
    </w:p>
    <w:p w14:paraId="5A451EBF" w14:textId="77777777" w:rsidR="00016C24" w:rsidRPr="00522643" w:rsidRDefault="00016C24" w:rsidP="00016C24">
      <w:pPr>
        <w:pStyle w:val="NoSpacing"/>
        <w:rPr>
          <w:rFonts w:ascii="Arial" w:hAnsi="Arial" w:cs="Arial"/>
          <w:sz w:val="24"/>
          <w:szCs w:val="24"/>
          <w:u w:val="single"/>
        </w:rPr>
      </w:pPr>
    </w:p>
    <w:p w14:paraId="28B9715C" w14:textId="77777777" w:rsidR="00016C24" w:rsidRPr="00522643" w:rsidRDefault="00016C24" w:rsidP="00016C24">
      <w:pPr>
        <w:pStyle w:val="Normal0"/>
        <w:spacing w:after="160" w:line="240" w:lineRule="auto"/>
        <w:rPr>
          <w:rFonts w:ascii="Arial" w:hAnsi="Arial" w:cs="Arial"/>
          <w:sz w:val="24"/>
          <w:szCs w:val="24"/>
          <w:lang w:val="en-GB"/>
        </w:rPr>
      </w:pPr>
      <w:r w:rsidRPr="00522643">
        <w:rPr>
          <w:rFonts w:ascii="Arial" w:hAnsi="Arial" w:cs="Arial"/>
          <w:sz w:val="24"/>
          <w:szCs w:val="24"/>
          <w:lang w:val="en-GB"/>
        </w:rPr>
        <w:t>The capital programme for the Authority is reported and managed in 5 sections, Highways and Transport, Economic Development and Regeneration, Waste Disposal, Police Fund and Mayoral General Fund including Fire and Rescue Services.</w:t>
      </w:r>
    </w:p>
    <w:p w14:paraId="6D3EA671" w14:textId="77777777" w:rsidR="00016C24" w:rsidRPr="00522643" w:rsidRDefault="00016C24" w:rsidP="00016C24">
      <w:pPr>
        <w:pStyle w:val="Normal0"/>
        <w:spacing w:after="160" w:line="240" w:lineRule="auto"/>
        <w:rPr>
          <w:rFonts w:ascii="Arial" w:hAnsi="Arial" w:cs="Arial"/>
          <w:sz w:val="24"/>
          <w:szCs w:val="24"/>
          <w:lang w:val="en-GB"/>
        </w:rPr>
      </w:pPr>
      <w:r w:rsidRPr="00522643">
        <w:rPr>
          <w:rFonts w:ascii="Arial" w:hAnsi="Arial" w:cs="Arial"/>
          <w:sz w:val="24"/>
          <w:szCs w:val="24"/>
          <w:lang w:val="en-GB"/>
        </w:rPr>
        <w:t>The Highways and Transport programme includes traffic signal projects and the provision of capital grants and loans provided within the definitions of capital expenditure contained in the Local Authorities (Capital Finance and Accounting) Regulations 2003 for highways and transport purposes.</w:t>
      </w:r>
    </w:p>
    <w:p w14:paraId="17843CF5" w14:textId="77777777" w:rsidR="00016C24" w:rsidRPr="00522643" w:rsidRDefault="00016C24" w:rsidP="00016C24">
      <w:pPr>
        <w:pStyle w:val="Normal0"/>
        <w:spacing w:after="160" w:line="240" w:lineRule="auto"/>
        <w:rPr>
          <w:rFonts w:ascii="Arial" w:hAnsi="Arial" w:cs="Arial"/>
          <w:sz w:val="24"/>
          <w:szCs w:val="24"/>
          <w:lang w:val="en-GB"/>
        </w:rPr>
      </w:pPr>
      <w:r w:rsidRPr="00522643">
        <w:rPr>
          <w:rFonts w:ascii="Arial" w:hAnsi="Arial" w:cs="Arial"/>
          <w:sz w:val="24"/>
          <w:szCs w:val="24"/>
          <w:lang w:val="en-GB"/>
        </w:rPr>
        <w:t>The Economic Development and Regeneration programme includes the provision of capital grants and loans provided within the definitions of capital expenditure contained in the Local Authorities (Capital Finance and Accounting) Regulations 2003 for economic development and regeneration purposes.</w:t>
      </w:r>
    </w:p>
    <w:p w14:paraId="472338E1" w14:textId="77777777" w:rsidR="00016C24" w:rsidRPr="00522643" w:rsidRDefault="00016C24" w:rsidP="00016C24">
      <w:pPr>
        <w:pStyle w:val="Normal0"/>
        <w:spacing w:after="160" w:line="240" w:lineRule="auto"/>
        <w:rPr>
          <w:rFonts w:ascii="Arial" w:hAnsi="Arial" w:cs="Arial"/>
          <w:sz w:val="24"/>
          <w:szCs w:val="24"/>
          <w:lang w:val="en-GB"/>
        </w:rPr>
      </w:pPr>
      <w:r w:rsidRPr="00522643">
        <w:rPr>
          <w:rFonts w:ascii="Arial" w:hAnsi="Arial" w:cs="Arial"/>
          <w:sz w:val="24"/>
          <w:szCs w:val="24"/>
          <w:lang w:val="en-GB"/>
        </w:rPr>
        <w:t>The Mayoral General Fund capital programme wholly related to investment in fire and rescue projects such as vehicles, fire stations and new information technology.</w:t>
      </w:r>
    </w:p>
    <w:p w14:paraId="2D49DA38" w14:textId="77777777" w:rsidR="00016C24" w:rsidRPr="00522643" w:rsidRDefault="00016C24" w:rsidP="00016C24">
      <w:pPr>
        <w:pStyle w:val="Normal0"/>
        <w:spacing w:after="160" w:line="240" w:lineRule="auto"/>
        <w:rPr>
          <w:rFonts w:ascii="Arial" w:hAnsi="Arial" w:cs="Arial"/>
          <w:sz w:val="24"/>
          <w:szCs w:val="24"/>
          <w:lang w:val="en-GB"/>
        </w:rPr>
      </w:pPr>
      <w:r w:rsidRPr="00522643">
        <w:rPr>
          <w:rFonts w:ascii="Arial" w:hAnsi="Arial" w:cs="Arial"/>
          <w:sz w:val="24"/>
          <w:szCs w:val="24"/>
          <w:lang w:val="en-GB"/>
        </w:rPr>
        <w:t>Capital expenditure is financed directly from one of the three following sources:</w:t>
      </w:r>
    </w:p>
    <w:p w14:paraId="05455EF4" w14:textId="77777777" w:rsidR="00016C24" w:rsidRPr="00522643" w:rsidRDefault="00016C24" w:rsidP="00EB27EB">
      <w:pPr>
        <w:pStyle w:val="Normal0"/>
        <w:numPr>
          <w:ilvl w:val="0"/>
          <w:numId w:val="58"/>
        </w:numPr>
        <w:spacing w:after="160" w:line="240" w:lineRule="auto"/>
        <w:rPr>
          <w:rFonts w:ascii="Arial" w:hAnsi="Arial" w:cs="Arial"/>
          <w:sz w:val="24"/>
          <w:szCs w:val="24"/>
          <w:lang w:val="en-GB"/>
        </w:rPr>
      </w:pPr>
      <w:r w:rsidRPr="00522643">
        <w:rPr>
          <w:rFonts w:ascii="Arial" w:hAnsi="Arial" w:cs="Arial"/>
          <w:sz w:val="24"/>
          <w:szCs w:val="24"/>
          <w:lang w:val="en-GB"/>
        </w:rPr>
        <w:t>Grants or contributions from external sources;</w:t>
      </w:r>
    </w:p>
    <w:p w14:paraId="51586A7E" w14:textId="77777777" w:rsidR="00016C24" w:rsidRPr="00522643" w:rsidRDefault="00016C24" w:rsidP="00EB27EB">
      <w:pPr>
        <w:pStyle w:val="Normal0"/>
        <w:numPr>
          <w:ilvl w:val="0"/>
          <w:numId w:val="58"/>
        </w:numPr>
        <w:spacing w:after="160" w:line="240" w:lineRule="auto"/>
        <w:rPr>
          <w:rFonts w:ascii="Arial" w:hAnsi="Arial" w:cs="Arial"/>
          <w:sz w:val="24"/>
          <w:szCs w:val="24"/>
          <w:lang w:val="en-GB"/>
        </w:rPr>
      </w:pPr>
      <w:r w:rsidRPr="00522643">
        <w:rPr>
          <w:rFonts w:ascii="Arial" w:hAnsi="Arial" w:cs="Arial"/>
          <w:sz w:val="24"/>
          <w:szCs w:val="24"/>
          <w:lang w:val="en-GB"/>
        </w:rPr>
        <w:t>Proceeds from the sale of capital assets or the repayment of capital loan advances;</w:t>
      </w:r>
    </w:p>
    <w:p w14:paraId="47FA31EC" w14:textId="77777777" w:rsidR="00016C24" w:rsidRPr="00522643" w:rsidRDefault="00016C24" w:rsidP="00EB27EB">
      <w:pPr>
        <w:pStyle w:val="Normal0"/>
        <w:numPr>
          <w:ilvl w:val="0"/>
          <w:numId w:val="58"/>
        </w:numPr>
        <w:spacing w:after="160" w:line="240" w:lineRule="auto"/>
        <w:rPr>
          <w:rFonts w:ascii="Arial" w:hAnsi="Arial" w:cs="Arial"/>
          <w:sz w:val="24"/>
          <w:szCs w:val="24"/>
          <w:lang w:val="en-GB"/>
        </w:rPr>
      </w:pPr>
      <w:r w:rsidRPr="00522643">
        <w:rPr>
          <w:rFonts w:ascii="Arial" w:hAnsi="Arial" w:cs="Arial"/>
          <w:sz w:val="24"/>
          <w:szCs w:val="24"/>
          <w:lang w:val="en-GB"/>
        </w:rPr>
        <w:t>Direct funding from the revenue.</w:t>
      </w:r>
    </w:p>
    <w:p w14:paraId="645A15E1" w14:textId="77777777" w:rsidR="00016C24" w:rsidRPr="00522643" w:rsidRDefault="00016C24" w:rsidP="00016C24">
      <w:pPr>
        <w:pStyle w:val="Normal0"/>
        <w:spacing w:after="160" w:line="240" w:lineRule="auto"/>
        <w:rPr>
          <w:rFonts w:ascii="Arial" w:hAnsi="Arial" w:cs="Arial"/>
          <w:sz w:val="24"/>
          <w:szCs w:val="24"/>
          <w:lang w:val="en-GB"/>
        </w:rPr>
      </w:pPr>
      <w:r w:rsidRPr="00522643">
        <w:rPr>
          <w:rFonts w:ascii="Arial" w:hAnsi="Arial" w:cs="Arial"/>
          <w:sz w:val="24"/>
          <w:szCs w:val="24"/>
          <w:lang w:val="en-GB"/>
        </w:rPr>
        <w:t>Capital expenditure not directly financed from the three sources above increases the Capital Financing Requirement and is charged in future years through the revenue budget over the life of the assets in line with the Minimum Revenue Provision policy.</w:t>
      </w:r>
    </w:p>
    <w:p w14:paraId="6F064F33" w14:textId="77777777" w:rsidR="00016C24" w:rsidRDefault="00016C24" w:rsidP="00016C24">
      <w:pPr>
        <w:pStyle w:val="Normal0"/>
        <w:spacing w:after="160" w:line="240" w:lineRule="auto"/>
        <w:rPr>
          <w:rFonts w:ascii="Arial" w:hAnsi="Arial" w:cs="Arial"/>
          <w:sz w:val="24"/>
          <w:szCs w:val="22"/>
        </w:rPr>
      </w:pPr>
      <w:r w:rsidRPr="00522643">
        <w:rPr>
          <w:rFonts w:ascii="Arial" w:hAnsi="Arial" w:cs="Arial"/>
          <w:sz w:val="24"/>
          <w:szCs w:val="22"/>
        </w:rPr>
        <w:t>The Authority’s capital programme outturn and how it was financed is summarised in the tables below:</w:t>
      </w:r>
    </w:p>
    <w:tbl>
      <w:tblPr>
        <w:tblW w:w="0" w:type="auto"/>
        <w:tblLook w:val="04A0" w:firstRow="1" w:lastRow="0" w:firstColumn="1" w:lastColumn="0" w:noHBand="0" w:noVBand="1"/>
      </w:tblPr>
      <w:tblGrid>
        <w:gridCol w:w="4106"/>
        <w:gridCol w:w="1134"/>
        <w:gridCol w:w="1414"/>
        <w:gridCol w:w="1529"/>
        <w:gridCol w:w="1217"/>
      </w:tblGrid>
      <w:tr w:rsidR="00016C24" w:rsidRPr="0024033B" w14:paraId="6C60F3B3" w14:textId="77777777" w:rsidTr="00500FD5">
        <w:trPr>
          <w:trHeight w:val="945"/>
          <w:tblHeader/>
        </w:trPr>
        <w:tc>
          <w:tcPr>
            <w:tcW w:w="4106" w:type="dxa"/>
            <w:tcBorders>
              <w:top w:val="single" w:sz="4" w:space="0" w:color="auto"/>
              <w:left w:val="single" w:sz="4" w:space="0" w:color="auto"/>
              <w:bottom w:val="nil"/>
              <w:right w:val="nil"/>
            </w:tcBorders>
            <w:shd w:val="clear" w:color="000000" w:fill="FFFFFF"/>
            <w:vAlign w:val="bottom"/>
            <w:hideMark/>
          </w:tcPr>
          <w:p w14:paraId="60193809" w14:textId="77777777" w:rsidR="00016C24" w:rsidRPr="0024033B" w:rsidRDefault="00016C24" w:rsidP="00500FD5">
            <w:pPr>
              <w:rPr>
                <w:rFonts w:ascii="Arial" w:hAnsi="Arial" w:cs="Arial"/>
                <w:b/>
                <w:bCs/>
                <w:lang w:eastAsia="en-GB"/>
              </w:rPr>
            </w:pPr>
            <w:r>
              <w:rPr>
                <w:rFonts w:ascii="Arial" w:hAnsi="Arial" w:cs="Arial"/>
                <w:b/>
                <w:bCs/>
                <w:lang w:eastAsia="en-GB"/>
              </w:rPr>
              <w:lastRenderedPageBreak/>
              <w:t>Capital Programme 2021/22</w:t>
            </w:r>
          </w:p>
        </w:tc>
        <w:tc>
          <w:tcPr>
            <w:tcW w:w="1134" w:type="dxa"/>
            <w:tcBorders>
              <w:top w:val="single" w:sz="4" w:space="0" w:color="auto"/>
              <w:left w:val="single" w:sz="4" w:space="0" w:color="auto"/>
              <w:bottom w:val="nil"/>
              <w:right w:val="nil"/>
            </w:tcBorders>
            <w:shd w:val="clear" w:color="000000" w:fill="FFFFFF"/>
            <w:vAlign w:val="bottom"/>
            <w:hideMark/>
          </w:tcPr>
          <w:p w14:paraId="4287894F" w14:textId="77777777" w:rsidR="00016C24" w:rsidRPr="0024033B" w:rsidRDefault="00016C24" w:rsidP="00500FD5">
            <w:pPr>
              <w:jc w:val="center"/>
              <w:rPr>
                <w:rFonts w:ascii="Arial" w:hAnsi="Arial" w:cs="Arial"/>
                <w:b/>
                <w:bCs/>
                <w:lang w:eastAsia="en-GB"/>
              </w:rPr>
            </w:pPr>
            <w:r w:rsidRPr="0024033B">
              <w:rPr>
                <w:rFonts w:ascii="Arial" w:hAnsi="Arial" w:cs="Arial"/>
                <w:b/>
                <w:bCs/>
                <w:lang w:eastAsia="en-GB"/>
              </w:rPr>
              <w:t>Budget 2021/22</w:t>
            </w:r>
          </w:p>
        </w:tc>
        <w:tc>
          <w:tcPr>
            <w:tcW w:w="1414" w:type="dxa"/>
            <w:tcBorders>
              <w:top w:val="single" w:sz="4" w:space="0" w:color="auto"/>
              <w:left w:val="single" w:sz="4" w:space="0" w:color="auto"/>
              <w:bottom w:val="nil"/>
              <w:right w:val="single" w:sz="4" w:space="0" w:color="auto"/>
            </w:tcBorders>
            <w:shd w:val="clear" w:color="000000" w:fill="FFFFFF"/>
            <w:vAlign w:val="bottom"/>
            <w:hideMark/>
          </w:tcPr>
          <w:p w14:paraId="64AB85F2" w14:textId="77777777" w:rsidR="00016C24" w:rsidRPr="0024033B" w:rsidRDefault="00016C24" w:rsidP="00500FD5">
            <w:pPr>
              <w:jc w:val="center"/>
              <w:rPr>
                <w:rFonts w:ascii="Arial" w:hAnsi="Arial" w:cs="Arial"/>
                <w:b/>
                <w:bCs/>
                <w:lang w:eastAsia="en-GB"/>
              </w:rPr>
            </w:pPr>
            <w:r w:rsidRPr="0024033B">
              <w:rPr>
                <w:rFonts w:ascii="Arial" w:hAnsi="Arial" w:cs="Arial"/>
                <w:b/>
                <w:bCs/>
                <w:lang w:eastAsia="en-GB"/>
              </w:rPr>
              <w:t>Previous 2021/22 Forecast</w:t>
            </w:r>
          </w:p>
        </w:tc>
        <w:tc>
          <w:tcPr>
            <w:tcW w:w="0" w:type="auto"/>
            <w:tcBorders>
              <w:top w:val="single" w:sz="4" w:space="0" w:color="auto"/>
              <w:left w:val="nil"/>
              <w:bottom w:val="nil"/>
              <w:right w:val="single" w:sz="4" w:space="0" w:color="auto"/>
            </w:tcBorders>
            <w:shd w:val="clear" w:color="000000" w:fill="FFFFFF"/>
            <w:vAlign w:val="bottom"/>
            <w:hideMark/>
          </w:tcPr>
          <w:p w14:paraId="233E847C" w14:textId="77777777" w:rsidR="00016C24" w:rsidRPr="0024033B" w:rsidRDefault="00016C24" w:rsidP="00500FD5">
            <w:pPr>
              <w:jc w:val="center"/>
              <w:rPr>
                <w:rFonts w:ascii="Arial" w:hAnsi="Arial" w:cs="Arial"/>
                <w:b/>
                <w:bCs/>
                <w:lang w:eastAsia="en-GB"/>
              </w:rPr>
            </w:pPr>
            <w:r w:rsidRPr="0024033B">
              <w:rPr>
                <w:rFonts w:ascii="Arial" w:hAnsi="Arial" w:cs="Arial"/>
                <w:b/>
                <w:bCs/>
                <w:lang w:eastAsia="en-GB"/>
              </w:rPr>
              <w:t>Outturn 2021/22</w:t>
            </w:r>
          </w:p>
        </w:tc>
        <w:tc>
          <w:tcPr>
            <w:tcW w:w="0" w:type="auto"/>
            <w:tcBorders>
              <w:top w:val="single" w:sz="4" w:space="0" w:color="auto"/>
              <w:left w:val="nil"/>
              <w:bottom w:val="nil"/>
              <w:right w:val="single" w:sz="4" w:space="0" w:color="auto"/>
            </w:tcBorders>
            <w:shd w:val="clear" w:color="000000" w:fill="FFFFFF"/>
            <w:vAlign w:val="bottom"/>
            <w:hideMark/>
          </w:tcPr>
          <w:p w14:paraId="306D4E48" w14:textId="77777777" w:rsidR="00016C24" w:rsidRPr="0024033B" w:rsidRDefault="00016C24" w:rsidP="00500FD5">
            <w:pPr>
              <w:jc w:val="center"/>
              <w:rPr>
                <w:rFonts w:ascii="Arial" w:hAnsi="Arial" w:cs="Arial"/>
                <w:b/>
                <w:bCs/>
                <w:lang w:eastAsia="en-GB"/>
              </w:rPr>
            </w:pPr>
            <w:r w:rsidRPr="0024033B">
              <w:rPr>
                <w:rFonts w:ascii="Arial" w:hAnsi="Arial" w:cs="Arial"/>
                <w:b/>
                <w:bCs/>
                <w:lang w:eastAsia="en-GB"/>
              </w:rPr>
              <w:t>Variance</w:t>
            </w:r>
          </w:p>
        </w:tc>
      </w:tr>
      <w:tr w:rsidR="00016C24" w:rsidRPr="0024033B" w14:paraId="4C5843E9" w14:textId="77777777" w:rsidTr="00500FD5">
        <w:trPr>
          <w:trHeight w:val="315"/>
          <w:tblHeader/>
        </w:trPr>
        <w:tc>
          <w:tcPr>
            <w:tcW w:w="4106" w:type="dxa"/>
            <w:tcBorders>
              <w:top w:val="nil"/>
              <w:left w:val="single" w:sz="4" w:space="0" w:color="auto"/>
              <w:bottom w:val="single" w:sz="4" w:space="0" w:color="auto"/>
              <w:right w:val="nil"/>
            </w:tcBorders>
            <w:shd w:val="clear" w:color="000000" w:fill="FFFFFF"/>
            <w:vAlign w:val="bottom"/>
            <w:hideMark/>
          </w:tcPr>
          <w:p w14:paraId="5E72082C" w14:textId="77777777" w:rsidR="00016C24" w:rsidRPr="0024033B" w:rsidRDefault="00016C24" w:rsidP="00500FD5">
            <w:pPr>
              <w:jc w:val="center"/>
              <w:rPr>
                <w:rFonts w:ascii="Arial" w:hAnsi="Arial" w:cs="Arial"/>
                <w:b/>
                <w:bCs/>
                <w:color w:val="003366"/>
                <w:lang w:eastAsia="en-GB"/>
              </w:rPr>
            </w:pPr>
            <w:r w:rsidRPr="0024033B">
              <w:rPr>
                <w:rFonts w:ascii="Arial" w:hAnsi="Arial" w:cs="Arial"/>
                <w:b/>
                <w:bCs/>
                <w:color w:val="003366"/>
                <w:lang w:eastAsia="en-GB"/>
              </w:rPr>
              <w:t> </w:t>
            </w:r>
          </w:p>
        </w:tc>
        <w:tc>
          <w:tcPr>
            <w:tcW w:w="1134" w:type="dxa"/>
            <w:tcBorders>
              <w:top w:val="nil"/>
              <w:left w:val="single" w:sz="4" w:space="0" w:color="auto"/>
              <w:bottom w:val="single" w:sz="4" w:space="0" w:color="auto"/>
              <w:right w:val="nil"/>
            </w:tcBorders>
            <w:shd w:val="clear" w:color="000000" w:fill="FFFFFF"/>
            <w:vAlign w:val="bottom"/>
            <w:hideMark/>
          </w:tcPr>
          <w:p w14:paraId="57B05A6C" w14:textId="77777777" w:rsidR="00016C24" w:rsidRPr="0024033B" w:rsidRDefault="00016C24" w:rsidP="00500FD5">
            <w:pPr>
              <w:jc w:val="center"/>
              <w:rPr>
                <w:rFonts w:ascii="Arial" w:hAnsi="Arial" w:cs="Arial"/>
                <w:b/>
                <w:bCs/>
                <w:lang w:eastAsia="en-GB"/>
              </w:rPr>
            </w:pPr>
            <w:r w:rsidRPr="0024033B">
              <w:rPr>
                <w:rFonts w:ascii="Arial" w:hAnsi="Arial" w:cs="Arial"/>
                <w:b/>
                <w:bCs/>
                <w:lang w:eastAsia="en-GB"/>
              </w:rPr>
              <w:t>£000</w:t>
            </w:r>
          </w:p>
        </w:tc>
        <w:tc>
          <w:tcPr>
            <w:tcW w:w="1414" w:type="dxa"/>
            <w:tcBorders>
              <w:top w:val="nil"/>
              <w:left w:val="single" w:sz="4" w:space="0" w:color="auto"/>
              <w:bottom w:val="single" w:sz="4" w:space="0" w:color="auto"/>
              <w:right w:val="nil"/>
            </w:tcBorders>
            <w:shd w:val="clear" w:color="000000" w:fill="FFFFFF"/>
            <w:vAlign w:val="bottom"/>
            <w:hideMark/>
          </w:tcPr>
          <w:p w14:paraId="2389C44B" w14:textId="77777777" w:rsidR="00016C24" w:rsidRPr="0024033B" w:rsidRDefault="00016C24" w:rsidP="00500FD5">
            <w:pPr>
              <w:jc w:val="center"/>
              <w:rPr>
                <w:rFonts w:ascii="Arial" w:hAnsi="Arial" w:cs="Arial"/>
                <w:b/>
                <w:bCs/>
                <w:lang w:eastAsia="en-GB"/>
              </w:rPr>
            </w:pPr>
            <w:r w:rsidRPr="0024033B">
              <w:rPr>
                <w:rFonts w:ascii="Arial" w:hAnsi="Arial" w:cs="Arial"/>
                <w:b/>
                <w:bCs/>
                <w:lang w:eastAsia="en-GB"/>
              </w:rPr>
              <w:t>£000</w:t>
            </w:r>
          </w:p>
        </w:tc>
        <w:tc>
          <w:tcPr>
            <w:tcW w:w="0" w:type="auto"/>
            <w:tcBorders>
              <w:top w:val="nil"/>
              <w:left w:val="single" w:sz="4" w:space="0" w:color="auto"/>
              <w:bottom w:val="single" w:sz="4" w:space="0" w:color="auto"/>
              <w:right w:val="nil"/>
            </w:tcBorders>
            <w:shd w:val="clear" w:color="000000" w:fill="FFFFFF"/>
            <w:vAlign w:val="bottom"/>
            <w:hideMark/>
          </w:tcPr>
          <w:p w14:paraId="773C29AA" w14:textId="77777777" w:rsidR="00016C24" w:rsidRPr="0024033B" w:rsidRDefault="00016C24" w:rsidP="00500FD5">
            <w:pPr>
              <w:jc w:val="center"/>
              <w:rPr>
                <w:rFonts w:ascii="Arial" w:hAnsi="Arial" w:cs="Arial"/>
                <w:b/>
                <w:bCs/>
                <w:lang w:eastAsia="en-GB"/>
              </w:rPr>
            </w:pPr>
            <w:r w:rsidRPr="0024033B">
              <w:rPr>
                <w:rFonts w:ascii="Arial" w:hAnsi="Arial" w:cs="Arial"/>
                <w:b/>
                <w:bCs/>
                <w:lang w:eastAsia="en-GB"/>
              </w:rPr>
              <w:t>£000</w:t>
            </w:r>
          </w:p>
        </w:tc>
        <w:tc>
          <w:tcPr>
            <w:tcW w:w="0" w:type="auto"/>
            <w:tcBorders>
              <w:top w:val="nil"/>
              <w:left w:val="single" w:sz="4" w:space="0" w:color="auto"/>
              <w:bottom w:val="single" w:sz="4" w:space="0" w:color="auto"/>
              <w:right w:val="single" w:sz="4" w:space="0" w:color="auto"/>
            </w:tcBorders>
            <w:shd w:val="clear" w:color="000000" w:fill="FFFFFF"/>
            <w:vAlign w:val="bottom"/>
            <w:hideMark/>
          </w:tcPr>
          <w:p w14:paraId="5A175658" w14:textId="77777777" w:rsidR="00016C24" w:rsidRPr="0024033B" w:rsidRDefault="00016C24" w:rsidP="00500FD5">
            <w:pPr>
              <w:jc w:val="center"/>
              <w:rPr>
                <w:rFonts w:ascii="Arial" w:hAnsi="Arial" w:cs="Arial"/>
                <w:b/>
                <w:bCs/>
                <w:lang w:eastAsia="en-GB"/>
              </w:rPr>
            </w:pPr>
            <w:r w:rsidRPr="0024033B">
              <w:rPr>
                <w:rFonts w:ascii="Arial" w:hAnsi="Arial" w:cs="Arial"/>
                <w:b/>
                <w:bCs/>
                <w:lang w:eastAsia="en-GB"/>
              </w:rPr>
              <w:t>£000</w:t>
            </w:r>
          </w:p>
        </w:tc>
      </w:tr>
      <w:tr w:rsidR="00016C24" w:rsidRPr="0024033B" w14:paraId="206A83A2" w14:textId="77777777" w:rsidTr="00500FD5">
        <w:trPr>
          <w:trHeight w:val="630"/>
        </w:trPr>
        <w:tc>
          <w:tcPr>
            <w:tcW w:w="4106" w:type="dxa"/>
            <w:tcBorders>
              <w:top w:val="nil"/>
              <w:left w:val="single" w:sz="4" w:space="0" w:color="auto"/>
              <w:bottom w:val="nil"/>
              <w:right w:val="nil"/>
            </w:tcBorders>
            <w:shd w:val="clear" w:color="000000" w:fill="FFFFFF"/>
            <w:vAlign w:val="bottom"/>
            <w:hideMark/>
          </w:tcPr>
          <w:p w14:paraId="71322898" w14:textId="77777777" w:rsidR="00016C24" w:rsidRPr="0024033B" w:rsidRDefault="00016C24" w:rsidP="00500FD5">
            <w:pPr>
              <w:rPr>
                <w:rFonts w:ascii="Arial" w:hAnsi="Arial" w:cs="Arial"/>
                <w:b/>
                <w:bCs/>
                <w:lang w:eastAsia="en-GB"/>
              </w:rPr>
            </w:pPr>
            <w:r w:rsidRPr="0024033B">
              <w:rPr>
                <w:rFonts w:ascii="Arial" w:hAnsi="Arial" w:cs="Arial"/>
                <w:b/>
                <w:bCs/>
                <w:lang w:eastAsia="en-GB"/>
              </w:rPr>
              <w:t>Greater Manchester Transport Fund schemes</w:t>
            </w:r>
          </w:p>
        </w:tc>
        <w:tc>
          <w:tcPr>
            <w:tcW w:w="1134" w:type="dxa"/>
            <w:tcBorders>
              <w:top w:val="nil"/>
              <w:left w:val="single" w:sz="4" w:space="0" w:color="auto"/>
              <w:bottom w:val="nil"/>
              <w:right w:val="nil"/>
            </w:tcBorders>
            <w:shd w:val="clear" w:color="000000" w:fill="FFFFFF"/>
            <w:vAlign w:val="bottom"/>
            <w:hideMark/>
          </w:tcPr>
          <w:p w14:paraId="2C4C3F17" w14:textId="77777777" w:rsidR="00016C24" w:rsidRPr="0024033B" w:rsidRDefault="00016C24" w:rsidP="00500FD5">
            <w:pPr>
              <w:rPr>
                <w:rFonts w:ascii="Arial" w:hAnsi="Arial" w:cs="Arial"/>
                <w:b/>
                <w:bCs/>
                <w:lang w:eastAsia="en-GB"/>
              </w:rPr>
            </w:pPr>
            <w:r w:rsidRPr="0024033B">
              <w:rPr>
                <w:rFonts w:ascii="Arial" w:hAnsi="Arial" w:cs="Arial"/>
                <w:b/>
                <w:bCs/>
                <w:lang w:eastAsia="en-GB"/>
              </w:rPr>
              <w:t> </w:t>
            </w:r>
          </w:p>
        </w:tc>
        <w:tc>
          <w:tcPr>
            <w:tcW w:w="1414" w:type="dxa"/>
            <w:tcBorders>
              <w:top w:val="nil"/>
              <w:left w:val="single" w:sz="4" w:space="0" w:color="auto"/>
              <w:bottom w:val="nil"/>
              <w:right w:val="single" w:sz="4" w:space="0" w:color="auto"/>
            </w:tcBorders>
            <w:shd w:val="clear" w:color="000000" w:fill="FFFFFF"/>
            <w:vAlign w:val="bottom"/>
            <w:hideMark/>
          </w:tcPr>
          <w:p w14:paraId="041D102E"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 </w:t>
            </w:r>
          </w:p>
        </w:tc>
        <w:tc>
          <w:tcPr>
            <w:tcW w:w="0" w:type="auto"/>
            <w:tcBorders>
              <w:top w:val="nil"/>
              <w:left w:val="nil"/>
              <w:bottom w:val="nil"/>
              <w:right w:val="single" w:sz="4" w:space="0" w:color="auto"/>
            </w:tcBorders>
            <w:shd w:val="clear" w:color="000000" w:fill="FFFFFF"/>
            <w:vAlign w:val="bottom"/>
            <w:hideMark/>
          </w:tcPr>
          <w:p w14:paraId="6A025860"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 </w:t>
            </w:r>
          </w:p>
        </w:tc>
        <w:tc>
          <w:tcPr>
            <w:tcW w:w="0" w:type="auto"/>
            <w:tcBorders>
              <w:top w:val="nil"/>
              <w:left w:val="nil"/>
              <w:bottom w:val="nil"/>
              <w:right w:val="single" w:sz="4" w:space="0" w:color="auto"/>
            </w:tcBorders>
            <w:shd w:val="clear" w:color="000000" w:fill="FFFFFF"/>
            <w:vAlign w:val="bottom"/>
            <w:hideMark/>
          </w:tcPr>
          <w:p w14:paraId="77054665"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 </w:t>
            </w:r>
          </w:p>
        </w:tc>
      </w:tr>
      <w:tr w:rsidR="00016C24" w:rsidRPr="0024033B" w14:paraId="2661E929" w14:textId="77777777" w:rsidTr="00500FD5">
        <w:trPr>
          <w:trHeight w:val="300"/>
        </w:trPr>
        <w:tc>
          <w:tcPr>
            <w:tcW w:w="4106" w:type="dxa"/>
            <w:tcBorders>
              <w:top w:val="nil"/>
              <w:left w:val="single" w:sz="4" w:space="0" w:color="auto"/>
              <w:bottom w:val="nil"/>
              <w:right w:val="nil"/>
            </w:tcBorders>
            <w:shd w:val="clear" w:color="000000" w:fill="FFFFFF"/>
            <w:hideMark/>
          </w:tcPr>
          <w:p w14:paraId="3148A9E8" w14:textId="77777777" w:rsidR="00016C24" w:rsidRPr="0024033B" w:rsidRDefault="00016C24" w:rsidP="00500FD5">
            <w:pPr>
              <w:rPr>
                <w:rFonts w:ascii="Arial" w:hAnsi="Arial" w:cs="Arial"/>
                <w:color w:val="000000"/>
                <w:lang w:eastAsia="en-GB"/>
              </w:rPr>
            </w:pPr>
            <w:r w:rsidRPr="0024033B">
              <w:rPr>
                <w:rFonts w:ascii="Arial" w:hAnsi="Arial" w:cs="Arial"/>
                <w:color w:val="000000"/>
                <w:lang w:eastAsia="en-GB"/>
              </w:rPr>
              <w:t>Metrolink Programme</w:t>
            </w:r>
          </w:p>
        </w:tc>
        <w:tc>
          <w:tcPr>
            <w:tcW w:w="1134" w:type="dxa"/>
            <w:tcBorders>
              <w:top w:val="nil"/>
              <w:left w:val="single" w:sz="4" w:space="0" w:color="auto"/>
              <w:bottom w:val="nil"/>
              <w:right w:val="nil"/>
            </w:tcBorders>
            <w:shd w:val="clear" w:color="000000" w:fill="FFFFFF"/>
            <w:vAlign w:val="bottom"/>
            <w:hideMark/>
          </w:tcPr>
          <w:p w14:paraId="4BAAEAC5" w14:textId="77777777" w:rsidR="00016C24" w:rsidRPr="0024033B" w:rsidRDefault="00016C24" w:rsidP="00500FD5">
            <w:pPr>
              <w:jc w:val="right"/>
              <w:rPr>
                <w:rFonts w:ascii="Arial" w:hAnsi="Arial" w:cs="Arial"/>
                <w:color w:val="000000"/>
                <w:lang w:eastAsia="en-GB"/>
              </w:rPr>
            </w:pPr>
            <w:r w:rsidRPr="0024033B">
              <w:rPr>
                <w:rFonts w:ascii="Arial" w:hAnsi="Arial" w:cs="Arial"/>
                <w:color w:val="000000"/>
                <w:lang w:eastAsia="en-GB"/>
              </w:rPr>
              <w:t>5,770</w:t>
            </w:r>
          </w:p>
        </w:tc>
        <w:tc>
          <w:tcPr>
            <w:tcW w:w="1414" w:type="dxa"/>
            <w:tcBorders>
              <w:top w:val="nil"/>
              <w:left w:val="single" w:sz="4" w:space="0" w:color="auto"/>
              <w:bottom w:val="nil"/>
              <w:right w:val="single" w:sz="4" w:space="0" w:color="auto"/>
            </w:tcBorders>
            <w:shd w:val="clear" w:color="000000" w:fill="FFFFFF"/>
            <w:vAlign w:val="bottom"/>
            <w:hideMark/>
          </w:tcPr>
          <w:p w14:paraId="76FD57F6" w14:textId="77777777" w:rsidR="00016C24" w:rsidRPr="0024033B" w:rsidRDefault="00016C24" w:rsidP="00500FD5">
            <w:pPr>
              <w:jc w:val="right"/>
              <w:rPr>
                <w:rFonts w:ascii="Arial" w:hAnsi="Arial" w:cs="Arial"/>
                <w:lang w:eastAsia="en-GB"/>
              </w:rPr>
            </w:pPr>
            <w:r w:rsidRPr="0024033B">
              <w:rPr>
                <w:rFonts w:ascii="Arial" w:hAnsi="Arial" w:cs="Arial"/>
                <w:lang w:eastAsia="en-GB"/>
              </w:rPr>
              <w:t>7,020</w:t>
            </w:r>
          </w:p>
        </w:tc>
        <w:tc>
          <w:tcPr>
            <w:tcW w:w="0" w:type="auto"/>
            <w:tcBorders>
              <w:top w:val="nil"/>
              <w:left w:val="nil"/>
              <w:bottom w:val="nil"/>
              <w:right w:val="single" w:sz="4" w:space="0" w:color="auto"/>
            </w:tcBorders>
            <w:shd w:val="clear" w:color="000000" w:fill="FFFFFF"/>
            <w:vAlign w:val="bottom"/>
            <w:hideMark/>
          </w:tcPr>
          <w:p w14:paraId="702474BF" w14:textId="77777777" w:rsidR="00016C24" w:rsidRPr="0024033B" w:rsidRDefault="00016C24" w:rsidP="00500FD5">
            <w:pPr>
              <w:jc w:val="right"/>
              <w:rPr>
                <w:rFonts w:ascii="Arial" w:hAnsi="Arial" w:cs="Arial"/>
                <w:lang w:eastAsia="en-GB"/>
              </w:rPr>
            </w:pPr>
            <w:r w:rsidRPr="0024033B">
              <w:rPr>
                <w:rFonts w:ascii="Arial" w:hAnsi="Arial" w:cs="Arial"/>
                <w:lang w:eastAsia="en-GB"/>
              </w:rPr>
              <w:t>5,877</w:t>
            </w:r>
          </w:p>
        </w:tc>
        <w:tc>
          <w:tcPr>
            <w:tcW w:w="0" w:type="auto"/>
            <w:tcBorders>
              <w:top w:val="nil"/>
              <w:left w:val="nil"/>
              <w:bottom w:val="nil"/>
              <w:right w:val="single" w:sz="4" w:space="0" w:color="auto"/>
            </w:tcBorders>
            <w:shd w:val="clear" w:color="000000" w:fill="FFFFFF"/>
            <w:vAlign w:val="bottom"/>
            <w:hideMark/>
          </w:tcPr>
          <w:p w14:paraId="419FB14F" w14:textId="77777777" w:rsidR="00016C24" w:rsidRPr="0024033B" w:rsidRDefault="00016C24" w:rsidP="00500FD5">
            <w:pPr>
              <w:jc w:val="right"/>
              <w:rPr>
                <w:rFonts w:ascii="Arial" w:hAnsi="Arial" w:cs="Arial"/>
                <w:lang w:eastAsia="en-GB"/>
              </w:rPr>
            </w:pPr>
            <w:r w:rsidRPr="0024033B">
              <w:rPr>
                <w:rFonts w:ascii="Arial" w:hAnsi="Arial" w:cs="Arial"/>
                <w:lang w:eastAsia="en-GB"/>
              </w:rPr>
              <w:t>(1,143)</w:t>
            </w:r>
          </w:p>
        </w:tc>
      </w:tr>
      <w:tr w:rsidR="00016C24" w:rsidRPr="0024033B" w14:paraId="777D3901" w14:textId="77777777" w:rsidTr="00500FD5">
        <w:trPr>
          <w:trHeight w:val="300"/>
        </w:trPr>
        <w:tc>
          <w:tcPr>
            <w:tcW w:w="4106" w:type="dxa"/>
            <w:tcBorders>
              <w:top w:val="nil"/>
              <w:left w:val="single" w:sz="4" w:space="0" w:color="auto"/>
              <w:bottom w:val="nil"/>
              <w:right w:val="nil"/>
            </w:tcBorders>
            <w:shd w:val="clear" w:color="000000" w:fill="FFFFFF"/>
            <w:hideMark/>
          </w:tcPr>
          <w:p w14:paraId="153A8BFC" w14:textId="77777777" w:rsidR="00016C24" w:rsidRPr="0024033B" w:rsidRDefault="00016C24" w:rsidP="00500FD5">
            <w:pPr>
              <w:rPr>
                <w:rFonts w:ascii="Arial" w:hAnsi="Arial" w:cs="Arial"/>
                <w:color w:val="000000"/>
                <w:lang w:eastAsia="en-GB"/>
              </w:rPr>
            </w:pPr>
            <w:r w:rsidRPr="0024033B">
              <w:rPr>
                <w:rFonts w:ascii="Arial" w:hAnsi="Arial" w:cs="Arial"/>
                <w:color w:val="000000"/>
                <w:lang w:eastAsia="en-GB"/>
              </w:rPr>
              <w:t xml:space="preserve">Metrolink Renewals </w:t>
            </w:r>
          </w:p>
        </w:tc>
        <w:tc>
          <w:tcPr>
            <w:tcW w:w="1134" w:type="dxa"/>
            <w:tcBorders>
              <w:top w:val="nil"/>
              <w:left w:val="single" w:sz="4" w:space="0" w:color="auto"/>
              <w:bottom w:val="nil"/>
              <w:right w:val="nil"/>
            </w:tcBorders>
            <w:shd w:val="clear" w:color="000000" w:fill="FFFFFF"/>
            <w:vAlign w:val="bottom"/>
            <w:hideMark/>
          </w:tcPr>
          <w:p w14:paraId="0218FDF8" w14:textId="77777777" w:rsidR="00016C24" w:rsidRPr="0024033B" w:rsidRDefault="00016C24" w:rsidP="00500FD5">
            <w:pPr>
              <w:jc w:val="right"/>
              <w:rPr>
                <w:rFonts w:ascii="Arial" w:hAnsi="Arial" w:cs="Arial"/>
                <w:color w:val="000000"/>
                <w:lang w:eastAsia="en-GB"/>
              </w:rPr>
            </w:pPr>
            <w:r w:rsidRPr="0024033B">
              <w:rPr>
                <w:rFonts w:ascii="Arial" w:hAnsi="Arial" w:cs="Arial"/>
                <w:color w:val="000000"/>
                <w:lang w:eastAsia="en-GB"/>
              </w:rPr>
              <w:t>8,394</w:t>
            </w:r>
          </w:p>
        </w:tc>
        <w:tc>
          <w:tcPr>
            <w:tcW w:w="1414" w:type="dxa"/>
            <w:tcBorders>
              <w:top w:val="nil"/>
              <w:left w:val="single" w:sz="4" w:space="0" w:color="auto"/>
              <w:bottom w:val="nil"/>
              <w:right w:val="single" w:sz="4" w:space="0" w:color="auto"/>
            </w:tcBorders>
            <w:shd w:val="clear" w:color="000000" w:fill="FFFFFF"/>
            <w:vAlign w:val="bottom"/>
            <w:hideMark/>
          </w:tcPr>
          <w:p w14:paraId="13D3C825" w14:textId="77777777" w:rsidR="00016C24" w:rsidRPr="0024033B" w:rsidRDefault="00016C24" w:rsidP="00500FD5">
            <w:pPr>
              <w:jc w:val="right"/>
              <w:rPr>
                <w:rFonts w:ascii="Arial" w:hAnsi="Arial" w:cs="Arial"/>
                <w:lang w:eastAsia="en-GB"/>
              </w:rPr>
            </w:pPr>
            <w:r w:rsidRPr="0024033B">
              <w:rPr>
                <w:rFonts w:ascii="Arial" w:hAnsi="Arial" w:cs="Arial"/>
                <w:lang w:eastAsia="en-GB"/>
              </w:rPr>
              <w:t>9,257</w:t>
            </w:r>
          </w:p>
        </w:tc>
        <w:tc>
          <w:tcPr>
            <w:tcW w:w="0" w:type="auto"/>
            <w:tcBorders>
              <w:top w:val="nil"/>
              <w:left w:val="nil"/>
              <w:bottom w:val="nil"/>
              <w:right w:val="single" w:sz="4" w:space="0" w:color="auto"/>
            </w:tcBorders>
            <w:shd w:val="clear" w:color="000000" w:fill="FFFFFF"/>
            <w:vAlign w:val="bottom"/>
            <w:hideMark/>
          </w:tcPr>
          <w:p w14:paraId="3EB1FDFF" w14:textId="77777777" w:rsidR="00016C24" w:rsidRPr="0024033B" w:rsidRDefault="00016C24" w:rsidP="00500FD5">
            <w:pPr>
              <w:jc w:val="right"/>
              <w:rPr>
                <w:rFonts w:ascii="Arial" w:hAnsi="Arial" w:cs="Arial"/>
                <w:lang w:eastAsia="en-GB"/>
              </w:rPr>
            </w:pPr>
            <w:r w:rsidRPr="0024033B">
              <w:rPr>
                <w:rFonts w:ascii="Arial" w:hAnsi="Arial" w:cs="Arial"/>
                <w:lang w:eastAsia="en-GB"/>
              </w:rPr>
              <w:t>10,938</w:t>
            </w:r>
          </w:p>
        </w:tc>
        <w:tc>
          <w:tcPr>
            <w:tcW w:w="0" w:type="auto"/>
            <w:tcBorders>
              <w:top w:val="nil"/>
              <w:left w:val="nil"/>
              <w:bottom w:val="nil"/>
              <w:right w:val="single" w:sz="4" w:space="0" w:color="auto"/>
            </w:tcBorders>
            <w:shd w:val="clear" w:color="000000" w:fill="FFFFFF"/>
            <w:vAlign w:val="bottom"/>
            <w:hideMark/>
          </w:tcPr>
          <w:p w14:paraId="4D6A0637" w14:textId="77777777" w:rsidR="00016C24" w:rsidRPr="0024033B" w:rsidRDefault="00016C24" w:rsidP="00500FD5">
            <w:pPr>
              <w:jc w:val="right"/>
              <w:rPr>
                <w:rFonts w:ascii="Arial" w:hAnsi="Arial" w:cs="Arial"/>
                <w:lang w:eastAsia="en-GB"/>
              </w:rPr>
            </w:pPr>
            <w:r w:rsidRPr="0024033B">
              <w:rPr>
                <w:rFonts w:ascii="Arial" w:hAnsi="Arial" w:cs="Arial"/>
                <w:lang w:eastAsia="en-GB"/>
              </w:rPr>
              <w:t>1,681</w:t>
            </w:r>
          </w:p>
        </w:tc>
      </w:tr>
      <w:tr w:rsidR="00016C24" w:rsidRPr="0024033B" w14:paraId="0DA7F6B7" w14:textId="77777777" w:rsidTr="00500FD5">
        <w:trPr>
          <w:trHeight w:val="300"/>
        </w:trPr>
        <w:tc>
          <w:tcPr>
            <w:tcW w:w="4106" w:type="dxa"/>
            <w:tcBorders>
              <w:top w:val="nil"/>
              <w:left w:val="single" w:sz="4" w:space="0" w:color="auto"/>
              <w:bottom w:val="nil"/>
              <w:right w:val="nil"/>
            </w:tcBorders>
            <w:shd w:val="clear" w:color="000000" w:fill="FFFFFF"/>
            <w:hideMark/>
          </w:tcPr>
          <w:p w14:paraId="1A00D114" w14:textId="77777777" w:rsidR="00016C24" w:rsidRPr="0024033B" w:rsidRDefault="00016C24" w:rsidP="00500FD5">
            <w:pPr>
              <w:rPr>
                <w:rFonts w:ascii="Arial" w:hAnsi="Arial" w:cs="Arial"/>
                <w:color w:val="000000"/>
                <w:lang w:eastAsia="en-GB"/>
              </w:rPr>
            </w:pPr>
            <w:r w:rsidRPr="0024033B">
              <w:rPr>
                <w:rFonts w:ascii="Arial" w:hAnsi="Arial" w:cs="Arial"/>
                <w:color w:val="000000"/>
                <w:lang w:eastAsia="en-GB"/>
              </w:rPr>
              <w:t>Park and Ride</w:t>
            </w:r>
          </w:p>
        </w:tc>
        <w:tc>
          <w:tcPr>
            <w:tcW w:w="1134" w:type="dxa"/>
            <w:tcBorders>
              <w:top w:val="nil"/>
              <w:left w:val="single" w:sz="4" w:space="0" w:color="auto"/>
              <w:bottom w:val="nil"/>
              <w:right w:val="nil"/>
            </w:tcBorders>
            <w:shd w:val="clear" w:color="000000" w:fill="FFFFFF"/>
            <w:vAlign w:val="bottom"/>
            <w:hideMark/>
          </w:tcPr>
          <w:p w14:paraId="2C61AD88" w14:textId="77777777" w:rsidR="00016C24" w:rsidRPr="0024033B" w:rsidRDefault="00016C24" w:rsidP="00500FD5">
            <w:pPr>
              <w:jc w:val="right"/>
              <w:rPr>
                <w:rFonts w:ascii="Arial" w:hAnsi="Arial" w:cs="Arial"/>
                <w:color w:val="000000"/>
                <w:lang w:eastAsia="en-GB"/>
              </w:rPr>
            </w:pPr>
            <w:r>
              <w:rPr>
                <w:rFonts w:ascii="Arial" w:hAnsi="Arial" w:cs="Arial"/>
                <w:color w:val="000000"/>
                <w:lang w:eastAsia="en-GB"/>
              </w:rPr>
              <w:t>0</w:t>
            </w:r>
          </w:p>
        </w:tc>
        <w:tc>
          <w:tcPr>
            <w:tcW w:w="1414" w:type="dxa"/>
            <w:tcBorders>
              <w:top w:val="nil"/>
              <w:left w:val="single" w:sz="4" w:space="0" w:color="auto"/>
              <w:bottom w:val="nil"/>
              <w:right w:val="single" w:sz="4" w:space="0" w:color="auto"/>
            </w:tcBorders>
            <w:shd w:val="clear" w:color="000000" w:fill="FFFFFF"/>
            <w:vAlign w:val="bottom"/>
            <w:hideMark/>
          </w:tcPr>
          <w:p w14:paraId="3A4AF5E6" w14:textId="77777777" w:rsidR="00016C24" w:rsidRPr="0024033B" w:rsidRDefault="00016C24" w:rsidP="00500FD5">
            <w:pPr>
              <w:jc w:val="right"/>
              <w:rPr>
                <w:rFonts w:ascii="Arial" w:hAnsi="Arial" w:cs="Arial"/>
                <w:lang w:eastAsia="en-GB"/>
              </w:rPr>
            </w:pPr>
            <w:r w:rsidRPr="0024033B">
              <w:rPr>
                <w:rFonts w:ascii="Arial" w:hAnsi="Arial" w:cs="Arial"/>
                <w:lang w:eastAsia="en-GB"/>
              </w:rPr>
              <w:t>97</w:t>
            </w:r>
          </w:p>
        </w:tc>
        <w:tc>
          <w:tcPr>
            <w:tcW w:w="0" w:type="auto"/>
            <w:tcBorders>
              <w:top w:val="nil"/>
              <w:left w:val="nil"/>
              <w:bottom w:val="nil"/>
              <w:right w:val="single" w:sz="4" w:space="0" w:color="auto"/>
            </w:tcBorders>
            <w:shd w:val="clear" w:color="000000" w:fill="FFFFFF"/>
            <w:vAlign w:val="bottom"/>
            <w:hideMark/>
          </w:tcPr>
          <w:p w14:paraId="68C85AEF" w14:textId="77777777" w:rsidR="00016C24" w:rsidRPr="0024033B" w:rsidRDefault="00016C24" w:rsidP="00500FD5">
            <w:pPr>
              <w:jc w:val="right"/>
              <w:rPr>
                <w:rFonts w:ascii="Arial" w:hAnsi="Arial" w:cs="Arial"/>
                <w:lang w:eastAsia="en-GB"/>
              </w:rPr>
            </w:pPr>
            <w:r w:rsidRPr="0024033B">
              <w:rPr>
                <w:rFonts w:ascii="Arial" w:hAnsi="Arial" w:cs="Arial"/>
                <w:lang w:eastAsia="en-GB"/>
              </w:rPr>
              <w:t>21</w:t>
            </w:r>
          </w:p>
        </w:tc>
        <w:tc>
          <w:tcPr>
            <w:tcW w:w="0" w:type="auto"/>
            <w:tcBorders>
              <w:top w:val="nil"/>
              <w:left w:val="nil"/>
              <w:bottom w:val="nil"/>
              <w:right w:val="single" w:sz="4" w:space="0" w:color="auto"/>
            </w:tcBorders>
            <w:shd w:val="clear" w:color="000000" w:fill="FFFFFF"/>
            <w:vAlign w:val="bottom"/>
            <w:hideMark/>
          </w:tcPr>
          <w:p w14:paraId="69556F9E" w14:textId="77777777" w:rsidR="00016C24" w:rsidRPr="0024033B" w:rsidRDefault="00016C24" w:rsidP="00500FD5">
            <w:pPr>
              <w:jc w:val="right"/>
              <w:rPr>
                <w:rFonts w:ascii="Arial" w:hAnsi="Arial" w:cs="Arial"/>
                <w:lang w:eastAsia="en-GB"/>
              </w:rPr>
            </w:pPr>
            <w:r w:rsidRPr="0024033B">
              <w:rPr>
                <w:rFonts w:ascii="Arial" w:hAnsi="Arial" w:cs="Arial"/>
                <w:lang w:eastAsia="en-GB"/>
              </w:rPr>
              <w:t>(76)</w:t>
            </w:r>
          </w:p>
        </w:tc>
      </w:tr>
      <w:tr w:rsidR="00016C24" w:rsidRPr="0024033B" w14:paraId="1653731A" w14:textId="77777777" w:rsidTr="00500FD5">
        <w:trPr>
          <w:trHeight w:val="300"/>
        </w:trPr>
        <w:tc>
          <w:tcPr>
            <w:tcW w:w="4106" w:type="dxa"/>
            <w:tcBorders>
              <w:top w:val="nil"/>
              <w:left w:val="single" w:sz="4" w:space="0" w:color="auto"/>
              <w:bottom w:val="nil"/>
              <w:right w:val="nil"/>
            </w:tcBorders>
            <w:shd w:val="clear" w:color="000000" w:fill="FFFFFF"/>
            <w:hideMark/>
          </w:tcPr>
          <w:p w14:paraId="7FB076AF" w14:textId="77777777" w:rsidR="00016C24" w:rsidRPr="0024033B" w:rsidRDefault="00016C24" w:rsidP="00500FD5">
            <w:pPr>
              <w:rPr>
                <w:rFonts w:ascii="Arial" w:hAnsi="Arial" w:cs="Arial"/>
                <w:color w:val="000000"/>
                <w:lang w:eastAsia="en-GB"/>
              </w:rPr>
            </w:pPr>
            <w:r w:rsidRPr="0024033B">
              <w:rPr>
                <w:rFonts w:ascii="Arial" w:hAnsi="Arial" w:cs="Arial"/>
                <w:color w:val="000000"/>
                <w:lang w:eastAsia="en-GB"/>
              </w:rPr>
              <w:t>Bus Priority Programme</w:t>
            </w:r>
          </w:p>
        </w:tc>
        <w:tc>
          <w:tcPr>
            <w:tcW w:w="1134" w:type="dxa"/>
            <w:tcBorders>
              <w:top w:val="nil"/>
              <w:left w:val="single" w:sz="4" w:space="0" w:color="auto"/>
              <w:bottom w:val="nil"/>
              <w:right w:val="nil"/>
            </w:tcBorders>
            <w:shd w:val="clear" w:color="000000" w:fill="FFFFFF"/>
            <w:vAlign w:val="bottom"/>
            <w:hideMark/>
          </w:tcPr>
          <w:p w14:paraId="2FC61E39" w14:textId="77777777" w:rsidR="00016C24" w:rsidRPr="0024033B" w:rsidRDefault="00016C24" w:rsidP="00500FD5">
            <w:pPr>
              <w:jc w:val="right"/>
              <w:rPr>
                <w:rFonts w:ascii="Arial" w:hAnsi="Arial" w:cs="Arial"/>
                <w:color w:val="000000"/>
                <w:lang w:eastAsia="en-GB"/>
              </w:rPr>
            </w:pPr>
            <w:r w:rsidRPr="0024033B">
              <w:rPr>
                <w:rFonts w:ascii="Arial" w:hAnsi="Arial" w:cs="Arial"/>
                <w:color w:val="000000"/>
                <w:lang w:eastAsia="en-GB"/>
              </w:rPr>
              <w:t>77</w:t>
            </w:r>
          </w:p>
        </w:tc>
        <w:tc>
          <w:tcPr>
            <w:tcW w:w="1414" w:type="dxa"/>
            <w:tcBorders>
              <w:top w:val="nil"/>
              <w:left w:val="single" w:sz="4" w:space="0" w:color="auto"/>
              <w:bottom w:val="nil"/>
              <w:right w:val="single" w:sz="4" w:space="0" w:color="auto"/>
            </w:tcBorders>
            <w:shd w:val="clear" w:color="000000" w:fill="FFFFFF"/>
            <w:vAlign w:val="bottom"/>
            <w:hideMark/>
          </w:tcPr>
          <w:p w14:paraId="5E8233EB" w14:textId="77777777" w:rsidR="00016C24" w:rsidRPr="0024033B" w:rsidRDefault="00016C24" w:rsidP="00500FD5">
            <w:pPr>
              <w:jc w:val="right"/>
              <w:rPr>
                <w:rFonts w:ascii="Arial" w:hAnsi="Arial" w:cs="Arial"/>
                <w:lang w:eastAsia="en-GB"/>
              </w:rPr>
            </w:pPr>
            <w:r w:rsidRPr="0024033B">
              <w:rPr>
                <w:rFonts w:ascii="Arial" w:hAnsi="Arial" w:cs="Arial"/>
                <w:lang w:eastAsia="en-GB"/>
              </w:rPr>
              <w:t>198</w:t>
            </w:r>
          </w:p>
        </w:tc>
        <w:tc>
          <w:tcPr>
            <w:tcW w:w="0" w:type="auto"/>
            <w:tcBorders>
              <w:top w:val="nil"/>
              <w:left w:val="nil"/>
              <w:bottom w:val="nil"/>
              <w:right w:val="single" w:sz="4" w:space="0" w:color="auto"/>
            </w:tcBorders>
            <w:shd w:val="clear" w:color="000000" w:fill="FFFFFF"/>
            <w:vAlign w:val="bottom"/>
            <w:hideMark/>
          </w:tcPr>
          <w:p w14:paraId="440E9596" w14:textId="77777777" w:rsidR="00016C24" w:rsidRPr="0024033B" w:rsidRDefault="00016C24" w:rsidP="00500FD5">
            <w:pPr>
              <w:jc w:val="right"/>
              <w:rPr>
                <w:rFonts w:ascii="Arial" w:hAnsi="Arial" w:cs="Arial"/>
                <w:lang w:eastAsia="en-GB"/>
              </w:rPr>
            </w:pPr>
            <w:r w:rsidRPr="0024033B">
              <w:rPr>
                <w:rFonts w:ascii="Arial" w:hAnsi="Arial" w:cs="Arial"/>
                <w:lang w:eastAsia="en-GB"/>
              </w:rPr>
              <w:t>190</w:t>
            </w:r>
          </w:p>
        </w:tc>
        <w:tc>
          <w:tcPr>
            <w:tcW w:w="0" w:type="auto"/>
            <w:tcBorders>
              <w:top w:val="nil"/>
              <w:left w:val="nil"/>
              <w:bottom w:val="nil"/>
              <w:right w:val="single" w:sz="4" w:space="0" w:color="auto"/>
            </w:tcBorders>
            <w:shd w:val="clear" w:color="000000" w:fill="FFFFFF"/>
            <w:vAlign w:val="bottom"/>
            <w:hideMark/>
          </w:tcPr>
          <w:p w14:paraId="7E8D85D0" w14:textId="77777777" w:rsidR="00016C24" w:rsidRPr="0024033B" w:rsidRDefault="00016C24" w:rsidP="00500FD5">
            <w:pPr>
              <w:jc w:val="right"/>
              <w:rPr>
                <w:rFonts w:ascii="Arial" w:hAnsi="Arial" w:cs="Arial"/>
                <w:lang w:eastAsia="en-GB"/>
              </w:rPr>
            </w:pPr>
            <w:r w:rsidRPr="0024033B">
              <w:rPr>
                <w:rFonts w:ascii="Arial" w:hAnsi="Arial" w:cs="Arial"/>
                <w:lang w:eastAsia="en-GB"/>
              </w:rPr>
              <w:t>(8)</w:t>
            </w:r>
          </w:p>
        </w:tc>
      </w:tr>
      <w:tr w:rsidR="00016C24" w:rsidRPr="0024033B" w14:paraId="3C852959" w14:textId="77777777" w:rsidTr="00500FD5">
        <w:trPr>
          <w:trHeight w:val="300"/>
        </w:trPr>
        <w:tc>
          <w:tcPr>
            <w:tcW w:w="4106" w:type="dxa"/>
            <w:tcBorders>
              <w:top w:val="nil"/>
              <w:left w:val="single" w:sz="4" w:space="0" w:color="auto"/>
              <w:bottom w:val="nil"/>
              <w:right w:val="nil"/>
            </w:tcBorders>
            <w:shd w:val="clear" w:color="000000" w:fill="FFFFFF"/>
            <w:hideMark/>
          </w:tcPr>
          <w:p w14:paraId="1A736DB6" w14:textId="77777777" w:rsidR="00016C24" w:rsidRPr="0024033B" w:rsidRDefault="00016C24" w:rsidP="00500FD5">
            <w:pPr>
              <w:rPr>
                <w:rFonts w:ascii="Arial" w:hAnsi="Arial" w:cs="Arial"/>
                <w:color w:val="000000"/>
                <w:lang w:eastAsia="en-GB"/>
              </w:rPr>
            </w:pPr>
            <w:r w:rsidRPr="0024033B">
              <w:rPr>
                <w:rFonts w:ascii="Arial" w:hAnsi="Arial" w:cs="Arial"/>
                <w:color w:val="000000"/>
                <w:lang w:eastAsia="en-GB"/>
              </w:rPr>
              <w:t>Interchange Programme</w:t>
            </w:r>
          </w:p>
        </w:tc>
        <w:tc>
          <w:tcPr>
            <w:tcW w:w="1134" w:type="dxa"/>
            <w:tcBorders>
              <w:top w:val="nil"/>
              <w:left w:val="single" w:sz="4" w:space="0" w:color="auto"/>
              <w:bottom w:val="nil"/>
              <w:right w:val="nil"/>
            </w:tcBorders>
            <w:shd w:val="clear" w:color="000000" w:fill="FFFFFF"/>
            <w:vAlign w:val="bottom"/>
            <w:hideMark/>
          </w:tcPr>
          <w:p w14:paraId="59449A9C" w14:textId="77777777" w:rsidR="00016C24" w:rsidRPr="0024033B" w:rsidRDefault="00016C24" w:rsidP="00500FD5">
            <w:pPr>
              <w:jc w:val="right"/>
              <w:rPr>
                <w:rFonts w:ascii="Arial" w:hAnsi="Arial" w:cs="Arial"/>
                <w:color w:val="000000"/>
                <w:lang w:eastAsia="en-GB"/>
              </w:rPr>
            </w:pPr>
            <w:r w:rsidRPr="0024033B">
              <w:rPr>
                <w:rFonts w:ascii="Arial" w:hAnsi="Arial" w:cs="Arial"/>
                <w:color w:val="000000"/>
                <w:lang w:eastAsia="en-GB"/>
              </w:rPr>
              <w:t>51</w:t>
            </w:r>
          </w:p>
        </w:tc>
        <w:tc>
          <w:tcPr>
            <w:tcW w:w="1414" w:type="dxa"/>
            <w:tcBorders>
              <w:top w:val="nil"/>
              <w:left w:val="single" w:sz="4" w:space="0" w:color="auto"/>
              <w:bottom w:val="nil"/>
              <w:right w:val="single" w:sz="4" w:space="0" w:color="auto"/>
            </w:tcBorders>
            <w:shd w:val="clear" w:color="000000" w:fill="FFFFFF"/>
            <w:vAlign w:val="bottom"/>
            <w:hideMark/>
          </w:tcPr>
          <w:p w14:paraId="37EC350E" w14:textId="77777777" w:rsidR="00016C24" w:rsidRPr="0024033B" w:rsidRDefault="00016C24" w:rsidP="00500FD5">
            <w:pPr>
              <w:jc w:val="right"/>
              <w:rPr>
                <w:rFonts w:ascii="Arial" w:hAnsi="Arial" w:cs="Arial"/>
                <w:lang w:eastAsia="en-GB"/>
              </w:rPr>
            </w:pPr>
            <w:r w:rsidRPr="0024033B">
              <w:rPr>
                <w:rFonts w:ascii="Arial" w:hAnsi="Arial" w:cs="Arial"/>
                <w:lang w:eastAsia="en-GB"/>
              </w:rPr>
              <w:t>62</w:t>
            </w:r>
          </w:p>
        </w:tc>
        <w:tc>
          <w:tcPr>
            <w:tcW w:w="0" w:type="auto"/>
            <w:tcBorders>
              <w:top w:val="nil"/>
              <w:left w:val="nil"/>
              <w:bottom w:val="nil"/>
              <w:right w:val="single" w:sz="4" w:space="0" w:color="auto"/>
            </w:tcBorders>
            <w:shd w:val="clear" w:color="000000" w:fill="FFFFFF"/>
            <w:vAlign w:val="bottom"/>
            <w:hideMark/>
          </w:tcPr>
          <w:p w14:paraId="7BBC2084" w14:textId="77777777" w:rsidR="00016C24" w:rsidRPr="0024033B" w:rsidRDefault="00016C24" w:rsidP="00500FD5">
            <w:pPr>
              <w:jc w:val="right"/>
              <w:rPr>
                <w:rFonts w:ascii="Arial" w:hAnsi="Arial" w:cs="Arial"/>
                <w:lang w:eastAsia="en-GB"/>
              </w:rPr>
            </w:pPr>
            <w:r w:rsidRPr="0024033B">
              <w:rPr>
                <w:rFonts w:ascii="Arial" w:hAnsi="Arial" w:cs="Arial"/>
                <w:lang w:eastAsia="en-GB"/>
              </w:rPr>
              <w:t>(136)</w:t>
            </w:r>
          </w:p>
        </w:tc>
        <w:tc>
          <w:tcPr>
            <w:tcW w:w="0" w:type="auto"/>
            <w:tcBorders>
              <w:top w:val="nil"/>
              <w:left w:val="nil"/>
              <w:bottom w:val="nil"/>
              <w:right w:val="single" w:sz="4" w:space="0" w:color="auto"/>
            </w:tcBorders>
            <w:shd w:val="clear" w:color="000000" w:fill="FFFFFF"/>
            <w:vAlign w:val="bottom"/>
            <w:hideMark/>
          </w:tcPr>
          <w:p w14:paraId="7B385E43" w14:textId="77777777" w:rsidR="00016C24" w:rsidRPr="0024033B" w:rsidRDefault="00016C24" w:rsidP="00500FD5">
            <w:pPr>
              <w:jc w:val="right"/>
              <w:rPr>
                <w:rFonts w:ascii="Arial" w:hAnsi="Arial" w:cs="Arial"/>
                <w:lang w:eastAsia="en-GB"/>
              </w:rPr>
            </w:pPr>
            <w:r w:rsidRPr="0024033B">
              <w:rPr>
                <w:rFonts w:ascii="Arial" w:hAnsi="Arial" w:cs="Arial"/>
                <w:lang w:eastAsia="en-GB"/>
              </w:rPr>
              <w:t>(198)</w:t>
            </w:r>
          </w:p>
        </w:tc>
      </w:tr>
      <w:tr w:rsidR="00016C24" w:rsidRPr="0024033B" w14:paraId="691AE9E5" w14:textId="77777777" w:rsidTr="00500FD5">
        <w:trPr>
          <w:trHeight w:val="315"/>
        </w:trPr>
        <w:tc>
          <w:tcPr>
            <w:tcW w:w="4106" w:type="dxa"/>
            <w:tcBorders>
              <w:top w:val="single" w:sz="4" w:space="0" w:color="auto"/>
              <w:left w:val="single" w:sz="4" w:space="0" w:color="auto"/>
              <w:bottom w:val="single" w:sz="4" w:space="0" w:color="auto"/>
              <w:right w:val="nil"/>
            </w:tcBorders>
            <w:shd w:val="clear" w:color="000000" w:fill="FFFFFF"/>
            <w:vAlign w:val="bottom"/>
            <w:hideMark/>
          </w:tcPr>
          <w:p w14:paraId="5B9022A8" w14:textId="292B75BC" w:rsidR="00016C24" w:rsidRPr="0024033B" w:rsidRDefault="00016C24" w:rsidP="00500FD5">
            <w:pPr>
              <w:rPr>
                <w:rFonts w:ascii="Arial" w:hAnsi="Arial" w:cs="Arial"/>
                <w:b/>
                <w:bCs/>
                <w:color w:val="000000"/>
                <w:lang w:eastAsia="en-GB"/>
              </w:rPr>
            </w:pPr>
            <w:r w:rsidRPr="0024033B">
              <w:rPr>
                <w:rFonts w:ascii="Arial" w:hAnsi="Arial" w:cs="Arial"/>
                <w:b/>
                <w:bCs/>
                <w:color w:val="000000"/>
                <w:lang w:eastAsia="en-GB"/>
              </w:rPr>
              <w:t>Greater M</w:t>
            </w:r>
            <w:r w:rsidR="00C67457">
              <w:rPr>
                <w:rFonts w:ascii="Arial" w:hAnsi="Arial" w:cs="Arial"/>
                <w:b/>
                <w:bCs/>
                <w:color w:val="000000"/>
                <w:lang w:eastAsia="en-GB"/>
              </w:rPr>
              <w:t>c</w:t>
            </w:r>
            <w:r>
              <w:rPr>
                <w:rFonts w:ascii="Arial" w:hAnsi="Arial" w:cs="Arial"/>
                <w:b/>
                <w:bCs/>
                <w:color w:val="000000"/>
                <w:lang w:eastAsia="en-GB"/>
              </w:rPr>
              <w:t>r</w:t>
            </w:r>
            <w:r w:rsidRPr="0024033B">
              <w:rPr>
                <w:rFonts w:ascii="Arial" w:hAnsi="Arial" w:cs="Arial"/>
                <w:b/>
                <w:bCs/>
                <w:color w:val="000000"/>
                <w:lang w:eastAsia="en-GB"/>
              </w:rPr>
              <w:t xml:space="preserve"> Transport Fund</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14:paraId="438E7361" w14:textId="77777777" w:rsidR="00016C24" w:rsidRPr="0024033B" w:rsidRDefault="00016C24" w:rsidP="00500FD5">
            <w:pPr>
              <w:jc w:val="right"/>
              <w:rPr>
                <w:rFonts w:ascii="Arial" w:hAnsi="Arial" w:cs="Arial"/>
                <w:b/>
                <w:bCs/>
                <w:color w:val="000000"/>
                <w:lang w:eastAsia="en-GB"/>
              </w:rPr>
            </w:pPr>
            <w:r w:rsidRPr="0024033B">
              <w:rPr>
                <w:rFonts w:ascii="Arial" w:hAnsi="Arial" w:cs="Arial"/>
                <w:b/>
                <w:bCs/>
                <w:color w:val="000000"/>
                <w:lang w:eastAsia="en-GB"/>
              </w:rPr>
              <w:t>14,292</w:t>
            </w:r>
          </w:p>
        </w:tc>
        <w:tc>
          <w:tcPr>
            <w:tcW w:w="141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ED1CBD"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16,634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14:paraId="057469F6"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16,890</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14:paraId="5E11BA0A"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256</w:t>
            </w:r>
          </w:p>
        </w:tc>
      </w:tr>
      <w:tr w:rsidR="00016C24" w:rsidRPr="0024033B" w14:paraId="77EF93D1" w14:textId="77777777" w:rsidTr="00500FD5">
        <w:trPr>
          <w:trHeight w:val="315"/>
        </w:trPr>
        <w:tc>
          <w:tcPr>
            <w:tcW w:w="4106" w:type="dxa"/>
            <w:tcBorders>
              <w:top w:val="nil"/>
              <w:left w:val="single" w:sz="4" w:space="0" w:color="auto"/>
              <w:bottom w:val="nil"/>
              <w:right w:val="nil"/>
            </w:tcBorders>
            <w:shd w:val="clear" w:color="000000" w:fill="FFFFFF"/>
            <w:vAlign w:val="bottom"/>
            <w:hideMark/>
          </w:tcPr>
          <w:p w14:paraId="488BF558" w14:textId="77777777" w:rsidR="00016C24" w:rsidRPr="0024033B" w:rsidRDefault="00016C24" w:rsidP="00500FD5">
            <w:pPr>
              <w:rPr>
                <w:rFonts w:ascii="Arial" w:hAnsi="Arial" w:cs="Arial"/>
                <w:b/>
                <w:bCs/>
                <w:color w:val="000000"/>
                <w:lang w:eastAsia="en-GB"/>
              </w:rPr>
            </w:pPr>
            <w:r w:rsidRPr="0024033B">
              <w:rPr>
                <w:rFonts w:ascii="Arial" w:hAnsi="Arial" w:cs="Arial"/>
                <w:b/>
                <w:bCs/>
                <w:color w:val="000000"/>
                <w:lang w:eastAsia="en-GB"/>
              </w:rPr>
              <w:t> </w:t>
            </w:r>
          </w:p>
        </w:tc>
        <w:tc>
          <w:tcPr>
            <w:tcW w:w="1134" w:type="dxa"/>
            <w:tcBorders>
              <w:top w:val="nil"/>
              <w:left w:val="single" w:sz="4" w:space="0" w:color="auto"/>
              <w:bottom w:val="nil"/>
              <w:right w:val="nil"/>
            </w:tcBorders>
            <w:shd w:val="clear" w:color="000000" w:fill="FFFFFF"/>
            <w:vAlign w:val="bottom"/>
            <w:hideMark/>
          </w:tcPr>
          <w:p w14:paraId="3C50142D" w14:textId="77777777" w:rsidR="00016C24" w:rsidRPr="0024033B" w:rsidRDefault="00016C24" w:rsidP="00500FD5">
            <w:pPr>
              <w:jc w:val="right"/>
              <w:rPr>
                <w:rFonts w:ascii="Arial" w:hAnsi="Arial" w:cs="Arial"/>
                <w:b/>
                <w:bCs/>
                <w:color w:val="000000"/>
                <w:lang w:eastAsia="en-GB"/>
              </w:rPr>
            </w:pPr>
            <w:r w:rsidRPr="0024033B">
              <w:rPr>
                <w:rFonts w:ascii="Arial" w:hAnsi="Arial" w:cs="Arial"/>
                <w:b/>
                <w:bCs/>
                <w:color w:val="000000"/>
                <w:lang w:eastAsia="en-GB"/>
              </w:rPr>
              <w:t> </w:t>
            </w:r>
          </w:p>
        </w:tc>
        <w:tc>
          <w:tcPr>
            <w:tcW w:w="1414" w:type="dxa"/>
            <w:tcBorders>
              <w:top w:val="nil"/>
              <w:left w:val="single" w:sz="4" w:space="0" w:color="auto"/>
              <w:bottom w:val="nil"/>
              <w:right w:val="single" w:sz="4" w:space="0" w:color="auto"/>
            </w:tcBorders>
            <w:shd w:val="clear" w:color="000000" w:fill="FFFFFF"/>
            <w:vAlign w:val="bottom"/>
            <w:hideMark/>
          </w:tcPr>
          <w:p w14:paraId="6722C8B4"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 </w:t>
            </w:r>
          </w:p>
        </w:tc>
        <w:tc>
          <w:tcPr>
            <w:tcW w:w="0" w:type="auto"/>
            <w:tcBorders>
              <w:top w:val="nil"/>
              <w:left w:val="nil"/>
              <w:bottom w:val="nil"/>
              <w:right w:val="single" w:sz="4" w:space="0" w:color="auto"/>
            </w:tcBorders>
            <w:shd w:val="clear" w:color="000000" w:fill="FFFFFF"/>
            <w:vAlign w:val="bottom"/>
            <w:hideMark/>
          </w:tcPr>
          <w:p w14:paraId="3C7A90BC"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 </w:t>
            </w:r>
          </w:p>
        </w:tc>
        <w:tc>
          <w:tcPr>
            <w:tcW w:w="0" w:type="auto"/>
            <w:tcBorders>
              <w:top w:val="nil"/>
              <w:left w:val="nil"/>
              <w:bottom w:val="nil"/>
              <w:right w:val="single" w:sz="4" w:space="0" w:color="auto"/>
            </w:tcBorders>
            <w:shd w:val="clear" w:color="000000" w:fill="FFFFFF"/>
            <w:vAlign w:val="bottom"/>
            <w:hideMark/>
          </w:tcPr>
          <w:p w14:paraId="450F52FD"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 </w:t>
            </w:r>
          </w:p>
        </w:tc>
      </w:tr>
      <w:tr w:rsidR="00016C24" w:rsidRPr="0024033B" w14:paraId="225583E1" w14:textId="77777777" w:rsidTr="00500FD5">
        <w:trPr>
          <w:trHeight w:val="315"/>
        </w:trPr>
        <w:tc>
          <w:tcPr>
            <w:tcW w:w="4106" w:type="dxa"/>
            <w:tcBorders>
              <w:top w:val="single" w:sz="4" w:space="0" w:color="auto"/>
              <w:left w:val="single" w:sz="4" w:space="0" w:color="auto"/>
              <w:bottom w:val="single" w:sz="4" w:space="0" w:color="auto"/>
              <w:right w:val="nil"/>
            </w:tcBorders>
            <w:shd w:val="clear" w:color="000000" w:fill="FFFFFF"/>
            <w:vAlign w:val="bottom"/>
            <w:hideMark/>
          </w:tcPr>
          <w:p w14:paraId="3D06A5F2" w14:textId="77777777" w:rsidR="00016C24" w:rsidRPr="0024033B" w:rsidRDefault="00016C24" w:rsidP="00500FD5">
            <w:pPr>
              <w:rPr>
                <w:rFonts w:ascii="Arial" w:hAnsi="Arial" w:cs="Arial"/>
                <w:b/>
                <w:bCs/>
                <w:color w:val="000000"/>
                <w:lang w:eastAsia="en-GB"/>
              </w:rPr>
            </w:pPr>
            <w:r w:rsidRPr="0024033B">
              <w:rPr>
                <w:rFonts w:ascii="Arial" w:hAnsi="Arial" w:cs="Arial"/>
                <w:b/>
                <w:bCs/>
                <w:color w:val="000000"/>
                <w:lang w:eastAsia="en-GB"/>
              </w:rPr>
              <w:t xml:space="preserve">Stockport Council Schemes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1919D8"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5,552</w:t>
            </w:r>
          </w:p>
        </w:tc>
        <w:tc>
          <w:tcPr>
            <w:tcW w:w="1414" w:type="dxa"/>
            <w:tcBorders>
              <w:top w:val="single" w:sz="4" w:space="0" w:color="auto"/>
              <w:left w:val="nil"/>
              <w:bottom w:val="single" w:sz="4" w:space="0" w:color="auto"/>
              <w:right w:val="single" w:sz="4" w:space="0" w:color="auto"/>
            </w:tcBorders>
            <w:shd w:val="clear" w:color="000000" w:fill="FFFFFF"/>
            <w:vAlign w:val="bottom"/>
            <w:hideMark/>
          </w:tcPr>
          <w:p w14:paraId="350140A5"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3,732</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14:paraId="0C19D73B"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2,500</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14:paraId="5662AB61"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(1,232)</w:t>
            </w:r>
          </w:p>
        </w:tc>
      </w:tr>
      <w:tr w:rsidR="00016C24" w:rsidRPr="0024033B" w14:paraId="0E32FFE9" w14:textId="77777777" w:rsidTr="00500FD5">
        <w:trPr>
          <w:trHeight w:val="315"/>
        </w:trPr>
        <w:tc>
          <w:tcPr>
            <w:tcW w:w="4106" w:type="dxa"/>
            <w:tcBorders>
              <w:top w:val="nil"/>
              <w:left w:val="single" w:sz="4" w:space="0" w:color="auto"/>
              <w:bottom w:val="nil"/>
              <w:right w:val="nil"/>
            </w:tcBorders>
            <w:shd w:val="clear" w:color="000000" w:fill="FFFFFF"/>
            <w:vAlign w:val="bottom"/>
            <w:hideMark/>
          </w:tcPr>
          <w:p w14:paraId="45B107D5" w14:textId="77777777" w:rsidR="00016C24" w:rsidRPr="0024033B" w:rsidRDefault="00016C24" w:rsidP="00500FD5">
            <w:pPr>
              <w:rPr>
                <w:rFonts w:ascii="Arial" w:hAnsi="Arial" w:cs="Arial"/>
                <w:b/>
                <w:bCs/>
                <w:color w:val="000000"/>
                <w:lang w:eastAsia="en-GB"/>
              </w:rPr>
            </w:pPr>
            <w:r w:rsidRPr="0024033B">
              <w:rPr>
                <w:rFonts w:ascii="Arial" w:hAnsi="Arial" w:cs="Arial"/>
                <w:b/>
                <w:bCs/>
                <w:color w:val="000000"/>
                <w:lang w:eastAsia="en-GB"/>
              </w:rPr>
              <w:t> </w:t>
            </w:r>
          </w:p>
        </w:tc>
        <w:tc>
          <w:tcPr>
            <w:tcW w:w="1134" w:type="dxa"/>
            <w:tcBorders>
              <w:top w:val="nil"/>
              <w:left w:val="single" w:sz="4" w:space="0" w:color="auto"/>
              <w:bottom w:val="nil"/>
              <w:right w:val="nil"/>
            </w:tcBorders>
            <w:shd w:val="clear" w:color="000000" w:fill="FFFFFF"/>
            <w:vAlign w:val="bottom"/>
            <w:hideMark/>
          </w:tcPr>
          <w:p w14:paraId="33865FF4" w14:textId="77777777" w:rsidR="00016C24" w:rsidRPr="0024033B" w:rsidRDefault="00016C24" w:rsidP="00500FD5">
            <w:pPr>
              <w:jc w:val="right"/>
              <w:rPr>
                <w:rFonts w:ascii="Arial" w:hAnsi="Arial" w:cs="Arial"/>
                <w:b/>
                <w:bCs/>
                <w:color w:val="000000"/>
                <w:lang w:eastAsia="en-GB"/>
              </w:rPr>
            </w:pPr>
            <w:r w:rsidRPr="0024033B">
              <w:rPr>
                <w:rFonts w:ascii="Arial" w:hAnsi="Arial" w:cs="Arial"/>
                <w:b/>
                <w:bCs/>
                <w:color w:val="000000"/>
                <w:lang w:eastAsia="en-GB"/>
              </w:rPr>
              <w:t> </w:t>
            </w:r>
          </w:p>
        </w:tc>
        <w:tc>
          <w:tcPr>
            <w:tcW w:w="1414" w:type="dxa"/>
            <w:tcBorders>
              <w:top w:val="nil"/>
              <w:left w:val="single" w:sz="4" w:space="0" w:color="auto"/>
              <w:bottom w:val="nil"/>
              <w:right w:val="single" w:sz="4" w:space="0" w:color="auto"/>
            </w:tcBorders>
            <w:shd w:val="clear" w:color="000000" w:fill="FFFFFF"/>
            <w:vAlign w:val="bottom"/>
            <w:hideMark/>
          </w:tcPr>
          <w:p w14:paraId="451BEADB"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 </w:t>
            </w:r>
          </w:p>
        </w:tc>
        <w:tc>
          <w:tcPr>
            <w:tcW w:w="0" w:type="auto"/>
            <w:tcBorders>
              <w:top w:val="nil"/>
              <w:left w:val="nil"/>
              <w:bottom w:val="nil"/>
              <w:right w:val="single" w:sz="4" w:space="0" w:color="auto"/>
            </w:tcBorders>
            <w:shd w:val="clear" w:color="000000" w:fill="FFFFFF"/>
            <w:vAlign w:val="bottom"/>
            <w:hideMark/>
          </w:tcPr>
          <w:p w14:paraId="5B0DBDE1"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 </w:t>
            </w:r>
          </w:p>
        </w:tc>
        <w:tc>
          <w:tcPr>
            <w:tcW w:w="0" w:type="auto"/>
            <w:tcBorders>
              <w:top w:val="nil"/>
              <w:left w:val="nil"/>
              <w:bottom w:val="nil"/>
              <w:right w:val="single" w:sz="4" w:space="0" w:color="auto"/>
            </w:tcBorders>
            <w:shd w:val="clear" w:color="000000" w:fill="FFFFFF"/>
            <w:vAlign w:val="bottom"/>
            <w:hideMark/>
          </w:tcPr>
          <w:p w14:paraId="393A5747"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 </w:t>
            </w:r>
          </w:p>
        </w:tc>
      </w:tr>
      <w:tr w:rsidR="00016C24" w:rsidRPr="0024033B" w14:paraId="4E3E5D18" w14:textId="77777777" w:rsidTr="00500FD5">
        <w:trPr>
          <w:trHeight w:val="315"/>
        </w:trPr>
        <w:tc>
          <w:tcPr>
            <w:tcW w:w="4106" w:type="dxa"/>
            <w:tcBorders>
              <w:top w:val="single" w:sz="4" w:space="0" w:color="auto"/>
              <w:left w:val="single" w:sz="4" w:space="0" w:color="auto"/>
              <w:bottom w:val="single" w:sz="4" w:space="0" w:color="auto"/>
              <w:right w:val="nil"/>
            </w:tcBorders>
            <w:shd w:val="clear" w:color="000000" w:fill="FFFFFF"/>
            <w:vAlign w:val="bottom"/>
            <w:hideMark/>
          </w:tcPr>
          <w:p w14:paraId="55903B33" w14:textId="77777777" w:rsidR="00016C24" w:rsidRPr="0024033B" w:rsidRDefault="00016C24" w:rsidP="00500FD5">
            <w:pPr>
              <w:rPr>
                <w:rFonts w:ascii="Arial" w:hAnsi="Arial" w:cs="Arial"/>
                <w:b/>
                <w:bCs/>
                <w:lang w:eastAsia="en-GB"/>
              </w:rPr>
            </w:pPr>
            <w:r>
              <w:rPr>
                <w:rFonts w:ascii="Arial" w:hAnsi="Arial" w:cs="Arial"/>
                <w:b/>
                <w:bCs/>
                <w:lang w:eastAsia="en-GB"/>
              </w:rPr>
              <w:t>Trafford Extension</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3BFE27"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196</w:t>
            </w:r>
          </w:p>
        </w:tc>
        <w:tc>
          <w:tcPr>
            <w:tcW w:w="1414" w:type="dxa"/>
            <w:tcBorders>
              <w:top w:val="single" w:sz="4" w:space="0" w:color="auto"/>
              <w:left w:val="nil"/>
              <w:bottom w:val="single" w:sz="4" w:space="0" w:color="auto"/>
              <w:right w:val="single" w:sz="4" w:space="0" w:color="auto"/>
            </w:tcBorders>
            <w:shd w:val="clear" w:color="000000" w:fill="FFFFFF"/>
            <w:vAlign w:val="bottom"/>
            <w:hideMark/>
          </w:tcPr>
          <w:p w14:paraId="2D91E3DA"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710</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14:paraId="50DEF930"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988</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14:paraId="150A7BDC"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278</w:t>
            </w:r>
          </w:p>
        </w:tc>
      </w:tr>
      <w:tr w:rsidR="00016C24" w:rsidRPr="0024033B" w14:paraId="0745C1C5" w14:textId="77777777" w:rsidTr="00500FD5">
        <w:trPr>
          <w:trHeight w:val="315"/>
        </w:trPr>
        <w:tc>
          <w:tcPr>
            <w:tcW w:w="4106" w:type="dxa"/>
            <w:tcBorders>
              <w:top w:val="nil"/>
              <w:left w:val="single" w:sz="4" w:space="0" w:color="auto"/>
              <w:bottom w:val="nil"/>
              <w:right w:val="nil"/>
            </w:tcBorders>
            <w:shd w:val="clear" w:color="000000" w:fill="FFFFFF"/>
            <w:vAlign w:val="bottom"/>
            <w:hideMark/>
          </w:tcPr>
          <w:p w14:paraId="49864812" w14:textId="77777777" w:rsidR="00016C24" w:rsidRPr="0024033B" w:rsidRDefault="00016C24" w:rsidP="00500FD5">
            <w:pPr>
              <w:rPr>
                <w:rFonts w:ascii="Arial" w:hAnsi="Arial" w:cs="Arial"/>
                <w:b/>
                <w:bCs/>
                <w:color w:val="000000"/>
                <w:lang w:eastAsia="en-GB"/>
              </w:rPr>
            </w:pPr>
            <w:r w:rsidRPr="0024033B">
              <w:rPr>
                <w:rFonts w:ascii="Arial" w:hAnsi="Arial" w:cs="Arial"/>
                <w:b/>
                <w:bCs/>
                <w:color w:val="000000"/>
                <w:lang w:eastAsia="en-GB"/>
              </w:rPr>
              <w:t> </w:t>
            </w:r>
          </w:p>
        </w:tc>
        <w:tc>
          <w:tcPr>
            <w:tcW w:w="1134" w:type="dxa"/>
            <w:tcBorders>
              <w:top w:val="nil"/>
              <w:left w:val="single" w:sz="4" w:space="0" w:color="auto"/>
              <w:bottom w:val="nil"/>
              <w:right w:val="nil"/>
            </w:tcBorders>
            <w:shd w:val="clear" w:color="000000" w:fill="FFFFFF"/>
            <w:vAlign w:val="bottom"/>
            <w:hideMark/>
          </w:tcPr>
          <w:p w14:paraId="3F87B906" w14:textId="77777777" w:rsidR="00016C24" w:rsidRPr="0024033B" w:rsidRDefault="00016C24" w:rsidP="00500FD5">
            <w:pPr>
              <w:jc w:val="right"/>
              <w:rPr>
                <w:rFonts w:ascii="Arial" w:hAnsi="Arial" w:cs="Arial"/>
                <w:b/>
                <w:bCs/>
                <w:color w:val="000000"/>
                <w:lang w:eastAsia="en-GB"/>
              </w:rPr>
            </w:pPr>
            <w:r w:rsidRPr="0024033B">
              <w:rPr>
                <w:rFonts w:ascii="Arial" w:hAnsi="Arial" w:cs="Arial"/>
                <w:b/>
                <w:bCs/>
                <w:color w:val="000000"/>
                <w:lang w:eastAsia="en-GB"/>
              </w:rPr>
              <w:t> </w:t>
            </w:r>
          </w:p>
        </w:tc>
        <w:tc>
          <w:tcPr>
            <w:tcW w:w="1414" w:type="dxa"/>
            <w:tcBorders>
              <w:top w:val="nil"/>
              <w:left w:val="single" w:sz="4" w:space="0" w:color="auto"/>
              <w:bottom w:val="nil"/>
              <w:right w:val="single" w:sz="4" w:space="0" w:color="auto"/>
            </w:tcBorders>
            <w:shd w:val="clear" w:color="000000" w:fill="FFFFFF"/>
            <w:vAlign w:val="bottom"/>
            <w:hideMark/>
          </w:tcPr>
          <w:p w14:paraId="54D1F6E4"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 </w:t>
            </w:r>
          </w:p>
        </w:tc>
        <w:tc>
          <w:tcPr>
            <w:tcW w:w="0" w:type="auto"/>
            <w:tcBorders>
              <w:top w:val="nil"/>
              <w:left w:val="nil"/>
              <w:bottom w:val="nil"/>
              <w:right w:val="single" w:sz="4" w:space="0" w:color="auto"/>
            </w:tcBorders>
            <w:shd w:val="clear" w:color="000000" w:fill="FFFFFF"/>
            <w:vAlign w:val="bottom"/>
            <w:hideMark/>
          </w:tcPr>
          <w:p w14:paraId="15F96F42"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 </w:t>
            </w:r>
          </w:p>
        </w:tc>
        <w:tc>
          <w:tcPr>
            <w:tcW w:w="0" w:type="auto"/>
            <w:tcBorders>
              <w:top w:val="nil"/>
              <w:left w:val="nil"/>
              <w:bottom w:val="nil"/>
              <w:right w:val="single" w:sz="4" w:space="0" w:color="auto"/>
            </w:tcBorders>
            <w:shd w:val="clear" w:color="000000" w:fill="FFFFFF"/>
            <w:vAlign w:val="bottom"/>
            <w:hideMark/>
          </w:tcPr>
          <w:p w14:paraId="1D2DF612"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 </w:t>
            </w:r>
          </w:p>
        </w:tc>
      </w:tr>
      <w:tr w:rsidR="00016C24" w:rsidRPr="0024033B" w14:paraId="0718BBCA" w14:textId="77777777" w:rsidTr="00500FD5">
        <w:trPr>
          <w:trHeight w:val="315"/>
        </w:trPr>
        <w:tc>
          <w:tcPr>
            <w:tcW w:w="4106" w:type="dxa"/>
            <w:tcBorders>
              <w:top w:val="nil"/>
              <w:left w:val="single" w:sz="4" w:space="0" w:color="auto"/>
              <w:bottom w:val="nil"/>
              <w:right w:val="nil"/>
            </w:tcBorders>
            <w:shd w:val="clear" w:color="000000" w:fill="FFFFFF"/>
            <w:vAlign w:val="bottom"/>
            <w:hideMark/>
          </w:tcPr>
          <w:p w14:paraId="1A276302" w14:textId="77777777" w:rsidR="00016C24" w:rsidRPr="0024033B" w:rsidRDefault="00016C24" w:rsidP="00500FD5">
            <w:pPr>
              <w:rPr>
                <w:rFonts w:ascii="Arial" w:hAnsi="Arial" w:cs="Arial"/>
                <w:b/>
                <w:bCs/>
                <w:color w:val="000000"/>
                <w:lang w:eastAsia="en-GB"/>
              </w:rPr>
            </w:pPr>
            <w:r w:rsidRPr="0024033B">
              <w:rPr>
                <w:rFonts w:ascii="Arial" w:hAnsi="Arial" w:cs="Arial"/>
                <w:b/>
                <w:bCs/>
                <w:color w:val="000000"/>
                <w:lang w:eastAsia="en-GB"/>
              </w:rPr>
              <w:t>Clean Air Programme</w:t>
            </w:r>
          </w:p>
        </w:tc>
        <w:tc>
          <w:tcPr>
            <w:tcW w:w="1134" w:type="dxa"/>
            <w:tcBorders>
              <w:top w:val="nil"/>
              <w:left w:val="single" w:sz="4" w:space="0" w:color="auto"/>
              <w:bottom w:val="nil"/>
              <w:right w:val="nil"/>
            </w:tcBorders>
            <w:shd w:val="clear" w:color="000000" w:fill="FFFFFF"/>
            <w:vAlign w:val="bottom"/>
            <w:hideMark/>
          </w:tcPr>
          <w:p w14:paraId="740DFF4B" w14:textId="77777777" w:rsidR="00016C24" w:rsidRPr="0024033B" w:rsidRDefault="00016C24" w:rsidP="00500FD5">
            <w:pPr>
              <w:jc w:val="right"/>
              <w:rPr>
                <w:rFonts w:ascii="Arial" w:hAnsi="Arial" w:cs="Arial"/>
                <w:b/>
                <w:bCs/>
                <w:color w:val="000000"/>
                <w:lang w:eastAsia="en-GB"/>
              </w:rPr>
            </w:pPr>
            <w:r w:rsidRPr="0024033B">
              <w:rPr>
                <w:rFonts w:ascii="Arial" w:hAnsi="Arial" w:cs="Arial"/>
                <w:b/>
                <w:bCs/>
                <w:color w:val="000000"/>
                <w:lang w:eastAsia="en-GB"/>
              </w:rPr>
              <w:t> </w:t>
            </w:r>
          </w:p>
        </w:tc>
        <w:tc>
          <w:tcPr>
            <w:tcW w:w="1414" w:type="dxa"/>
            <w:tcBorders>
              <w:top w:val="nil"/>
              <w:left w:val="single" w:sz="4" w:space="0" w:color="auto"/>
              <w:bottom w:val="nil"/>
              <w:right w:val="single" w:sz="4" w:space="0" w:color="auto"/>
            </w:tcBorders>
            <w:shd w:val="clear" w:color="000000" w:fill="FFFFFF"/>
            <w:vAlign w:val="bottom"/>
            <w:hideMark/>
          </w:tcPr>
          <w:p w14:paraId="5807C998" w14:textId="77777777" w:rsidR="00016C24" w:rsidRPr="0024033B" w:rsidRDefault="00016C24" w:rsidP="00500FD5">
            <w:pPr>
              <w:jc w:val="right"/>
              <w:rPr>
                <w:rFonts w:ascii="Arial" w:hAnsi="Arial" w:cs="Arial"/>
                <w:lang w:eastAsia="en-GB"/>
              </w:rPr>
            </w:pPr>
            <w:r w:rsidRPr="0024033B">
              <w:rPr>
                <w:rFonts w:ascii="Arial" w:hAnsi="Arial" w:cs="Arial"/>
                <w:lang w:eastAsia="en-GB"/>
              </w:rPr>
              <w:t> </w:t>
            </w:r>
          </w:p>
        </w:tc>
        <w:tc>
          <w:tcPr>
            <w:tcW w:w="0" w:type="auto"/>
            <w:tcBorders>
              <w:top w:val="nil"/>
              <w:left w:val="nil"/>
              <w:bottom w:val="nil"/>
              <w:right w:val="single" w:sz="4" w:space="0" w:color="auto"/>
            </w:tcBorders>
            <w:shd w:val="clear" w:color="000000" w:fill="FFFFFF"/>
            <w:vAlign w:val="bottom"/>
            <w:hideMark/>
          </w:tcPr>
          <w:p w14:paraId="3DCDB50B" w14:textId="77777777" w:rsidR="00016C24" w:rsidRPr="0024033B" w:rsidRDefault="00016C24" w:rsidP="00500FD5">
            <w:pPr>
              <w:jc w:val="right"/>
              <w:rPr>
                <w:rFonts w:ascii="Arial" w:hAnsi="Arial" w:cs="Arial"/>
                <w:lang w:eastAsia="en-GB"/>
              </w:rPr>
            </w:pPr>
            <w:r w:rsidRPr="0024033B">
              <w:rPr>
                <w:rFonts w:ascii="Arial" w:hAnsi="Arial" w:cs="Arial"/>
                <w:lang w:eastAsia="en-GB"/>
              </w:rPr>
              <w:t> </w:t>
            </w:r>
          </w:p>
        </w:tc>
        <w:tc>
          <w:tcPr>
            <w:tcW w:w="0" w:type="auto"/>
            <w:tcBorders>
              <w:top w:val="nil"/>
              <w:left w:val="nil"/>
              <w:bottom w:val="nil"/>
              <w:right w:val="single" w:sz="4" w:space="0" w:color="auto"/>
            </w:tcBorders>
            <w:shd w:val="clear" w:color="000000" w:fill="FFFFFF"/>
            <w:vAlign w:val="bottom"/>
            <w:hideMark/>
          </w:tcPr>
          <w:p w14:paraId="17A74542" w14:textId="77777777" w:rsidR="00016C24" w:rsidRPr="0024033B" w:rsidRDefault="00016C24" w:rsidP="00500FD5">
            <w:pPr>
              <w:jc w:val="right"/>
              <w:rPr>
                <w:rFonts w:ascii="Arial" w:hAnsi="Arial" w:cs="Arial"/>
                <w:lang w:eastAsia="en-GB"/>
              </w:rPr>
            </w:pPr>
            <w:r w:rsidRPr="0024033B">
              <w:rPr>
                <w:rFonts w:ascii="Arial" w:hAnsi="Arial" w:cs="Arial"/>
                <w:lang w:eastAsia="en-GB"/>
              </w:rPr>
              <w:t> </w:t>
            </w:r>
          </w:p>
        </w:tc>
      </w:tr>
      <w:tr w:rsidR="00016C24" w:rsidRPr="0024033B" w14:paraId="6547636C" w14:textId="77777777" w:rsidTr="00500FD5">
        <w:trPr>
          <w:trHeight w:val="300"/>
        </w:trPr>
        <w:tc>
          <w:tcPr>
            <w:tcW w:w="4106" w:type="dxa"/>
            <w:tcBorders>
              <w:top w:val="nil"/>
              <w:left w:val="single" w:sz="4" w:space="0" w:color="auto"/>
              <w:bottom w:val="nil"/>
              <w:right w:val="nil"/>
            </w:tcBorders>
            <w:shd w:val="clear" w:color="000000" w:fill="FFFFFF"/>
            <w:vAlign w:val="bottom"/>
            <w:hideMark/>
          </w:tcPr>
          <w:p w14:paraId="5AE8DA72" w14:textId="77777777" w:rsidR="00016C24" w:rsidRPr="0024033B" w:rsidRDefault="00016C24" w:rsidP="00500FD5">
            <w:pPr>
              <w:rPr>
                <w:rFonts w:ascii="Arial" w:hAnsi="Arial" w:cs="Arial"/>
                <w:color w:val="000000"/>
                <w:lang w:eastAsia="en-GB"/>
              </w:rPr>
            </w:pPr>
            <w:r w:rsidRPr="0024033B">
              <w:rPr>
                <w:rFonts w:ascii="Arial" w:hAnsi="Arial" w:cs="Arial"/>
                <w:color w:val="000000"/>
                <w:lang w:eastAsia="en-GB"/>
              </w:rPr>
              <w:t>OZEV-EV Taxi</w:t>
            </w:r>
          </w:p>
        </w:tc>
        <w:tc>
          <w:tcPr>
            <w:tcW w:w="1134" w:type="dxa"/>
            <w:tcBorders>
              <w:top w:val="nil"/>
              <w:left w:val="single" w:sz="4" w:space="0" w:color="auto"/>
              <w:bottom w:val="nil"/>
              <w:right w:val="nil"/>
            </w:tcBorders>
            <w:shd w:val="clear" w:color="000000" w:fill="FFFFFF"/>
            <w:vAlign w:val="bottom"/>
            <w:hideMark/>
          </w:tcPr>
          <w:p w14:paraId="32112BBF" w14:textId="77777777" w:rsidR="00016C24" w:rsidRPr="0024033B" w:rsidRDefault="00016C24" w:rsidP="00500FD5">
            <w:pPr>
              <w:jc w:val="right"/>
              <w:rPr>
                <w:rFonts w:ascii="Arial" w:hAnsi="Arial" w:cs="Arial"/>
                <w:color w:val="000000"/>
                <w:lang w:eastAsia="en-GB"/>
              </w:rPr>
            </w:pPr>
            <w:r w:rsidRPr="0024033B">
              <w:rPr>
                <w:rFonts w:ascii="Arial" w:hAnsi="Arial" w:cs="Arial"/>
                <w:color w:val="000000"/>
                <w:lang w:eastAsia="en-GB"/>
              </w:rPr>
              <w:t>1,986</w:t>
            </w:r>
          </w:p>
        </w:tc>
        <w:tc>
          <w:tcPr>
            <w:tcW w:w="1414" w:type="dxa"/>
            <w:tcBorders>
              <w:top w:val="nil"/>
              <w:left w:val="single" w:sz="4" w:space="0" w:color="auto"/>
              <w:bottom w:val="nil"/>
              <w:right w:val="single" w:sz="4" w:space="0" w:color="auto"/>
            </w:tcBorders>
            <w:shd w:val="clear" w:color="000000" w:fill="FFFFFF"/>
            <w:vAlign w:val="bottom"/>
            <w:hideMark/>
          </w:tcPr>
          <w:p w14:paraId="57C7FA2E" w14:textId="77777777" w:rsidR="00016C24" w:rsidRPr="0024033B" w:rsidRDefault="00016C24" w:rsidP="00500FD5">
            <w:pPr>
              <w:jc w:val="right"/>
              <w:rPr>
                <w:rFonts w:ascii="Arial" w:hAnsi="Arial" w:cs="Arial"/>
                <w:lang w:eastAsia="en-GB"/>
              </w:rPr>
            </w:pPr>
            <w:r w:rsidRPr="0024033B">
              <w:rPr>
                <w:rFonts w:ascii="Arial" w:hAnsi="Arial" w:cs="Arial"/>
                <w:lang w:eastAsia="en-GB"/>
              </w:rPr>
              <w:t>2,530</w:t>
            </w:r>
          </w:p>
        </w:tc>
        <w:tc>
          <w:tcPr>
            <w:tcW w:w="0" w:type="auto"/>
            <w:tcBorders>
              <w:top w:val="nil"/>
              <w:left w:val="nil"/>
              <w:bottom w:val="nil"/>
              <w:right w:val="single" w:sz="4" w:space="0" w:color="auto"/>
            </w:tcBorders>
            <w:shd w:val="clear" w:color="000000" w:fill="FFFFFF"/>
            <w:vAlign w:val="bottom"/>
            <w:hideMark/>
          </w:tcPr>
          <w:p w14:paraId="2DD58E9A" w14:textId="77777777" w:rsidR="00016C24" w:rsidRPr="0024033B" w:rsidRDefault="00016C24" w:rsidP="00500FD5">
            <w:pPr>
              <w:jc w:val="right"/>
              <w:rPr>
                <w:rFonts w:ascii="Arial" w:hAnsi="Arial" w:cs="Arial"/>
                <w:lang w:eastAsia="en-GB"/>
              </w:rPr>
            </w:pPr>
            <w:r w:rsidRPr="0024033B">
              <w:rPr>
                <w:rFonts w:ascii="Arial" w:hAnsi="Arial" w:cs="Arial"/>
                <w:lang w:eastAsia="en-GB"/>
              </w:rPr>
              <w:t>2,109</w:t>
            </w:r>
          </w:p>
        </w:tc>
        <w:tc>
          <w:tcPr>
            <w:tcW w:w="0" w:type="auto"/>
            <w:tcBorders>
              <w:top w:val="nil"/>
              <w:left w:val="nil"/>
              <w:bottom w:val="nil"/>
              <w:right w:val="single" w:sz="4" w:space="0" w:color="auto"/>
            </w:tcBorders>
            <w:shd w:val="clear" w:color="000000" w:fill="FFFFFF"/>
            <w:vAlign w:val="bottom"/>
            <w:hideMark/>
          </w:tcPr>
          <w:p w14:paraId="74CC8641" w14:textId="77777777" w:rsidR="00016C24" w:rsidRPr="0024033B" w:rsidRDefault="00016C24" w:rsidP="00500FD5">
            <w:pPr>
              <w:jc w:val="right"/>
              <w:rPr>
                <w:rFonts w:ascii="Arial" w:hAnsi="Arial" w:cs="Arial"/>
                <w:lang w:eastAsia="en-GB"/>
              </w:rPr>
            </w:pPr>
            <w:r w:rsidRPr="0024033B">
              <w:rPr>
                <w:rFonts w:ascii="Arial" w:hAnsi="Arial" w:cs="Arial"/>
                <w:lang w:eastAsia="en-GB"/>
              </w:rPr>
              <w:t>(421)</w:t>
            </w:r>
          </w:p>
        </w:tc>
      </w:tr>
      <w:tr w:rsidR="00016C24" w:rsidRPr="0024033B" w14:paraId="1CE631AC" w14:textId="77777777" w:rsidTr="00500FD5">
        <w:trPr>
          <w:trHeight w:val="300"/>
        </w:trPr>
        <w:tc>
          <w:tcPr>
            <w:tcW w:w="4106" w:type="dxa"/>
            <w:tcBorders>
              <w:top w:val="nil"/>
              <w:left w:val="single" w:sz="4" w:space="0" w:color="auto"/>
              <w:bottom w:val="nil"/>
              <w:right w:val="nil"/>
            </w:tcBorders>
            <w:shd w:val="clear" w:color="000000" w:fill="FFFFFF"/>
            <w:vAlign w:val="bottom"/>
            <w:hideMark/>
          </w:tcPr>
          <w:p w14:paraId="7EBE1127" w14:textId="77777777" w:rsidR="00016C24" w:rsidRPr="0024033B" w:rsidRDefault="00016C24" w:rsidP="00500FD5">
            <w:pPr>
              <w:rPr>
                <w:rFonts w:ascii="Arial" w:hAnsi="Arial" w:cs="Arial"/>
                <w:color w:val="000000"/>
                <w:lang w:eastAsia="en-GB"/>
              </w:rPr>
            </w:pPr>
            <w:r w:rsidRPr="0024033B">
              <w:rPr>
                <w:rFonts w:ascii="Arial" w:hAnsi="Arial" w:cs="Arial"/>
                <w:color w:val="000000"/>
                <w:lang w:eastAsia="en-GB"/>
              </w:rPr>
              <w:t>Financial Support Scheme (FSS)</w:t>
            </w:r>
          </w:p>
        </w:tc>
        <w:tc>
          <w:tcPr>
            <w:tcW w:w="1134" w:type="dxa"/>
            <w:tcBorders>
              <w:top w:val="nil"/>
              <w:left w:val="single" w:sz="4" w:space="0" w:color="auto"/>
              <w:bottom w:val="nil"/>
              <w:right w:val="nil"/>
            </w:tcBorders>
            <w:shd w:val="clear" w:color="000000" w:fill="FFFFFF"/>
            <w:vAlign w:val="bottom"/>
            <w:hideMark/>
          </w:tcPr>
          <w:p w14:paraId="5CA50D16" w14:textId="77777777" w:rsidR="00016C24" w:rsidRPr="0024033B" w:rsidRDefault="00016C24" w:rsidP="00500FD5">
            <w:pPr>
              <w:jc w:val="right"/>
              <w:rPr>
                <w:rFonts w:ascii="Arial" w:hAnsi="Arial" w:cs="Arial"/>
                <w:color w:val="000000"/>
                <w:lang w:eastAsia="en-GB"/>
              </w:rPr>
            </w:pPr>
            <w:r>
              <w:rPr>
                <w:rFonts w:ascii="Arial" w:hAnsi="Arial" w:cs="Arial"/>
                <w:color w:val="000000"/>
                <w:lang w:eastAsia="en-GB"/>
              </w:rPr>
              <w:t>0</w:t>
            </w:r>
          </w:p>
        </w:tc>
        <w:tc>
          <w:tcPr>
            <w:tcW w:w="1414" w:type="dxa"/>
            <w:tcBorders>
              <w:top w:val="nil"/>
              <w:left w:val="single" w:sz="4" w:space="0" w:color="auto"/>
              <w:bottom w:val="nil"/>
              <w:right w:val="single" w:sz="4" w:space="0" w:color="auto"/>
            </w:tcBorders>
            <w:shd w:val="clear" w:color="000000" w:fill="FFFFFF"/>
            <w:vAlign w:val="bottom"/>
            <w:hideMark/>
          </w:tcPr>
          <w:p w14:paraId="42F3F203" w14:textId="77777777" w:rsidR="00016C24" w:rsidRPr="0024033B" w:rsidRDefault="00016C24" w:rsidP="00500FD5">
            <w:pPr>
              <w:jc w:val="right"/>
              <w:rPr>
                <w:rFonts w:ascii="Arial" w:hAnsi="Arial" w:cs="Arial"/>
                <w:lang w:eastAsia="en-GB"/>
              </w:rPr>
            </w:pPr>
            <w:r w:rsidRPr="0024033B">
              <w:rPr>
                <w:rFonts w:ascii="Arial" w:hAnsi="Arial" w:cs="Arial"/>
                <w:lang w:eastAsia="en-GB"/>
              </w:rPr>
              <w:t>3,294</w:t>
            </w:r>
          </w:p>
        </w:tc>
        <w:tc>
          <w:tcPr>
            <w:tcW w:w="0" w:type="auto"/>
            <w:tcBorders>
              <w:top w:val="nil"/>
              <w:left w:val="nil"/>
              <w:bottom w:val="nil"/>
              <w:right w:val="single" w:sz="4" w:space="0" w:color="auto"/>
            </w:tcBorders>
            <w:shd w:val="clear" w:color="000000" w:fill="FFFFFF"/>
            <w:vAlign w:val="bottom"/>
            <w:hideMark/>
          </w:tcPr>
          <w:p w14:paraId="239841F2" w14:textId="77777777" w:rsidR="00016C24" w:rsidRPr="0024033B" w:rsidRDefault="00016C24" w:rsidP="00500FD5">
            <w:pPr>
              <w:jc w:val="right"/>
              <w:rPr>
                <w:rFonts w:ascii="Arial" w:hAnsi="Arial" w:cs="Arial"/>
                <w:lang w:eastAsia="en-GB"/>
              </w:rPr>
            </w:pPr>
            <w:r w:rsidRPr="0024033B">
              <w:rPr>
                <w:rFonts w:ascii="Arial" w:hAnsi="Arial" w:cs="Arial"/>
                <w:lang w:eastAsia="en-GB"/>
              </w:rPr>
              <w:t>3,344</w:t>
            </w:r>
          </w:p>
        </w:tc>
        <w:tc>
          <w:tcPr>
            <w:tcW w:w="0" w:type="auto"/>
            <w:tcBorders>
              <w:top w:val="nil"/>
              <w:left w:val="nil"/>
              <w:bottom w:val="nil"/>
              <w:right w:val="single" w:sz="4" w:space="0" w:color="auto"/>
            </w:tcBorders>
            <w:shd w:val="clear" w:color="000000" w:fill="FFFFFF"/>
            <w:vAlign w:val="bottom"/>
            <w:hideMark/>
          </w:tcPr>
          <w:p w14:paraId="2326A720" w14:textId="77777777" w:rsidR="00016C24" w:rsidRPr="0024033B" w:rsidRDefault="00016C24" w:rsidP="00500FD5">
            <w:pPr>
              <w:jc w:val="right"/>
              <w:rPr>
                <w:rFonts w:ascii="Arial" w:hAnsi="Arial" w:cs="Arial"/>
                <w:lang w:eastAsia="en-GB"/>
              </w:rPr>
            </w:pPr>
            <w:r w:rsidRPr="0024033B">
              <w:rPr>
                <w:rFonts w:ascii="Arial" w:hAnsi="Arial" w:cs="Arial"/>
                <w:lang w:eastAsia="en-GB"/>
              </w:rPr>
              <w:t>50</w:t>
            </w:r>
          </w:p>
        </w:tc>
      </w:tr>
      <w:tr w:rsidR="00016C24" w:rsidRPr="0024033B" w14:paraId="27341463" w14:textId="77777777" w:rsidTr="00500FD5">
        <w:trPr>
          <w:trHeight w:val="300"/>
        </w:trPr>
        <w:tc>
          <w:tcPr>
            <w:tcW w:w="4106" w:type="dxa"/>
            <w:tcBorders>
              <w:top w:val="nil"/>
              <w:left w:val="single" w:sz="4" w:space="0" w:color="auto"/>
              <w:bottom w:val="nil"/>
              <w:right w:val="nil"/>
            </w:tcBorders>
            <w:shd w:val="clear" w:color="000000" w:fill="FFFFFF"/>
            <w:vAlign w:val="bottom"/>
            <w:hideMark/>
          </w:tcPr>
          <w:p w14:paraId="460C4C0E" w14:textId="77777777" w:rsidR="00016C24" w:rsidRPr="0024033B" w:rsidRDefault="00016C24" w:rsidP="00500FD5">
            <w:pPr>
              <w:rPr>
                <w:rFonts w:ascii="Arial" w:hAnsi="Arial" w:cs="Arial"/>
                <w:color w:val="000000"/>
                <w:lang w:eastAsia="en-GB"/>
              </w:rPr>
            </w:pPr>
            <w:r w:rsidRPr="0024033B">
              <w:rPr>
                <w:rFonts w:ascii="Arial" w:hAnsi="Arial" w:cs="Arial"/>
                <w:color w:val="000000"/>
                <w:lang w:eastAsia="en-GB"/>
              </w:rPr>
              <w:t>Clean Air Zone (CAZ)</w:t>
            </w:r>
          </w:p>
        </w:tc>
        <w:tc>
          <w:tcPr>
            <w:tcW w:w="1134" w:type="dxa"/>
            <w:tcBorders>
              <w:top w:val="nil"/>
              <w:left w:val="single" w:sz="4" w:space="0" w:color="auto"/>
              <w:bottom w:val="nil"/>
              <w:right w:val="nil"/>
            </w:tcBorders>
            <w:shd w:val="clear" w:color="000000" w:fill="FFFFFF"/>
            <w:vAlign w:val="bottom"/>
            <w:hideMark/>
          </w:tcPr>
          <w:p w14:paraId="60CE943E" w14:textId="77777777" w:rsidR="00016C24" w:rsidRPr="0024033B" w:rsidRDefault="00016C24" w:rsidP="00500FD5">
            <w:pPr>
              <w:jc w:val="right"/>
              <w:rPr>
                <w:rFonts w:ascii="Arial" w:hAnsi="Arial" w:cs="Arial"/>
                <w:color w:val="000000"/>
                <w:lang w:eastAsia="en-GB"/>
              </w:rPr>
            </w:pPr>
            <w:r>
              <w:rPr>
                <w:rFonts w:ascii="Arial" w:hAnsi="Arial" w:cs="Arial"/>
                <w:color w:val="000000"/>
                <w:lang w:eastAsia="en-GB"/>
              </w:rPr>
              <w:t>0</w:t>
            </w:r>
          </w:p>
        </w:tc>
        <w:tc>
          <w:tcPr>
            <w:tcW w:w="1414" w:type="dxa"/>
            <w:tcBorders>
              <w:top w:val="nil"/>
              <w:left w:val="single" w:sz="4" w:space="0" w:color="auto"/>
              <w:bottom w:val="nil"/>
              <w:right w:val="single" w:sz="4" w:space="0" w:color="auto"/>
            </w:tcBorders>
            <w:shd w:val="clear" w:color="000000" w:fill="FFFFFF"/>
            <w:vAlign w:val="bottom"/>
            <w:hideMark/>
          </w:tcPr>
          <w:p w14:paraId="701A0296" w14:textId="77777777" w:rsidR="00016C24" w:rsidRPr="0024033B" w:rsidRDefault="00016C24" w:rsidP="00500FD5">
            <w:pPr>
              <w:jc w:val="right"/>
              <w:rPr>
                <w:rFonts w:ascii="Arial" w:hAnsi="Arial" w:cs="Arial"/>
                <w:lang w:eastAsia="en-GB"/>
              </w:rPr>
            </w:pPr>
            <w:r w:rsidRPr="0024033B">
              <w:rPr>
                <w:rFonts w:ascii="Arial" w:hAnsi="Arial" w:cs="Arial"/>
                <w:lang w:eastAsia="en-GB"/>
              </w:rPr>
              <w:t>18,137</w:t>
            </w:r>
          </w:p>
        </w:tc>
        <w:tc>
          <w:tcPr>
            <w:tcW w:w="0" w:type="auto"/>
            <w:tcBorders>
              <w:top w:val="nil"/>
              <w:left w:val="nil"/>
              <w:bottom w:val="nil"/>
              <w:right w:val="single" w:sz="4" w:space="0" w:color="auto"/>
            </w:tcBorders>
            <w:shd w:val="clear" w:color="000000" w:fill="FFFFFF"/>
            <w:vAlign w:val="bottom"/>
            <w:hideMark/>
          </w:tcPr>
          <w:p w14:paraId="30E21C32" w14:textId="77777777" w:rsidR="00016C24" w:rsidRPr="0024033B" w:rsidRDefault="00016C24" w:rsidP="00500FD5">
            <w:pPr>
              <w:jc w:val="right"/>
              <w:rPr>
                <w:rFonts w:ascii="Arial" w:hAnsi="Arial" w:cs="Arial"/>
                <w:lang w:eastAsia="en-GB"/>
              </w:rPr>
            </w:pPr>
            <w:r w:rsidRPr="0024033B">
              <w:rPr>
                <w:rFonts w:ascii="Arial" w:hAnsi="Arial" w:cs="Arial"/>
                <w:lang w:eastAsia="en-GB"/>
              </w:rPr>
              <w:t>12,127</w:t>
            </w:r>
          </w:p>
        </w:tc>
        <w:tc>
          <w:tcPr>
            <w:tcW w:w="0" w:type="auto"/>
            <w:tcBorders>
              <w:top w:val="nil"/>
              <w:left w:val="nil"/>
              <w:bottom w:val="nil"/>
              <w:right w:val="single" w:sz="4" w:space="0" w:color="auto"/>
            </w:tcBorders>
            <w:shd w:val="clear" w:color="000000" w:fill="FFFFFF"/>
            <w:vAlign w:val="bottom"/>
            <w:hideMark/>
          </w:tcPr>
          <w:p w14:paraId="6D606C9F" w14:textId="77777777" w:rsidR="00016C24" w:rsidRPr="0024033B" w:rsidRDefault="00016C24" w:rsidP="00500FD5">
            <w:pPr>
              <w:jc w:val="right"/>
              <w:rPr>
                <w:rFonts w:ascii="Arial" w:hAnsi="Arial" w:cs="Arial"/>
                <w:lang w:eastAsia="en-GB"/>
              </w:rPr>
            </w:pPr>
            <w:r w:rsidRPr="0024033B">
              <w:rPr>
                <w:rFonts w:ascii="Arial" w:hAnsi="Arial" w:cs="Arial"/>
                <w:lang w:eastAsia="en-GB"/>
              </w:rPr>
              <w:t>(6,010)</w:t>
            </w:r>
          </w:p>
        </w:tc>
      </w:tr>
      <w:tr w:rsidR="00016C24" w:rsidRPr="0024033B" w14:paraId="5AC9164B" w14:textId="77777777" w:rsidTr="00500FD5">
        <w:trPr>
          <w:trHeight w:val="300"/>
        </w:trPr>
        <w:tc>
          <w:tcPr>
            <w:tcW w:w="4106" w:type="dxa"/>
            <w:tcBorders>
              <w:top w:val="nil"/>
              <w:left w:val="single" w:sz="4" w:space="0" w:color="auto"/>
              <w:bottom w:val="nil"/>
              <w:right w:val="nil"/>
            </w:tcBorders>
            <w:shd w:val="clear" w:color="000000" w:fill="FFFFFF"/>
            <w:vAlign w:val="bottom"/>
            <w:hideMark/>
          </w:tcPr>
          <w:p w14:paraId="13FEE0ED" w14:textId="77777777" w:rsidR="00016C24" w:rsidRPr="0024033B" w:rsidRDefault="00016C24" w:rsidP="00500FD5">
            <w:pPr>
              <w:rPr>
                <w:rFonts w:ascii="Arial" w:hAnsi="Arial" w:cs="Arial"/>
                <w:color w:val="000000"/>
                <w:lang w:eastAsia="en-GB"/>
              </w:rPr>
            </w:pPr>
            <w:r w:rsidRPr="0024033B">
              <w:rPr>
                <w:rFonts w:ascii="Arial" w:hAnsi="Arial" w:cs="Arial"/>
                <w:color w:val="000000"/>
                <w:lang w:eastAsia="en-GB"/>
              </w:rPr>
              <w:t>Clean Bus Technology Fund</w:t>
            </w:r>
          </w:p>
        </w:tc>
        <w:tc>
          <w:tcPr>
            <w:tcW w:w="1134" w:type="dxa"/>
            <w:tcBorders>
              <w:top w:val="nil"/>
              <w:left w:val="single" w:sz="4" w:space="0" w:color="auto"/>
              <w:bottom w:val="nil"/>
              <w:right w:val="nil"/>
            </w:tcBorders>
            <w:shd w:val="clear" w:color="000000" w:fill="FFFFFF"/>
            <w:vAlign w:val="bottom"/>
            <w:hideMark/>
          </w:tcPr>
          <w:p w14:paraId="34079819" w14:textId="77777777" w:rsidR="00016C24" w:rsidRPr="0024033B" w:rsidRDefault="00016C24" w:rsidP="00500FD5">
            <w:pPr>
              <w:jc w:val="right"/>
              <w:rPr>
                <w:rFonts w:ascii="Arial" w:hAnsi="Arial" w:cs="Arial"/>
                <w:color w:val="000000"/>
                <w:lang w:eastAsia="en-GB"/>
              </w:rPr>
            </w:pPr>
            <w:r w:rsidRPr="0024033B">
              <w:rPr>
                <w:rFonts w:ascii="Arial" w:hAnsi="Arial" w:cs="Arial"/>
                <w:color w:val="000000"/>
                <w:lang w:eastAsia="en-GB"/>
              </w:rPr>
              <w:t>1,733</w:t>
            </w:r>
          </w:p>
        </w:tc>
        <w:tc>
          <w:tcPr>
            <w:tcW w:w="1414" w:type="dxa"/>
            <w:tcBorders>
              <w:top w:val="nil"/>
              <w:left w:val="single" w:sz="4" w:space="0" w:color="auto"/>
              <w:bottom w:val="nil"/>
              <w:right w:val="single" w:sz="4" w:space="0" w:color="auto"/>
            </w:tcBorders>
            <w:shd w:val="clear" w:color="000000" w:fill="FFFFFF"/>
            <w:vAlign w:val="bottom"/>
            <w:hideMark/>
          </w:tcPr>
          <w:p w14:paraId="2262D32C" w14:textId="77777777" w:rsidR="00016C24" w:rsidRPr="0024033B" w:rsidRDefault="00016C24" w:rsidP="00500FD5">
            <w:pPr>
              <w:jc w:val="right"/>
              <w:rPr>
                <w:rFonts w:ascii="Arial" w:hAnsi="Arial" w:cs="Arial"/>
                <w:lang w:eastAsia="en-GB"/>
              </w:rPr>
            </w:pPr>
            <w:r w:rsidRPr="0024033B">
              <w:rPr>
                <w:rFonts w:ascii="Arial" w:hAnsi="Arial" w:cs="Arial"/>
                <w:lang w:eastAsia="en-GB"/>
              </w:rPr>
              <w:t>2,071</w:t>
            </w:r>
          </w:p>
        </w:tc>
        <w:tc>
          <w:tcPr>
            <w:tcW w:w="0" w:type="auto"/>
            <w:tcBorders>
              <w:top w:val="nil"/>
              <w:left w:val="nil"/>
              <w:bottom w:val="nil"/>
              <w:right w:val="single" w:sz="4" w:space="0" w:color="auto"/>
            </w:tcBorders>
            <w:shd w:val="clear" w:color="000000" w:fill="FFFFFF"/>
            <w:vAlign w:val="bottom"/>
            <w:hideMark/>
          </w:tcPr>
          <w:p w14:paraId="444BFB87" w14:textId="77777777" w:rsidR="00016C24" w:rsidRPr="0024033B" w:rsidRDefault="00016C24" w:rsidP="00500FD5">
            <w:pPr>
              <w:jc w:val="right"/>
              <w:rPr>
                <w:rFonts w:ascii="Arial" w:hAnsi="Arial" w:cs="Arial"/>
                <w:lang w:eastAsia="en-GB"/>
              </w:rPr>
            </w:pPr>
            <w:r w:rsidRPr="0024033B">
              <w:rPr>
                <w:rFonts w:ascii="Arial" w:hAnsi="Arial" w:cs="Arial"/>
                <w:lang w:eastAsia="en-GB"/>
              </w:rPr>
              <w:t>1,646</w:t>
            </w:r>
          </w:p>
        </w:tc>
        <w:tc>
          <w:tcPr>
            <w:tcW w:w="0" w:type="auto"/>
            <w:tcBorders>
              <w:top w:val="nil"/>
              <w:left w:val="nil"/>
              <w:bottom w:val="nil"/>
              <w:right w:val="single" w:sz="4" w:space="0" w:color="auto"/>
            </w:tcBorders>
            <w:shd w:val="clear" w:color="000000" w:fill="FFFFFF"/>
            <w:vAlign w:val="bottom"/>
            <w:hideMark/>
          </w:tcPr>
          <w:p w14:paraId="31FD3AE4" w14:textId="77777777" w:rsidR="00016C24" w:rsidRPr="0024033B" w:rsidRDefault="00016C24" w:rsidP="00500FD5">
            <w:pPr>
              <w:jc w:val="right"/>
              <w:rPr>
                <w:rFonts w:ascii="Arial" w:hAnsi="Arial" w:cs="Arial"/>
                <w:lang w:eastAsia="en-GB"/>
              </w:rPr>
            </w:pPr>
            <w:r w:rsidRPr="0024033B">
              <w:rPr>
                <w:rFonts w:ascii="Arial" w:hAnsi="Arial" w:cs="Arial"/>
                <w:lang w:eastAsia="en-GB"/>
              </w:rPr>
              <w:t>(425)</w:t>
            </w:r>
          </w:p>
        </w:tc>
      </w:tr>
      <w:tr w:rsidR="00016C24" w:rsidRPr="0024033B" w14:paraId="0F506E2D" w14:textId="77777777" w:rsidTr="00500FD5">
        <w:trPr>
          <w:trHeight w:val="300"/>
        </w:trPr>
        <w:tc>
          <w:tcPr>
            <w:tcW w:w="4106" w:type="dxa"/>
            <w:tcBorders>
              <w:top w:val="nil"/>
              <w:left w:val="single" w:sz="4" w:space="0" w:color="auto"/>
              <w:bottom w:val="nil"/>
              <w:right w:val="nil"/>
            </w:tcBorders>
            <w:shd w:val="clear" w:color="000000" w:fill="FFFFFF"/>
            <w:vAlign w:val="bottom"/>
            <w:hideMark/>
          </w:tcPr>
          <w:p w14:paraId="6F691070" w14:textId="77777777" w:rsidR="00016C24" w:rsidRPr="0024033B" w:rsidRDefault="00016C24" w:rsidP="00500FD5">
            <w:pPr>
              <w:rPr>
                <w:rFonts w:ascii="Arial" w:hAnsi="Arial" w:cs="Arial"/>
                <w:color w:val="000000"/>
                <w:lang w:eastAsia="en-GB"/>
              </w:rPr>
            </w:pPr>
            <w:r w:rsidRPr="0024033B">
              <w:rPr>
                <w:rFonts w:ascii="Arial" w:hAnsi="Arial" w:cs="Arial"/>
                <w:color w:val="000000"/>
                <w:lang w:eastAsia="en-GB"/>
              </w:rPr>
              <w:t>Clean Bus Fund</w:t>
            </w:r>
          </w:p>
        </w:tc>
        <w:tc>
          <w:tcPr>
            <w:tcW w:w="1134" w:type="dxa"/>
            <w:tcBorders>
              <w:top w:val="nil"/>
              <w:left w:val="single" w:sz="4" w:space="0" w:color="auto"/>
              <w:bottom w:val="nil"/>
              <w:right w:val="nil"/>
            </w:tcBorders>
            <w:shd w:val="clear" w:color="000000" w:fill="FFFFFF"/>
            <w:vAlign w:val="bottom"/>
            <w:hideMark/>
          </w:tcPr>
          <w:p w14:paraId="2CA886AF" w14:textId="77777777" w:rsidR="00016C24" w:rsidRPr="0024033B" w:rsidRDefault="00016C24" w:rsidP="00500FD5">
            <w:pPr>
              <w:jc w:val="right"/>
              <w:rPr>
                <w:rFonts w:ascii="Arial" w:hAnsi="Arial" w:cs="Arial"/>
                <w:color w:val="000000"/>
                <w:lang w:eastAsia="en-GB"/>
              </w:rPr>
            </w:pPr>
            <w:r w:rsidRPr="0024033B">
              <w:rPr>
                <w:rFonts w:ascii="Arial" w:hAnsi="Arial" w:cs="Arial"/>
                <w:color w:val="000000"/>
                <w:lang w:eastAsia="en-GB"/>
              </w:rPr>
              <w:t>11,571</w:t>
            </w:r>
          </w:p>
        </w:tc>
        <w:tc>
          <w:tcPr>
            <w:tcW w:w="1414" w:type="dxa"/>
            <w:tcBorders>
              <w:top w:val="nil"/>
              <w:left w:val="single" w:sz="4" w:space="0" w:color="auto"/>
              <w:bottom w:val="nil"/>
              <w:right w:val="single" w:sz="4" w:space="0" w:color="auto"/>
            </w:tcBorders>
            <w:shd w:val="clear" w:color="000000" w:fill="FFFFFF"/>
            <w:vAlign w:val="bottom"/>
            <w:hideMark/>
          </w:tcPr>
          <w:p w14:paraId="5843B3ED" w14:textId="77777777" w:rsidR="00016C24" w:rsidRPr="0024033B" w:rsidRDefault="00016C24" w:rsidP="00500FD5">
            <w:pPr>
              <w:jc w:val="right"/>
              <w:rPr>
                <w:rFonts w:ascii="Arial" w:hAnsi="Arial" w:cs="Arial"/>
                <w:lang w:eastAsia="en-GB"/>
              </w:rPr>
            </w:pPr>
            <w:r w:rsidRPr="0024033B">
              <w:rPr>
                <w:rFonts w:ascii="Arial" w:hAnsi="Arial" w:cs="Arial"/>
                <w:lang w:eastAsia="en-GB"/>
              </w:rPr>
              <w:t>6,582</w:t>
            </w:r>
          </w:p>
        </w:tc>
        <w:tc>
          <w:tcPr>
            <w:tcW w:w="0" w:type="auto"/>
            <w:tcBorders>
              <w:top w:val="nil"/>
              <w:left w:val="nil"/>
              <w:bottom w:val="nil"/>
              <w:right w:val="single" w:sz="4" w:space="0" w:color="auto"/>
            </w:tcBorders>
            <w:shd w:val="clear" w:color="000000" w:fill="FFFFFF"/>
            <w:vAlign w:val="bottom"/>
            <w:hideMark/>
          </w:tcPr>
          <w:p w14:paraId="385A6876" w14:textId="77777777" w:rsidR="00016C24" w:rsidRPr="0024033B" w:rsidRDefault="00016C24" w:rsidP="00500FD5">
            <w:pPr>
              <w:jc w:val="right"/>
              <w:rPr>
                <w:rFonts w:ascii="Arial" w:hAnsi="Arial" w:cs="Arial"/>
                <w:lang w:eastAsia="en-GB"/>
              </w:rPr>
            </w:pPr>
            <w:r w:rsidRPr="0024033B">
              <w:rPr>
                <w:rFonts w:ascii="Arial" w:hAnsi="Arial" w:cs="Arial"/>
                <w:lang w:eastAsia="en-GB"/>
              </w:rPr>
              <w:t>5,836</w:t>
            </w:r>
          </w:p>
        </w:tc>
        <w:tc>
          <w:tcPr>
            <w:tcW w:w="0" w:type="auto"/>
            <w:tcBorders>
              <w:top w:val="nil"/>
              <w:left w:val="nil"/>
              <w:bottom w:val="nil"/>
              <w:right w:val="single" w:sz="4" w:space="0" w:color="auto"/>
            </w:tcBorders>
            <w:shd w:val="clear" w:color="000000" w:fill="FFFFFF"/>
            <w:vAlign w:val="bottom"/>
            <w:hideMark/>
          </w:tcPr>
          <w:p w14:paraId="7F6636C7" w14:textId="77777777" w:rsidR="00016C24" w:rsidRPr="0024033B" w:rsidRDefault="00016C24" w:rsidP="00500FD5">
            <w:pPr>
              <w:jc w:val="right"/>
              <w:rPr>
                <w:rFonts w:ascii="Arial" w:hAnsi="Arial" w:cs="Arial"/>
                <w:lang w:eastAsia="en-GB"/>
              </w:rPr>
            </w:pPr>
            <w:r w:rsidRPr="0024033B">
              <w:rPr>
                <w:rFonts w:ascii="Arial" w:hAnsi="Arial" w:cs="Arial"/>
                <w:lang w:eastAsia="en-GB"/>
              </w:rPr>
              <w:t>(746)</w:t>
            </w:r>
          </w:p>
        </w:tc>
      </w:tr>
      <w:tr w:rsidR="00016C24" w:rsidRPr="0024033B" w14:paraId="448CEFDC" w14:textId="77777777" w:rsidTr="00500FD5">
        <w:trPr>
          <w:trHeight w:val="300"/>
        </w:trPr>
        <w:tc>
          <w:tcPr>
            <w:tcW w:w="4106" w:type="dxa"/>
            <w:tcBorders>
              <w:top w:val="nil"/>
              <w:left w:val="single" w:sz="4" w:space="0" w:color="auto"/>
              <w:bottom w:val="nil"/>
              <w:right w:val="nil"/>
            </w:tcBorders>
            <w:shd w:val="clear" w:color="000000" w:fill="FFFFFF"/>
            <w:vAlign w:val="bottom"/>
            <w:hideMark/>
          </w:tcPr>
          <w:p w14:paraId="1B9F6DD2" w14:textId="77777777" w:rsidR="00016C24" w:rsidRPr="0024033B" w:rsidRDefault="00016C24" w:rsidP="00500FD5">
            <w:pPr>
              <w:rPr>
                <w:rFonts w:ascii="Arial" w:hAnsi="Arial" w:cs="Arial"/>
                <w:color w:val="000000"/>
                <w:lang w:eastAsia="en-GB"/>
              </w:rPr>
            </w:pPr>
            <w:r w:rsidRPr="0024033B">
              <w:rPr>
                <w:rFonts w:ascii="Arial" w:hAnsi="Arial" w:cs="Arial"/>
                <w:color w:val="000000"/>
                <w:lang w:eastAsia="en-GB"/>
              </w:rPr>
              <w:t>Early Measures Investment Fund</w:t>
            </w:r>
          </w:p>
        </w:tc>
        <w:tc>
          <w:tcPr>
            <w:tcW w:w="1134" w:type="dxa"/>
            <w:tcBorders>
              <w:top w:val="nil"/>
              <w:left w:val="single" w:sz="4" w:space="0" w:color="auto"/>
              <w:bottom w:val="nil"/>
              <w:right w:val="nil"/>
            </w:tcBorders>
            <w:shd w:val="clear" w:color="000000" w:fill="FFFFFF"/>
            <w:vAlign w:val="bottom"/>
            <w:hideMark/>
          </w:tcPr>
          <w:p w14:paraId="4E44D0FA" w14:textId="77777777" w:rsidR="00016C24" w:rsidRPr="0024033B" w:rsidRDefault="00016C24" w:rsidP="00500FD5">
            <w:pPr>
              <w:jc w:val="right"/>
              <w:rPr>
                <w:rFonts w:ascii="Arial" w:hAnsi="Arial" w:cs="Arial"/>
                <w:color w:val="000000"/>
                <w:lang w:eastAsia="en-GB"/>
              </w:rPr>
            </w:pPr>
            <w:r w:rsidRPr="0024033B">
              <w:rPr>
                <w:rFonts w:ascii="Arial" w:hAnsi="Arial" w:cs="Arial"/>
                <w:color w:val="000000"/>
                <w:lang w:eastAsia="en-GB"/>
              </w:rPr>
              <w:t>342</w:t>
            </w:r>
          </w:p>
        </w:tc>
        <w:tc>
          <w:tcPr>
            <w:tcW w:w="1414" w:type="dxa"/>
            <w:tcBorders>
              <w:top w:val="nil"/>
              <w:left w:val="single" w:sz="4" w:space="0" w:color="auto"/>
              <w:bottom w:val="nil"/>
              <w:right w:val="single" w:sz="4" w:space="0" w:color="auto"/>
            </w:tcBorders>
            <w:shd w:val="clear" w:color="000000" w:fill="FFFFFF"/>
            <w:vAlign w:val="bottom"/>
            <w:hideMark/>
          </w:tcPr>
          <w:p w14:paraId="4111EFCC" w14:textId="77777777" w:rsidR="00016C24" w:rsidRPr="0024033B" w:rsidRDefault="00016C24" w:rsidP="00500FD5">
            <w:pPr>
              <w:jc w:val="right"/>
              <w:rPr>
                <w:rFonts w:ascii="Arial" w:hAnsi="Arial" w:cs="Arial"/>
                <w:lang w:eastAsia="en-GB"/>
              </w:rPr>
            </w:pPr>
            <w:r w:rsidRPr="0024033B">
              <w:rPr>
                <w:rFonts w:ascii="Arial" w:hAnsi="Arial" w:cs="Arial"/>
                <w:lang w:eastAsia="en-GB"/>
              </w:rPr>
              <w:t>320</w:t>
            </w:r>
          </w:p>
        </w:tc>
        <w:tc>
          <w:tcPr>
            <w:tcW w:w="0" w:type="auto"/>
            <w:tcBorders>
              <w:top w:val="nil"/>
              <w:left w:val="nil"/>
              <w:bottom w:val="nil"/>
              <w:right w:val="single" w:sz="4" w:space="0" w:color="auto"/>
            </w:tcBorders>
            <w:shd w:val="clear" w:color="000000" w:fill="FFFFFF"/>
            <w:vAlign w:val="bottom"/>
            <w:hideMark/>
          </w:tcPr>
          <w:p w14:paraId="68292AF1" w14:textId="77777777" w:rsidR="00016C24" w:rsidRPr="0024033B" w:rsidRDefault="00016C24" w:rsidP="00500FD5">
            <w:pPr>
              <w:jc w:val="right"/>
              <w:rPr>
                <w:rFonts w:ascii="Arial" w:hAnsi="Arial" w:cs="Arial"/>
                <w:lang w:eastAsia="en-GB"/>
              </w:rPr>
            </w:pPr>
            <w:r w:rsidRPr="0024033B">
              <w:rPr>
                <w:rFonts w:ascii="Arial" w:hAnsi="Arial" w:cs="Arial"/>
                <w:lang w:eastAsia="en-GB"/>
              </w:rPr>
              <w:t>332</w:t>
            </w:r>
          </w:p>
        </w:tc>
        <w:tc>
          <w:tcPr>
            <w:tcW w:w="0" w:type="auto"/>
            <w:tcBorders>
              <w:top w:val="nil"/>
              <w:left w:val="nil"/>
              <w:bottom w:val="nil"/>
              <w:right w:val="single" w:sz="4" w:space="0" w:color="auto"/>
            </w:tcBorders>
            <w:shd w:val="clear" w:color="000000" w:fill="FFFFFF"/>
            <w:vAlign w:val="bottom"/>
            <w:hideMark/>
          </w:tcPr>
          <w:p w14:paraId="0E61447C" w14:textId="77777777" w:rsidR="00016C24" w:rsidRPr="0024033B" w:rsidRDefault="00016C24" w:rsidP="00500FD5">
            <w:pPr>
              <w:jc w:val="right"/>
              <w:rPr>
                <w:rFonts w:ascii="Arial" w:hAnsi="Arial" w:cs="Arial"/>
                <w:lang w:eastAsia="en-GB"/>
              </w:rPr>
            </w:pPr>
            <w:r w:rsidRPr="0024033B">
              <w:rPr>
                <w:rFonts w:ascii="Arial" w:hAnsi="Arial" w:cs="Arial"/>
                <w:lang w:eastAsia="en-GB"/>
              </w:rPr>
              <w:t>12</w:t>
            </w:r>
          </w:p>
        </w:tc>
      </w:tr>
      <w:tr w:rsidR="00016C24" w:rsidRPr="0024033B" w14:paraId="11F6211F" w14:textId="77777777" w:rsidTr="00500FD5">
        <w:trPr>
          <w:trHeight w:val="315"/>
        </w:trPr>
        <w:tc>
          <w:tcPr>
            <w:tcW w:w="4106" w:type="dxa"/>
            <w:tcBorders>
              <w:top w:val="single" w:sz="4" w:space="0" w:color="auto"/>
              <w:left w:val="single" w:sz="4" w:space="0" w:color="auto"/>
              <w:bottom w:val="single" w:sz="4" w:space="0" w:color="auto"/>
              <w:right w:val="nil"/>
            </w:tcBorders>
            <w:shd w:val="clear" w:color="000000" w:fill="FFFFFF"/>
            <w:vAlign w:val="bottom"/>
            <w:hideMark/>
          </w:tcPr>
          <w:p w14:paraId="6DDAA835" w14:textId="77777777" w:rsidR="00016C24" w:rsidRPr="0024033B" w:rsidRDefault="00016C24" w:rsidP="00500FD5">
            <w:pPr>
              <w:rPr>
                <w:rFonts w:ascii="Arial" w:hAnsi="Arial" w:cs="Arial"/>
                <w:b/>
                <w:bCs/>
                <w:color w:val="000000"/>
                <w:lang w:eastAsia="en-GB"/>
              </w:rPr>
            </w:pPr>
            <w:r w:rsidRPr="0024033B">
              <w:rPr>
                <w:rFonts w:ascii="Arial" w:hAnsi="Arial" w:cs="Arial"/>
                <w:b/>
                <w:bCs/>
                <w:color w:val="000000"/>
                <w:lang w:eastAsia="en-GB"/>
              </w:rPr>
              <w:t>Clean Air Programme total</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73D88F"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15,632</w:t>
            </w:r>
          </w:p>
        </w:tc>
        <w:tc>
          <w:tcPr>
            <w:tcW w:w="1414" w:type="dxa"/>
            <w:tcBorders>
              <w:top w:val="single" w:sz="4" w:space="0" w:color="auto"/>
              <w:left w:val="nil"/>
              <w:bottom w:val="single" w:sz="4" w:space="0" w:color="auto"/>
              <w:right w:val="single" w:sz="4" w:space="0" w:color="auto"/>
            </w:tcBorders>
            <w:shd w:val="clear" w:color="000000" w:fill="FFFFFF"/>
            <w:vAlign w:val="bottom"/>
            <w:hideMark/>
          </w:tcPr>
          <w:p w14:paraId="0F47E7F4"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32,934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14:paraId="549A34CF"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25,394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14:paraId="3AE8D9BE"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(7,540)</w:t>
            </w:r>
          </w:p>
        </w:tc>
      </w:tr>
      <w:tr w:rsidR="00016C24" w:rsidRPr="0024033B" w14:paraId="5652C2B5" w14:textId="77777777" w:rsidTr="00500FD5">
        <w:trPr>
          <w:trHeight w:val="315"/>
        </w:trPr>
        <w:tc>
          <w:tcPr>
            <w:tcW w:w="4106" w:type="dxa"/>
            <w:tcBorders>
              <w:top w:val="nil"/>
              <w:left w:val="single" w:sz="4" w:space="0" w:color="auto"/>
              <w:bottom w:val="nil"/>
              <w:right w:val="nil"/>
            </w:tcBorders>
            <w:shd w:val="clear" w:color="000000" w:fill="FFFFFF"/>
            <w:vAlign w:val="bottom"/>
            <w:hideMark/>
          </w:tcPr>
          <w:p w14:paraId="2A616699" w14:textId="77777777" w:rsidR="00016C24" w:rsidRPr="0024033B" w:rsidRDefault="00016C24" w:rsidP="00500FD5">
            <w:pPr>
              <w:rPr>
                <w:rFonts w:ascii="Arial" w:hAnsi="Arial" w:cs="Arial"/>
                <w:b/>
                <w:bCs/>
                <w:color w:val="000000"/>
                <w:lang w:eastAsia="en-GB"/>
              </w:rPr>
            </w:pPr>
            <w:r w:rsidRPr="0024033B">
              <w:rPr>
                <w:rFonts w:ascii="Arial" w:hAnsi="Arial" w:cs="Arial"/>
                <w:b/>
                <w:bCs/>
                <w:color w:val="000000"/>
                <w:lang w:eastAsia="en-GB"/>
              </w:rPr>
              <w:t> </w:t>
            </w:r>
          </w:p>
        </w:tc>
        <w:tc>
          <w:tcPr>
            <w:tcW w:w="1134" w:type="dxa"/>
            <w:tcBorders>
              <w:top w:val="nil"/>
              <w:left w:val="single" w:sz="4" w:space="0" w:color="auto"/>
              <w:bottom w:val="nil"/>
              <w:right w:val="nil"/>
            </w:tcBorders>
            <w:shd w:val="clear" w:color="000000" w:fill="FFFFFF"/>
            <w:vAlign w:val="bottom"/>
            <w:hideMark/>
          </w:tcPr>
          <w:p w14:paraId="75A9C83B"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 </w:t>
            </w:r>
          </w:p>
        </w:tc>
        <w:tc>
          <w:tcPr>
            <w:tcW w:w="1414" w:type="dxa"/>
            <w:tcBorders>
              <w:top w:val="nil"/>
              <w:left w:val="single" w:sz="4" w:space="0" w:color="auto"/>
              <w:bottom w:val="nil"/>
              <w:right w:val="single" w:sz="4" w:space="0" w:color="auto"/>
            </w:tcBorders>
            <w:shd w:val="clear" w:color="000000" w:fill="FFFFFF"/>
            <w:vAlign w:val="bottom"/>
            <w:hideMark/>
          </w:tcPr>
          <w:p w14:paraId="0D7378AC"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 </w:t>
            </w:r>
          </w:p>
        </w:tc>
        <w:tc>
          <w:tcPr>
            <w:tcW w:w="0" w:type="auto"/>
            <w:tcBorders>
              <w:top w:val="nil"/>
              <w:left w:val="nil"/>
              <w:bottom w:val="nil"/>
              <w:right w:val="single" w:sz="4" w:space="0" w:color="auto"/>
            </w:tcBorders>
            <w:shd w:val="clear" w:color="000000" w:fill="FFFFFF"/>
            <w:vAlign w:val="bottom"/>
            <w:hideMark/>
          </w:tcPr>
          <w:p w14:paraId="21E90E11"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 </w:t>
            </w:r>
          </w:p>
        </w:tc>
        <w:tc>
          <w:tcPr>
            <w:tcW w:w="0" w:type="auto"/>
            <w:tcBorders>
              <w:top w:val="nil"/>
              <w:left w:val="nil"/>
              <w:bottom w:val="nil"/>
              <w:right w:val="single" w:sz="4" w:space="0" w:color="auto"/>
            </w:tcBorders>
            <w:shd w:val="clear" w:color="000000" w:fill="FFFFFF"/>
            <w:vAlign w:val="bottom"/>
            <w:hideMark/>
          </w:tcPr>
          <w:p w14:paraId="04CD62C5"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 </w:t>
            </w:r>
          </w:p>
        </w:tc>
      </w:tr>
      <w:tr w:rsidR="00016C24" w:rsidRPr="0024033B" w14:paraId="7E6DF2A5" w14:textId="77777777" w:rsidTr="00500FD5">
        <w:trPr>
          <w:trHeight w:val="315"/>
        </w:trPr>
        <w:tc>
          <w:tcPr>
            <w:tcW w:w="4106" w:type="dxa"/>
            <w:tcBorders>
              <w:top w:val="nil"/>
              <w:left w:val="single" w:sz="4" w:space="0" w:color="auto"/>
              <w:bottom w:val="nil"/>
              <w:right w:val="nil"/>
            </w:tcBorders>
            <w:shd w:val="clear" w:color="000000" w:fill="FFFFFF"/>
            <w:vAlign w:val="bottom"/>
            <w:hideMark/>
          </w:tcPr>
          <w:p w14:paraId="40047ADC" w14:textId="77777777" w:rsidR="00016C24" w:rsidRPr="0024033B" w:rsidRDefault="00016C24" w:rsidP="00500FD5">
            <w:pPr>
              <w:rPr>
                <w:rFonts w:ascii="Arial" w:hAnsi="Arial" w:cs="Arial"/>
                <w:b/>
                <w:bCs/>
                <w:lang w:eastAsia="en-GB"/>
              </w:rPr>
            </w:pPr>
            <w:r w:rsidRPr="0024033B">
              <w:rPr>
                <w:rFonts w:ascii="Arial" w:hAnsi="Arial" w:cs="Arial"/>
                <w:b/>
                <w:bCs/>
                <w:lang w:eastAsia="en-GB"/>
              </w:rPr>
              <w:t>Other Capital Schemes</w:t>
            </w:r>
          </w:p>
        </w:tc>
        <w:tc>
          <w:tcPr>
            <w:tcW w:w="1134" w:type="dxa"/>
            <w:tcBorders>
              <w:top w:val="nil"/>
              <w:left w:val="single" w:sz="4" w:space="0" w:color="auto"/>
              <w:bottom w:val="nil"/>
              <w:right w:val="nil"/>
            </w:tcBorders>
            <w:shd w:val="clear" w:color="000000" w:fill="FFFFFF"/>
            <w:vAlign w:val="bottom"/>
            <w:hideMark/>
          </w:tcPr>
          <w:p w14:paraId="06EA335A"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 </w:t>
            </w:r>
          </w:p>
        </w:tc>
        <w:tc>
          <w:tcPr>
            <w:tcW w:w="1414" w:type="dxa"/>
            <w:tcBorders>
              <w:top w:val="nil"/>
              <w:left w:val="single" w:sz="4" w:space="0" w:color="auto"/>
              <w:bottom w:val="nil"/>
              <w:right w:val="single" w:sz="4" w:space="0" w:color="auto"/>
            </w:tcBorders>
            <w:shd w:val="clear" w:color="000000" w:fill="FFFFFF"/>
            <w:vAlign w:val="bottom"/>
            <w:hideMark/>
          </w:tcPr>
          <w:p w14:paraId="61C0A69C" w14:textId="77777777" w:rsidR="00016C24" w:rsidRPr="0024033B" w:rsidRDefault="00016C24" w:rsidP="00500FD5">
            <w:pPr>
              <w:jc w:val="right"/>
              <w:rPr>
                <w:rFonts w:ascii="Arial" w:hAnsi="Arial" w:cs="Arial"/>
                <w:lang w:eastAsia="en-GB"/>
              </w:rPr>
            </w:pPr>
            <w:r w:rsidRPr="0024033B">
              <w:rPr>
                <w:rFonts w:ascii="Arial" w:hAnsi="Arial" w:cs="Arial"/>
                <w:lang w:eastAsia="en-GB"/>
              </w:rPr>
              <w:t> </w:t>
            </w:r>
          </w:p>
        </w:tc>
        <w:tc>
          <w:tcPr>
            <w:tcW w:w="0" w:type="auto"/>
            <w:tcBorders>
              <w:top w:val="nil"/>
              <w:left w:val="nil"/>
              <w:bottom w:val="nil"/>
              <w:right w:val="single" w:sz="4" w:space="0" w:color="auto"/>
            </w:tcBorders>
            <w:shd w:val="clear" w:color="000000" w:fill="FFFFFF"/>
            <w:vAlign w:val="bottom"/>
            <w:hideMark/>
          </w:tcPr>
          <w:p w14:paraId="36C4A13D" w14:textId="77777777" w:rsidR="00016C24" w:rsidRPr="0024033B" w:rsidRDefault="00016C24" w:rsidP="00500FD5">
            <w:pPr>
              <w:jc w:val="right"/>
              <w:rPr>
                <w:rFonts w:ascii="Arial" w:hAnsi="Arial" w:cs="Arial"/>
                <w:lang w:eastAsia="en-GB"/>
              </w:rPr>
            </w:pPr>
            <w:r w:rsidRPr="0024033B">
              <w:rPr>
                <w:rFonts w:ascii="Arial" w:hAnsi="Arial" w:cs="Arial"/>
                <w:lang w:eastAsia="en-GB"/>
              </w:rPr>
              <w:t> </w:t>
            </w:r>
          </w:p>
        </w:tc>
        <w:tc>
          <w:tcPr>
            <w:tcW w:w="0" w:type="auto"/>
            <w:tcBorders>
              <w:top w:val="nil"/>
              <w:left w:val="nil"/>
              <w:bottom w:val="nil"/>
              <w:right w:val="single" w:sz="4" w:space="0" w:color="auto"/>
            </w:tcBorders>
            <w:shd w:val="clear" w:color="000000" w:fill="FFFFFF"/>
            <w:vAlign w:val="bottom"/>
            <w:hideMark/>
          </w:tcPr>
          <w:p w14:paraId="306A7096" w14:textId="77777777" w:rsidR="00016C24" w:rsidRPr="0024033B" w:rsidRDefault="00016C24" w:rsidP="00500FD5">
            <w:pPr>
              <w:jc w:val="right"/>
              <w:rPr>
                <w:rFonts w:ascii="Arial" w:hAnsi="Arial" w:cs="Arial"/>
                <w:lang w:eastAsia="en-GB"/>
              </w:rPr>
            </w:pPr>
            <w:r w:rsidRPr="0024033B">
              <w:rPr>
                <w:rFonts w:ascii="Arial" w:hAnsi="Arial" w:cs="Arial"/>
                <w:lang w:eastAsia="en-GB"/>
              </w:rPr>
              <w:t> </w:t>
            </w:r>
          </w:p>
        </w:tc>
      </w:tr>
      <w:tr w:rsidR="00016C24" w:rsidRPr="0024033B" w14:paraId="7A600ED4" w14:textId="77777777" w:rsidTr="00500FD5">
        <w:trPr>
          <w:trHeight w:val="300"/>
        </w:trPr>
        <w:tc>
          <w:tcPr>
            <w:tcW w:w="4106" w:type="dxa"/>
            <w:tcBorders>
              <w:top w:val="nil"/>
              <w:left w:val="single" w:sz="4" w:space="0" w:color="auto"/>
              <w:bottom w:val="nil"/>
              <w:right w:val="nil"/>
            </w:tcBorders>
            <w:shd w:val="clear" w:color="000000" w:fill="FFFFFF"/>
            <w:vAlign w:val="bottom"/>
            <w:hideMark/>
          </w:tcPr>
          <w:p w14:paraId="5B02A112" w14:textId="77777777" w:rsidR="00016C24" w:rsidRPr="0024033B" w:rsidRDefault="00016C24" w:rsidP="00500FD5">
            <w:pPr>
              <w:rPr>
                <w:rFonts w:ascii="Arial" w:hAnsi="Arial" w:cs="Arial"/>
                <w:color w:val="000000"/>
                <w:lang w:eastAsia="en-GB"/>
              </w:rPr>
            </w:pPr>
            <w:r w:rsidRPr="0024033B">
              <w:rPr>
                <w:rFonts w:ascii="Arial" w:hAnsi="Arial" w:cs="Arial"/>
                <w:color w:val="000000"/>
                <w:lang w:eastAsia="en-GB"/>
              </w:rPr>
              <w:t>CCAG 2</w:t>
            </w:r>
          </w:p>
        </w:tc>
        <w:tc>
          <w:tcPr>
            <w:tcW w:w="1134" w:type="dxa"/>
            <w:tcBorders>
              <w:top w:val="nil"/>
              <w:left w:val="single" w:sz="4" w:space="0" w:color="auto"/>
              <w:bottom w:val="nil"/>
              <w:right w:val="nil"/>
            </w:tcBorders>
            <w:shd w:val="clear" w:color="000000" w:fill="FFFFFF"/>
            <w:vAlign w:val="bottom"/>
            <w:hideMark/>
          </w:tcPr>
          <w:p w14:paraId="0EEA1692" w14:textId="77777777" w:rsidR="00016C24" w:rsidRPr="0024033B" w:rsidRDefault="00016C24" w:rsidP="00500FD5">
            <w:pPr>
              <w:jc w:val="right"/>
              <w:rPr>
                <w:rFonts w:ascii="Arial" w:hAnsi="Arial" w:cs="Arial"/>
                <w:color w:val="000000"/>
                <w:lang w:eastAsia="en-GB"/>
              </w:rPr>
            </w:pPr>
            <w:r w:rsidRPr="0024033B">
              <w:rPr>
                <w:rFonts w:ascii="Arial" w:hAnsi="Arial" w:cs="Arial"/>
                <w:color w:val="000000"/>
                <w:lang w:eastAsia="en-GB"/>
              </w:rPr>
              <w:t>2,179</w:t>
            </w:r>
          </w:p>
        </w:tc>
        <w:tc>
          <w:tcPr>
            <w:tcW w:w="1414" w:type="dxa"/>
            <w:tcBorders>
              <w:top w:val="nil"/>
              <w:left w:val="single" w:sz="4" w:space="0" w:color="auto"/>
              <w:bottom w:val="nil"/>
              <w:right w:val="single" w:sz="4" w:space="0" w:color="auto"/>
            </w:tcBorders>
            <w:shd w:val="clear" w:color="000000" w:fill="FFFFFF"/>
            <w:vAlign w:val="bottom"/>
            <w:hideMark/>
          </w:tcPr>
          <w:p w14:paraId="45708926" w14:textId="77777777" w:rsidR="00016C24" w:rsidRPr="0024033B" w:rsidRDefault="00016C24" w:rsidP="00500FD5">
            <w:pPr>
              <w:jc w:val="right"/>
              <w:rPr>
                <w:rFonts w:ascii="Arial" w:hAnsi="Arial" w:cs="Arial"/>
                <w:lang w:eastAsia="en-GB"/>
              </w:rPr>
            </w:pPr>
            <w:r w:rsidRPr="0024033B">
              <w:rPr>
                <w:rFonts w:ascii="Arial" w:hAnsi="Arial" w:cs="Arial"/>
                <w:lang w:eastAsia="en-GB"/>
              </w:rPr>
              <w:t>1,732</w:t>
            </w:r>
          </w:p>
        </w:tc>
        <w:tc>
          <w:tcPr>
            <w:tcW w:w="0" w:type="auto"/>
            <w:tcBorders>
              <w:top w:val="nil"/>
              <w:left w:val="nil"/>
              <w:bottom w:val="nil"/>
              <w:right w:val="single" w:sz="4" w:space="0" w:color="auto"/>
            </w:tcBorders>
            <w:shd w:val="clear" w:color="000000" w:fill="FFFFFF"/>
            <w:vAlign w:val="bottom"/>
            <w:hideMark/>
          </w:tcPr>
          <w:p w14:paraId="094A53CB" w14:textId="77777777" w:rsidR="00016C24" w:rsidRPr="0024033B" w:rsidRDefault="00016C24" w:rsidP="00500FD5">
            <w:pPr>
              <w:jc w:val="right"/>
              <w:rPr>
                <w:rFonts w:ascii="Arial" w:hAnsi="Arial" w:cs="Arial"/>
                <w:lang w:eastAsia="en-GB"/>
              </w:rPr>
            </w:pPr>
            <w:r w:rsidRPr="0024033B">
              <w:rPr>
                <w:rFonts w:ascii="Arial" w:hAnsi="Arial" w:cs="Arial"/>
                <w:lang w:eastAsia="en-GB"/>
              </w:rPr>
              <w:t>1,625</w:t>
            </w:r>
          </w:p>
        </w:tc>
        <w:tc>
          <w:tcPr>
            <w:tcW w:w="0" w:type="auto"/>
            <w:tcBorders>
              <w:top w:val="nil"/>
              <w:left w:val="nil"/>
              <w:bottom w:val="nil"/>
              <w:right w:val="single" w:sz="4" w:space="0" w:color="auto"/>
            </w:tcBorders>
            <w:shd w:val="clear" w:color="000000" w:fill="FFFFFF"/>
            <w:vAlign w:val="bottom"/>
            <w:hideMark/>
          </w:tcPr>
          <w:p w14:paraId="037D5630" w14:textId="77777777" w:rsidR="00016C24" w:rsidRPr="0024033B" w:rsidRDefault="00016C24" w:rsidP="00500FD5">
            <w:pPr>
              <w:jc w:val="right"/>
              <w:rPr>
                <w:rFonts w:ascii="Arial" w:hAnsi="Arial" w:cs="Arial"/>
                <w:lang w:eastAsia="en-GB"/>
              </w:rPr>
            </w:pPr>
            <w:r w:rsidRPr="0024033B">
              <w:rPr>
                <w:rFonts w:ascii="Arial" w:hAnsi="Arial" w:cs="Arial"/>
                <w:lang w:eastAsia="en-GB"/>
              </w:rPr>
              <w:t>(107)</w:t>
            </w:r>
          </w:p>
        </w:tc>
      </w:tr>
      <w:tr w:rsidR="00016C24" w:rsidRPr="0024033B" w14:paraId="0AAF1672" w14:textId="77777777" w:rsidTr="00500FD5">
        <w:trPr>
          <w:trHeight w:val="300"/>
        </w:trPr>
        <w:tc>
          <w:tcPr>
            <w:tcW w:w="4106" w:type="dxa"/>
            <w:tcBorders>
              <w:top w:val="nil"/>
              <w:left w:val="single" w:sz="4" w:space="0" w:color="auto"/>
              <w:bottom w:val="nil"/>
              <w:right w:val="nil"/>
            </w:tcBorders>
            <w:shd w:val="clear" w:color="000000" w:fill="FFFFFF"/>
            <w:vAlign w:val="bottom"/>
            <w:hideMark/>
          </w:tcPr>
          <w:p w14:paraId="5225DF57" w14:textId="77777777" w:rsidR="00016C24" w:rsidRPr="0024033B" w:rsidRDefault="00016C24" w:rsidP="00500FD5">
            <w:pPr>
              <w:rPr>
                <w:rFonts w:ascii="Arial" w:hAnsi="Arial" w:cs="Arial"/>
                <w:color w:val="000000"/>
                <w:lang w:eastAsia="en-GB"/>
              </w:rPr>
            </w:pPr>
            <w:r w:rsidRPr="0024033B">
              <w:rPr>
                <w:rFonts w:ascii="Arial" w:hAnsi="Arial" w:cs="Arial"/>
                <w:color w:val="000000"/>
                <w:lang w:eastAsia="en-GB"/>
              </w:rPr>
              <w:t>TCF - Mayors Challenge Fund</w:t>
            </w:r>
          </w:p>
        </w:tc>
        <w:tc>
          <w:tcPr>
            <w:tcW w:w="1134" w:type="dxa"/>
            <w:tcBorders>
              <w:top w:val="nil"/>
              <w:left w:val="single" w:sz="4" w:space="0" w:color="auto"/>
              <w:bottom w:val="nil"/>
              <w:right w:val="nil"/>
            </w:tcBorders>
            <w:shd w:val="clear" w:color="000000" w:fill="FFFFFF"/>
            <w:vAlign w:val="bottom"/>
            <w:hideMark/>
          </w:tcPr>
          <w:p w14:paraId="11F5DE0E" w14:textId="77777777" w:rsidR="00016C24" w:rsidRPr="0024033B" w:rsidRDefault="00016C24" w:rsidP="00500FD5">
            <w:pPr>
              <w:jc w:val="right"/>
              <w:rPr>
                <w:rFonts w:ascii="Arial" w:hAnsi="Arial" w:cs="Arial"/>
                <w:color w:val="000000"/>
                <w:lang w:eastAsia="en-GB"/>
              </w:rPr>
            </w:pPr>
            <w:r w:rsidRPr="0024033B">
              <w:rPr>
                <w:rFonts w:ascii="Arial" w:hAnsi="Arial" w:cs="Arial"/>
                <w:color w:val="000000"/>
                <w:lang w:eastAsia="en-GB"/>
              </w:rPr>
              <w:t>54,290</w:t>
            </w:r>
          </w:p>
        </w:tc>
        <w:tc>
          <w:tcPr>
            <w:tcW w:w="1414" w:type="dxa"/>
            <w:tcBorders>
              <w:top w:val="nil"/>
              <w:left w:val="single" w:sz="4" w:space="0" w:color="auto"/>
              <w:bottom w:val="nil"/>
              <w:right w:val="single" w:sz="4" w:space="0" w:color="auto"/>
            </w:tcBorders>
            <w:shd w:val="clear" w:color="000000" w:fill="FFFFFF"/>
            <w:vAlign w:val="bottom"/>
            <w:hideMark/>
          </w:tcPr>
          <w:p w14:paraId="20548393" w14:textId="77777777" w:rsidR="00016C24" w:rsidRPr="0024033B" w:rsidRDefault="00016C24" w:rsidP="00500FD5">
            <w:pPr>
              <w:jc w:val="right"/>
              <w:rPr>
                <w:rFonts w:ascii="Arial" w:hAnsi="Arial" w:cs="Arial"/>
                <w:lang w:eastAsia="en-GB"/>
              </w:rPr>
            </w:pPr>
            <w:r w:rsidRPr="0024033B">
              <w:rPr>
                <w:rFonts w:ascii="Arial" w:hAnsi="Arial" w:cs="Arial"/>
                <w:lang w:eastAsia="en-GB"/>
              </w:rPr>
              <w:t>40,574</w:t>
            </w:r>
          </w:p>
        </w:tc>
        <w:tc>
          <w:tcPr>
            <w:tcW w:w="0" w:type="auto"/>
            <w:tcBorders>
              <w:top w:val="nil"/>
              <w:left w:val="nil"/>
              <w:bottom w:val="nil"/>
              <w:right w:val="single" w:sz="4" w:space="0" w:color="auto"/>
            </w:tcBorders>
            <w:shd w:val="clear" w:color="000000" w:fill="FFFFFF"/>
            <w:vAlign w:val="bottom"/>
            <w:hideMark/>
          </w:tcPr>
          <w:p w14:paraId="654852A0" w14:textId="77777777" w:rsidR="00016C24" w:rsidRPr="0024033B" w:rsidRDefault="00016C24" w:rsidP="00500FD5">
            <w:pPr>
              <w:jc w:val="right"/>
              <w:rPr>
                <w:rFonts w:ascii="Arial" w:hAnsi="Arial" w:cs="Arial"/>
                <w:lang w:eastAsia="en-GB"/>
              </w:rPr>
            </w:pPr>
            <w:r w:rsidRPr="0024033B">
              <w:rPr>
                <w:rFonts w:ascii="Arial" w:hAnsi="Arial" w:cs="Arial"/>
                <w:lang w:eastAsia="en-GB"/>
              </w:rPr>
              <w:t>40,602</w:t>
            </w:r>
          </w:p>
        </w:tc>
        <w:tc>
          <w:tcPr>
            <w:tcW w:w="0" w:type="auto"/>
            <w:tcBorders>
              <w:top w:val="nil"/>
              <w:left w:val="nil"/>
              <w:bottom w:val="nil"/>
              <w:right w:val="single" w:sz="4" w:space="0" w:color="auto"/>
            </w:tcBorders>
            <w:shd w:val="clear" w:color="000000" w:fill="FFFFFF"/>
            <w:vAlign w:val="bottom"/>
            <w:hideMark/>
          </w:tcPr>
          <w:p w14:paraId="2296B51E" w14:textId="77777777" w:rsidR="00016C24" w:rsidRPr="0024033B" w:rsidRDefault="00016C24" w:rsidP="00500FD5">
            <w:pPr>
              <w:jc w:val="right"/>
              <w:rPr>
                <w:rFonts w:ascii="Arial" w:hAnsi="Arial" w:cs="Arial"/>
                <w:lang w:eastAsia="en-GB"/>
              </w:rPr>
            </w:pPr>
            <w:r w:rsidRPr="0024033B">
              <w:rPr>
                <w:rFonts w:ascii="Arial" w:hAnsi="Arial" w:cs="Arial"/>
                <w:lang w:eastAsia="en-GB"/>
              </w:rPr>
              <w:t>28</w:t>
            </w:r>
          </w:p>
        </w:tc>
      </w:tr>
      <w:tr w:rsidR="00016C24" w:rsidRPr="0024033B" w14:paraId="4108CF00" w14:textId="77777777" w:rsidTr="00500FD5">
        <w:trPr>
          <w:trHeight w:val="600"/>
        </w:trPr>
        <w:tc>
          <w:tcPr>
            <w:tcW w:w="4106" w:type="dxa"/>
            <w:tcBorders>
              <w:top w:val="nil"/>
              <w:left w:val="single" w:sz="4" w:space="0" w:color="auto"/>
              <w:bottom w:val="nil"/>
              <w:right w:val="nil"/>
            </w:tcBorders>
            <w:shd w:val="clear" w:color="000000" w:fill="FFFFFF"/>
            <w:vAlign w:val="bottom"/>
            <w:hideMark/>
          </w:tcPr>
          <w:p w14:paraId="79FCBF05" w14:textId="77777777" w:rsidR="00016C24" w:rsidRPr="0024033B" w:rsidRDefault="00016C24" w:rsidP="00500FD5">
            <w:pPr>
              <w:rPr>
                <w:rFonts w:ascii="Arial" w:hAnsi="Arial" w:cs="Arial"/>
                <w:color w:val="000000"/>
                <w:lang w:eastAsia="en-GB"/>
              </w:rPr>
            </w:pPr>
            <w:r w:rsidRPr="0024033B">
              <w:rPr>
                <w:rFonts w:ascii="Arial" w:hAnsi="Arial" w:cs="Arial"/>
                <w:color w:val="000000"/>
                <w:lang w:eastAsia="en-GB"/>
              </w:rPr>
              <w:t>TCF - Metrolink Capacity Improvement Programme</w:t>
            </w:r>
          </w:p>
        </w:tc>
        <w:tc>
          <w:tcPr>
            <w:tcW w:w="1134" w:type="dxa"/>
            <w:tcBorders>
              <w:top w:val="nil"/>
              <w:left w:val="single" w:sz="4" w:space="0" w:color="auto"/>
              <w:bottom w:val="nil"/>
              <w:right w:val="nil"/>
            </w:tcBorders>
            <w:shd w:val="clear" w:color="000000" w:fill="FFFFFF"/>
            <w:vAlign w:val="bottom"/>
            <w:hideMark/>
          </w:tcPr>
          <w:p w14:paraId="70391814" w14:textId="77777777" w:rsidR="00016C24" w:rsidRPr="0024033B" w:rsidRDefault="00016C24" w:rsidP="00500FD5">
            <w:pPr>
              <w:jc w:val="right"/>
              <w:rPr>
                <w:rFonts w:ascii="Arial" w:hAnsi="Arial" w:cs="Arial"/>
                <w:color w:val="000000"/>
                <w:lang w:eastAsia="en-GB"/>
              </w:rPr>
            </w:pPr>
            <w:r w:rsidRPr="0024033B">
              <w:rPr>
                <w:rFonts w:ascii="Arial" w:hAnsi="Arial" w:cs="Arial"/>
                <w:color w:val="000000"/>
                <w:lang w:eastAsia="en-GB"/>
              </w:rPr>
              <w:t>18,132</w:t>
            </w:r>
          </w:p>
        </w:tc>
        <w:tc>
          <w:tcPr>
            <w:tcW w:w="1414" w:type="dxa"/>
            <w:tcBorders>
              <w:top w:val="nil"/>
              <w:left w:val="single" w:sz="4" w:space="0" w:color="auto"/>
              <w:bottom w:val="nil"/>
              <w:right w:val="single" w:sz="4" w:space="0" w:color="auto"/>
            </w:tcBorders>
            <w:shd w:val="clear" w:color="000000" w:fill="FFFFFF"/>
            <w:vAlign w:val="bottom"/>
            <w:hideMark/>
          </w:tcPr>
          <w:p w14:paraId="595D9B72" w14:textId="77777777" w:rsidR="00016C24" w:rsidRPr="0024033B" w:rsidRDefault="00016C24" w:rsidP="00500FD5">
            <w:pPr>
              <w:jc w:val="right"/>
              <w:rPr>
                <w:rFonts w:ascii="Arial" w:hAnsi="Arial" w:cs="Arial"/>
                <w:lang w:eastAsia="en-GB"/>
              </w:rPr>
            </w:pPr>
            <w:r w:rsidRPr="0024033B">
              <w:rPr>
                <w:rFonts w:ascii="Arial" w:hAnsi="Arial" w:cs="Arial"/>
                <w:lang w:eastAsia="en-GB"/>
              </w:rPr>
              <w:t>16,856</w:t>
            </w:r>
          </w:p>
        </w:tc>
        <w:tc>
          <w:tcPr>
            <w:tcW w:w="0" w:type="auto"/>
            <w:tcBorders>
              <w:top w:val="nil"/>
              <w:left w:val="nil"/>
              <w:bottom w:val="nil"/>
              <w:right w:val="single" w:sz="4" w:space="0" w:color="auto"/>
            </w:tcBorders>
            <w:shd w:val="clear" w:color="000000" w:fill="FFFFFF"/>
            <w:vAlign w:val="bottom"/>
            <w:hideMark/>
          </w:tcPr>
          <w:p w14:paraId="772138B5" w14:textId="77777777" w:rsidR="00016C24" w:rsidRPr="0024033B" w:rsidRDefault="00016C24" w:rsidP="00500FD5">
            <w:pPr>
              <w:jc w:val="right"/>
              <w:rPr>
                <w:rFonts w:ascii="Arial" w:hAnsi="Arial" w:cs="Arial"/>
                <w:lang w:eastAsia="en-GB"/>
              </w:rPr>
            </w:pPr>
            <w:r w:rsidRPr="0024033B">
              <w:rPr>
                <w:rFonts w:ascii="Arial" w:hAnsi="Arial" w:cs="Arial"/>
                <w:lang w:eastAsia="en-GB"/>
              </w:rPr>
              <w:t>13,088</w:t>
            </w:r>
          </w:p>
        </w:tc>
        <w:tc>
          <w:tcPr>
            <w:tcW w:w="0" w:type="auto"/>
            <w:tcBorders>
              <w:top w:val="nil"/>
              <w:left w:val="nil"/>
              <w:bottom w:val="nil"/>
              <w:right w:val="single" w:sz="4" w:space="0" w:color="auto"/>
            </w:tcBorders>
            <w:shd w:val="clear" w:color="000000" w:fill="FFFFFF"/>
            <w:vAlign w:val="bottom"/>
            <w:hideMark/>
          </w:tcPr>
          <w:p w14:paraId="50895EDB" w14:textId="77777777" w:rsidR="00016C24" w:rsidRPr="0024033B" w:rsidRDefault="00016C24" w:rsidP="00500FD5">
            <w:pPr>
              <w:jc w:val="right"/>
              <w:rPr>
                <w:rFonts w:ascii="Arial" w:hAnsi="Arial" w:cs="Arial"/>
                <w:lang w:eastAsia="en-GB"/>
              </w:rPr>
            </w:pPr>
            <w:r w:rsidRPr="0024033B">
              <w:rPr>
                <w:rFonts w:ascii="Arial" w:hAnsi="Arial" w:cs="Arial"/>
                <w:lang w:eastAsia="en-GB"/>
              </w:rPr>
              <w:t>(3,768)</w:t>
            </w:r>
          </w:p>
        </w:tc>
      </w:tr>
      <w:tr w:rsidR="00016C24" w:rsidRPr="0024033B" w14:paraId="5F3B3622" w14:textId="77777777" w:rsidTr="00500FD5">
        <w:trPr>
          <w:trHeight w:val="300"/>
        </w:trPr>
        <w:tc>
          <w:tcPr>
            <w:tcW w:w="4106" w:type="dxa"/>
            <w:tcBorders>
              <w:top w:val="nil"/>
              <w:left w:val="single" w:sz="4" w:space="0" w:color="auto"/>
              <w:bottom w:val="nil"/>
              <w:right w:val="nil"/>
            </w:tcBorders>
            <w:shd w:val="clear" w:color="000000" w:fill="FFFFFF"/>
            <w:vAlign w:val="bottom"/>
            <w:hideMark/>
          </w:tcPr>
          <w:p w14:paraId="09FA0BDE" w14:textId="77777777" w:rsidR="00016C24" w:rsidRPr="0024033B" w:rsidRDefault="00016C24" w:rsidP="00500FD5">
            <w:pPr>
              <w:rPr>
                <w:rFonts w:ascii="Arial" w:hAnsi="Arial" w:cs="Arial"/>
                <w:color w:val="000000"/>
                <w:lang w:eastAsia="en-GB"/>
              </w:rPr>
            </w:pPr>
            <w:r w:rsidRPr="0024033B">
              <w:rPr>
                <w:rFonts w:ascii="Arial" w:hAnsi="Arial" w:cs="Arial"/>
                <w:color w:val="000000"/>
                <w:lang w:eastAsia="en-GB"/>
              </w:rPr>
              <w:t xml:space="preserve">Active Travel Fund </w:t>
            </w:r>
          </w:p>
        </w:tc>
        <w:tc>
          <w:tcPr>
            <w:tcW w:w="1134" w:type="dxa"/>
            <w:tcBorders>
              <w:top w:val="nil"/>
              <w:left w:val="single" w:sz="4" w:space="0" w:color="auto"/>
              <w:bottom w:val="nil"/>
              <w:right w:val="nil"/>
            </w:tcBorders>
            <w:shd w:val="clear" w:color="000000" w:fill="FFFFFF"/>
            <w:vAlign w:val="bottom"/>
            <w:hideMark/>
          </w:tcPr>
          <w:p w14:paraId="58A60775" w14:textId="77777777" w:rsidR="00016C24" w:rsidRPr="0024033B" w:rsidRDefault="00016C24" w:rsidP="00500FD5">
            <w:pPr>
              <w:jc w:val="right"/>
              <w:rPr>
                <w:rFonts w:ascii="Arial" w:hAnsi="Arial" w:cs="Arial"/>
                <w:color w:val="000000"/>
                <w:lang w:eastAsia="en-GB"/>
              </w:rPr>
            </w:pPr>
            <w:r w:rsidRPr="0024033B">
              <w:rPr>
                <w:rFonts w:ascii="Arial" w:hAnsi="Arial" w:cs="Arial"/>
                <w:color w:val="000000"/>
                <w:lang w:eastAsia="en-GB"/>
              </w:rPr>
              <w:t>6,697</w:t>
            </w:r>
          </w:p>
        </w:tc>
        <w:tc>
          <w:tcPr>
            <w:tcW w:w="1414" w:type="dxa"/>
            <w:tcBorders>
              <w:top w:val="nil"/>
              <w:left w:val="single" w:sz="4" w:space="0" w:color="auto"/>
              <w:bottom w:val="nil"/>
              <w:right w:val="single" w:sz="4" w:space="0" w:color="auto"/>
            </w:tcBorders>
            <w:shd w:val="clear" w:color="000000" w:fill="FFFFFF"/>
            <w:vAlign w:val="bottom"/>
            <w:hideMark/>
          </w:tcPr>
          <w:p w14:paraId="7478FC1A" w14:textId="77777777" w:rsidR="00016C24" w:rsidRPr="0024033B" w:rsidRDefault="00016C24" w:rsidP="00500FD5">
            <w:pPr>
              <w:jc w:val="right"/>
              <w:rPr>
                <w:rFonts w:ascii="Arial" w:hAnsi="Arial" w:cs="Arial"/>
                <w:lang w:eastAsia="en-GB"/>
              </w:rPr>
            </w:pPr>
            <w:r w:rsidRPr="0024033B">
              <w:rPr>
                <w:rFonts w:ascii="Arial" w:hAnsi="Arial" w:cs="Arial"/>
                <w:lang w:eastAsia="en-GB"/>
              </w:rPr>
              <w:t>2,461</w:t>
            </w:r>
          </w:p>
        </w:tc>
        <w:tc>
          <w:tcPr>
            <w:tcW w:w="0" w:type="auto"/>
            <w:tcBorders>
              <w:top w:val="nil"/>
              <w:left w:val="nil"/>
              <w:bottom w:val="nil"/>
              <w:right w:val="single" w:sz="4" w:space="0" w:color="auto"/>
            </w:tcBorders>
            <w:shd w:val="clear" w:color="000000" w:fill="FFFFFF"/>
            <w:vAlign w:val="bottom"/>
            <w:hideMark/>
          </w:tcPr>
          <w:p w14:paraId="606C6129" w14:textId="77777777" w:rsidR="00016C24" w:rsidRPr="0024033B" w:rsidRDefault="00016C24" w:rsidP="00500FD5">
            <w:pPr>
              <w:jc w:val="right"/>
              <w:rPr>
                <w:rFonts w:ascii="Arial" w:hAnsi="Arial" w:cs="Arial"/>
                <w:lang w:eastAsia="en-GB"/>
              </w:rPr>
            </w:pPr>
            <w:r w:rsidRPr="0024033B">
              <w:rPr>
                <w:rFonts w:ascii="Arial" w:hAnsi="Arial" w:cs="Arial"/>
                <w:lang w:eastAsia="en-GB"/>
              </w:rPr>
              <w:t>1,842</w:t>
            </w:r>
          </w:p>
        </w:tc>
        <w:tc>
          <w:tcPr>
            <w:tcW w:w="0" w:type="auto"/>
            <w:tcBorders>
              <w:top w:val="nil"/>
              <w:left w:val="nil"/>
              <w:bottom w:val="nil"/>
              <w:right w:val="single" w:sz="4" w:space="0" w:color="auto"/>
            </w:tcBorders>
            <w:shd w:val="clear" w:color="000000" w:fill="FFFFFF"/>
            <w:vAlign w:val="bottom"/>
            <w:hideMark/>
          </w:tcPr>
          <w:p w14:paraId="38D85B81" w14:textId="77777777" w:rsidR="00016C24" w:rsidRPr="0024033B" w:rsidRDefault="00016C24" w:rsidP="00500FD5">
            <w:pPr>
              <w:jc w:val="right"/>
              <w:rPr>
                <w:rFonts w:ascii="Arial" w:hAnsi="Arial" w:cs="Arial"/>
                <w:lang w:eastAsia="en-GB"/>
              </w:rPr>
            </w:pPr>
            <w:r w:rsidRPr="0024033B">
              <w:rPr>
                <w:rFonts w:ascii="Arial" w:hAnsi="Arial" w:cs="Arial"/>
                <w:lang w:eastAsia="en-GB"/>
              </w:rPr>
              <w:t>(619)</w:t>
            </w:r>
          </w:p>
        </w:tc>
      </w:tr>
      <w:tr w:rsidR="00016C24" w:rsidRPr="0024033B" w14:paraId="0A183EF8" w14:textId="77777777" w:rsidTr="00500FD5">
        <w:trPr>
          <w:trHeight w:val="300"/>
        </w:trPr>
        <w:tc>
          <w:tcPr>
            <w:tcW w:w="4106" w:type="dxa"/>
            <w:tcBorders>
              <w:top w:val="nil"/>
              <w:left w:val="single" w:sz="4" w:space="0" w:color="auto"/>
              <w:bottom w:val="nil"/>
              <w:right w:val="nil"/>
            </w:tcBorders>
            <w:shd w:val="clear" w:color="000000" w:fill="FFFFFF"/>
            <w:vAlign w:val="bottom"/>
            <w:hideMark/>
          </w:tcPr>
          <w:p w14:paraId="7D98A11F" w14:textId="77777777" w:rsidR="00016C24" w:rsidRPr="0024033B" w:rsidRDefault="00016C24" w:rsidP="00500FD5">
            <w:pPr>
              <w:rPr>
                <w:rFonts w:ascii="Arial" w:hAnsi="Arial" w:cs="Arial"/>
                <w:color w:val="000000"/>
                <w:lang w:eastAsia="en-GB"/>
              </w:rPr>
            </w:pPr>
            <w:r w:rsidRPr="0024033B">
              <w:rPr>
                <w:rFonts w:ascii="Arial" w:hAnsi="Arial" w:cs="Arial"/>
                <w:color w:val="000000"/>
                <w:lang w:eastAsia="en-GB"/>
              </w:rPr>
              <w:t>Access For All</w:t>
            </w:r>
          </w:p>
        </w:tc>
        <w:tc>
          <w:tcPr>
            <w:tcW w:w="1134" w:type="dxa"/>
            <w:tcBorders>
              <w:top w:val="nil"/>
              <w:left w:val="single" w:sz="4" w:space="0" w:color="auto"/>
              <w:bottom w:val="nil"/>
              <w:right w:val="nil"/>
            </w:tcBorders>
            <w:shd w:val="clear" w:color="000000" w:fill="FFFFFF"/>
            <w:vAlign w:val="bottom"/>
            <w:hideMark/>
          </w:tcPr>
          <w:p w14:paraId="636A1C3E" w14:textId="77777777" w:rsidR="00016C24" w:rsidRPr="0024033B" w:rsidRDefault="00016C24" w:rsidP="00500FD5">
            <w:pPr>
              <w:jc w:val="right"/>
              <w:rPr>
                <w:rFonts w:ascii="Arial" w:hAnsi="Arial" w:cs="Arial"/>
                <w:color w:val="000000"/>
                <w:lang w:eastAsia="en-GB"/>
              </w:rPr>
            </w:pPr>
            <w:r w:rsidRPr="0024033B">
              <w:rPr>
                <w:rFonts w:ascii="Arial" w:hAnsi="Arial" w:cs="Arial"/>
                <w:color w:val="000000"/>
                <w:lang w:eastAsia="en-GB"/>
              </w:rPr>
              <w:t>1,788</w:t>
            </w:r>
          </w:p>
        </w:tc>
        <w:tc>
          <w:tcPr>
            <w:tcW w:w="1414" w:type="dxa"/>
            <w:tcBorders>
              <w:top w:val="nil"/>
              <w:left w:val="single" w:sz="4" w:space="0" w:color="auto"/>
              <w:bottom w:val="nil"/>
              <w:right w:val="single" w:sz="4" w:space="0" w:color="auto"/>
            </w:tcBorders>
            <w:shd w:val="clear" w:color="000000" w:fill="FFFFFF"/>
            <w:vAlign w:val="bottom"/>
            <w:hideMark/>
          </w:tcPr>
          <w:p w14:paraId="78CA6BA2" w14:textId="77777777" w:rsidR="00016C24" w:rsidRPr="0024033B" w:rsidRDefault="00016C24" w:rsidP="00500FD5">
            <w:pPr>
              <w:jc w:val="right"/>
              <w:rPr>
                <w:rFonts w:ascii="Arial" w:hAnsi="Arial" w:cs="Arial"/>
                <w:lang w:eastAsia="en-GB"/>
              </w:rPr>
            </w:pPr>
            <w:r w:rsidRPr="0024033B">
              <w:rPr>
                <w:rFonts w:ascii="Arial" w:hAnsi="Arial" w:cs="Arial"/>
                <w:lang w:eastAsia="en-GB"/>
              </w:rPr>
              <w:t>624</w:t>
            </w:r>
          </w:p>
        </w:tc>
        <w:tc>
          <w:tcPr>
            <w:tcW w:w="0" w:type="auto"/>
            <w:tcBorders>
              <w:top w:val="nil"/>
              <w:left w:val="nil"/>
              <w:bottom w:val="nil"/>
              <w:right w:val="single" w:sz="4" w:space="0" w:color="auto"/>
            </w:tcBorders>
            <w:shd w:val="clear" w:color="000000" w:fill="FFFFFF"/>
            <w:vAlign w:val="bottom"/>
            <w:hideMark/>
          </w:tcPr>
          <w:p w14:paraId="08902263" w14:textId="77777777" w:rsidR="00016C24" w:rsidRPr="0024033B" w:rsidRDefault="00016C24" w:rsidP="00500FD5">
            <w:pPr>
              <w:jc w:val="right"/>
              <w:rPr>
                <w:rFonts w:ascii="Arial" w:hAnsi="Arial" w:cs="Arial"/>
                <w:lang w:eastAsia="en-GB"/>
              </w:rPr>
            </w:pPr>
            <w:r w:rsidRPr="0024033B">
              <w:rPr>
                <w:rFonts w:ascii="Arial" w:hAnsi="Arial" w:cs="Arial"/>
                <w:lang w:eastAsia="en-GB"/>
              </w:rPr>
              <w:t>463</w:t>
            </w:r>
          </w:p>
        </w:tc>
        <w:tc>
          <w:tcPr>
            <w:tcW w:w="0" w:type="auto"/>
            <w:tcBorders>
              <w:top w:val="nil"/>
              <w:left w:val="nil"/>
              <w:bottom w:val="nil"/>
              <w:right w:val="single" w:sz="4" w:space="0" w:color="auto"/>
            </w:tcBorders>
            <w:shd w:val="clear" w:color="000000" w:fill="FFFFFF"/>
            <w:vAlign w:val="bottom"/>
            <w:hideMark/>
          </w:tcPr>
          <w:p w14:paraId="1C83DF3F" w14:textId="77777777" w:rsidR="00016C24" w:rsidRPr="0024033B" w:rsidRDefault="00016C24" w:rsidP="00500FD5">
            <w:pPr>
              <w:jc w:val="right"/>
              <w:rPr>
                <w:rFonts w:ascii="Arial" w:hAnsi="Arial" w:cs="Arial"/>
                <w:lang w:eastAsia="en-GB"/>
              </w:rPr>
            </w:pPr>
            <w:r w:rsidRPr="0024033B">
              <w:rPr>
                <w:rFonts w:ascii="Arial" w:hAnsi="Arial" w:cs="Arial"/>
                <w:lang w:eastAsia="en-GB"/>
              </w:rPr>
              <w:t>(161)</w:t>
            </w:r>
          </w:p>
        </w:tc>
      </w:tr>
      <w:tr w:rsidR="00016C24" w:rsidRPr="0024033B" w14:paraId="384A4ADF" w14:textId="77777777" w:rsidTr="00500FD5">
        <w:trPr>
          <w:trHeight w:val="315"/>
        </w:trPr>
        <w:tc>
          <w:tcPr>
            <w:tcW w:w="4106" w:type="dxa"/>
            <w:tcBorders>
              <w:top w:val="single" w:sz="4" w:space="0" w:color="auto"/>
              <w:left w:val="single" w:sz="4" w:space="0" w:color="auto"/>
              <w:bottom w:val="single" w:sz="4" w:space="0" w:color="auto"/>
              <w:right w:val="nil"/>
            </w:tcBorders>
            <w:shd w:val="clear" w:color="000000" w:fill="FFFFFF"/>
            <w:vAlign w:val="bottom"/>
            <w:hideMark/>
          </w:tcPr>
          <w:p w14:paraId="5F3463B8" w14:textId="77777777" w:rsidR="00016C24" w:rsidRPr="0024033B" w:rsidRDefault="00016C24" w:rsidP="00500FD5">
            <w:pPr>
              <w:rPr>
                <w:rFonts w:ascii="Arial" w:hAnsi="Arial" w:cs="Arial"/>
                <w:b/>
                <w:bCs/>
                <w:lang w:eastAsia="en-GB"/>
              </w:rPr>
            </w:pPr>
            <w:r w:rsidRPr="0024033B">
              <w:rPr>
                <w:rFonts w:ascii="Arial" w:hAnsi="Arial" w:cs="Arial"/>
                <w:b/>
                <w:bCs/>
                <w:lang w:eastAsia="en-GB"/>
              </w:rPr>
              <w:t>Other Capital Schemes total</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E26973"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83,086</w:t>
            </w:r>
          </w:p>
        </w:tc>
        <w:tc>
          <w:tcPr>
            <w:tcW w:w="1414" w:type="dxa"/>
            <w:tcBorders>
              <w:top w:val="single" w:sz="4" w:space="0" w:color="auto"/>
              <w:left w:val="nil"/>
              <w:bottom w:val="single" w:sz="4" w:space="0" w:color="auto"/>
              <w:right w:val="single" w:sz="4" w:space="0" w:color="auto"/>
            </w:tcBorders>
            <w:shd w:val="clear" w:color="000000" w:fill="FFFFFF"/>
            <w:vAlign w:val="bottom"/>
            <w:hideMark/>
          </w:tcPr>
          <w:p w14:paraId="43F4584A"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62,247</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14:paraId="0FEBDDEF"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57,620</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14:paraId="66ADE580"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(4,627)</w:t>
            </w:r>
          </w:p>
        </w:tc>
      </w:tr>
      <w:tr w:rsidR="00016C24" w:rsidRPr="0024033B" w14:paraId="18D3F5E3" w14:textId="77777777" w:rsidTr="00500FD5">
        <w:trPr>
          <w:trHeight w:val="300"/>
        </w:trPr>
        <w:tc>
          <w:tcPr>
            <w:tcW w:w="4106" w:type="dxa"/>
            <w:tcBorders>
              <w:top w:val="nil"/>
              <w:left w:val="single" w:sz="4" w:space="0" w:color="auto"/>
              <w:bottom w:val="nil"/>
              <w:right w:val="nil"/>
            </w:tcBorders>
            <w:shd w:val="clear" w:color="000000" w:fill="FFFFFF"/>
            <w:vAlign w:val="bottom"/>
            <w:hideMark/>
          </w:tcPr>
          <w:p w14:paraId="15273205" w14:textId="77777777" w:rsidR="00016C24" w:rsidRPr="0024033B" w:rsidRDefault="00016C24" w:rsidP="00500FD5">
            <w:pPr>
              <w:rPr>
                <w:rFonts w:ascii="Arial" w:hAnsi="Arial" w:cs="Arial"/>
                <w:color w:val="000000"/>
                <w:lang w:eastAsia="en-GB"/>
              </w:rPr>
            </w:pPr>
            <w:r w:rsidRPr="0024033B">
              <w:rPr>
                <w:rFonts w:ascii="Arial" w:hAnsi="Arial" w:cs="Arial"/>
                <w:color w:val="000000"/>
                <w:lang w:eastAsia="en-GB"/>
              </w:rPr>
              <w:t> </w:t>
            </w:r>
          </w:p>
        </w:tc>
        <w:tc>
          <w:tcPr>
            <w:tcW w:w="1134" w:type="dxa"/>
            <w:tcBorders>
              <w:top w:val="nil"/>
              <w:left w:val="single" w:sz="4" w:space="0" w:color="auto"/>
              <w:bottom w:val="nil"/>
              <w:right w:val="nil"/>
            </w:tcBorders>
            <w:shd w:val="clear" w:color="000000" w:fill="FFFFFF"/>
            <w:vAlign w:val="bottom"/>
            <w:hideMark/>
          </w:tcPr>
          <w:p w14:paraId="1BB6979A" w14:textId="77777777" w:rsidR="00016C24" w:rsidRPr="0024033B" w:rsidRDefault="00016C24" w:rsidP="00500FD5">
            <w:pPr>
              <w:jc w:val="right"/>
              <w:rPr>
                <w:rFonts w:ascii="Arial" w:hAnsi="Arial" w:cs="Arial"/>
                <w:color w:val="000000"/>
                <w:lang w:eastAsia="en-GB"/>
              </w:rPr>
            </w:pPr>
            <w:r w:rsidRPr="0024033B">
              <w:rPr>
                <w:rFonts w:ascii="Arial" w:hAnsi="Arial" w:cs="Arial"/>
                <w:color w:val="000000"/>
                <w:lang w:eastAsia="en-GB"/>
              </w:rPr>
              <w:t> </w:t>
            </w:r>
          </w:p>
        </w:tc>
        <w:tc>
          <w:tcPr>
            <w:tcW w:w="1414" w:type="dxa"/>
            <w:tcBorders>
              <w:top w:val="nil"/>
              <w:left w:val="single" w:sz="4" w:space="0" w:color="auto"/>
              <w:bottom w:val="nil"/>
              <w:right w:val="single" w:sz="4" w:space="0" w:color="auto"/>
            </w:tcBorders>
            <w:shd w:val="clear" w:color="000000" w:fill="FFFFFF"/>
            <w:vAlign w:val="bottom"/>
            <w:hideMark/>
          </w:tcPr>
          <w:p w14:paraId="46E2A1BF" w14:textId="77777777" w:rsidR="00016C24" w:rsidRPr="0024033B" w:rsidRDefault="00016C24" w:rsidP="00500FD5">
            <w:pPr>
              <w:jc w:val="right"/>
              <w:rPr>
                <w:rFonts w:ascii="Arial" w:hAnsi="Arial" w:cs="Arial"/>
                <w:lang w:eastAsia="en-GB"/>
              </w:rPr>
            </w:pPr>
            <w:r w:rsidRPr="0024033B">
              <w:rPr>
                <w:rFonts w:ascii="Arial" w:hAnsi="Arial" w:cs="Arial"/>
                <w:lang w:eastAsia="en-GB"/>
              </w:rPr>
              <w:t> </w:t>
            </w:r>
          </w:p>
        </w:tc>
        <w:tc>
          <w:tcPr>
            <w:tcW w:w="0" w:type="auto"/>
            <w:tcBorders>
              <w:top w:val="nil"/>
              <w:left w:val="nil"/>
              <w:bottom w:val="nil"/>
              <w:right w:val="single" w:sz="4" w:space="0" w:color="auto"/>
            </w:tcBorders>
            <w:shd w:val="clear" w:color="000000" w:fill="FFFFFF"/>
            <w:vAlign w:val="bottom"/>
            <w:hideMark/>
          </w:tcPr>
          <w:p w14:paraId="7F63FC11" w14:textId="77777777" w:rsidR="00016C24" w:rsidRPr="0024033B" w:rsidRDefault="00016C24" w:rsidP="00500FD5">
            <w:pPr>
              <w:jc w:val="right"/>
              <w:rPr>
                <w:rFonts w:ascii="Arial" w:hAnsi="Arial" w:cs="Arial"/>
                <w:lang w:eastAsia="en-GB"/>
              </w:rPr>
            </w:pPr>
            <w:r w:rsidRPr="0024033B">
              <w:rPr>
                <w:rFonts w:ascii="Arial" w:hAnsi="Arial" w:cs="Arial"/>
                <w:lang w:eastAsia="en-GB"/>
              </w:rPr>
              <w:t> </w:t>
            </w:r>
          </w:p>
        </w:tc>
        <w:tc>
          <w:tcPr>
            <w:tcW w:w="0" w:type="auto"/>
            <w:tcBorders>
              <w:top w:val="nil"/>
              <w:left w:val="nil"/>
              <w:bottom w:val="nil"/>
              <w:right w:val="single" w:sz="4" w:space="0" w:color="auto"/>
            </w:tcBorders>
            <w:shd w:val="clear" w:color="000000" w:fill="FFFFFF"/>
            <w:vAlign w:val="bottom"/>
            <w:hideMark/>
          </w:tcPr>
          <w:p w14:paraId="39CA16A8" w14:textId="77777777" w:rsidR="00016C24" w:rsidRPr="0024033B" w:rsidRDefault="00016C24" w:rsidP="00500FD5">
            <w:pPr>
              <w:jc w:val="right"/>
              <w:rPr>
                <w:rFonts w:ascii="Arial" w:hAnsi="Arial" w:cs="Arial"/>
                <w:lang w:eastAsia="en-GB"/>
              </w:rPr>
            </w:pPr>
            <w:r w:rsidRPr="0024033B">
              <w:rPr>
                <w:rFonts w:ascii="Arial" w:hAnsi="Arial" w:cs="Arial"/>
                <w:lang w:eastAsia="en-GB"/>
              </w:rPr>
              <w:t> </w:t>
            </w:r>
          </w:p>
        </w:tc>
      </w:tr>
      <w:tr w:rsidR="00016C24" w:rsidRPr="0024033B" w14:paraId="70219347" w14:textId="77777777" w:rsidTr="00500FD5">
        <w:trPr>
          <w:trHeight w:val="315"/>
        </w:trPr>
        <w:tc>
          <w:tcPr>
            <w:tcW w:w="4106" w:type="dxa"/>
            <w:tcBorders>
              <w:top w:val="single" w:sz="4" w:space="0" w:color="auto"/>
              <w:left w:val="single" w:sz="4" w:space="0" w:color="auto"/>
              <w:bottom w:val="single" w:sz="4" w:space="0" w:color="auto"/>
              <w:right w:val="nil"/>
            </w:tcBorders>
            <w:shd w:val="clear" w:color="000000" w:fill="FFFFFF"/>
            <w:vAlign w:val="bottom"/>
            <w:hideMark/>
          </w:tcPr>
          <w:p w14:paraId="168CCA8D" w14:textId="77777777" w:rsidR="00016C24" w:rsidRPr="0024033B" w:rsidRDefault="00016C24" w:rsidP="00500FD5">
            <w:pPr>
              <w:rPr>
                <w:rFonts w:ascii="Arial" w:hAnsi="Arial" w:cs="Arial"/>
                <w:b/>
                <w:bCs/>
                <w:color w:val="000000"/>
                <w:lang w:eastAsia="en-GB"/>
              </w:rPr>
            </w:pPr>
            <w:r>
              <w:rPr>
                <w:rFonts w:ascii="Arial" w:hAnsi="Arial" w:cs="Arial"/>
                <w:b/>
                <w:bCs/>
                <w:color w:val="000000"/>
                <w:lang w:eastAsia="en-GB"/>
              </w:rPr>
              <w:t>Major Works - other</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4348D5"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34,535</w:t>
            </w:r>
          </w:p>
        </w:tc>
        <w:tc>
          <w:tcPr>
            <w:tcW w:w="1414" w:type="dxa"/>
            <w:tcBorders>
              <w:top w:val="single" w:sz="4" w:space="0" w:color="auto"/>
              <w:left w:val="nil"/>
              <w:bottom w:val="single" w:sz="4" w:space="0" w:color="auto"/>
              <w:right w:val="single" w:sz="4" w:space="0" w:color="auto"/>
            </w:tcBorders>
            <w:shd w:val="clear" w:color="000000" w:fill="FFFFFF"/>
            <w:vAlign w:val="bottom"/>
            <w:hideMark/>
          </w:tcPr>
          <w:p w14:paraId="5A4DE367"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26,440</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14:paraId="7919BFF4"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28,044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14:paraId="6BE5F62A"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1,604</w:t>
            </w:r>
          </w:p>
        </w:tc>
      </w:tr>
      <w:tr w:rsidR="00016C24" w:rsidRPr="0024033B" w14:paraId="66B03541" w14:textId="77777777" w:rsidTr="00500FD5">
        <w:trPr>
          <w:trHeight w:val="300"/>
        </w:trPr>
        <w:tc>
          <w:tcPr>
            <w:tcW w:w="4106" w:type="dxa"/>
            <w:tcBorders>
              <w:top w:val="nil"/>
              <w:left w:val="single" w:sz="4" w:space="0" w:color="auto"/>
              <w:bottom w:val="nil"/>
              <w:right w:val="nil"/>
            </w:tcBorders>
            <w:shd w:val="clear" w:color="000000" w:fill="FFFFFF"/>
            <w:vAlign w:val="bottom"/>
            <w:hideMark/>
          </w:tcPr>
          <w:p w14:paraId="531C0BE5" w14:textId="77777777" w:rsidR="00016C24" w:rsidRPr="0024033B" w:rsidRDefault="00016C24" w:rsidP="00500FD5">
            <w:pPr>
              <w:rPr>
                <w:rFonts w:ascii="Arial" w:hAnsi="Arial" w:cs="Arial"/>
                <w:color w:val="000000"/>
                <w:lang w:eastAsia="en-GB"/>
              </w:rPr>
            </w:pPr>
            <w:r w:rsidRPr="0024033B">
              <w:rPr>
                <w:rFonts w:ascii="Arial" w:hAnsi="Arial" w:cs="Arial"/>
                <w:color w:val="000000"/>
                <w:lang w:eastAsia="en-GB"/>
              </w:rPr>
              <w:t> </w:t>
            </w:r>
          </w:p>
        </w:tc>
        <w:tc>
          <w:tcPr>
            <w:tcW w:w="1134" w:type="dxa"/>
            <w:tcBorders>
              <w:top w:val="nil"/>
              <w:left w:val="single" w:sz="4" w:space="0" w:color="auto"/>
              <w:bottom w:val="nil"/>
              <w:right w:val="nil"/>
            </w:tcBorders>
            <w:shd w:val="clear" w:color="000000" w:fill="FFFFFF"/>
            <w:vAlign w:val="bottom"/>
            <w:hideMark/>
          </w:tcPr>
          <w:p w14:paraId="760128D4" w14:textId="77777777" w:rsidR="00016C24" w:rsidRPr="0024033B" w:rsidRDefault="00016C24" w:rsidP="00500FD5">
            <w:pPr>
              <w:jc w:val="right"/>
              <w:rPr>
                <w:rFonts w:ascii="Arial" w:hAnsi="Arial" w:cs="Arial"/>
                <w:color w:val="000000"/>
                <w:lang w:eastAsia="en-GB"/>
              </w:rPr>
            </w:pPr>
            <w:r w:rsidRPr="0024033B">
              <w:rPr>
                <w:rFonts w:ascii="Arial" w:hAnsi="Arial" w:cs="Arial"/>
                <w:color w:val="000000"/>
                <w:lang w:eastAsia="en-GB"/>
              </w:rPr>
              <w:t> </w:t>
            </w:r>
          </w:p>
        </w:tc>
        <w:tc>
          <w:tcPr>
            <w:tcW w:w="1414" w:type="dxa"/>
            <w:tcBorders>
              <w:top w:val="nil"/>
              <w:left w:val="single" w:sz="4" w:space="0" w:color="auto"/>
              <w:bottom w:val="nil"/>
              <w:right w:val="single" w:sz="4" w:space="0" w:color="auto"/>
            </w:tcBorders>
            <w:shd w:val="clear" w:color="000000" w:fill="FFFFFF"/>
            <w:vAlign w:val="bottom"/>
            <w:hideMark/>
          </w:tcPr>
          <w:p w14:paraId="258848A6" w14:textId="77777777" w:rsidR="00016C24" w:rsidRPr="0024033B" w:rsidRDefault="00016C24" w:rsidP="00500FD5">
            <w:pPr>
              <w:jc w:val="right"/>
              <w:rPr>
                <w:rFonts w:ascii="Arial" w:hAnsi="Arial" w:cs="Arial"/>
                <w:lang w:eastAsia="en-GB"/>
              </w:rPr>
            </w:pPr>
            <w:r w:rsidRPr="0024033B">
              <w:rPr>
                <w:rFonts w:ascii="Arial" w:hAnsi="Arial" w:cs="Arial"/>
                <w:lang w:eastAsia="en-GB"/>
              </w:rPr>
              <w:t> </w:t>
            </w:r>
          </w:p>
        </w:tc>
        <w:tc>
          <w:tcPr>
            <w:tcW w:w="0" w:type="auto"/>
            <w:tcBorders>
              <w:top w:val="nil"/>
              <w:left w:val="nil"/>
              <w:bottom w:val="nil"/>
              <w:right w:val="single" w:sz="4" w:space="0" w:color="auto"/>
            </w:tcBorders>
            <w:shd w:val="clear" w:color="000000" w:fill="FFFFFF"/>
            <w:vAlign w:val="bottom"/>
            <w:hideMark/>
          </w:tcPr>
          <w:p w14:paraId="7857D70D" w14:textId="77777777" w:rsidR="00016C24" w:rsidRPr="0024033B" w:rsidRDefault="00016C24" w:rsidP="00500FD5">
            <w:pPr>
              <w:jc w:val="right"/>
              <w:rPr>
                <w:rFonts w:ascii="Arial" w:hAnsi="Arial" w:cs="Arial"/>
                <w:lang w:eastAsia="en-GB"/>
              </w:rPr>
            </w:pPr>
            <w:r w:rsidRPr="0024033B">
              <w:rPr>
                <w:rFonts w:ascii="Arial" w:hAnsi="Arial" w:cs="Arial"/>
                <w:lang w:eastAsia="en-GB"/>
              </w:rPr>
              <w:t> </w:t>
            </w:r>
          </w:p>
        </w:tc>
        <w:tc>
          <w:tcPr>
            <w:tcW w:w="0" w:type="auto"/>
            <w:tcBorders>
              <w:top w:val="nil"/>
              <w:left w:val="nil"/>
              <w:bottom w:val="nil"/>
              <w:right w:val="single" w:sz="4" w:space="0" w:color="auto"/>
            </w:tcBorders>
            <w:shd w:val="clear" w:color="000000" w:fill="FFFFFF"/>
            <w:vAlign w:val="bottom"/>
            <w:hideMark/>
          </w:tcPr>
          <w:p w14:paraId="5CE20A41" w14:textId="77777777" w:rsidR="00016C24" w:rsidRPr="0024033B" w:rsidRDefault="00016C24" w:rsidP="00500FD5">
            <w:pPr>
              <w:jc w:val="right"/>
              <w:rPr>
                <w:rFonts w:ascii="Arial" w:hAnsi="Arial" w:cs="Arial"/>
                <w:lang w:eastAsia="en-GB"/>
              </w:rPr>
            </w:pPr>
            <w:r w:rsidRPr="0024033B">
              <w:rPr>
                <w:rFonts w:ascii="Arial" w:hAnsi="Arial" w:cs="Arial"/>
                <w:lang w:eastAsia="en-GB"/>
              </w:rPr>
              <w:t> </w:t>
            </w:r>
          </w:p>
        </w:tc>
      </w:tr>
      <w:tr w:rsidR="00016C24" w:rsidRPr="0024033B" w14:paraId="3E70DBED" w14:textId="77777777" w:rsidTr="00500FD5">
        <w:trPr>
          <w:trHeight w:val="315"/>
        </w:trPr>
        <w:tc>
          <w:tcPr>
            <w:tcW w:w="4106" w:type="dxa"/>
            <w:tcBorders>
              <w:top w:val="single" w:sz="4" w:space="0" w:color="auto"/>
              <w:left w:val="single" w:sz="4" w:space="0" w:color="auto"/>
              <w:bottom w:val="single" w:sz="4" w:space="0" w:color="auto"/>
              <w:right w:val="nil"/>
            </w:tcBorders>
            <w:shd w:val="clear" w:color="000000" w:fill="FFFFFF"/>
            <w:vAlign w:val="bottom"/>
            <w:hideMark/>
          </w:tcPr>
          <w:p w14:paraId="10F7F00F" w14:textId="77777777" w:rsidR="00016C24" w:rsidRPr="0024033B" w:rsidRDefault="00016C24" w:rsidP="00500FD5">
            <w:pPr>
              <w:rPr>
                <w:rFonts w:ascii="Arial" w:hAnsi="Arial" w:cs="Arial"/>
                <w:b/>
                <w:bCs/>
                <w:color w:val="000000"/>
                <w:lang w:eastAsia="en-GB"/>
              </w:rPr>
            </w:pPr>
            <w:r w:rsidRPr="0024033B">
              <w:rPr>
                <w:rFonts w:ascii="Arial" w:hAnsi="Arial" w:cs="Arial"/>
                <w:b/>
                <w:bCs/>
                <w:color w:val="000000"/>
                <w:lang w:eastAsia="en-GB"/>
              </w:rPr>
              <w:t xml:space="preserve">Minor Works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C12314"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11,078</w:t>
            </w:r>
          </w:p>
        </w:tc>
        <w:tc>
          <w:tcPr>
            <w:tcW w:w="1414" w:type="dxa"/>
            <w:tcBorders>
              <w:top w:val="single" w:sz="4" w:space="0" w:color="auto"/>
              <w:left w:val="nil"/>
              <w:bottom w:val="single" w:sz="4" w:space="0" w:color="auto"/>
              <w:right w:val="single" w:sz="4" w:space="0" w:color="auto"/>
            </w:tcBorders>
            <w:shd w:val="clear" w:color="000000" w:fill="FFFFFF"/>
            <w:vAlign w:val="bottom"/>
            <w:hideMark/>
          </w:tcPr>
          <w:p w14:paraId="166B6F84"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9,028</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14:paraId="32A1C5BD"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7,421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14:paraId="032BB2A3"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(1,607)</w:t>
            </w:r>
          </w:p>
        </w:tc>
      </w:tr>
      <w:tr w:rsidR="00016C24" w:rsidRPr="0024033B" w14:paraId="4B02A457" w14:textId="77777777" w:rsidTr="00500FD5">
        <w:trPr>
          <w:trHeight w:val="300"/>
        </w:trPr>
        <w:tc>
          <w:tcPr>
            <w:tcW w:w="4106" w:type="dxa"/>
            <w:tcBorders>
              <w:top w:val="nil"/>
              <w:left w:val="single" w:sz="4" w:space="0" w:color="auto"/>
              <w:bottom w:val="nil"/>
              <w:right w:val="nil"/>
            </w:tcBorders>
            <w:shd w:val="clear" w:color="000000" w:fill="FFFFFF"/>
            <w:vAlign w:val="bottom"/>
            <w:hideMark/>
          </w:tcPr>
          <w:p w14:paraId="0AB1DC3C" w14:textId="77777777" w:rsidR="00016C24" w:rsidRPr="0024033B" w:rsidRDefault="00016C24" w:rsidP="00500FD5">
            <w:pPr>
              <w:rPr>
                <w:rFonts w:ascii="Arial" w:hAnsi="Arial" w:cs="Arial"/>
                <w:color w:val="000000"/>
                <w:lang w:eastAsia="en-GB"/>
              </w:rPr>
            </w:pPr>
            <w:r w:rsidRPr="0024033B">
              <w:rPr>
                <w:rFonts w:ascii="Arial" w:hAnsi="Arial" w:cs="Arial"/>
                <w:color w:val="000000"/>
                <w:lang w:eastAsia="en-GB"/>
              </w:rPr>
              <w:t> </w:t>
            </w:r>
          </w:p>
        </w:tc>
        <w:tc>
          <w:tcPr>
            <w:tcW w:w="1134" w:type="dxa"/>
            <w:tcBorders>
              <w:top w:val="nil"/>
              <w:left w:val="single" w:sz="4" w:space="0" w:color="auto"/>
              <w:bottom w:val="nil"/>
              <w:right w:val="nil"/>
            </w:tcBorders>
            <w:shd w:val="clear" w:color="000000" w:fill="FFFFFF"/>
            <w:vAlign w:val="bottom"/>
            <w:hideMark/>
          </w:tcPr>
          <w:p w14:paraId="645A98B3" w14:textId="77777777" w:rsidR="00016C24" w:rsidRPr="0024033B" w:rsidRDefault="00016C24" w:rsidP="00500FD5">
            <w:pPr>
              <w:jc w:val="right"/>
              <w:rPr>
                <w:rFonts w:ascii="Arial" w:hAnsi="Arial" w:cs="Arial"/>
                <w:color w:val="000000"/>
                <w:lang w:eastAsia="en-GB"/>
              </w:rPr>
            </w:pPr>
            <w:r w:rsidRPr="0024033B">
              <w:rPr>
                <w:rFonts w:ascii="Arial" w:hAnsi="Arial" w:cs="Arial"/>
                <w:color w:val="000000"/>
                <w:lang w:eastAsia="en-GB"/>
              </w:rPr>
              <w:t> </w:t>
            </w:r>
          </w:p>
        </w:tc>
        <w:tc>
          <w:tcPr>
            <w:tcW w:w="1414" w:type="dxa"/>
            <w:tcBorders>
              <w:top w:val="nil"/>
              <w:left w:val="single" w:sz="4" w:space="0" w:color="auto"/>
              <w:bottom w:val="nil"/>
              <w:right w:val="single" w:sz="4" w:space="0" w:color="auto"/>
            </w:tcBorders>
            <w:shd w:val="clear" w:color="000000" w:fill="FFFFFF"/>
            <w:vAlign w:val="bottom"/>
            <w:hideMark/>
          </w:tcPr>
          <w:p w14:paraId="02A0FFFF" w14:textId="77777777" w:rsidR="00016C24" w:rsidRPr="0024033B" w:rsidRDefault="00016C24" w:rsidP="00500FD5">
            <w:pPr>
              <w:jc w:val="right"/>
              <w:rPr>
                <w:rFonts w:ascii="Arial" w:hAnsi="Arial" w:cs="Arial"/>
                <w:lang w:eastAsia="en-GB"/>
              </w:rPr>
            </w:pPr>
            <w:r w:rsidRPr="0024033B">
              <w:rPr>
                <w:rFonts w:ascii="Arial" w:hAnsi="Arial" w:cs="Arial"/>
                <w:lang w:eastAsia="en-GB"/>
              </w:rPr>
              <w:t> </w:t>
            </w:r>
          </w:p>
        </w:tc>
        <w:tc>
          <w:tcPr>
            <w:tcW w:w="0" w:type="auto"/>
            <w:tcBorders>
              <w:top w:val="nil"/>
              <w:left w:val="nil"/>
              <w:bottom w:val="nil"/>
              <w:right w:val="single" w:sz="4" w:space="0" w:color="auto"/>
            </w:tcBorders>
            <w:shd w:val="clear" w:color="000000" w:fill="FFFFFF"/>
            <w:vAlign w:val="bottom"/>
            <w:hideMark/>
          </w:tcPr>
          <w:p w14:paraId="75897B80" w14:textId="77777777" w:rsidR="00016C24" w:rsidRPr="0024033B" w:rsidRDefault="00016C24" w:rsidP="00500FD5">
            <w:pPr>
              <w:jc w:val="right"/>
              <w:rPr>
                <w:rFonts w:ascii="Arial" w:hAnsi="Arial" w:cs="Arial"/>
                <w:lang w:eastAsia="en-GB"/>
              </w:rPr>
            </w:pPr>
            <w:r w:rsidRPr="0024033B">
              <w:rPr>
                <w:rFonts w:ascii="Arial" w:hAnsi="Arial" w:cs="Arial"/>
                <w:lang w:eastAsia="en-GB"/>
              </w:rPr>
              <w:t> </w:t>
            </w:r>
          </w:p>
        </w:tc>
        <w:tc>
          <w:tcPr>
            <w:tcW w:w="0" w:type="auto"/>
            <w:tcBorders>
              <w:top w:val="nil"/>
              <w:left w:val="nil"/>
              <w:bottom w:val="nil"/>
              <w:right w:val="single" w:sz="4" w:space="0" w:color="auto"/>
            </w:tcBorders>
            <w:shd w:val="clear" w:color="000000" w:fill="FFFFFF"/>
            <w:vAlign w:val="bottom"/>
            <w:hideMark/>
          </w:tcPr>
          <w:p w14:paraId="3653E19A" w14:textId="77777777" w:rsidR="00016C24" w:rsidRPr="0024033B" w:rsidRDefault="00016C24" w:rsidP="00500FD5">
            <w:pPr>
              <w:jc w:val="right"/>
              <w:rPr>
                <w:rFonts w:ascii="Arial" w:hAnsi="Arial" w:cs="Arial"/>
                <w:lang w:eastAsia="en-GB"/>
              </w:rPr>
            </w:pPr>
            <w:r w:rsidRPr="0024033B">
              <w:rPr>
                <w:rFonts w:ascii="Arial" w:hAnsi="Arial" w:cs="Arial"/>
                <w:lang w:eastAsia="en-GB"/>
              </w:rPr>
              <w:t> </w:t>
            </w:r>
          </w:p>
        </w:tc>
      </w:tr>
      <w:tr w:rsidR="00016C24" w:rsidRPr="0024033B" w14:paraId="39783FA2" w14:textId="77777777" w:rsidTr="00500FD5">
        <w:trPr>
          <w:trHeight w:val="315"/>
        </w:trPr>
        <w:tc>
          <w:tcPr>
            <w:tcW w:w="4106" w:type="dxa"/>
            <w:tcBorders>
              <w:top w:val="single" w:sz="4" w:space="0" w:color="auto"/>
              <w:left w:val="single" w:sz="4" w:space="0" w:color="auto"/>
              <w:bottom w:val="single" w:sz="4" w:space="0" w:color="auto"/>
              <w:right w:val="nil"/>
            </w:tcBorders>
            <w:shd w:val="clear" w:color="000000" w:fill="FFFFFF"/>
            <w:vAlign w:val="bottom"/>
            <w:hideMark/>
          </w:tcPr>
          <w:p w14:paraId="3F677DD0" w14:textId="77777777" w:rsidR="00016C24" w:rsidRPr="0024033B" w:rsidRDefault="00016C24" w:rsidP="00500FD5">
            <w:pPr>
              <w:rPr>
                <w:rFonts w:ascii="Arial" w:hAnsi="Arial" w:cs="Arial"/>
                <w:b/>
                <w:bCs/>
                <w:color w:val="000000"/>
                <w:lang w:eastAsia="en-GB"/>
              </w:rPr>
            </w:pPr>
            <w:r w:rsidRPr="0024033B">
              <w:rPr>
                <w:rFonts w:ascii="Arial" w:hAnsi="Arial" w:cs="Arial"/>
                <w:b/>
                <w:bCs/>
                <w:color w:val="000000"/>
                <w:lang w:eastAsia="en-GB"/>
              </w:rPr>
              <w:t xml:space="preserve">Transforming Cities 2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527719"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2,625</w:t>
            </w:r>
          </w:p>
        </w:tc>
        <w:tc>
          <w:tcPr>
            <w:tcW w:w="1414" w:type="dxa"/>
            <w:tcBorders>
              <w:top w:val="single" w:sz="4" w:space="0" w:color="auto"/>
              <w:left w:val="nil"/>
              <w:bottom w:val="single" w:sz="4" w:space="0" w:color="auto"/>
              <w:right w:val="single" w:sz="4" w:space="0" w:color="auto"/>
            </w:tcBorders>
            <w:shd w:val="clear" w:color="000000" w:fill="FFFFFF"/>
            <w:vAlign w:val="bottom"/>
            <w:hideMark/>
          </w:tcPr>
          <w:p w14:paraId="76AFA816"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1,029</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14:paraId="4BD04210"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1,017</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14:paraId="0F834199"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(12)</w:t>
            </w:r>
          </w:p>
        </w:tc>
      </w:tr>
      <w:tr w:rsidR="00016C24" w:rsidRPr="0024033B" w14:paraId="457C0AF4" w14:textId="77777777" w:rsidTr="00500FD5">
        <w:trPr>
          <w:trHeight w:val="315"/>
        </w:trPr>
        <w:tc>
          <w:tcPr>
            <w:tcW w:w="4106" w:type="dxa"/>
            <w:tcBorders>
              <w:top w:val="nil"/>
              <w:left w:val="single" w:sz="4" w:space="0" w:color="auto"/>
              <w:bottom w:val="nil"/>
              <w:right w:val="nil"/>
            </w:tcBorders>
            <w:shd w:val="clear" w:color="000000" w:fill="FFFFFF"/>
            <w:vAlign w:val="bottom"/>
            <w:hideMark/>
          </w:tcPr>
          <w:p w14:paraId="552DF467" w14:textId="77777777" w:rsidR="00016C24" w:rsidRPr="0024033B" w:rsidRDefault="00016C24" w:rsidP="00500FD5">
            <w:pPr>
              <w:rPr>
                <w:rFonts w:ascii="Arial" w:hAnsi="Arial" w:cs="Arial"/>
                <w:b/>
                <w:bCs/>
                <w:color w:val="000000"/>
                <w:lang w:eastAsia="en-GB"/>
              </w:rPr>
            </w:pPr>
            <w:r w:rsidRPr="0024033B">
              <w:rPr>
                <w:rFonts w:ascii="Arial" w:hAnsi="Arial" w:cs="Arial"/>
                <w:b/>
                <w:bCs/>
                <w:color w:val="000000"/>
                <w:lang w:eastAsia="en-GB"/>
              </w:rPr>
              <w:t> </w:t>
            </w:r>
          </w:p>
        </w:tc>
        <w:tc>
          <w:tcPr>
            <w:tcW w:w="1134" w:type="dxa"/>
            <w:tcBorders>
              <w:top w:val="nil"/>
              <w:left w:val="single" w:sz="4" w:space="0" w:color="auto"/>
              <w:bottom w:val="nil"/>
              <w:right w:val="nil"/>
            </w:tcBorders>
            <w:shd w:val="clear" w:color="000000" w:fill="FFFFFF"/>
            <w:vAlign w:val="bottom"/>
            <w:hideMark/>
          </w:tcPr>
          <w:p w14:paraId="5F06095B" w14:textId="77777777" w:rsidR="00016C24" w:rsidRPr="0024033B" w:rsidRDefault="00016C24" w:rsidP="00500FD5">
            <w:pPr>
              <w:jc w:val="right"/>
              <w:rPr>
                <w:rFonts w:ascii="Arial" w:hAnsi="Arial" w:cs="Arial"/>
                <w:b/>
                <w:bCs/>
                <w:color w:val="000000"/>
                <w:lang w:eastAsia="en-GB"/>
              </w:rPr>
            </w:pPr>
            <w:r w:rsidRPr="0024033B">
              <w:rPr>
                <w:rFonts w:ascii="Arial" w:hAnsi="Arial" w:cs="Arial"/>
                <w:b/>
                <w:bCs/>
                <w:color w:val="000000"/>
                <w:lang w:eastAsia="en-GB"/>
              </w:rPr>
              <w:t> </w:t>
            </w:r>
          </w:p>
        </w:tc>
        <w:tc>
          <w:tcPr>
            <w:tcW w:w="1414" w:type="dxa"/>
            <w:tcBorders>
              <w:top w:val="nil"/>
              <w:left w:val="single" w:sz="4" w:space="0" w:color="auto"/>
              <w:bottom w:val="nil"/>
              <w:right w:val="single" w:sz="4" w:space="0" w:color="auto"/>
            </w:tcBorders>
            <w:shd w:val="clear" w:color="000000" w:fill="FFFFFF"/>
            <w:vAlign w:val="bottom"/>
            <w:hideMark/>
          </w:tcPr>
          <w:p w14:paraId="05A1BE28"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 </w:t>
            </w:r>
          </w:p>
        </w:tc>
        <w:tc>
          <w:tcPr>
            <w:tcW w:w="0" w:type="auto"/>
            <w:tcBorders>
              <w:top w:val="nil"/>
              <w:left w:val="nil"/>
              <w:bottom w:val="nil"/>
              <w:right w:val="single" w:sz="4" w:space="0" w:color="auto"/>
            </w:tcBorders>
            <w:shd w:val="clear" w:color="000000" w:fill="FFFFFF"/>
            <w:vAlign w:val="bottom"/>
            <w:hideMark/>
          </w:tcPr>
          <w:p w14:paraId="2908ACB2"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 </w:t>
            </w:r>
          </w:p>
        </w:tc>
        <w:tc>
          <w:tcPr>
            <w:tcW w:w="0" w:type="auto"/>
            <w:tcBorders>
              <w:top w:val="nil"/>
              <w:left w:val="nil"/>
              <w:bottom w:val="nil"/>
              <w:right w:val="single" w:sz="4" w:space="0" w:color="auto"/>
            </w:tcBorders>
            <w:shd w:val="clear" w:color="000000" w:fill="FFFFFF"/>
            <w:vAlign w:val="bottom"/>
            <w:hideMark/>
          </w:tcPr>
          <w:p w14:paraId="4CD5E9ED"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 </w:t>
            </w:r>
          </w:p>
        </w:tc>
      </w:tr>
      <w:tr w:rsidR="00016C24" w:rsidRPr="0024033B" w14:paraId="5DF50C19" w14:textId="77777777" w:rsidTr="00500FD5">
        <w:trPr>
          <w:trHeight w:val="315"/>
        </w:trPr>
        <w:tc>
          <w:tcPr>
            <w:tcW w:w="4106" w:type="dxa"/>
            <w:tcBorders>
              <w:top w:val="single" w:sz="4" w:space="0" w:color="auto"/>
              <w:left w:val="single" w:sz="4" w:space="0" w:color="auto"/>
              <w:bottom w:val="single" w:sz="4" w:space="0" w:color="auto"/>
              <w:right w:val="nil"/>
            </w:tcBorders>
            <w:shd w:val="clear" w:color="000000" w:fill="FFFFFF"/>
            <w:vAlign w:val="bottom"/>
            <w:hideMark/>
          </w:tcPr>
          <w:p w14:paraId="42BD1506" w14:textId="77777777" w:rsidR="00016C24" w:rsidRPr="0024033B" w:rsidRDefault="00016C24" w:rsidP="00500FD5">
            <w:pPr>
              <w:rPr>
                <w:rFonts w:ascii="Arial" w:hAnsi="Arial" w:cs="Arial"/>
                <w:b/>
                <w:bCs/>
                <w:lang w:eastAsia="en-GB"/>
              </w:rPr>
            </w:pPr>
            <w:r w:rsidRPr="0024033B">
              <w:rPr>
                <w:rFonts w:ascii="Arial" w:hAnsi="Arial" w:cs="Arial"/>
                <w:b/>
                <w:bCs/>
                <w:lang w:eastAsia="en-GB"/>
              </w:rPr>
              <w:t xml:space="preserve">Bus Franchising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DC4D9C" w14:textId="77777777" w:rsidR="00016C24" w:rsidRPr="0024033B" w:rsidRDefault="00016C24" w:rsidP="00500FD5">
            <w:pPr>
              <w:jc w:val="right"/>
              <w:rPr>
                <w:rFonts w:ascii="Arial" w:hAnsi="Arial" w:cs="Arial"/>
                <w:b/>
                <w:bCs/>
                <w:lang w:eastAsia="en-GB"/>
              </w:rPr>
            </w:pPr>
            <w:r>
              <w:rPr>
                <w:rFonts w:ascii="Arial" w:hAnsi="Arial" w:cs="Arial"/>
                <w:b/>
                <w:bCs/>
                <w:lang w:eastAsia="en-GB"/>
              </w:rPr>
              <w:t>0</w:t>
            </w:r>
          </w:p>
        </w:tc>
        <w:tc>
          <w:tcPr>
            <w:tcW w:w="1414" w:type="dxa"/>
            <w:tcBorders>
              <w:top w:val="single" w:sz="4" w:space="0" w:color="auto"/>
              <w:left w:val="nil"/>
              <w:bottom w:val="single" w:sz="4" w:space="0" w:color="auto"/>
              <w:right w:val="single" w:sz="4" w:space="0" w:color="auto"/>
            </w:tcBorders>
            <w:shd w:val="clear" w:color="000000" w:fill="FFFFFF"/>
            <w:vAlign w:val="bottom"/>
            <w:hideMark/>
          </w:tcPr>
          <w:p w14:paraId="209A4FFC"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6,423</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14:paraId="5AFB4931"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5,223</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14:paraId="7533C40D"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(1,200)</w:t>
            </w:r>
          </w:p>
        </w:tc>
      </w:tr>
      <w:tr w:rsidR="00016C24" w:rsidRPr="0024033B" w14:paraId="46E6F100" w14:textId="77777777" w:rsidTr="00500FD5">
        <w:trPr>
          <w:trHeight w:val="315"/>
        </w:trPr>
        <w:tc>
          <w:tcPr>
            <w:tcW w:w="4106" w:type="dxa"/>
            <w:tcBorders>
              <w:top w:val="nil"/>
              <w:left w:val="single" w:sz="4" w:space="0" w:color="auto"/>
              <w:bottom w:val="nil"/>
              <w:right w:val="nil"/>
            </w:tcBorders>
            <w:shd w:val="clear" w:color="000000" w:fill="FFFFFF"/>
            <w:vAlign w:val="bottom"/>
            <w:hideMark/>
          </w:tcPr>
          <w:p w14:paraId="1CDE1225" w14:textId="77777777" w:rsidR="00016C24" w:rsidRPr="0024033B" w:rsidRDefault="00016C24" w:rsidP="00500FD5">
            <w:pPr>
              <w:rPr>
                <w:rFonts w:ascii="Arial" w:hAnsi="Arial" w:cs="Arial"/>
                <w:b/>
                <w:bCs/>
                <w:color w:val="000000"/>
                <w:lang w:eastAsia="en-GB"/>
              </w:rPr>
            </w:pPr>
            <w:r w:rsidRPr="0024033B">
              <w:rPr>
                <w:rFonts w:ascii="Arial" w:hAnsi="Arial" w:cs="Arial"/>
                <w:b/>
                <w:bCs/>
                <w:color w:val="000000"/>
                <w:lang w:eastAsia="en-GB"/>
              </w:rPr>
              <w:t> </w:t>
            </w:r>
          </w:p>
        </w:tc>
        <w:tc>
          <w:tcPr>
            <w:tcW w:w="1134" w:type="dxa"/>
            <w:tcBorders>
              <w:top w:val="nil"/>
              <w:left w:val="single" w:sz="4" w:space="0" w:color="auto"/>
              <w:bottom w:val="nil"/>
              <w:right w:val="nil"/>
            </w:tcBorders>
            <w:shd w:val="clear" w:color="000000" w:fill="FFFFFF"/>
            <w:vAlign w:val="bottom"/>
            <w:hideMark/>
          </w:tcPr>
          <w:p w14:paraId="0E6AE0F9" w14:textId="77777777" w:rsidR="00016C24" w:rsidRPr="0024033B" w:rsidRDefault="00016C24" w:rsidP="00500FD5">
            <w:pPr>
              <w:jc w:val="right"/>
              <w:rPr>
                <w:rFonts w:ascii="Arial" w:hAnsi="Arial" w:cs="Arial"/>
                <w:b/>
                <w:bCs/>
                <w:color w:val="000000"/>
                <w:lang w:eastAsia="en-GB"/>
              </w:rPr>
            </w:pPr>
            <w:r w:rsidRPr="0024033B">
              <w:rPr>
                <w:rFonts w:ascii="Arial" w:hAnsi="Arial" w:cs="Arial"/>
                <w:b/>
                <w:bCs/>
                <w:color w:val="000000"/>
                <w:lang w:eastAsia="en-GB"/>
              </w:rPr>
              <w:t> </w:t>
            </w:r>
          </w:p>
        </w:tc>
        <w:tc>
          <w:tcPr>
            <w:tcW w:w="1414" w:type="dxa"/>
            <w:tcBorders>
              <w:top w:val="nil"/>
              <w:left w:val="single" w:sz="4" w:space="0" w:color="auto"/>
              <w:bottom w:val="nil"/>
              <w:right w:val="single" w:sz="4" w:space="0" w:color="auto"/>
            </w:tcBorders>
            <w:shd w:val="clear" w:color="000000" w:fill="FFFFFF"/>
            <w:vAlign w:val="bottom"/>
            <w:hideMark/>
          </w:tcPr>
          <w:p w14:paraId="35456788"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 </w:t>
            </w:r>
          </w:p>
        </w:tc>
        <w:tc>
          <w:tcPr>
            <w:tcW w:w="0" w:type="auto"/>
            <w:tcBorders>
              <w:top w:val="nil"/>
              <w:left w:val="nil"/>
              <w:bottom w:val="nil"/>
              <w:right w:val="single" w:sz="4" w:space="0" w:color="auto"/>
            </w:tcBorders>
            <w:shd w:val="clear" w:color="000000" w:fill="FFFFFF"/>
            <w:vAlign w:val="bottom"/>
            <w:hideMark/>
          </w:tcPr>
          <w:p w14:paraId="42A1934A"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 </w:t>
            </w:r>
          </w:p>
        </w:tc>
        <w:tc>
          <w:tcPr>
            <w:tcW w:w="0" w:type="auto"/>
            <w:tcBorders>
              <w:top w:val="nil"/>
              <w:left w:val="nil"/>
              <w:bottom w:val="nil"/>
              <w:right w:val="single" w:sz="4" w:space="0" w:color="auto"/>
            </w:tcBorders>
            <w:shd w:val="clear" w:color="000000" w:fill="FFFFFF"/>
            <w:vAlign w:val="bottom"/>
            <w:hideMark/>
          </w:tcPr>
          <w:p w14:paraId="4B9C5147"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 </w:t>
            </w:r>
          </w:p>
        </w:tc>
      </w:tr>
      <w:tr w:rsidR="00016C24" w:rsidRPr="0024033B" w14:paraId="13115F46" w14:textId="77777777" w:rsidTr="00C67457">
        <w:trPr>
          <w:trHeight w:val="300"/>
        </w:trPr>
        <w:tc>
          <w:tcPr>
            <w:tcW w:w="4106" w:type="dxa"/>
            <w:tcBorders>
              <w:top w:val="nil"/>
              <w:left w:val="single" w:sz="4" w:space="0" w:color="auto"/>
              <w:right w:val="nil"/>
            </w:tcBorders>
            <w:shd w:val="clear" w:color="000000" w:fill="FFFFFF"/>
            <w:vAlign w:val="bottom"/>
            <w:hideMark/>
          </w:tcPr>
          <w:p w14:paraId="24B86F88" w14:textId="77777777" w:rsidR="00016C24" w:rsidRPr="0024033B" w:rsidRDefault="00016C24" w:rsidP="00500FD5">
            <w:pPr>
              <w:rPr>
                <w:rFonts w:ascii="Arial" w:hAnsi="Arial" w:cs="Arial"/>
                <w:color w:val="000000"/>
                <w:lang w:eastAsia="en-GB"/>
              </w:rPr>
            </w:pPr>
            <w:r w:rsidRPr="0024033B">
              <w:rPr>
                <w:rFonts w:ascii="Arial" w:hAnsi="Arial" w:cs="Arial"/>
                <w:color w:val="000000"/>
                <w:lang w:eastAsia="en-GB"/>
              </w:rPr>
              <w:t>Traffic Signals (Externally Funded)</w:t>
            </w:r>
          </w:p>
        </w:tc>
        <w:tc>
          <w:tcPr>
            <w:tcW w:w="1134" w:type="dxa"/>
            <w:tcBorders>
              <w:top w:val="nil"/>
              <w:left w:val="single" w:sz="4" w:space="0" w:color="auto"/>
              <w:right w:val="nil"/>
            </w:tcBorders>
            <w:shd w:val="clear" w:color="000000" w:fill="FFFFFF"/>
            <w:vAlign w:val="bottom"/>
            <w:hideMark/>
          </w:tcPr>
          <w:p w14:paraId="529B88C6" w14:textId="77777777" w:rsidR="00016C24" w:rsidRPr="0024033B" w:rsidRDefault="00016C24" w:rsidP="00500FD5">
            <w:pPr>
              <w:jc w:val="right"/>
              <w:rPr>
                <w:rFonts w:ascii="Arial" w:hAnsi="Arial" w:cs="Arial"/>
                <w:color w:val="000000"/>
                <w:lang w:eastAsia="en-GB"/>
              </w:rPr>
            </w:pPr>
            <w:r w:rsidRPr="0024033B">
              <w:rPr>
                <w:rFonts w:ascii="Arial" w:hAnsi="Arial" w:cs="Arial"/>
                <w:color w:val="000000"/>
                <w:lang w:eastAsia="en-GB"/>
              </w:rPr>
              <w:t>2,500</w:t>
            </w:r>
          </w:p>
        </w:tc>
        <w:tc>
          <w:tcPr>
            <w:tcW w:w="1414" w:type="dxa"/>
            <w:tcBorders>
              <w:top w:val="nil"/>
              <w:left w:val="single" w:sz="4" w:space="0" w:color="auto"/>
              <w:right w:val="single" w:sz="4" w:space="0" w:color="auto"/>
            </w:tcBorders>
            <w:shd w:val="clear" w:color="000000" w:fill="FFFFFF"/>
            <w:vAlign w:val="bottom"/>
            <w:hideMark/>
          </w:tcPr>
          <w:p w14:paraId="33DB0200" w14:textId="77777777" w:rsidR="00016C24" w:rsidRPr="0024033B" w:rsidRDefault="00016C24" w:rsidP="00500FD5">
            <w:pPr>
              <w:jc w:val="right"/>
              <w:rPr>
                <w:rFonts w:ascii="Arial" w:hAnsi="Arial" w:cs="Arial"/>
                <w:lang w:eastAsia="en-GB"/>
              </w:rPr>
            </w:pPr>
            <w:r w:rsidRPr="0024033B">
              <w:rPr>
                <w:rFonts w:ascii="Arial" w:hAnsi="Arial" w:cs="Arial"/>
                <w:lang w:eastAsia="en-GB"/>
              </w:rPr>
              <w:t>2,500</w:t>
            </w:r>
          </w:p>
        </w:tc>
        <w:tc>
          <w:tcPr>
            <w:tcW w:w="0" w:type="auto"/>
            <w:tcBorders>
              <w:top w:val="nil"/>
              <w:left w:val="nil"/>
              <w:right w:val="single" w:sz="4" w:space="0" w:color="auto"/>
            </w:tcBorders>
            <w:shd w:val="clear" w:color="000000" w:fill="FFFFFF"/>
            <w:vAlign w:val="bottom"/>
            <w:hideMark/>
          </w:tcPr>
          <w:p w14:paraId="73E88D51" w14:textId="77777777" w:rsidR="00016C24" w:rsidRPr="0024033B" w:rsidRDefault="00016C24" w:rsidP="00500FD5">
            <w:pPr>
              <w:jc w:val="right"/>
              <w:rPr>
                <w:rFonts w:ascii="Arial" w:hAnsi="Arial" w:cs="Arial"/>
                <w:lang w:eastAsia="en-GB"/>
              </w:rPr>
            </w:pPr>
            <w:r w:rsidRPr="0024033B">
              <w:rPr>
                <w:rFonts w:ascii="Arial" w:hAnsi="Arial" w:cs="Arial"/>
                <w:lang w:eastAsia="en-GB"/>
              </w:rPr>
              <w:t>2,230</w:t>
            </w:r>
          </w:p>
        </w:tc>
        <w:tc>
          <w:tcPr>
            <w:tcW w:w="0" w:type="auto"/>
            <w:tcBorders>
              <w:top w:val="nil"/>
              <w:left w:val="nil"/>
              <w:right w:val="single" w:sz="4" w:space="0" w:color="auto"/>
            </w:tcBorders>
            <w:shd w:val="clear" w:color="000000" w:fill="FFFFFF"/>
            <w:vAlign w:val="bottom"/>
            <w:hideMark/>
          </w:tcPr>
          <w:p w14:paraId="3B825C07" w14:textId="77777777" w:rsidR="00016C24" w:rsidRPr="0024033B" w:rsidRDefault="00016C24" w:rsidP="00500FD5">
            <w:pPr>
              <w:jc w:val="right"/>
              <w:rPr>
                <w:rFonts w:ascii="Arial" w:hAnsi="Arial" w:cs="Arial"/>
                <w:lang w:eastAsia="en-GB"/>
              </w:rPr>
            </w:pPr>
            <w:r w:rsidRPr="0024033B">
              <w:rPr>
                <w:rFonts w:ascii="Arial" w:hAnsi="Arial" w:cs="Arial"/>
                <w:lang w:eastAsia="en-GB"/>
              </w:rPr>
              <w:t>(270)</w:t>
            </w:r>
          </w:p>
        </w:tc>
      </w:tr>
      <w:tr w:rsidR="00016C24" w:rsidRPr="0024033B" w14:paraId="3251AE41" w14:textId="77777777" w:rsidTr="00C67457">
        <w:trPr>
          <w:trHeight w:val="300"/>
        </w:trPr>
        <w:tc>
          <w:tcPr>
            <w:tcW w:w="4106" w:type="dxa"/>
            <w:tcBorders>
              <w:top w:val="nil"/>
              <w:left w:val="single" w:sz="4" w:space="0" w:color="auto"/>
              <w:bottom w:val="single" w:sz="4" w:space="0" w:color="auto"/>
              <w:right w:val="nil"/>
            </w:tcBorders>
            <w:shd w:val="clear" w:color="000000" w:fill="FFFFFF"/>
            <w:vAlign w:val="bottom"/>
            <w:hideMark/>
          </w:tcPr>
          <w:p w14:paraId="1C80B508" w14:textId="77777777" w:rsidR="00016C24" w:rsidRPr="0024033B" w:rsidRDefault="00016C24" w:rsidP="00500FD5">
            <w:pPr>
              <w:rPr>
                <w:rFonts w:ascii="Arial" w:hAnsi="Arial" w:cs="Arial"/>
                <w:color w:val="000000"/>
                <w:lang w:eastAsia="en-GB"/>
              </w:rPr>
            </w:pPr>
            <w:r w:rsidRPr="0024033B">
              <w:rPr>
                <w:rFonts w:ascii="Arial" w:hAnsi="Arial" w:cs="Arial"/>
                <w:color w:val="000000"/>
                <w:lang w:eastAsia="en-GB"/>
              </w:rPr>
              <w:t>Full Fibre Network</w:t>
            </w:r>
          </w:p>
        </w:tc>
        <w:tc>
          <w:tcPr>
            <w:tcW w:w="1134" w:type="dxa"/>
            <w:tcBorders>
              <w:top w:val="nil"/>
              <w:left w:val="single" w:sz="4" w:space="0" w:color="auto"/>
              <w:bottom w:val="single" w:sz="4" w:space="0" w:color="auto"/>
              <w:right w:val="nil"/>
            </w:tcBorders>
            <w:shd w:val="clear" w:color="000000" w:fill="FFFFFF"/>
            <w:vAlign w:val="bottom"/>
            <w:hideMark/>
          </w:tcPr>
          <w:p w14:paraId="10ADBB04" w14:textId="77777777" w:rsidR="00016C24" w:rsidRPr="0024033B" w:rsidRDefault="00016C24" w:rsidP="00500FD5">
            <w:pPr>
              <w:jc w:val="right"/>
              <w:rPr>
                <w:rFonts w:ascii="Arial" w:hAnsi="Arial" w:cs="Arial"/>
                <w:color w:val="000000"/>
                <w:lang w:eastAsia="en-GB"/>
              </w:rPr>
            </w:pPr>
            <w:r w:rsidRPr="0024033B">
              <w:rPr>
                <w:rFonts w:ascii="Arial" w:hAnsi="Arial" w:cs="Arial"/>
                <w:color w:val="000000"/>
                <w:lang w:eastAsia="en-GB"/>
              </w:rPr>
              <w:t>17,252</w:t>
            </w:r>
          </w:p>
        </w:tc>
        <w:tc>
          <w:tcPr>
            <w:tcW w:w="1414" w:type="dxa"/>
            <w:tcBorders>
              <w:top w:val="nil"/>
              <w:left w:val="single" w:sz="4" w:space="0" w:color="auto"/>
              <w:bottom w:val="single" w:sz="4" w:space="0" w:color="auto"/>
              <w:right w:val="single" w:sz="4" w:space="0" w:color="auto"/>
            </w:tcBorders>
            <w:shd w:val="clear" w:color="000000" w:fill="FFFFFF"/>
            <w:vAlign w:val="bottom"/>
            <w:hideMark/>
          </w:tcPr>
          <w:p w14:paraId="73EC4A63" w14:textId="77777777" w:rsidR="00016C24" w:rsidRPr="0024033B" w:rsidRDefault="00016C24" w:rsidP="00500FD5">
            <w:pPr>
              <w:jc w:val="right"/>
              <w:rPr>
                <w:rFonts w:ascii="Arial" w:hAnsi="Arial" w:cs="Arial"/>
                <w:lang w:eastAsia="en-GB"/>
              </w:rPr>
            </w:pPr>
            <w:r w:rsidRPr="0024033B">
              <w:rPr>
                <w:rFonts w:ascii="Arial" w:hAnsi="Arial" w:cs="Arial"/>
                <w:lang w:eastAsia="en-GB"/>
              </w:rPr>
              <w:t>11,200</w:t>
            </w:r>
          </w:p>
        </w:tc>
        <w:tc>
          <w:tcPr>
            <w:tcW w:w="0" w:type="auto"/>
            <w:tcBorders>
              <w:top w:val="nil"/>
              <w:left w:val="nil"/>
              <w:bottom w:val="single" w:sz="4" w:space="0" w:color="auto"/>
              <w:right w:val="single" w:sz="4" w:space="0" w:color="auto"/>
            </w:tcBorders>
            <w:shd w:val="clear" w:color="000000" w:fill="FFFFFF"/>
            <w:vAlign w:val="bottom"/>
            <w:hideMark/>
          </w:tcPr>
          <w:p w14:paraId="4AEEB22C" w14:textId="77777777" w:rsidR="00016C24" w:rsidRPr="0024033B" w:rsidRDefault="00016C24" w:rsidP="00500FD5">
            <w:pPr>
              <w:jc w:val="right"/>
              <w:rPr>
                <w:rFonts w:ascii="Arial" w:hAnsi="Arial" w:cs="Arial"/>
                <w:lang w:eastAsia="en-GB"/>
              </w:rPr>
            </w:pPr>
            <w:r w:rsidRPr="0024033B">
              <w:rPr>
                <w:rFonts w:ascii="Arial" w:hAnsi="Arial" w:cs="Arial"/>
                <w:lang w:eastAsia="en-GB"/>
              </w:rPr>
              <w:t>12,313</w:t>
            </w:r>
          </w:p>
        </w:tc>
        <w:tc>
          <w:tcPr>
            <w:tcW w:w="0" w:type="auto"/>
            <w:tcBorders>
              <w:top w:val="nil"/>
              <w:left w:val="nil"/>
              <w:bottom w:val="single" w:sz="4" w:space="0" w:color="auto"/>
              <w:right w:val="single" w:sz="4" w:space="0" w:color="auto"/>
            </w:tcBorders>
            <w:shd w:val="clear" w:color="000000" w:fill="FFFFFF"/>
            <w:vAlign w:val="bottom"/>
            <w:hideMark/>
          </w:tcPr>
          <w:p w14:paraId="423625B7" w14:textId="77777777" w:rsidR="00016C24" w:rsidRPr="0024033B" w:rsidRDefault="00016C24" w:rsidP="00500FD5">
            <w:pPr>
              <w:jc w:val="right"/>
              <w:rPr>
                <w:rFonts w:ascii="Arial" w:hAnsi="Arial" w:cs="Arial"/>
                <w:lang w:eastAsia="en-GB"/>
              </w:rPr>
            </w:pPr>
            <w:r w:rsidRPr="0024033B">
              <w:rPr>
                <w:rFonts w:ascii="Arial" w:hAnsi="Arial" w:cs="Arial"/>
                <w:lang w:eastAsia="en-GB"/>
              </w:rPr>
              <w:t>1,113</w:t>
            </w:r>
          </w:p>
        </w:tc>
      </w:tr>
      <w:tr w:rsidR="00016C24" w:rsidRPr="0024033B" w14:paraId="21FCB900" w14:textId="77777777" w:rsidTr="00C67457">
        <w:trPr>
          <w:trHeight w:val="300"/>
        </w:trPr>
        <w:tc>
          <w:tcPr>
            <w:tcW w:w="4106" w:type="dxa"/>
            <w:tcBorders>
              <w:top w:val="single" w:sz="4" w:space="0" w:color="auto"/>
              <w:left w:val="single" w:sz="4" w:space="0" w:color="auto"/>
              <w:bottom w:val="nil"/>
              <w:right w:val="nil"/>
            </w:tcBorders>
            <w:shd w:val="clear" w:color="000000" w:fill="FFFFFF"/>
            <w:vAlign w:val="bottom"/>
            <w:hideMark/>
          </w:tcPr>
          <w:p w14:paraId="0296C61D" w14:textId="77777777" w:rsidR="00016C24" w:rsidRPr="0024033B" w:rsidRDefault="00016C24" w:rsidP="00500FD5">
            <w:pPr>
              <w:rPr>
                <w:rFonts w:ascii="Arial" w:hAnsi="Arial" w:cs="Arial"/>
                <w:color w:val="000000"/>
                <w:lang w:eastAsia="en-GB"/>
              </w:rPr>
            </w:pPr>
            <w:r w:rsidRPr="0024033B">
              <w:rPr>
                <w:rFonts w:ascii="Arial" w:hAnsi="Arial" w:cs="Arial"/>
                <w:color w:val="000000"/>
                <w:lang w:eastAsia="en-GB"/>
              </w:rPr>
              <w:lastRenderedPageBreak/>
              <w:t>GM One Network</w:t>
            </w:r>
          </w:p>
        </w:tc>
        <w:tc>
          <w:tcPr>
            <w:tcW w:w="1134" w:type="dxa"/>
            <w:tcBorders>
              <w:top w:val="single" w:sz="4" w:space="0" w:color="auto"/>
              <w:left w:val="single" w:sz="4" w:space="0" w:color="auto"/>
              <w:bottom w:val="nil"/>
              <w:right w:val="nil"/>
            </w:tcBorders>
            <w:shd w:val="clear" w:color="000000" w:fill="FFFFFF"/>
            <w:vAlign w:val="bottom"/>
            <w:hideMark/>
          </w:tcPr>
          <w:p w14:paraId="6D3AF97C" w14:textId="77777777" w:rsidR="00016C24" w:rsidRPr="0024033B" w:rsidRDefault="00016C24" w:rsidP="00500FD5">
            <w:pPr>
              <w:jc w:val="right"/>
              <w:rPr>
                <w:rFonts w:ascii="Arial" w:hAnsi="Arial" w:cs="Arial"/>
                <w:color w:val="000000"/>
                <w:lang w:eastAsia="en-GB"/>
              </w:rPr>
            </w:pPr>
            <w:r>
              <w:rPr>
                <w:rFonts w:ascii="Arial" w:hAnsi="Arial" w:cs="Arial"/>
                <w:color w:val="000000"/>
                <w:lang w:eastAsia="en-GB"/>
              </w:rPr>
              <w:t>0</w:t>
            </w:r>
            <w:r w:rsidRPr="0024033B">
              <w:rPr>
                <w:rFonts w:ascii="Arial" w:hAnsi="Arial" w:cs="Arial"/>
                <w:color w:val="000000"/>
                <w:lang w:eastAsia="en-GB"/>
              </w:rPr>
              <w:t> </w:t>
            </w:r>
          </w:p>
        </w:tc>
        <w:tc>
          <w:tcPr>
            <w:tcW w:w="1414" w:type="dxa"/>
            <w:tcBorders>
              <w:top w:val="single" w:sz="4" w:space="0" w:color="auto"/>
              <w:left w:val="single" w:sz="4" w:space="0" w:color="auto"/>
              <w:bottom w:val="nil"/>
              <w:right w:val="single" w:sz="4" w:space="0" w:color="auto"/>
            </w:tcBorders>
            <w:shd w:val="clear" w:color="000000" w:fill="FFFFFF"/>
            <w:vAlign w:val="bottom"/>
            <w:hideMark/>
          </w:tcPr>
          <w:p w14:paraId="0A81F7AC" w14:textId="77777777" w:rsidR="00016C24" w:rsidRPr="0024033B" w:rsidRDefault="00016C24" w:rsidP="00500FD5">
            <w:pPr>
              <w:jc w:val="right"/>
              <w:rPr>
                <w:rFonts w:ascii="Arial" w:hAnsi="Arial" w:cs="Arial"/>
                <w:lang w:eastAsia="en-GB"/>
              </w:rPr>
            </w:pPr>
            <w:r>
              <w:rPr>
                <w:rFonts w:ascii="Arial" w:hAnsi="Arial" w:cs="Arial"/>
                <w:lang w:eastAsia="en-GB"/>
              </w:rPr>
              <w:t>0</w:t>
            </w:r>
          </w:p>
        </w:tc>
        <w:tc>
          <w:tcPr>
            <w:tcW w:w="0" w:type="auto"/>
            <w:tcBorders>
              <w:top w:val="single" w:sz="4" w:space="0" w:color="auto"/>
              <w:left w:val="nil"/>
              <w:bottom w:val="nil"/>
              <w:right w:val="single" w:sz="4" w:space="0" w:color="auto"/>
            </w:tcBorders>
            <w:shd w:val="clear" w:color="000000" w:fill="FFFFFF"/>
            <w:vAlign w:val="bottom"/>
            <w:hideMark/>
          </w:tcPr>
          <w:p w14:paraId="37074200" w14:textId="77777777" w:rsidR="00016C24" w:rsidRPr="0024033B" w:rsidRDefault="00016C24" w:rsidP="00500FD5">
            <w:pPr>
              <w:jc w:val="right"/>
              <w:rPr>
                <w:rFonts w:ascii="Arial" w:hAnsi="Arial" w:cs="Arial"/>
                <w:lang w:eastAsia="en-GB"/>
              </w:rPr>
            </w:pPr>
            <w:r w:rsidRPr="0024033B">
              <w:rPr>
                <w:rFonts w:ascii="Arial" w:hAnsi="Arial" w:cs="Arial"/>
                <w:lang w:eastAsia="en-GB"/>
              </w:rPr>
              <w:t>499</w:t>
            </w:r>
          </w:p>
        </w:tc>
        <w:tc>
          <w:tcPr>
            <w:tcW w:w="0" w:type="auto"/>
            <w:tcBorders>
              <w:top w:val="single" w:sz="4" w:space="0" w:color="auto"/>
              <w:left w:val="nil"/>
              <w:bottom w:val="nil"/>
              <w:right w:val="single" w:sz="4" w:space="0" w:color="auto"/>
            </w:tcBorders>
            <w:shd w:val="clear" w:color="000000" w:fill="FFFFFF"/>
            <w:vAlign w:val="bottom"/>
            <w:hideMark/>
          </w:tcPr>
          <w:p w14:paraId="2C7BBC8A" w14:textId="77777777" w:rsidR="00016C24" w:rsidRPr="0024033B" w:rsidRDefault="00016C24" w:rsidP="00500FD5">
            <w:pPr>
              <w:jc w:val="right"/>
              <w:rPr>
                <w:rFonts w:ascii="Arial" w:hAnsi="Arial" w:cs="Arial"/>
                <w:lang w:eastAsia="en-GB"/>
              </w:rPr>
            </w:pPr>
            <w:r w:rsidRPr="0024033B">
              <w:rPr>
                <w:rFonts w:ascii="Arial" w:hAnsi="Arial" w:cs="Arial"/>
                <w:lang w:eastAsia="en-GB"/>
              </w:rPr>
              <w:t>499</w:t>
            </w:r>
          </w:p>
        </w:tc>
      </w:tr>
      <w:tr w:rsidR="00016C24" w:rsidRPr="0024033B" w14:paraId="64392429" w14:textId="77777777" w:rsidTr="00500FD5">
        <w:trPr>
          <w:trHeight w:val="300"/>
        </w:trPr>
        <w:tc>
          <w:tcPr>
            <w:tcW w:w="4106" w:type="dxa"/>
            <w:tcBorders>
              <w:top w:val="nil"/>
              <w:left w:val="single" w:sz="4" w:space="0" w:color="auto"/>
              <w:right w:val="nil"/>
            </w:tcBorders>
            <w:shd w:val="clear" w:color="000000" w:fill="FFFFFF"/>
            <w:vAlign w:val="bottom"/>
            <w:hideMark/>
          </w:tcPr>
          <w:p w14:paraId="7751F7AF" w14:textId="77777777" w:rsidR="00016C24" w:rsidRPr="0024033B" w:rsidRDefault="00016C24" w:rsidP="00500FD5">
            <w:pPr>
              <w:rPr>
                <w:rFonts w:ascii="Arial" w:hAnsi="Arial" w:cs="Arial"/>
                <w:color w:val="000000"/>
                <w:lang w:eastAsia="en-GB"/>
              </w:rPr>
            </w:pPr>
            <w:r w:rsidRPr="0024033B">
              <w:rPr>
                <w:rFonts w:ascii="Arial" w:hAnsi="Arial" w:cs="Arial"/>
                <w:color w:val="000000"/>
                <w:lang w:eastAsia="en-GB"/>
              </w:rPr>
              <w:t>Highways Capital Maintenance</w:t>
            </w:r>
          </w:p>
        </w:tc>
        <w:tc>
          <w:tcPr>
            <w:tcW w:w="1134" w:type="dxa"/>
            <w:tcBorders>
              <w:top w:val="nil"/>
              <w:left w:val="single" w:sz="4" w:space="0" w:color="auto"/>
              <w:right w:val="nil"/>
            </w:tcBorders>
            <w:shd w:val="clear" w:color="000000" w:fill="FFFFFF"/>
            <w:vAlign w:val="bottom"/>
            <w:hideMark/>
          </w:tcPr>
          <w:p w14:paraId="1E97E7BE" w14:textId="77777777" w:rsidR="00016C24" w:rsidRPr="0024033B" w:rsidRDefault="00016C24" w:rsidP="00500FD5">
            <w:pPr>
              <w:jc w:val="right"/>
              <w:rPr>
                <w:rFonts w:ascii="Arial" w:hAnsi="Arial" w:cs="Arial"/>
                <w:color w:val="000000"/>
                <w:lang w:eastAsia="en-GB"/>
              </w:rPr>
            </w:pPr>
            <w:r w:rsidRPr="0024033B">
              <w:rPr>
                <w:rFonts w:ascii="Arial" w:hAnsi="Arial" w:cs="Arial"/>
                <w:color w:val="000000"/>
                <w:lang w:eastAsia="en-GB"/>
              </w:rPr>
              <w:t>27,202</w:t>
            </w:r>
          </w:p>
        </w:tc>
        <w:tc>
          <w:tcPr>
            <w:tcW w:w="1414" w:type="dxa"/>
            <w:tcBorders>
              <w:top w:val="nil"/>
              <w:left w:val="single" w:sz="4" w:space="0" w:color="auto"/>
              <w:right w:val="single" w:sz="4" w:space="0" w:color="auto"/>
            </w:tcBorders>
            <w:shd w:val="clear" w:color="000000" w:fill="FFFFFF"/>
            <w:vAlign w:val="bottom"/>
            <w:hideMark/>
          </w:tcPr>
          <w:p w14:paraId="44A21E8B" w14:textId="77777777" w:rsidR="00016C24" w:rsidRPr="0024033B" w:rsidRDefault="00016C24" w:rsidP="00500FD5">
            <w:pPr>
              <w:jc w:val="right"/>
              <w:rPr>
                <w:rFonts w:ascii="Arial" w:hAnsi="Arial" w:cs="Arial"/>
                <w:lang w:eastAsia="en-GB"/>
              </w:rPr>
            </w:pPr>
            <w:r w:rsidRPr="0024033B">
              <w:rPr>
                <w:rFonts w:ascii="Arial" w:hAnsi="Arial" w:cs="Arial"/>
                <w:lang w:eastAsia="en-GB"/>
              </w:rPr>
              <w:t>34,940</w:t>
            </w:r>
          </w:p>
        </w:tc>
        <w:tc>
          <w:tcPr>
            <w:tcW w:w="0" w:type="auto"/>
            <w:tcBorders>
              <w:top w:val="nil"/>
              <w:left w:val="nil"/>
              <w:right w:val="single" w:sz="4" w:space="0" w:color="auto"/>
            </w:tcBorders>
            <w:shd w:val="clear" w:color="000000" w:fill="FFFFFF"/>
            <w:vAlign w:val="bottom"/>
            <w:hideMark/>
          </w:tcPr>
          <w:p w14:paraId="1A7A8F05" w14:textId="77777777" w:rsidR="00016C24" w:rsidRPr="0024033B" w:rsidRDefault="00016C24" w:rsidP="00500FD5">
            <w:pPr>
              <w:jc w:val="right"/>
              <w:rPr>
                <w:rFonts w:ascii="Arial" w:hAnsi="Arial" w:cs="Arial"/>
                <w:lang w:eastAsia="en-GB"/>
              </w:rPr>
            </w:pPr>
            <w:r w:rsidRPr="0024033B">
              <w:rPr>
                <w:rFonts w:ascii="Arial" w:hAnsi="Arial" w:cs="Arial"/>
                <w:lang w:eastAsia="en-GB"/>
              </w:rPr>
              <w:t>47,164</w:t>
            </w:r>
          </w:p>
        </w:tc>
        <w:tc>
          <w:tcPr>
            <w:tcW w:w="0" w:type="auto"/>
            <w:tcBorders>
              <w:top w:val="nil"/>
              <w:left w:val="nil"/>
              <w:right w:val="single" w:sz="4" w:space="0" w:color="auto"/>
            </w:tcBorders>
            <w:shd w:val="clear" w:color="000000" w:fill="FFFFFF"/>
            <w:vAlign w:val="bottom"/>
            <w:hideMark/>
          </w:tcPr>
          <w:p w14:paraId="6ACD6218" w14:textId="77777777" w:rsidR="00016C24" w:rsidRPr="0024033B" w:rsidRDefault="00016C24" w:rsidP="00500FD5">
            <w:pPr>
              <w:jc w:val="right"/>
              <w:rPr>
                <w:rFonts w:ascii="Arial" w:hAnsi="Arial" w:cs="Arial"/>
                <w:lang w:eastAsia="en-GB"/>
              </w:rPr>
            </w:pPr>
            <w:r w:rsidRPr="0024033B">
              <w:rPr>
                <w:rFonts w:ascii="Arial" w:hAnsi="Arial" w:cs="Arial"/>
                <w:lang w:eastAsia="en-GB"/>
              </w:rPr>
              <w:t>12,224</w:t>
            </w:r>
          </w:p>
        </w:tc>
      </w:tr>
      <w:tr w:rsidR="00016C24" w:rsidRPr="0024033B" w14:paraId="421872F9" w14:textId="77777777" w:rsidTr="00500FD5">
        <w:trPr>
          <w:trHeight w:val="330"/>
        </w:trPr>
        <w:tc>
          <w:tcPr>
            <w:tcW w:w="4106" w:type="dxa"/>
            <w:tcBorders>
              <w:left w:val="single" w:sz="4" w:space="0" w:color="auto"/>
              <w:bottom w:val="single" w:sz="2" w:space="0" w:color="auto"/>
              <w:right w:val="nil"/>
            </w:tcBorders>
            <w:shd w:val="clear" w:color="000000" w:fill="FFFFFF"/>
            <w:vAlign w:val="bottom"/>
          </w:tcPr>
          <w:p w14:paraId="7F2D1308" w14:textId="77777777" w:rsidR="00016C24" w:rsidRPr="0024033B" w:rsidRDefault="00016C24" w:rsidP="00500FD5">
            <w:pPr>
              <w:rPr>
                <w:rFonts w:ascii="Arial" w:hAnsi="Arial" w:cs="Arial"/>
                <w:b/>
                <w:bCs/>
                <w:lang w:eastAsia="en-GB"/>
              </w:rPr>
            </w:pPr>
          </w:p>
        </w:tc>
        <w:tc>
          <w:tcPr>
            <w:tcW w:w="1134" w:type="dxa"/>
            <w:tcBorders>
              <w:left w:val="single" w:sz="4" w:space="0" w:color="auto"/>
              <w:bottom w:val="single" w:sz="2" w:space="0" w:color="auto"/>
              <w:right w:val="single" w:sz="4" w:space="0" w:color="auto"/>
            </w:tcBorders>
            <w:shd w:val="clear" w:color="000000" w:fill="FFFFFF"/>
            <w:vAlign w:val="bottom"/>
          </w:tcPr>
          <w:p w14:paraId="7F400773" w14:textId="77777777" w:rsidR="00016C24" w:rsidRPr="0024033B" w:rsidRDefault="00016C24" w:rsidP="00500FD5">
            <w:pPr>
              <w:jc w:val="right"/>
              <w:rPr>
                <w:rFonts w:ascii="Arial" w:hAnsi="Arial" w:cs="Arial"/>
                <w:b/>
                <w:bCs/>
                <w:lang w:eastAsia="en-GB"/>
              </w:rPr>
            </w:pPr>
          </w:p>
        </w:tc>
        <w:tc>
          <w:tcPr>
            <w:tcW w:w="1414" w:type="dxa"/>
            <w:tcBorders>
              <w:left w:val="nil"/>
              <w:bottom w:val="single" w:sz="2" w:space="0" w:color="auto"/>
              <w:right w:val="single" w:sz="4" w:space="0" w:color="auto"/>
            </w:tcBorders>
            <w:shd w:val="clear" w:color="000000" w:fill="FFFFFF"/>
            <w:vAlign w:val="bottom"/>
          </w:tcPr>
          <w:p w14:paraId="566AB632" w14:textId="77777777" w:rsidR="00016C24" w:rsidRPr="0024033B" w:rsidRDefault="00016C24" w:rsidP="00500FD5">
            <w:pPr>
              <w:jc w:val="right"/>
              <w:rPr>
                <w:rFonts w:ascii="Arial" w:hAnsi="Arial" w:cs="Arial"/>
                <w:b/>
                <w:bCs/>
                <w:lang w:eastAsia="en-GB"/>
              </w:rPr>
            </w:pPr>
          </w:p>
        </w:tc>
        <w:tc>
          <w:tcPr>
            <w:tcW w:w="0" w:type="auto"/>
            <w:tcBorders>
              <w:left w:val="nil"/>
              <w:bottom w:val="single" w:sz="2" w:space="0" w:color="auto"/>
              <w:right w:val="single" w:sz="4" w:space="0" w:color="auto"/>
            </w:tcBorders>
            <w:shd w:val="clear" w:color="000000" w:fill="FFFFFF"/>
            <w:vAlign w:val="bottom"/>
          </w:tcPr>
          <w:p w14:paraId="56DC79E6" w14:textId="77777777" w:rsidR="00016C24" w:rsidRPr="0024033B" w:rsidRDefault="00016C24" w:rsidP="00500FD5">
            <w:pPr>
              <w:jc w:val="right"/>
              <w:rPr>
                <w:rFonts w:ascii="Arial" w:hAnsi="Arial" w:cs="Arial"/>
                <w:b/>
                <w:bCs/>
                <w:lang w:eastAsia="en-GB"/>
              </w:rPr>
            </w:pPr>
          </w:p>
        </w:tc>
        <w:tc>
          <w:tcPr>
            <w:tcW w:w="0" w:type="auto"/>
            <w:tcBorders>
              <w:left w:val="nil"/>
              <w:bottom w:val="single" w:sz="2" w:space="0" w:color="auto"/>
              <w:right w:val="single" w:sz="4" w:space="0" w:color="auto"/>
            </w:tcBorders>
            <w:shd w:val="clear" w:color="000000" w:fill="FFFFFF"/>
            <w:vAlign w:val="bottom"/>
          </w:tcPr>
          <w:p w14:paraId="633D4F4F" w14:textId="77777777" w:rsidR="00016C24" w:rsidRPr="0024033B" w:rsidRDefault="00016C24" w:rsidP="00500FD5">
            <w:pPr>
              <w:jc w:val="right"/>
              <w:rPr>
                <w:rFonts w:ascii="Arial" w:hAnsi="Arial" w:cs="Arial"/>
                <w:b/>
                <w:bCs/>
                <w:lang w:eastAsia="en-GB"/>
              </w:rPr>
            </w:pPr>
          </w:p>
        </w:tc>
      </w:tr>
      <w:tr w:rsidR="00016C24" w:rsidRPr="0024033B" w14:paraId="07065453" w14:textId="77777777" w:rsidTr="00500FD5">
        <w:trPr>
          <w:trHeight w:val="330"/>
        </w:trPr>
        <w:tc>
          <w:tcPr>
            <w:tcW w:w="4106" w:type="dxa"/>
            <w:tcBorders>
              <w:top w:val="single" w:sz="2" w:space="0" w:color="auto"/>
              <w:left w:val="single" w:sz="2" w:space="0" w:color="auto"/>
              <w:bottom w:val="single" w:sz="2" w:space="0" w:color="auto"/>
              <w:right w:val="nil"/>
            </w:tcBorders>
            <w:shd w:val="clear" w:color="000000" w:fill="FFFFFF"/>
            <w:vAlign w:val="bottom"/>
            <w:hideMark/>
          </w:tcPr>
          <w:p w14:paraId="3EFF9C2A" w14:textId="77777777" w:rsidR="00016C24" w:rsidRPr="0024033B" w:rsidRDefault="00016C24" w:rsidP="00500FD5">
            <w:pPr>
              <w:rPr>
                <w:rFonts w:ascii="Arial" w:hAnsi="Arial" w:cs="Arial"/>
                <w:b/>
                <w:bCs/>
                <w:lang w:eastAsia="en-GB"/>
              </w:rPr>
            </w:pPr>
            <w:r w:rsidRPr="0024033B">
              <w:rPr>
                <w:rFonts w:ascii="Arial" w:hAnsi="Arial" w:cs="Arial"/>
                <w:b/>
                <w:bCs/>
                <w:lang w:eastAsia="en-GB"/>
              </w:rPr>
              <w:t>Total Capital - Transport</w:t>
            </w:r>
          </w:p>
        </w:tc>
        <w:tc>
          <w:tcPr>
            <w:tcW w:w="1134" w:type="dxa"/>
            <w:tcBorders>
              <w:top w:val="single" w:sz="2" w:space="0" w:color="auto"/>
              <w:left w:val="single" w:sz="4" w:space="0" w:color="auto"/>
              <w:bottom w:val="single" w:sz="2" w:space="0" w:color="auto"/>
              <w:right w:val="single" w:sz="4" w:space="0" w:color="auto"/>
            </w:tcBorders>
            <w:shd w:val="clear" w:color="000000" w:fill="FFFFFF"/>
            <w:vAlign w:val="bottom"/>
            <w:hideMark/>
          </w:tcPr>
          <w:p w14:paraId="6F16CBB3"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213,950</w:t>
            </w:r>
          </w:p>
        </w:tc>
        <w:tc>
          <w:tcPr>
            <w:tcW w:w="1414" w:type="dxa"/>
            <w:tcBorders>
              <w:top w:val="single" w:sz="2" w:space="0" w:color="auto"/>
              <w:left w:val="nil"/>
              <w:bottom w:val="single" w:sz="2" w:space="0" w:color="auto"/>
              <w:right w:val="single" w:sz="4" w:space="0" w:color="auto"/>
            </w:tcBorders>
            <w:shd w:val="clear" w:color="000000" w:fill="FFFFFF"/>
            <w:vAlign w:val="bottom"/>
            <w:hideMark/>
          </w:tcPr>
          <w:p w14:paraId="58918710"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207,817</w:t>
            </w:r>
          </w:p>
        </w:tc>
        <w:tc>
          <w:tcPr>
            <w:tcW w:w="0" w:type="auto"/>
            <w:tcBorders>
              <w:top w:val="single" w:sz="2" w:space="0" w:color="auto"/>
              <w:left w:val="nil"/>
              <w:bottom w:val="single" w:sz="2" w:space="0" w:color="auto"/>
              <w:right w:val="single" w:sz="4" w:space="0" w:color="auto"/>
            </w:tcBorders>
            <w:shd w:val="clear" w:color="000000" w:fill="FFFFFF"/>
            <w:vAlign w:val="bottom"/>
            <w:hideMark/>
          </w:tcPr>
          <w:p w14:paraId="61F76686"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207,303</w:t>
            </w:r>
          </w:p>
        </w:tc>
        <w:tc>
          <w:tcPr>
            <w:tcW w:w="0" w:type="auto"/>
            <w:tcBorders>
              <w:top w:val="single" w:sz="2" w:space="0" w:color="auto"/>
              <w:left w:val="nil"/>
              <w:bottom w:val="single" w:sz="2" w:space="0" w:color="auto"/>
              <w:right w:val="single" w:sz="2" w:space="0" w:color="auto"/>
            </w:tcBorders>
            <w:shd w:val="clear" w:color="000000" w:fill="FFFFFF"/>
            <w:vAlign w:val="bottom"/>
            <w:hideMark/>
          </w:tcPr>
          <w:p w14:paraId="6B250A3A"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(514)</w:t>
            </w:r>
          </w:p>
        </w:tc>
      </w:tr>
      <w:tr w:rsidR="00016C24" w:rsidRPr="0024033B" w14:paraId="0E068EE5" w14:textId="77777777" w:rsidTr="00500FD5">
        <w:trPr>
          <w:trHeight w:val="315"/>
        </w:trPr>
        <w:tc>
          <w:tcPr>
            <w:tcW w:w="4106" w:type="dxa"/>
            <w:tcBorders>
              <w:top w:val="single" w:sz="2" w:space="0" w:color="auto"/>
              <w:left w:val="single" w:sz="4" w:space="0" w:color="auto"/>
              <w:bottom w:val="nil"/>
              <w:right w:val="nil"/>
            </w:tcBorders>
            <w:shd w:val="clear" w:color="000000" w:fill="FFFFFF"/>
            <w:vAlign w:val="bottom"/>
            <w:hideMark/>
          </w:tcPr>
          <w:p w14:paraId="18DDB45E" w14:textId="77777777" w:rsidR="00016C24" w:rsidRPr="0024033B" w:rsidRDefault="00016C24" w:rsidP="00500FD5">
            <w:pPr>
              <w:rPr>
                <w:rFonts w:ascii="Arial" w:hAnsi="Arial" w:cs="Arial"/>
                <w:b/>
                <w:bCs/>
                <w:lang w:eastAsia="en-GB"/>
              </w:rPr>
            </w:pPr>
            <w:r w:rsidRPr="0024033B">
              <w:rPr>
                <w:rFonts w:ascii="Arial" w:hAnsi="Arial" w:cs="Arial"/>
                <w:b/>
                <w:bCs/>
                <w:lang w:eastAsia="en-GB"/>
              </w:rPr>
              <w:t> </w:t>
            </w:r>
          </w:p>
        </w:tc>
        <w:tc>
          <w:tcPr>
            <w:tcW w:w="1134" w:type="dxa"/>
            <w:tcBorders>
              <w:top w:val="single" w:sz="2" w:space="0" w:color="auto"/>
              <w:left w:val="single" w:sz="4" w:space="0" w:color="auto"/>
              <w:bottom w:val="nil"/>
              <w:right w:val="nil"/>
            </w:tcBorders>
            <w:shd w:val="clear" w:color="000000" w:fill="FFFFFF"/>
            <w:vAlign w:val="bottom"/>
            <w:hideMark/>
          </w:tcPr>
          <w:p w14:paraId="0C5D472E"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 </w:t>
            </w:r>
          </w:p>
        </w:tc>
        <w:tc>
          <w:tcPr>
            <w:tcW w:w="1414" w:type="dxa"/>
            <w:tcBorders>
              <w:top w:val="single" w:sz="2" w:space="0" w:color="auto"/>
              <w:left w:val="single" w:sz="4" w:space="0" w:color="auto"/>
              <w:bottom w:val="nil"/>
              <w:right w:val="single" w:sz="4" w:space="0" w:color="auto"/>
            </w:tcBorders>
            <w:shd w:val="clear" w:color="000000" w:fill="FFFFFF"/>
            <w:vAlign w:val="bottom"/>
            <w:hideMark/>
          </w:tcPr>
          <w:p w14:paraId="718058B2"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 </w:t>
            </w:r>
          </w:p>
        </w:tc>
        <w:tc>
          <w:tcPr>
            <w:tcW w:w="0" w:type="auto"/>
            <w:tcBorders>
              <w:top w:val="single" w:sz="2" w:space="0" w:color="auto"/>
              <w:left w:val="nil"/>
              <w:bottom w:val="nil"/>
              <w:right w:val="single" w:sz="4" w:space="0" w:color="auto"/>
            </w:tcBorders>
            <w:shd w:val="clear" w:color="000000" w:fill="FFFFFF"/>
            <w:vAlign w:val="bottom"/>
            <w:hideMark/>
          </w:tcPr>
          <w:p w14:paraId="63D78C37"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 </w:t>
            </w:r>
          </w:p>
        </w:tc>
        <w:tc>
          <w:tcPr>
            <w:tcW w:w="0" w:type="auto"/>
            <w:tcBorders>
              <w:top w:val="single" w:sz="2" w:space="0" w:color="auto"/>
              <w:left w:val="nil"/>
              <w:bottom w:val="nil"/>
              <w:right w:val="single" w:sz="4" w:space="0" w:color="auto"/>
            </w:tcBorders>
            <w:shd w:val="clear" w:color="000000" w:fill="FFFFFF"/>
            <w:vAlign w:val="bottom"/>
            <w:hideMark/>
          </w:tcPr>
          <w:p w14:paraId="5F2AF504"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 </w:t>
            </w:r>
          </w:p>
        </w:tc>
      </w:tr>
      <w:tr w:rsidR="00016C24" w:rsidRPr="0024033B" w14:paraId="25AECA67" w14:textId="77777777" w:rsidTr="00500FD5">
        <w:trPr>
          <w:trHeight w:val="300"/>
        </w:trPr>
        <w:tc>
          <w:tcPr>
            <w:tcW w:w="4106" w:type="dxa"/>
            <w:tcBorders>
              <w:top w:val="nil"/>
              <w:left w:val="single" w:sz="4" w:space="0" w:color="auto"/>
              <w:bottom w:val="nil"/>
              <w:right w:val="nil"/>
            </w:tcBorders>
            <w:shd w:val="clear" w:color="000000" w:fill="FFFFFF"/>
            <w:vAlign w:val="bottom"/>
            <w:hideMark/>
          </w:tcPr>
          <w:p w14:paraId="2CA4A502" w14:textId="77777777" w:rsidR="00016C24" w:rsidRPr="0024033B" w:rsidRDefault="00016C24" w:rsidP="00500FD5">
            <w:pPr>
              <w:rPr>
                <w:rFonts w:ascii="Arial" w:hAnsi="Arial" w:cs="Arial"/>
                <w:lang w:eastAsia="en-GB"/>
              </w:rPr>
            </w:pPr>
            <w:r w:rsidRPr="0024033B">
              <w:rPr>
                <w:rFonts w:ascii="Arial" w:hAnsi="Arial" w:cs="Arial"/>
                <w:lang w:eastAsia="en-GB"/>
              </w:rPr>
              <w:t>Recycled GF / RGF Capital Receipts</w:t>
            </w:r>
          </w:p>
        </w:tc>
        <w:tc>
          <w:tcPr>
            <w:tcW w:w="1134" w:type="dxa"/>
            <w:tcBorders>
              <w:top w:val="nil"/>
              <w:left w:val="single" w:sz="4" w:space="0" w:color="auto"/>
              <w:bottom w:val="nil"/>
              <w:right w:val="nil"/>
            </w:tcBorders>
            <w:shd w:val="clear" w:color="000000" w:fill="FFFFFF"/>
            <w:vAlign w:val="bottom"/>
            <w:hideMark/>
          </w:tcPr>
          <w:p w14:paraId="435B11F2" w14:textId="77777777" w:rsidR="00016C24" w:rsidRPr="0024033B" w:rsidRDefault="00016C24" w:rsidP="00500FD5">
            <w:pPr>
              <w:jc w:val="right"/>
              <w:rPr>
                <w:rFonts w:ascii="Arial" w:hAnsi="Arial" w:cs="Arial"/>
                <w:lang w:eastAsia="en-GB"/>
              </w:rPr>
            </w:pPr>
            <w:r w:rsidRPr="0024033B">
              <w:rPr>
                <w:rFonts w:ascii="Arial" w:hAnsi="Arial" w:cs="Arial"/>
                <w:lang w:eastAsia="en-GB"/>
              </w:rPr>
              <w:t>5,000</w:t>
            </w:r>
          </w:p>
        </w:tc>
        <w:tc>
          <w:tcPr>
            <w:tcW w:w="1414" w:type="dxa"/>
            <w:tcBorders>
              <w:top w:val="nil"/>
              <w:left w:val="single" w:sz="4" w:space="0" w:color="auto"/>
              <w:bottom w:val="nil"/>
              <w:right w:val="single" w:sz="4" w:space="0" w:color="auto"/>
            </w:tcBorders>
            <w:shd w:val="clear" w:color="000000" w:fill="FFFFFF"/>
            <w:vAlign w:val="bottom"/>
            <w:hideMark/>
          </w:tcPr>
          <w:p w14:paraId="17CC510D" w14:textId="77777777" w:rsidR="00016C24" w:rsidRPr="0024033B" w:rsidRDefault="00016C24" w:rsidP="00500FD5">
            <w:pPr>
              <w:jc w:val="right"/>
              <w:rPr>
                <w:rFonts w:ascii="Arial" w:hAnsi="Arial" w:cs="Arial"/>
                <w:lang w:eastAsia="en-GB"/>
              </w:rPr>
            </w:pPr>
            <w:r w:rsidRPr="0024033B">
              <w:rPr>
                <w:rFonts w:ascii="Arial" w:hAnsi="Arial" w:cs="Arial"/>
                <w:lang w:eastAsia="en-GB"/>
              </w:rPr>
              <w:t>8,295</w:t>
            </w:r>
          </w:p>
        </w:tc>
        <w:tc>
          <w:tcPr>
            <w:tcW w:w="0" w:type="auto"/>
            <w:tcBorders>
              <w:top w:val="nil"/>
              <w:left w:val="nil"/>
              <w:bottom w:val="nil"/>
              <w:right w:val="single" w:sz="4" w:space="0" w:color="auto"/>
            </w:tcBorders>
            <w:shd w:val="clear" w:color="000000" w:fill="FFFFFF"/>
            <w:vAlign w:val="bottom"/>
            <w:hideMark/>
          </w:tcPr>
          <w:p w14:paraId="144E14ED" w14:textId="77777777" w:rsidR="00016C24" w:rsidRPr="0024033B" w:rsidRDefault="00016C24" w:rsidP="00500FD5">
            <w:pPr>
              <w:jc w:val="right"/>
              <w:rPr>
                <w:rFonts w:ascii="Arial" w:hAnsi="Arial" w:cs="Arial"/>
                <w:lang w:eastAsia="en-GB"/>
              </w:rPr>
            </w:pPr>
            <w:r w:rsidRPr="0024033B">
              <w:rPr>
                <w:rFonts w:ascii="Arial" w:hAnsi="Arial" w:cs="Arial"/>
                <w:lang w:eastAsia="en-GB"/>
              </w:rPr>
              <w:t>8,147</w:t>
            </w:r>
          </w:p>
        </w:tc>
        <w:tc>
          <w:tcPr>
            <w:tcW w:w="0" w:type="auto"/>
            <w:tcBorders>
              <w:top w:val="nil"/>
              <w:left w:val="nil"/>
              <w:bottom w:val="nil"/>
              <w:right w:val="single" w:sz="4" w:space="0" w:color="auto"/>
            </w:tcBorders>
            <w:shd w:val="clear" w:color="000000" w:fill="FFFFFF"/>
            <w:vAlign w:val="bottom"/>
            <w:hideMark/>
          </w:tcPr>
          <w:p w14:paraId="12857A3A" w14:textId="77777777" w:rsidR="00016C24" w:rsidRPr="0024033B" w:rsidRDefault="00016C24" w:rsidP="00500FD5">
            <w:pPr>
              <w:jc w:val="right"/>
              <w:rPr>
                <w:rFonts w:ascii="Arial" w:hAnsi="Arial" w:cs="Arial"/>
                <w:lang w:eastAsia="en-GB"/>
              </w:rPr>
            </w:pPr>
            <w:r w:rsidRPr="0024033B">
              <w:rPr>
                <w:rFonts w:ascii="Arial" w:hAnsi="Arial" w:cs="Arial"/>
                <w:lang w:eastAsia="en-GB"/>
              </w:rPr>
              <w:t>(148)</w:t>
            </w:r>
          </w:p>
        </w:tc>
      </w:tr>
      <w:tr w:rsidR="00016C24" w:rsidRPr="0024033B" w14:paraId="0BB1FA35" w14:textId="77777777" w:rsidTr="00500FD5">
        <w:trPr>
          <w:trHeight w:val="300"/>
        </w:trPr>
        <w:tc>
          <w:tcPr>
            <w:tcW w:w="4106" w:type="dxa"/>
            <w:tcBorders>
              <w:top w:val="nil"/>
              <w:left w:val="single" w:sz="4" w:space="0" w:color="auto"/>
              <w:bottom w:val="nil"/>
              <w:right w:val="nil"/>
            </w:tcBorders>
            <w:shd w:val="clear" w:color="000000" w:fill="FFFFFF"/>
            <w:vAlign w:val="bottom"/>
            <w:hideMark/>
          </w:tcPr>
          <w:p w14:paraId="3D97A843" w14:textId="77777777" w:rsidR="00016C24" w:rsidRPr="0024033B" w:rsidRDefault="00016C24" w:rsidP="00500FD5">
            <w:pPr>
              <w:rPr>
                <w:rFonts w:ascii="Arial" w:hAnsi="Arial" w:cs="Arial"/>
                <w:lang w:eastAsia="en-GB"/>
              </w:rPr>
            </w:pPr>
            <w:r w:rsidRPr="0024033B">
              <w:rPr>
                <w:rFonts w:ascii="Arial" w:hAnsi="Arial" w:cs="Arial"/>
                <w:lang w:eastAsia="en-GB"/>
              </w:rPr>
              <w:t>Growing Places</w:t>
            </w:r>
          </w:p>
        </w:tc>
        <w:tc>
          <w:tcPr>
            <w:tcW w:w="1134" w:type="dxa"/>
            <w:tcBorders>
              <w:top w:val="nil"/>
              <w:left w:val="single" w:sz="4" w:space="0" w:color="auto"/>
              <w:bottom w:val="nil"/>
              <w:right w:val="nil"/>
            </w:tcBorders>
            <w:shd w:val="clear" w:color="000000" w:fill="FFFFFF"/>
            <w:vAlign w:val="bottom"/>
            <w:hideMark/>
          </w:tcPr>
          <w:p w14:paraId="7E1ED9D1" w14:textId="77777777" w:rsidR="00016C24" w:rsidRPr="0024033B" w:rsidRDefault="00016C24" w:rsidP="00500FD5">
            <w:pPr>
              <w:jc w:val="right"/>
              <w:rPr>
                <w:rFonts w:ascii="Arial" w:hAnsi="Arial" w:cs="Arial"/>
                <w:lang w:eastAsia="en-GB"/>
              </w:rPr>
            </w:pPr>
            <w:r w:rsidRPr="0024033B">
              <w:rPr>
                <w:rFonts w:ascii="Arial" w:hAnsi="Arial" w:cs="Arial"/>
                <w:lang w:eastAsia="en-GB"/>
              </w:rPr>
              <w:t>20,000</w:t>
            </w:r>
          </w:p>
        </w:tc>
        <w:tc>
          <w:tcPr>
            <w:tcW w:w="1414" w:type="dxa"/>
            <w:tcBorders>
              <w:top w:val="nil"/>
              <w:left w:val="single" w:sz="4" w:space="0" w:color="auto"/>
              <w:bottom w:val="nil"/>
              <w:right w:val="single" w:sz="4" w:space="0" w:color="auto"/>
            </w:tcBorders>
            <w:shd w:val="clear" w:color="000000" w:fill="FFFFFF"/>
            <w:vAlign w:val="bottom"/>
            <w:hideMark/>
          </w:tcPr>
          <w:p w14:paraId="00973212" w14:textId="77777777" w:rsidR="00016C24" w:rsidRPr="0024033B" w:rsidRDefault="00016C24" w:rsidP="00500FD5">
            <w:pPr>
              <w:jc w:val="right"/>
              <w:rPr>
                <w:rFonts w:ascii="Arial" w:hAnsi="Arial" w:cs="Arial"/>
                <w:lang w:eastAsia="en-GB"/>
              </w:rPr>
            </w:pPr>
            <w:r w:rsidRPr="0024033B">
              <w:rPr>
                <w:rFonts w:ascii="Arial" w:hAnsi="Arial" w:cs="Arial"/>
                <w:lang w:eastAsia="en-GB"/>
              </w:rPr>
              <w:t>10,250</w:t>
            </w:r>
          </w:p>
        </w:tc>
        <w:tc>
          <w:tcPr>
            <w:tcW w:w="0" w:type="auto"/>
            <w:tcBorders>
              <w:top w:val="nil"/>
              <w:left w:val="nil"/>
              <w:bottom w:val="nil"/>
              <w:right w:val="single" w:sz="4" w:space="0" w:color="auto"/>
            </w:tcBorders>
            <w:shd w:val="clear" w:color="000000" w:fill="FFFFFF"/>
            <w:vAlign w:val="bottom"/>
            <w:hideMark/>
          </w:tcPr>
          <w:p w14:paraId="43689BDB" w14:textId="77777777" w:rsidR="00016C24" w:rsidRPr="0024033B" w:rsidRDefault="00016C24" w:rsidP="00500FD5">
            <w:pPr>
              <w:jc w:val="right"/>
              <w:rPr>
                <w:rFonts w:ascii="Arial" w:hAnsi="Arial" w:cs="Arial"/>
                <w:lang w:eastAsia="en-GB"/>
              </w:rPr>
            </w:pPr>
            <w:r w:rsidRPr="0024033B">
              <w:rPr>
                <w:rFonts w:ascii="Arial" w:hAnsi="Arial" w:cs="Arial"/>
                <w:lang w:eastAsia="en-GB"/>
              </w:rPr>
              <w:t>4,795</w:t>
            </w:r>
          </w:p>
        </w:tc>
        <w:tc>
          <w:tcPr>
            <w:tcW w:w="0" w:type="auto"/>
            <w:tcBorders>
              <w:top w:val="nil"/>
              <w:left w:val="nil"/>
              <w:bottom w:val="nil"/>
              <w:right w:val="single" w:sz="4" w:space="0" w:color="auto"/>
            </w:tcBorders>
            <w:shd w:val="clear" w:color="000000" w:fill="FFFFFF"/>
            <w:vAlign w:val="bottom"/>
            <w:hideMark/>
          </w:tcPr>
          <w:p w14:paraId="1F2FE6B2" w14:textId="77777777" w:rsidR="00016C24" w:rsidRPr="0024033B" w:rsidRDefault="00016C24" w:rsidP="00500FD5">
            <w:pPr>
              <w:jc w:val="right"/>
              <w:rPr>
                <w:rFonts w:ascii="Arial" w:hAnsi="Arial" w:cs="Arial"/>
                <w:lang w:eastAsia="en-GB"/>
              </w:rPr>
            </w:pPr>
            <w:r w:rsidRPr="0024033B">
              <w:rPr>
                <w:rFonts w:ascii="Arial" w:hAnsi="Arial" w:cs="Arial"/>
                <w:lang w:eastAsia="en-GB"/>
              </w:rPr>
              <w:t>(5,455)</w:t>
            </w:r>
          </w:p>
        </w:tc>
      </w:tr>
      <w:tr w:rsidR="00016C24" w:rsidRPr="0024033B" w14:paraId="327162A1" w14:textId="77777777" w:rsidTr="00500FD5">
        <w:trPr>
          <w:trHeight w:val="300"/>
        </w:trPr>
        <w:tc>
          <w:tcPr>
            <w:tcW w:w="4106" w:type="dxa"/>
            <w:tcBorders>
              <w:top w:val="nil"/>
              <w:left w:val="single" w:sz="4" w:space="0" w:color="auto"/>
              <w:bottom w:val="nil"/>
              <w:right w:val="nil"/>
            </w:tcBorders>
            <w:shd w:val="clear" w:color="000000" w:fill="FFFFFF"/>
            <w:vAlign w:val="bottom"/>
            <w:hideMark/>
          </w:tcPr>
          <w:p w14:paraId="45D877EE" w14:textId="77777777" w:rsidR="00016C24" w:rsidRPr="0024033B" w:rsidRDefault="00016C24" w:rsidP="00500FD5">
            <w:pPr>
              <w:rPr>
                <w:rFonts w:ascii="Arial" w:hAnsi="Arial" w:cs="Arial"/>
                <w:lang w:eastAsia="en-GB"/>
              </w:rPr>
            </w:pPr>
            <w:r w:rsidRPr="0024033B">
              <w:rPr>
                <w:rFonts w:ascii="Arial" w:hAnsi="Arial" w:cs="Arial"/>
                <w:lang w:eastAsia="en-GB"/>
              </w:rPr>
              <w:t>Housing Investment Fund</w:t>
            </w:r>
          </w:p>
        </w:tc>
        <w:tc>
          <w:tcPr>
            <w:tcW w:w="1134" w:type="dxa"/>
            <w:tcBorders>
              <w:top w:val="nil"/>
              <w:left w:val="single" w:sz="4" w:space="0" w:color="auto"/>
              <w:bottom w:val="nil"/>
              <w:right w:val="nil"/>
            </w:tcBorders>
            <w:shd w:val="clear" w:color="000000" w:fill="FFFFFF"/>
            <w:vAlign w:val="bottom"/>
            <w:hideMark/>
          </w:tcPr>
          <w:p w14:paraId="1C7DB38A" w14:textId="77777777" w:rsidR="00016C24" w:rsidRPr="0024033B" w:rsidRDefault="00016C24" w:rsidP="00500FD5">
            <w:pPr>
              <w:jc w:val="right"/>
              <w:rPr>
                <w:rFonts w:ascii="Arial" w:hAnsi="Arial" w:cs="Arial"/>
                <w:lang w:eastAsia="en-GB"/>
              </w:rPr>
            </w:pPr>
            <w:r w:rsidRPr="0024033B">
              <w:rPr>
                <w:rFonts w:ascii="Arial" w:hAnsi="Arial" w:cs="Arial"/>
                <w:lang w:eastAsia="en-GB"/>
              </w:rPr>
              <w:t>90,142</w:t>
            </w:r>
          </w:p>
        </w:tc>
        <w:tc>
          <w:tcPr>
            <w:tcW w:w="1414" w:type="dxa"/>
            <w:tcBorders>
              <w:top w:val="nil"/>
              <w:left w:val="single" w:sz="4" w:space="0" w:color="auto"/>
              <w:bottom w:val="nil"/>
              <w:right w:val="single" w:sz="4" w:space="0" w:color="auto"/>
            </w:tcBorders>
            <w:shd w:val="clear" w:color="000000" w:fill="FFFFFF"/>
            <w:vAlign w:val="bottom"/>
            <w:hideMark/>
          </w:tcPr>
          <w:p w14:paraId="1D5D72F3" w14:textId="77777777" w:rsidR="00016C24" w:rsidRPr="0024033B" w:rsidRDefault="00016C24" w:rsidP="00500FD5">
            <w:pPr>
              <w:jc w:val="right"/>
              <w:rPr>
                <w:rFonts w:ascii="Arial" w:hAnsi="Arial" w:cs="Arial"/>
                <w:lang w:eastAsia="en-GB"/>
              </w:rPr>
            </w:pPr>
            <w:r w:rsidRPr="0024033B">
              <w:rPr>
                <w:rFonts w:ascii="Arial" w:hAnsi="Arial" w:cs="Arial"/>
                <w:lang w:eastAsia="en-GB"/>
              </w:rPr>
              <w:t>77,434</w:t>
            </w:r>
          </w:p>
        </w:tc>
        <w:tc>
          <w:tcPr>
            <w:tcW w:w="0" w:type="auto"/>
            <w:tcBorders>
              <w:top w:val="nil"/>
              <w:left w:val="nil"/>
              <w:bottom w:val="nil"/>
              <w:right w:val="single" w:sz="4" w:space="0" w:color="auto"/>
            </w:tcBorders>
            <w:shd w:val="clear" w:color="000000" w:fill="FFFFFF"/>
            <w:vAlign w:val="bottom"/>
            <w:hideMark/>
          </w:tcPr>
          <w:p w14:paraId="250FA880" w14:textId="77777777" w:rsidR="00016C24" w:rsidRPr="0024033B" w:rsidRDefault="00016C24" w:rsidP="00500FD5">
            <w:pPr>
              <w:jc w:val="right"/>
              <w:rPr>
                <w:rFonts w:ascii="Arial" w:hAnsi="Arial" w:cs="Arial"/>
                <w:lang w:eastAsia="en-GB"/>
              </w:rPr>
            </w:pPr>
            <w:r w:rsidRPr="0024033B">
              <w:rPr>
                <w:rFonts w:ascii="Arial" w:hAnsi="Arial" w:cs="Arial"/>
                <w:lang w:eastAsia="en-GB"/>
              </w:rPr>
              <w:t>139,412</w:t>
            </w:r>
          </w:p>
        </w:tc>
        <w:tc>
          <w:tcPr>
            <w:tcW w:w="0" w:type="auto"/>
            <w:tcBorders>
              <w:top w:val="nil"/>
              <w:left w:val="nil"/>
              <w:bottom w:val="nil"/>
              <w:right w:val="single" w:sz="4" w:space="0" w:color="auto"/>
            </w:tcBorders>
            <w:shd w:val="clear" w:color="000000" w:fill="FFFFFF"/>
            <w:vAlign w:val="bottom"/>
            <w:hideMark/>
          </w:tcPr>
          <w:p w14:paraId="64BFF045" w14:textId="77777777" w:rsidR="00016C24" w:rsidRPr="0024033B" w:rsidRDefault="00016C24" w:rsidP="00500FD5">
            <w:pPr>
              <w:jc w:val="right"/>
              <w:rPr>
                <w:rFonts w:ascii="Arial" w:hAnsi="Arial" w:cs="Arial"/>
                <w:lang w:eastAsia="en-GB"/>
              </w:rPr>
            </w:pPr>
            <w:r w:rsidRPr="0024033B">
              <w:rPr>
                <w:rFonts w:ascii="Arial" w:hAnsi="Arial" w:cs="Arial"/>
                <w:lang w:eastAsia="en-GB"/>
              </w:rPr>
              <w:t>61,978</w:t>
            </w:r>
          </w:p>
        </w:tc>
      </w:tr>
      <w:tr w:rsidR="00016C24" w:rsidRPr="0024033B" w14:paraId="7F0D0231" w14:textId="77777777" w:rsidTr="00500FD5">
        <w:trPr>
          <w:trHeight w:val="300"/>
        </w:trPr>
        <w:tc>
          <w:tcPr>
            <w:tcW w:w="4106" w:type="dxa"/>
            <w:tcBorders>
              <w:top w:val="nil"/>
              <w:left w:val="single" w:sz="4" w:space="0" w:color="auto"/>
              <w:bottom w:val="nil"/>
              <w:right w:val="nil"/>
            </w:tcBorders>
            <w:shd w:val="clear" w:color="000000" w:fill="FFFFFF"/>
            <w:vAlign w:val="bottom"/>
            <w:hideMark/>
          </w:tcPr>
          <w:p w14:paraId="42E192FB" w14:textId="77777777" w:rsidR="00016C24" w:rsidRPr="0024033B" w:rsidRDefault="00016C24" w:rsidP="00500FD5">
            <w:pPr>
              <w:rPr>
                <w:rFonts w:ascii="Arial" w:hAnsi="Arial" w:cs="Arial"/>
                <w:lang w:eastAsia="en-GB"/>
              </w:rPr>
            </w:pPr>
            <w:r w:rsidRPr="0024033B">
              <w:rPr>
                <w:rFonts w:ascii="Arial" w:hAnsi="Arial" w:cs="Arial"/>
                <w:lang w:eastAsia="en-GB"/>
              </w:rPr>
              <w:t>Skills Capital Round 2 &amp; 3</w:t>
            </w:r>
          </w:p>
        </w:tc>
        <w:tc>
          <w:tcPr>
            <w:tcW w:w="1134" w:type="dxa"/>
            <w:tcBorders>
              <w:top w:val="nil"/>
              <w:left w:val="single" w:sz="4" w:space="0" w:color="auto"/>
              <w:bottom w:val="nil"/>
              <w:right w:val="nil"/>
            </w:tcBorders>
            <w:shd w:val="clear" w:color="000000" w:fill="FFFFFF"/>
            <w:vAlign w:val="bottom"/>
            <w:hideMark/>
          </w:tcPr>
          <w:p w14:paraId="62D06E83" w14:textId="77777777" w:rsidR="00016C24" w:rsidRPr="0024033B" w:rsidRDefault="00016C24" w:rsidP="00500FD5">
            <w:pPr>
              <w:jc w:val="right"/>
              <w:rPr>
                <w:rFonts w:ascii="Arial" w:hAnsi="Arial" w:cs="Arial"/>
                <w:lang w:eastAsia="en-GB"/>
              </w:rPr>
            </w:pPr>
            <w:r w:rsidRPr="0024033B">
              <w:rPr>
                <w:rFonts w:ascii="Arial" w:hAnsi="Arial" w:cs="Arial"/>
                <w:lang w:eastAsia="en-GB"/>
              </w:rPr>
              <w:t>9,673</w:t>
            </w:r>
          </w:p>
        </w:tc>
        <w:tc>
          <w:tcPr>
            <w:tcW w:w="1414" w:type="dxa"/>
            <w:tcBorders>
              <w:top w:val="nil"/>
              <w:left w:val="single" w:sz="4" w:space="0" w:color="auto"/>
              <w:bottom w:val="nil"/>
              <w:right w:val="single" w:sz="4" w:space="0" w:color="auto"/>
            </w:tcBorders>
            <w:shd w:val="clear" w:color="000000" w:fill="FFFFFF"/>
            <w:vAlign w:val="bottom"/>
            <w:hideMark/>
          </w:tcPr>
          <w:p w14:paraId="712C94CB" w14:textId="77777777" w:rsidR="00016C24" w:rsidRPr="0024033B" w:rsidRDefault="00016C24" w:rsidP="00500FD5">
            <w:pPr>
              <w:jc w:val="right"/>
              <w:rPr>
                <w:rFonts w:ascii="Arial" w:hAnsi="Arial" w:cs="Arial"/>
                <w:lang w:eastAsia="en-GB"/>
              </w:rPr>
            </w:pPr>
            <w:r w:rsidRPr="0024033B">
              <w:rPr>
                <w:rFonts w:ascii="Arial" w:hAnsi="Arial" w:cs="Arial"/>
                <w:lang w:eastAsia="en-GB"/>
              </w:rPr>
              <w:t>4,596</w:t>
            </w:r>
          </w:p>
        </w:tc>
        <w:tc>
          <w:tcPr>
            <w:tcW w:w="0" w:type="auto"/>
            <w:tcBorders>
              <w:top w:val="nil"/>
              <w:left w:val="nil"/>
              <w:bottom w:val="nil"/>
              <w:right w:val="single" w:sz="4" w:space="0" w:color="auto"/>
            </w:tcBorders>
            <w:shd w:val="clear" w:color="000000" w:fill="FFFFFF"/>
            <w:vAlign w:val="bottom"/>
            <w:hideMark/>
          </w:tcPr>
          <w:p w14:paraId="56551D97" w14:textId="77777777" w:rsidR="00016C24" w:rsidRPr="0024033B" w:rsidRDefault="00016C24" w:rsidP="00500FD5">
            <w:pPr>
              <w:jc w:val="right"/>
              <w:rPr>
                <w:rFonts w:ascii="Arial" w:hAnsi="Arial" w:cs="Arial"/>
                <w:lang w:eastAsia="en-GB"/>
              </w:rPr>
            </w:pPr>
            <w:r w:rsidRPr="0024033B">
              <w:rPr>
                <w:rFonts w:ascii="Arial" w:hAnsi="Arial" w:cs="Arial"/>
                <w:lang w:eastAsia="en-GB"/>
              </w:rPr>
              <w:t>3,445</w:t>
            </w:r>
          </w:p>
        </w:tc>
        <w:tc>
          <w:tcPr>
            <w:tcW w:w="0" w:type="auto"/>
            <w:tcBorders>
              <w:top w:val="nil"/>
              <w:left w:val="nil"/>
              <w:bottom w:val="nil"/>
              <w:right w:val="single" w:sz="4" w:space="0" w:color="auto"/>
            </w:tcBorders>
            <w:shd w:val="clear" w:color="000000" w:fill="FFFFFF"/>
            <w:vAlign w:val="bottom"/>
            <w:hideMark/>
          </w:tcPr>
          <w:p w14:paraId="1A5D0EC9" w14:textId="77777777" w:rsidR="00016C24" w:rsidRPr="0024033B" w:rsidRDefault="00016C24" w:rsidP="00500FD5">
            <w:pPr>
              <w:jc w:val="right"/>
              <w:rPr>
                <w:rFonts w:ascii="Arial" w:hAnsi="Arial" w:cs="Arial"/>
                <w:lang w:eastAsia="en-GB"/>
              </w:rPr>
            </w:pPr>
            <w:r w:rsidRPr="0024033B">
              <w:rPr>
                <w:rFonts w:ascii="Arial" w:hAnsi="Arial" w:cs="Arial"/>
                <w:lang w:eastAsia="en-GB"/>
              </w:rPr>
              <w:t>(1,151)</w:t>
            </w:r>
          </w:p>
        </w:tc>
      </w:tr>
      <w:tr w:rsidR="00016C24" w:rsidRPr="0024033B" w14:paraId="7E6638FE" w14:textId="77777777" w:rsidTr="00500FD5">
        <w:trPr>
          <w:trHeight w:val="300"/>
        </w:trPr>
        <w:tc>
          <w:tcPr>
            <w:tcW w:w="4106" w:type="dxa"/>
            <w:tcBorders>
              <w:top w:val="nil"/>
              <w:left w:val="single" w:sz="4" w:space="0" w:color="auto"/>
              <w:bottom w:val="nil"/>
              <w:right w:val="nil"/>
            </w:tcBorders>
            <w:shd w:val="clear" w:color="000000" w:fill="FFFFFF"/>
            <w:vAlign w:val="bottom"/>
            <w:hideMark/>
          </w:tcPr>
          <w:p w14:paraId="311A1573" w14:textId="77777777" w:rsidR="00016C24" w:rsidRPr="0024033B" w:rsidRDefault="00016C24" w:rsidP="00500FD5">
            <w:pPr>
              <w:rPr>
                <w:rFonts w:ascii="Arial" w:hAnsi="Arial" w:cs="Arial"/>
                <w:lang w:eastAsia="en-GB"/>
              </w:rPr>
            </w:pPr>
            <w:r w:rsidRPr="0024033B">
              <w:rPr>
                <w:rFonts w:ascii="Arial" w:hAnsi="Arial" w:cs="Arial"/>
                <w:lang w:eastAsia="en-GB"/>
              </w:rPr>
              <w:t>Life Sciences Fund</w:t>
            </w:r>
          </w:p>
        </w:tc>
        <w:tc>
          <w:tcPr>
            <w:tcW w:w="1134" w:type="dxa"/>
            <w:tcBorders>
              <w:top w:val="nil"/>
              <w:left w:val="single" w:sz="4" w:space="0" w:color="auto"/>
              <w:bottom w:val="nil"/>
              <w:right w:val="nil"/>
            </w:tcBorders>
            <w:shd w:val="clear" w:color="000000" w:fill="FFFFFF"/>
            <w:vAlign w:val="bottom"/>
            <w:hideMark/>
          </w:tcPr>
          <w:p w14:paraId="50B5BC29" w14:textId="77777777" w:rsidR="00016C24" w:rsidRPr="0024033B" w:rsidRDefault="00016C24" w:rsidP="00500FD5">
            <w:pPr>
              <w:jc w:val="right"/>
              <w:rPr>
                <w:rFonts w:ascii="Arial" w:hAnsi="Arial" w:cs="Arial"/>
                <w:lang w:eastAsia="en-GB"/>
              </w:rPr>
            </w:pPr>
            <w:r w:rsidRPr="0024033B">
              <w:rPr>
                <w:rFonts w:ascii="Arial" w:hAnsi="Arial" w:cs="Arial"/>
                <w:lang w:eastAsia="en-GB"/>
              </w:rPr>
              <w:t>1,749</w:t>
            </w:r>
          </w:p>
        </w:tc>
        <w:tc>
          <w:tcPr>
            <w:tcW w:w="1414" w:type="dxa"/>
            <w:tcBorders>
              <w:top w:val="nil"/>
              <w:left w:val="single" w:sz="4" w:space="0" w:color="auto"/>
              <w:bottom w:val="nil"/>
              <w:right w:val="single" w:sz="4" w:space="0" w:color="auto"/>
            </w:tcBorders>
            <w:shd w:val="clear" w:color="000000" w:fill="FFFFFF"/>
            <w:vAlign w:val="bottom"/>
            <w:hideMark/>
          </w:tcPr>
          <w:p w14:paraId="67005380" w14:textId="77777777" w:rsidR="00016C24" w:rsidRPr="0024033B" w:rsidRDefault="00016C24" w:rsidP="00500FD5">
            <w:pPr>
              <w:jc w:val="right"/>
              <w:rPr>
                <w:rFonts w:ascii="Arial" w:hAnsi="Arial" w:cs="Arial"/>
                <w:lang w:eastAsia="en-GB"/>
              </w:rPr>
            </w:pPr>
            <w:r w:rsidRPr="0024033B">
              <w:rPr>
                <w:rFonts w:ascii="Arial" w:hAnsi="Arial" w:cs="Arial"/>
                <w:lang w:eastAsia="en-GB"/>
              </w:rPr>
              <w:t>999</w:t>
            </w:r>
          </w:p>
        </w:tc>
        <w:tc>
          <w:tcPr>
            <w:tcW w:w="0" w:type="auto"/>
            <w:tcBorders>
              <w:top w:val="nil"/>
              <w:left w:val="nil"/>
              <w:bottom w:val="nil"/>
              <w:right w:val="single" w:sz="4" w:space="0" w:color="auto"/>
            </w:tcBorders>
            <w:shd w:val="clear" w:color="000000" w:fill="FFFFFF"/>
            <w:vAlign w:val="bottom"/>
            <w:hideMark/>
          </w:tcPr>
          <w:p w14:paraId="129030D7" w14:textId="77777777" w:rsidR="00016C24" w:rsidRPr="0024033B" w:rsidRDefault="00016C24" w:rsidP="00500FD5">
            <w:pPr>
              <w:jc w:val="right"/>
              <w:rPr>
                <w:rFonts w:ascii="Arial" w:hAnsi="Arial" w:cs="Arial"/>
                <w:lang w:eastAsia="en-GB"/>
              </w:rPr>
            </w:pPr>
            <w:r w:rsidRPr="0024033B">
              <w:rPr>
                <w:rFonts w:ascii="Arial" w:hAnsi="Arial" w:cs="Arial"/>
                <w:lang w:eastAsia="en-GB"/>
              </w:rPr>
              <w:t>749</w:t>
            </w:r>
          </w:p>
        </w:tc>
        <w:tc>
          <w:tcPr>
            <w:tcW w:w="0" w:type="auto"/>
            <w:tcBorders>
              <w:top w:val="nil"/>
              <w:left w:val="nil"/>
              <w:bottom w:val="nil"/>
              <w:right w:val="single" w:sz="4" w:space="0" w:color="auto"/>
            </w:tcBorders>
            <w:shd w:val="clear" w:color="000000" w:fill="FFFFFF"/>
            <w:vAlign w:val="bottom"/>
            <w:hideMark/>
          </w:tcPr>
          <w:p w14:paraId="40AE6BB1" w14:textId="77777777" w:rsidR="00016C24" w:rsidRPr="0024033B" w:rsidRDefault="00016C24" w:rsidP="00500FD5">
            <w:pPr>
              <w:jc w:val="right"/>
              <w:rPr>
                <w:rFonts w:ascii="Arial" w:hAnsi="Arial" w:cs="Arial"/>
                <w:lang w:eastAsia="en-GB"/>
              </w:rPr>
            </w:pPr>
            <w:r w:rsidRPr="0024033B">
              <w:rPr>
                <w:rFonts w:ascii="Arial" w:hAnsi="Arial" w:cs="Arial"/>
                <w:lang w:eastAsia="en-GB"/>
              </w:rPr>
              <w:t>(250)</w:t>
            </w:r>
          </w:p>
        </w:tc>
      </w:tr>
      <w:tr w:rsidR="00016C24" w:rsidRPr="0024033B" w14:paraId="282AE619" w14:textId="77777777" w:rsidTr="00500FD5">
        <w:trPr>
          <w:trHeight w:val="300"/>
        </w:trPr>
        <w:tc>
          <w:tcPr>
            <w:tcW w:w="4106" w:type="dxa"/>
            <w:tcBorders>
              <w:top w:val="nil"/>
              <w:left w:val="single" w:sz="4" w:space="0" w:color="auto"/>
              <w:bottom w:val="nil"/>
              <w:right w:val="nil"/>
            </w:tcBorders>
            <w:shd w:val="clear" w:color="000000" w:fill="FFFFFF"/>
            <w:vAlign w:val="bottom"/>
            <w:hideMark/>
          </w:tcPr>
          <w:p w14:paraId="32A5645B" w14:textId="77777777" w:rsidR="00016C24" w:rsidRPr="0024033B" w:rsidRDefault="00016C24" w:rsidP="00500FD5">
            <w:pPr>
              <w:rPr>
                <w:rFonts w:ascii="Arial" w:hAnsi="Arial" w:cs="Arial"/>
                <w:lang w:eastAsia="en-GB"/>
              </w:rPr>
            </w:pPr>
            <w:r w:rsidRPr="0024033B">
              <w:rPr>
                <w:rFonts w:ascii="Arial" w:hAnsi="Arial" w:cs="Arial"/>
                <w:lang w:eastAsia="en-GB"/>
              </w:rPr>
              <w:t>Pankhurst Institute</w:t>
            </w:r>
          </w:p>
        </w:tc>
        <w:tc>
          <w:tcPr>
            <w:tcW w:w="1134" w:type="dxa"/>
            <w:tcBorders>
              <w:top w:val="nil"/>
              <w:left w:val="single" w:sz="4" w:space="0" w:color="auto"/>
              <w:bottom w:val="nil"/>
              <w:right w:val="nil"/>
            </w:tcBorders>
            <w:shd w:val="clear" w:color="000000" w:fill="FFFFFF"/>
            <w:vAlign w:val="bottom"/>
            <w:hideMark/>
          </w:tcPr>
          <w:p w14:paraId="0E07C91C" w14:textId="77777777" w:rsidR="00016C24" w:rsidRPr="0024033B" w:rsidRDefault="00016C24" w:rsidP="00500FD5">
            <w:pPr>
              <w:jc w:val="right"/>
              <w:rPr>
                <w:rFonts w:ascii="Arial" w:hAnsi="Arial" w:cs="Arial"/>
                <w:lang w:eastAsia="en-GB"/>
              </w:rPr>
            </w:pPr>
            <w:r w:rsidRPr="0024033B">
              <w:rPr>
                <w:rFonts w:ascii="Arial" w:hAnsi="Arial" w:cs="Arial"/>
                <w:lang w:eastAsia="en-GB"/>
              </w:rPr>
              <w:t>793</w:t>
            </w:r>
          </w:p>
        </w:tc>
        <w:tc>
          <w:tcPr>
            <w:tcW w:w="1414" w:type="dxa"/>
            <w:tcBorders>
              <w:top w:val="nil"/>
              <w:left w:val="single" w:sz="4" w:space="0" w:color="auto"/>
              <w:bottom w:val="nil"/>
              <w:right w:val="single" w:sz="4" w:space="0" w:color="auto"/>
            </w:tcBorders>
            <w:shd w:val="clear" w:color="000000" w:fill="FFFFFF"/>
            <w:vAlign w:val="bottom"/>
            <w:hideMark/>
          </w:tcPr>
          <w:p w14:paraId="5BBAE6AD" w14:textId="77777777" w:rsidR="00016C24" w:rsidRPr="0024033B" w:rsidRDefault="00016C24" w:rsidP="00500FD5">
            <w:pPr>
              <w:jc w:val="right"/>
              <w:rPr>
                <w:rFonts w:ascii="Arial" w:hAnsi="Arial" w:cs="Arial"/>
                <w:lang w:eastAsia="en-GB"/>
              </w:rPr>
            </w:pPr>
            <w:r>
              <w:rPr>
                <w:rFonts w:ascii="Arial" w:hAnsi="Arial" w:cs="Arial"/>
                <w:lang w:eastAsia="en-GB"/>
              </w:rPr>
              <w:t>0</w:t>
            </w:r>
          </w:p>
        </w:tc>
        <w:tc>
          <w:tcPr>
            <w:tcW w:w="0" w:type="auto"/>
            <w:tcBorders>
              <w:top w:val="nil"/>
              <w:left w:val="nil"/>
              <w:bottom w:val="nil"/>
              <w:right w:val="single" w:sz="4" w:space="0" w:color="auto"/>
            </w:tcBorders>
            <w:shd w:val="clear" w:color="000000" w:fill="FFFFFF"/>
            <w:vAlign w:val="bottom"/>
            <w:hideMark/>
          </w:tcPr>
          <w:p w14:paraId="2C305AD5" w14:textId="77777777" w:rsidR="00016C24" w:rsidRPr="0024033B" w:rsidRDefault="00016C24" w:rsidP="00500FD5">
            <w:pPr>
              <w:jc w:val="right"/>
              <w:rPr>
                <w:rFonts w:ascii="Arial" w:hAnsi="Arial" w:cs="Arial"/>
                <w:lang w:eastAsia="en-GB"/>
              </w:rPr>
            </w:pPr>
            <w:r>
              <w:rPr>
                <w:rFonts w:ascii="Arial" w:hAnsi="Arial" w:cs="Arial"/>
                <w:lang w:eastAsia="en-GB"/>
              </w:rPr>
              <w:t>0</w:t>
            </w:r>
          </w:p>
        </w:tc>
        <w:tc>
          <w:tcPr>
            <w:tcW w:w="0" w:type="auto"/>
            <w:tcBorders>
              <w:top w:val="nil"/>
              <w:left w:val="nil"/>
              <w:bottom w:val="nil"/>
              <w:right w:val="single" w:sz="4" w:space="0" w:color="auto"/>
            </w:tcBorders>
            <w:shd w:val="clear" w:color="000000" w:fill="FFFFFF"/>
            <w:vAlign w:val="bottom"/>
            <w:hideMark/>
          </w:tcPr>
          <w:p w14:paraId="56196B01" w14:textId="77777777" w:rsidR="00016C24" w:rsidRPr="0024033B" w:rsidRDefault="00016C24" w:rsidP="00500FD5">
            <w:pPr>
              <w:jc w:val="right"/>
              <w:rPr>
                <w:rFonts w:ascii="Arial" w:hAnsi="Arial" w:cs="Arial"/>
                <w:lang w:eastAsia="en-GB"/>
              </w:rPr>
            </w:pPr>
            <w:r>
              <w:rPr>
                <w:rFonts w:ascii="Arial" w:hAnsi="Arial" w:cs="Arial"/>
                <w:lang w:eastAsia="en-GB"/>
              </w:rPr>
              <w:t>0</w:t>
            </w:r>
          </w:p>
        </w:tc>
      </w:tr>
      <w:tr w:rsidR="00016C24" w:rsidRPr="0024033B" w14:paraId="0ED622B0" w14:textId="77777777" w:rsidTr="00500FD5">
        <w:trPr>
          <w:trHeight w:val="300"/>
        </w:trPr>
        <w:tc>
          <w:tcPr>
            <w:tcW w:w="4106" w:type="dxa"/>
            <w:tcBorders>
              <w:top w:val="nil"/>
              <w:left w:val="single" w:sz="4" w:space="0" w:color="auto"/>
              <w:bottom w:val="nil"/>
              <w:right w:val="nil"/>
            </w:tcBorders>
            <w:shd w:val="clear" w:color="000000" w:fill="FFFFFF"/>
            <w:vAlign w:val="bottom"/>
            <w:hideMark/>
          </w:tcPr>
          <w:p w14:paraId="10CA13AB" w14:textId="77777777" w:rsidR="00016C24" w:rsidRPr="0024033B" w:rsidRDefault="00016C24" w:rsidP="00500FD5">
            <w:pPr>
              <w:rPr>
                <w:rFonts w:ascii="Arial" w:hAnsi="Arial" w:cs="Arial"/>
                <w:lang w:eastAsia="en-GB"/>
              </w:rPr>
            </w:pPr>
            <w:r w:rsidRPr="0024033B">
              <w:rPr>
                <w:rFonts w:ascii="Arial" w:hAnsi="Arial" w:cs="Arial"/>
                <w:lang w:eastAsia="en-GB"/>
              </w:rPr>
              <w:t>Getting Building Fund</w:t>
            </w:r>
          </w:p>
        </w:tc>
        <w:tc>
          <w:tcPr>
            <w:tcW w:w="1134" w:type="dxa"/>
            <w:tcBorders>
              <w:top w:val="nil"/>
              <w:left w:val="single" w:sz="4" w:space="0" w:color="auto"/>
              <w:bottom w:val="nil"/>
              <w:right w:val="nil"/>
            </w:tcBorders>
            <w:shd w:val="clear" w:color="000000" w:fill="FFFFFF"/>
            <w:vAlign w:val="bottom"/>
            <w:hideMark/>
          </w:tcPr>
          <w:p w14:paraId="33613EA5" w14:textId="77777777" w:rsidR="00016C24" w:rsidRPr="0024033B" w:rsidRDefault="00016C24" w:rsidP="00500FD5">
            <w:pPr>
              <w:jc w:val="right"/>
              <w:rPr>
                <w:rFonts w:ascii="Arial" w:hAnsi="Arial" w:cs="Arial"/>
                <w:lang w:eastAsia="en-GB"/>
              </w:rPr>
            </w:pPr>
            <w:r w:rsidRPr="0024033B">
              <w:rPr>
                <w:rFonts w:ascii="Arial" w:hAnsi="Arial" w:cs="Arial"/>
                <w:lang w:eastAsia="en-GB"/>
              </w:rPr>
              <w:t>31,316</w:t>
            </w:r>
          </w:p>
        </w:tc>
        <w:tc>
          <w:tcPr>
            <w:tcW w:w="1414" w:type="dxa"/>
            <w:tcBorders>
              <w:top w:val="nil"/>
              <w:left w:val="single" w:sz="4" w:space="0" w:color="auto"/>
              <w:bottom w:val="nil"/>
              <w:right w:val="single" w:sz="4" w:space="0" w:color="auto"/>
            </w:tcBorders>
            <w:shd w:val="clear" w:color="000000" w:fill="FFFFFF"/>
            <w:vAlign w:val="bottom"/>
            <w:hideMark/>
          </w:tcPr>
          <w:p w14:paraId="34AD0A45" w14:textId="77777777" w:rsidR="00016C24" w:rsidRPr="0024033B" w:rsidRDefault="00016C24" w:rsidP="00500FD5">
            <w:pPr>
              <w:jc w:val="right"/>
              <w:rPr>
                <w:rFonts w:ascii="Arial" w:hAnsi="Arial" w:cs="Arial"/>
                <w:lang w:eastAsia="en-GB"/>
              </w:rPr>
            </w:pPr>
            <w:r w:rsidRPr="0024033B">
              <w:rPr>
                <w:rFonts w:ascii="Arial" w:hAnsi="Arial" w:cs="Arial"/>
                <w:lang w:eastAsia="en-GB"/>
              </w:rPr>
              <w:t>34,612</w:t>
            </w:r>
          </w:p>
        </w:tc>
        <w:tc>
          <w:tcPr>
            <w:tcW w:w="0" w:type="auto"/>
            <w:tcBorders>
              <w:top w:val="nil"/>
              <w:left w:val="nil"/>
              <w:bottom w:val="nil"/>
              <w:right w:val="single" w:sz="4" w:space="0" w:color="auto"/>
            </w:tcBorders>
            <w:shd w:val="clear" w:color="000000" w:fill="FFFFFF"/>
            <w:vAlign w:val="bottom"/>
            <w:hideMark/>
          </w:tcPr>
          <w:p w14:paraId="6D6FDA19" w14:textId="77777777" w:rsidR="00016C24" w:rsidRPr="0024033B" w:rsidRDefault="00016C24" w:rsidP="00500FD5">
            <w:pPr>
              <w:jc w:val="right"/>
              <w:rPr>
                <w:rFonts w:ascii="Arial" w:hAnsi="Arial" w:cs="Arial"/>
                <w:lang w:eastAsia="en-GB"/>
              </w:rPr>
            </w:pPr>
            <w:r w:rsidRPr="0024033B">
              <w:rPr>
                <w:rFonts w:ascii="Arial" w:hAnsi="Arial" w:cs="Arial"/>
                <w:lang w:eastAsia="en-GB"/>
              </w:rPr>
              <w:t>34,611</w:t>
            </w:r>
          </w:p>
        </w:tc>
        <w:tc>
          <w:tcPr>
            <w:tcW w:w="0" w:type="auto"/>
            <w:tcBorders>
              <w:top w:val="nil"/>
              <w:left w:val="nil"/>
              <w:bottom w:val="nil"/>
              <w:right w:val="single" w:sz="4" w:space="0" w:color="auto"/>
            </w:tcBorders>
            <w:shd w:val="clear" w:color="000000" w:fill="FFFFFF"/>
            <w:vAlign w:val="bottom"/>
            <w:hideMark/>
          </w:tcPr>
          <w:p w14:paraId="770ED389" w14:textId="77777777" w:rsidR="00016C24" w:rsidRPr="0024033B" w:rsidRDefault="00016C24" w:rsidP="00500FD5">
            <w:pPr>
              <w:jc w:val="right"/>
              <w:rPr>
                <w:rFonts w:ascii="Arial" w:hAnsi="Arial" w:cs="Arial"/>
                <w:lang w:eastAsia="en-GB"/>
              </w:rPr>
            </w:pPr>
            <w:r w:rsidRPr="0024033B">
              <w:rPr>
                <w:rFonts w:ascii="Arial" w:hAnsi="Arial" w:cs="Arial"/>
                <w:lang w:eastAsia="en-GB"/>
              </w:rPr>
              <w:t>(1)</w:t>
            </w:r>
          </w:p>
        </w:tc>
      </w:tr>
      <w:tr w:rsidR="00016C24" w:rsidRPr="0024033B" w14:paraId="67601823" w14:textId="77777777" w:rsidTr="00500FD5">
        <w:trPr>
          <w:trHeight w:val="300"/>
        </w:trPr>
        <w:tc>
          <w:tcPr>
            <w:tcW w:w="4106" w:type="dxa"/>
            <w:tcBorders>
              <w:top w:val="nil"/>
              <w:left w:val="single" w:sz="4" w:space="0" w:color="auto"/>
              <w:bottom w:val="nil"/>
              <w:right w:val="nil"/>
            </w:tcBorders>
            <w:shd w:val="clear" w:color="000000" w:fill="FFFFFF"/>
            <w:vAlign w:val="bottom"/>
            <w:hideMark/>
          </w:tcPr>
          <w:p w14:paraId="47FD6D6A" w14:textId="77777777" w:rsidR="00016C24" w:rsidRPr="0024033B" w:rsidRDefault="00016C24" w:rsidP="00500FD5">
            <w:pPr>
              <w:rPr>
                <w:rFonts w:ascii="Arial" w:hAnsi="Arial" w:cs="Arial"/>
                <w:lang w:eastAsia="en-GB"/>
              </w:rPr>
            </w:pPr>
            <w:r w:rsidRPr="0024033B">
              <w:rPr>
                <w:rFonts w:ascii="Arial" w:hAnsi="Arial" w:cs="Arial"/>
                <w:lang w:eastAsia="en-GB"/>
              </w:rPr>
              <w:t>Brownfield Land Fund</w:t>
            </w:r>
          </w:p>
        </w:tc>
        <w:tc>
          <w:tcPr>
            <w:tcW w:w="1134" w:type="dxa"/>
            <w:tcBorders>
              <w:top w:val="nil"/>
              <w:left w:val="single" w:sz="4" w:space="0" w:color="auto"/>
              <w:bottom w:val="nil"/>
              <w:right w:val="nil"/>
            </w:tcBorders>
            <w:shd w:val="clear" w:color="000000" w:fill="FFFFFF"/>
            <w:vAlign w:val="bottom"/>
            <w:hideMark/>
          </w:tcPr>
          <w:p w14:paraId="605B4D2E" w14:textId="77777777" w:rsidR="00016C24" w:rsidRPr="0024033B" w:rsidRDefault="00016C24" w:rsidP="00500FD5">
            <w:pPr>
              <w:jc w:val="right"/>
              <w:rPr>
                <w:rFonts w:ascii="Arial" w:hAnsi="Arial" w:cs="Arial"/>
                <w:lang w:eastAsia="en-GB"/>
              </w:rPr>
            </w:pPr>
            <w:r w:rsidRPr="0024033B">
              <w:rPr>
                <w:rFonts w:ascii="Arial" w:hAnsi="Arial" w:cs="Arial"/>
                <w:lang w:eastAsia="en-GB"/>
              </w:rPr>
              <w:t>30,000</w:t>
            </w:r>
          </w:p>
        </w:tc>
        <w:tc>
          <w:tcPr>
            <w:tcW w:w="1414" w:type="dxa"/>
            <w:tcBorders>
              <w:top w:val="nil"/>
              <w:left w:val="single" w:sz="4" w:space="0" w:color="auto"/>
              <w:bottom w:val="nil"/>
              <w:right w:val="single" w:sz="4" w:space="0" w:color="auto"/>
            </w:tcBorders>
            <w:shd w:val="clear" w:color="000000" w:fill="FFFFFF"/>
            <w:vAlign w:val="bottom"/>
            <w:hideMark/>
          </w:tcPr>
          <w:p w14:paraId="29ACB71A" w14:textId="77777777" w:rsidR="00016C24" w:rsidRPr="0024033B" w:rsidRDefault="00016C24" w:rsidP="00500FD5">
            <w:pPr>
              <w:jc w:val="right"/>
              <w:rPr>
                <w:rFonts w:ascii="Arial" w:hAnsi="Arial" w:cs="Arial"/>
                <w:lang w:eastAsia="en-GB"/>
              </w:rPr>
            </w:pPr>
            <w:r w:rsidRPr="0024033B">
              <w:rPr>
                <w:rFonts w:ascii="Arial" w:hAnsi="Arial" w:cs="Arial"/>
                <w:lang w:eastAsia="en-GB"/>
              </w:rPr>
              <w:t>37,907</w:t>
            </w:r>
          </w:p>
        </w:tc>
        <w:tc>
          <w:tcPr>
            <w:tcW w:w="0" w:type="auto"/>
            <w:tcBorders>
              <w:top w:val="nil"/>
              <w:left w:val="nil"/>
              <w:bottom w:val="nil"/>
              <w:right w:val="single" w:sz="4" w:space="0" w:color="auto"/>
            </w:tcBorders>
            <w:shd w:val="clear" w:color="000000" w:fill="FFFFFF"/>
            <w:vAlign w:val="bottom"/>
            <w:hideMark/>
          </w:tcPr>
          <w:p w14:paraId="61F92EAB" w14:textId="77777777" w:rsidR="00016C24" w:rsidRPr="0024033B" w:rsidRDefault="00016C24" w:rsidP="00500FD5">
            <w:pPr>
              <w:jc w:val="right"/>
              <w:rPr>
                <w:rFonts w:ascii="Arial" w:hAnsi="Arial" w:cs="Arial"/>
                <w:lang w:eastAsia="en-GB"/>
              </w:rPr>
            </w:pPr>
            <w:r w:rsidRPr="0024033B">
              <w:rPr>
                <w:rFonts w:ascii="Arial" w:hAnsi="Arial" w:cs="Arial"/>
                <w:lang w:eastAsia="en-GB"/>
              </w:rPr>
              <w:t>39,780</w:t>
            </w:r>
          </w:p>
        </w:tc>
        <w:tc>
          <w:tcPr>
            <w:tcW w:w="0" w:type="auto"/>
            <w:tcBorders>
              <w:top w:val="nil"/>
              <w:left w:val="nil"/>
              <w:bottom w:val="nil"/>
              <w:right w:val="single" w:sz="4" w:space="0" w:color="auto"/>
            </w:tcBorders>
            <w:shd w:val="clear" w:color="000000" w:fill="FFFFFF"/>
            <w:vAlign w:val="bottom"/>
            <w:hideMark/>
          </w:tcPr>
          <w:p w14:paraId="2F80483D" w14:textId="77777777" w:rsidR="00016C24" w:rsidRPr="0024033B" w:rsidRDefault="00016C24" w:rsidP="00500FD5">
            <w:pPr>
              <w:jc w:val="right"/>
              <w:rPr>
                <w:rFonts w:ascii="Arial" w:hAnsi="Arial" w:cs="Arial"/>
                <w:lang w:eastAsia="en-GB"/>
              </w:rPr>
            </w:pPr>
            <w:r w:rsidRPr="0024033B">
              <w:rPr>
                <w:rFonts w:ascii="Arial" w:hAnsi="Arial" w:cs="Arial"/>
                <w:lang w:eastAsia="en-GB"/>
              </w:rPr>
              <w:t>1,873</w:t>
            </w:r>
          </w:p>
        </w:tc>
      </w:tr>
      <w:tr w:rsidR="00016C24" w:rsidRPr="0024033B" w14:paraId="2F17E1AC" w14:textId="77777777" w:rsidTr="00500FD5">
        <w:trPr>
          <w:trHeight w:val="300"/>
        </w:trPr>
        <w:tc>
          <w:tcPr>
            <w:tcW w:w="4106" w:type="dxa"/>
            <w:tcBorders>
              <w:top w:val="nil"/>
              <w:left w:val="single" w:sz="4" w:space="0" w:color="auto"/>
              <w:bottom w:val="nil"/>
              <w:right w:val="nil"/>
            </w:tcBorders>
            <w:shd w:val="clear" w:color="000000" w:fill="FFFFFF"/>
            <w:vAlign w:val="bottom"/>
            <w:hideMark/>
          </w:tcPr>
          <w:p w14:paraId="6C8AD798" w14:textId="77777777" w:rsidR="00016C24" w:rsidRPr="0024033B" w:rsidRDefault="00016C24" w:rsidP="00500FD5">
            <w:pPr>
              <w:rPr>
                <w:rFonts w:ascii="Arial" w:hAnsi="Arial" w:cs="Arial"/>
                <w:lang w:eastAsia="en-GB"/>
              </w:rPr>
            </w:pPr>
            <w:r w:rsidRPr="0024033B">
              <w:rPr>
                <w:rFonts w:ascii="Arial" w:hAnsi="Arial" w:cs="Arial"/>
                <w:lang w:eastAsia="en-GB"/>
              </w:rPr>
              <w:t>Affordable Homes</w:t>
            </w:r>
          </w:p>
        </w:tc>
        <w:tc>
          <w:tcPr>
            <w:tcW w:w="1134" w:type="dxa"/>
            <w:tcBorders>
              <w:top w:val="nil"/>
              <w:left w:val="single" w:sz="4" w:space="0" w:color="auto"/>
              <w:bottom w:val="nil"/>
              <w:right w:val="nil"/>
            </w:tcBorders>
            <w:shd w:val="clear" w:color="000000" w:fill="FFFFFF"/>
            <w:vAlign w:val="bottom"/>
            <w:hideMark/>
          </w:tcPr>
          <w:p w14:paraId="257DDD1A" w14:textId="77777777" w:rsidR="00016C24" w:rsidRPr="0024033B" w:rsidRDefault="00016C24" w:rsidP="00500FD5">
            <w:pPr>
              <w:jc w:val="right"/>
              <w:rPr>
                <w:rFonts w:ascii="Arial" w:hAnsi="Arial" w:cs="Arial"/>
                <w:lang w:eastAsia="en-GB"/>
              </w:rPr>
            </w:pPr>
            <w:r>
              <w:rPr>
                <w:rFonts w:ascii="Arial" w:hAnsi="Arial" w:cs="Arial"/>
                <w:lang w:eastAsia="en-GB"/>
              </w:rPr>
              <w:t>0</w:t>
            </w:r>
          </w:p>
        </w:tc>
        <w:tc>
          <w:tcPr>
            <w:tcW w:w="1414" w:type="dxa"/>
            <w:tcBorders>
              <w:top w:val="nil"/>
              <w:left w:val="single" w:sz="4" w:space="0" w:color="auto"/>
              <w:bottom w:val="nil"/>
              <w:right w:val="single" w:sz="4" w:space="0" w:color="auto"/>
            </w:tcBorders>
            <w:shd w:val="clear" w:color="000000" w:fill="FFFFFF"/>
            <w:vAlign w:val="bottom"/>
            <w:hideMark/>
          </w:tcPr>
          <w:p w14:paraId="68980416" w14:textId="77777777" w:rsidR="00016C24" w:rsidRPr="0024033B" w:rsidRDefault="00016C24" w:rsidP="00500FD5">
            <w:pPr>
              <w:jc w:val="right"/>
              <w:rPr>
                <w:rFonts w:ascii="Arial" w:hAnsi="Arial" w:cs="Arial"/>
                <w:lang w:eastAsia="en-GB"/>
              </w:rPr>
            </w:pPr>
            <w:r w:rsidRPr="0024033B">
              <w:rPr>
                <w:rFonts w:ascii="Arial" w:hAnsi="Arial" w:cs="Arial"/>
                <w:lang w:eastAsia="en-GB"/>
              </w:rPr>
              <w:t>200</w:t>
            </w:r>
          </w:p>
        </w:tc>
        <w:tc>
          <w:tcPr>
            <w:tcW w:w="0" w:type="auto"/>
            <w:tcBorders>
              <w:top w:val="nil"/>
              <w:left w:val="nil"/>
              <w:bottom w:val="nil"/>
              <w:right w:val="single" w:sz="4" w:space="0" w:color="auto"/>
            </w:tcBorders>
            <w:shd w:val="clear" w:color="000000" w:fill="FFFFFF"/>
            <w:vAlign w:val="bottom"/>
            <w:hideMark/>
          </w:tcPr>
          <w:p w14:paraId="2AE1B16F" w14:textId="77777777" w:rsidR="00016C24" w:rsidRPr="0024033B" w:rsidRDefault="00016C24" w:rsidP="00500FD5">
            <w:pPr>
              <w:jc w:val="right"/>
              <w:rPr>
                <w:rFonts w:ascii="Arial" w:hAnsi="Arial" w:cs="Arial"/>
                <w:lang w:eastAsia="en-GB"/>
              </w:rPr>
            </w:pPr>
            <w:r w:rsidRPr="0024033B">
              <w:rPr>
                <w:rFonts w:ascii="Arial" w:hAnsi="Arial" w:cs="Arial"/>
                <w:lang w:eastAsia="en-GB"/>
              </w:rPr>
              <w:t>88</w:t>
            </w:r>
          </w:p>
        </w:tc>
        <w:tc>
          <w:tcPr>
            <w:tcW w:w="0" w:type="auto"/>
            <w:tcBorders>
              <w:top w:val="nil"/>
              <w:left w:val="nil"/>
              <w:bottom w:val="nil"/>
              <w:right w:val="single" w:sz="4" w:space="0" w:color="auto"/>
            </w:tcBorders>
            <w:shd w:val="clear" w:color="000000" w:fill="FFFFFF"/>
            <w:vAlign w:val="bottom"/>
            <w:hideMark/>
          </w:tcPr>
          <w:p w14:paraId="2F60C950" w14:textId="77777777" w:rsidR="00016C24" w:rsidRPr="0024033B" w:rsidRDefault="00016C24" w:rsidP="00500FD5">
            <w:pPr>
              <w:jc w:val="right"/>
              <w:rPr>
                <w:rFonts w:ascii="Arial" w:hAnsi="Arial" w:cs="Arial"/>
                <w:lang w:eastAsia="en-GB"/>
              </w:rPr>
            </w:pPr>
            <w:r w:rsidRPr="0024033B">
              <w:rPr>
                <w:rFonts w:ascii="Arial" w:hAnsi="Arial" w:cs="Arial"/>
                <w:lang w:eastAsia="en-GB"/>
              </w:rPr>
              <w:t>(112)</w:t>
            </w:r>
          </w:p>
        </w:tc>
      </w:tr>
      <w:tr w:rsidR="00016C24" w:rsidRPr="0024033B" w14:paraId="0013FDB4" w14:textId="77777777" w:rsidTr="00500FD5">
        <w:trPr>
          <w:trHeight w:val="300"/>
        </w:trPr>
        <w:tc>
          <w:tcPr>
            <w:tcW w:w="4106" w:type="dxa"/>
            <w:tcBorders>
              <w:top w:val="nil"/>
              <w:left w:val="single" w:sz="4" w:space="0" w:color="auto"/>
              <w:bottom w:val="nil"/>
              <w:right w:val="single" w:sz="4" w:space="0" w:color="auto"/>
            </w:tcBorders>
            <w:shd w:val="clear" w:color="000000" w:fill="FFFFFF"/>
            <w:vAlign w:val="bottom"/>
            <w:hideMark/>
          </w:tcPr>
          <w:p w14:paraId="423954A2" w14:textId="77777777" w:rsidR="00016C24" w:rsidRPr="0024033B" w:rsidRDefault="00016C24" w:rsidP="00500FD5">
            <w:pPr>
              <w:rPr>
                <w:rFonts w:ascii="Arial" w:hAnsi="Arial" w:cs="Arial"/>
                <w:lang w:eastAsia="en-GB"/>
              </w:rPr>
            </w:pPr>
            <w:r w:rsidRPr="0024033B">
              <w:rPr>
                <w:rFonts w:ascii="Arial" w:hAnsi="Arial" w:cs="Arial"/>
                <w:lang w:eastAsia="en-GB"/>
              </w:rPr>
              <w:t>Public Sector Decarb</w:t>
            </w:r>
            <w:r>
              <w:rPr>
                <w:rFonts w:ascii="Arial" w:hAnsi="Arial" w:cs="Arial"/>
                <w:lang w:eastAsia="en-GB"/>
              </w:rPr>
              <w:t xml:space="preserve"> </w:t>
            </w:r>
            <w:r w:rsidRPr="0024033B">
              <w:rPr>
                <w:rFonts w:ascii="Arial" w:hAnsi="Arial" w:cs="Arial"/>
                <w:lang w:eastAsia="en-GB"/>
              </w:rPr>
              <w:t>Scheme</w:t>
            </w:r>
          </w:p>
        </w:tc>
        <w:tc>
          <w:tcPr>
            <w:tcW w:w="1134" w:type="dxa"/>
            <w:tcBorders>
              <w:top w:val="nil"/>
              <w:left w:val="nil"/>
              <w:bottom w:val="nil"/>
              <w:right w:val="single" w:sz="4" w:space="0" w:color="auto"/>
            </w:tcBorders>
            <w:shd w:val="clear" w:color="000000" w:fill="FFFFFF"/>
            <w:vAlign w:val="bottom"/>
            <w:hideMark/>
          </w:tcPr>
          <w:p w14:paraId="2C7099D4" w14:textId="77777777" w:rsidR="00016C24" w:rsidRPr="0024033B" w:rsidRDefault="00016C24" w:rsidP="00500FD5">
            <w:pPr>
              <w:jc w:val="right"/>
              <w:rPr>
                <w:rFonts w:ascii="Arial" w:hAnsi="Arial" w:cs="Arial"/>
                <w:lang w:eastAsia="en-GB"/>
              </w:rPr>
            </w:pPr>
            <w:r>
              <w:rPr>
                <w:rFonts w:ascii="Arial" w:hAnsi="Arial" w:cs="Arial"/>
                <w:lang w:eastAsia="en-GB"/>
              </w:rPr>
              <w:t>0</w:t>
            </w:r>
          </w:p>
        </w:tc>
        <w:tc>
          <w:tcPr>
            <w:tcW w:w="1414" w:type="dxa"/>
            <w:tcBorders>
              <w:top w:val="nil"/>
              <w:left w:val="nil"/>
              <w:bottom w:val="nil"/>
              <w:right w:val="single" w:sz="4" w:space="0" w:color="auto"/>
            </w:tcBorders>
            <w:shd w:val="clear" w:color="000000" w:fill="FFFFFF"/>
            <w:vAlign w:val="bottom"/>
            <w:hideMark/>
          </w:tcPr>
          <w:p w14:paraId="76CA1EB9" w14:textId="77777777" w:rsidR="00016C24" w:rsidRPr="0024033B" w:rsidRDefault="00016C24" w:rsidP="00500FD5">
            <w:pPr>
              <w:jc w:val="right"/>
              <w:rPr>
                <w:rFonts w:ascii="Arial" w:hAnsi="Arial" w:cs="Arial"/>
                <w:lang w:eastAsia="en-GB"/>
              </w:rPr>
            </w:pPr>
            <w:r w:rsidRPr="0024033B">
              <w:rPr>
                <w:rFonts w:ascii="Arial" w:hAnsi="Arial" w:cs="Arial"/>
                <w:lang w:eastAsia="en-GB"/>
              </w:rPr>
              <w:t>57,648</w:t>
            </w:r>
          </w:p>
        </w:tc>
        <w:tc>
          <w:tcPr>
            <w:tcW w:w="0" w:type="auto"/>
            <w:tcBorders>
              <w:top w:val="nil"/>
              <w:left w:val="nil"/>
              <w:bottom w:val="nil"/>
              <w:right w:val="single" w:sz="4" w:space="0" w:color="auto"/>
            </w:tcBorders>
            <w:shd w:val="clear" w:color="000000" w:fill="FFFFFF"/>
            <w:vAlign w:val="bottom"/>
            <w:hideMark/>
          </w:tcPr>
          <w:p w14:paraId="43098EB3" w14:textId="77777777" w:rsidR="00016C24" w:rsidRPr="0024033B" w:rsidRDefault="00016C24" w:rsidP="00500FD5">
            <w:pPr>
              <w:jc w:val="right"/>
              <w:rPr>
                <w:rFonts w:ascii="Arial" w:hAnsi="Arial" w:cs="Arial"/>
                <w:lang w:eastAsia="en-GB"/>
              </w:rPr>
            </w:pPr>
            <w:r w:rsidRPr="0024033B">
              <w:rPr>
                <w:rFonts w:ascii="Arial" w:hAnsi="Arial" w:cs="Arial"/>
                <w:lang w:eastAsia="en-GB"/>
              </w:rPr>
              <w:t>35,257</w:t>
            </w:r>
          </w:p>
        </w:tc>
        <w:tc>
          <w:tcPr>
            <w:tcW w:w="0" w:type="auto"/>
            <w:tcBorders>
              <w:top w:val="nil"/>
              <w:left w:val="nil"/>
              <w:bottom w:val="nil"/>
              <w:right w:val="single" w:sz="4" w:space="0" w:color="auto"/>
            </w:tcBorders>
            <w:shd w:val="clear" w:color="000000" w:fill="FFFFFF"/>
            <w:vAlign w:val="bottom"/>
            <w:hideMark/>
          </w:tcPr>
          <w:p w14:paraId="60B44DA8" w14:textId="77777777" w:rsidR="00016C24" w:rsidRPr="0024033B" w:rsidRDefault="00016C24" w:rsidP="00500FD5">
            <w:pPr>
              <w:jc w:val="right"/>
              <w:rPr>
                <w:rFonts w:ascii="Arial" w:hAnsi="Arial" w:cs="Arial"/>
                <w:lang w:eastAsia="en-GB"/>
              </w:rPr>
            </w:pPr>
            <w:r w:rsidRPr="0024033B">
              <w:rPr>
                <w:rFonts w:ascii="Arial" w:hAnsi="Arial" w:cs="Arial"/>
                <w:lang w:eastAsia="en-GB"/>
              </w:rPr>
              <w:t>(22,391)</w:t>
            </w:r>
          </w:p>
        </w:tc>
      </w:tr>
      <w:tr w:rsidR="00016C24" w:rsidRPr="0024033B" w14:paraId="593FA2AD" w14:textId="77777777" w:rsidTr="00500FD5">
        <w:trPr>
          <w:trHeight w:val="300"/>
        </w:trPr>
        <w:tc>
          <w:tcPr>
            <w:tcW w:w="4106" w:type="dxa"/>
            <w:tcBorders>
              <w:top w:val="nil"/>
              <w:left w:val="single" w:sz="4" w:space="0" w:color="auto"/>
              <w:right w:val="single" w:sz="4" w:space="0" w:color="auto"/>
            </w:tcBorders>
            <w:shd w:val="clear" w:color="000000" w:fill="FFFFFF"/>
            <w:vAlign w:val="bottom"/>
            <w:hideMark/>
          </w:tcPr>
          <w:p w14:paraId="19F88370" w14:textId="77777777" w:rsidR="00016C24" w:rsidRPr="0024033B" w:rsidRDefault="00016C24" w:rsidP="00500FD5">
            <w:pPr>
              <w:rPr>
                <w:rFonts w:ascii="Arial" w:hAnsi="Arial" w:cs="Arial"/>
                <w:lang w:eastAsia="en-GB"/>
              </w:rPr>
            </w:pPr>
            <w:r w:rsidRPr="0024033B">
              <w:rPr>
                <w:rFonts w:ascii="Arial" w:hAnsi="Arial" w:cs="Arial"/>
                <w:lang w:eastAsia="en-GB"/>
              </w:rPr>
              <w:t>Homelessness Rough Sleeper</w:t>
            </w:r>
          </w:p>
        </w:tc>
        <w:tc>
          <w:tcPr>
            <w:tcW w:w="1134" w:type="dxa"/>
            <w:tcBorders>
              <w:top w:val="nil"/>
              <w:left w:val="nil"/>
              <w:right w:val="single" w:sz="4" w:space="0" w:color="auto"/>
            </w:tcBorders>
            <w:shd w:val="clear" w:color="000000" w:fill="FFFFFF"/>
            <w:vAlign w:val="bottom"/>
            <w:hideMark/>
          </w:tcPr>
          <w:p w14:paraId="6DD71722" w14:textId="77777777" w:rsidR="00016C24" w:rsidRPr="0024033B" w:rsidRDefault="00016C24" w:rsidP="00500FD5">
            <w:pPr>
              <w:jc w:val="right"/>
              <w:rPr>
                <w:rFonts w:ascii="Arial" w:hAnsi="Arial" w:cs="Arial"/>
                <w:lang w:eastAsia="en-GB"/>
              </w:rPr>
            </w:pPr>
            <w:r>
              <w:rPr>
                <w:rFonts w:ascii="Arial" w:hAnsi="Arial" w:cs="Arial"/>
                <w:lang w:eastAsia="en-GB"/>
              </w:rPr>
              <w:t>0</w:t>
            </w:r>
          </w:p>
        </w:tc>
        <w:tc>
          <w:tcPr>
            <w:tcW w:w="1414" w:type="dxa"/>
            <w:tcBorders>
              <w:top w:val="nil"/>
              <w:left w:val="nil"/>
              <w:right w:val="single" w:sz="4" w:space="0" w:color="auto"/>
            </w:tcBorders>
            <w:shd w:val="clear" w:color="000000" w:fill="FFFFFF"/>
            <w:vAlign w:val="bottom"/>
            <w:hideMark/>
          </w:tcPr>
          <w:p w14:paraId="6F9F6ABA" w14:textId="77777777" w:rsidR="00016C24" w:rsidRPr="0024033B" w:rsidRDefault="00016C24" w:rsidP="00500FD5">
            <w:pPr>
              <w:jc w:val="right"/>
              <w:rPr>
                <w:rFonts w:ascii="Arial" w:hAnsi="Arial" w:cs="Arial"/>
                <w:lang w:eastAsia="en-GB"/>
              </w:rPr>
            </w:pPr>
            <w:r w:rsidRPr="0024033B">
              <w:rPr>
                <w:rFonts w:ascii="Arial" w:hAnsi="Arial" w:cs="Arial"/>
                <w:lang w:eastAsia="en-GB"/>
              </w:rPr>
              <w:t>1,335</w:t>
            </w:r>
          </w:p>
        </w:tc>
        <w:tc>
          <w:tcPr>
            <w:tcW w:w="0" w:type="auto"/>
            <w:tcBorders>
              <w:top w:val="nil"/>
              <w:left w:val="nil"/>
              <w:right w:val="single" w:sz="4" w:space="0" w:color="auto"/>
            </w:tcBorders>
            <w:shd w:val="clear" w:color="000000" w:fill="FFFFFF"/>
            <w:vAlign w:val="bottom"/>
            <w:hideMark/>
          </w:tcPr>
          <w:p w14:paraId="51CE679E" w14:textId="77777777" w:rsidR="00016C24" w:rsidRPr="0024033B" w:rsidRDefault="00016C24" w:rsidP="00500FD5">
            <w:pPr>
              <w:jc w:val="right"/>
              <w:rPr>
                <w:rFonts w:ascii="Arial" w:hAnsi="Arial" w:cs="Arial"/>
                <w:lang w:eastAsia="en-GB"/>
              </w:rPr>
            </w:pPr>
            <w:r w:rsidRPr="0024033B">
              <w:rPr>
                <w:rFonts w:ascii="Arial" w:hAnsi="Arial" w:cs="Arial"/>
                <w:lang w:eastAsia="en-GB"/>
              </w:rPr>
              <w:t>1,335</w:t>
            </w:r>
          </w:p>
        </w:tc>
        <w:tc>
          <w:tcPr>
            <w:tcW w:w="0" w:type="auto"/>
            <w:tcBorders>
              <w:top w:val="nil"/>
              <w:left w:val="nil"/>
              <w:right w:val="single" w:sz="4" w:space="0" w:color="auto"/>
            </w:tcBorders>
            <w:shd w:val="clear" w:color="000000" w:fill="FFFFFF"/>
            <w:vAlign w:val="bottom"/>
            <w:hideMark/>
          </w:tcPr>
          <w:p w14:paraId="7669F096" w14:textId="77777777" w:rsidR="00016C24" w:rsidRPr="0024033B" w:rsidRDefault="00016C24" w:rsidP="00500FD5">
            <w:pPr>
              <w:jc w:val="right"/>
              <w:rPr>
                <w:rFonts w:ascii="Arial" w:hAnsi="Arial" w:cs="Arial"/>
                <w:lang w:eastAsia="en-GB"/>
              </w:rPr>
            </w:pPr>
            <w:r>
              <w:rPr>
                <w:rFonts w:ascii="Arial" w:hAnsi="Arial" w:cs="Arial"/>
                <w:lang w:eastAsia="en-GB"/>
              </w:rPr>
              <w:t>0</w:t>
            </w:r>
          </w:p>
        </w:tc>
      </w:tr>
      <w:tr w:rsidR="00016C24" w:rsidRPr="0024033B" w14:paraId="39276340" w14:textId="77777777" w:rsidTr="00500FD5">
        <w:trPr>
          <w:trHeight w:val="300"/>
        </w:trPr>
        <w:tc>
          <w:tcPr>
            <w:tcW w:w="4106" w:type="dxa"/>
            <w:tcBorders>
              <w:top w:val="nil"/>
              <w:left w:val="single" w:sz="4" w:space="0" w:color="auto"/>
              <w:bottom w:val="single" w:sz="2" w:space="0" w:color="auto"/>
              <w:right w:val="single" w:sz="4" w:space="0" w:color="auto"/>
            </w:tcBorders>
            <w:shd w:val="clear" w:color="000000" w:fill="FFFFFF"/>
            <w:vAlign w:val="bottom"/>
            <w:hideMark/>
          </w:tcPr>
          <w:p w14:paraId="7950AE2C" w14:textId="77777777" w:rsidR="00016C24" w:rsidRPr="0024033B" w:rsidRDefault="00016C24" w:rsidP="00500FD5">
            <w:pPr>
              <w:rPr>
                <w:rFonts w:ascii="Arial" w:hAnsi="Arial" w:cs="Arial"/>
                <w:lang w:eastAsia="en-GB"/>
              </w:rPr>
            </w:pPr>
            <w:r w:rsidRPr="0024033B">
              <w:rPr>
                <w:rFonts w:ascii="Arial" w:hAnsi="Arial" w:cs="Arial"/>
                <w:lang w:eastAsia="en-GB"/>
              </w:rPr>
              <w:t>Green Homes</w:t>
            </w:r>
          </w:p>
        </w:tc>
        <w:tc>
          <w:tcPr>
            <w:tcW w:w="1134" w:type="dxa"/>
            <w:tcBorders>
              <w:top w:val="nil"/>
              <w:left w:val="nil"/>
              <w:bottom w:val="single" w:sz="2" w:space="0" w:color="auto"/>
              <w:right w:val="single" w:sz="4" w:space="0" w:color="auto"/>
            </w:tcBorders>
            <w:shd w:val="clear" w:color="000000" w:fill="FFFFFF"/>
            <w:vAlign w:val="bottom"/>
            <w:hideMark/>
          </w:tcPr>
          <w:p w14:paraId="2736BA55" w14:textId="77777777" w:rsidR="00016C24" w:rsidRPr="0024033B" w:rsidRDefault="00016C24" w:rsidP="00500FD5">
            <w:pPr>
              <w:jc w:val="right"/>
              <w:rPr>
                <w:rFonts w:ascii="Arial" w:hAnsi="Arial" w:cs="Arial"/>
                <w:lang w:eastAsia="en-GB"/>
              </w:rPr>
            </w:pPr>
            <w:r>
              <w:rPr>
                <w:rFonts w:ascii="Arial" w:hAnsi="Arial" w:cs="Arial"/>
                <w:lang w:eastAsia="en-GB"/>
              </w:rPr>
              <w:t>0</w:t>
            </w:r>
          </w:p>
        </w:tc>
        <w:tc>
          <w:tcPr>
            <w:tcW w:w="1414" w:type="dxa"/>
            <w:tcBorders>
              <w:top w:val="nil"/>
              <w:left w:val="nil"/>
              <w:bottom w:val="single" w:sz="2" w:space="0" w:color="auto"/>
              <w:right w:val="single" w:sz="4" w:space="0" w:color="auto"/>
            </w:tcBorders>
            <w:shd w:val="clear" w:color="000000" w:fill="FFFFFF"/>
            <w:vAlign w:val="bottom"/>
            <w:hideMark/>
          </w:tcPr>
          <w:p w14:paraId="79971B87" w14:textId="77777777" w:rsidR="00016C24" w:rsidRPr="0024033B" w:rsidRDefault="00016C24" w:rsidP="00500FD5">
            <w:pPr>
              <w:jc w:val="right"/>
              <w:rPr>
                <w:rFonts w:ascii="Arial" w:hAnsi="Arial" w:cs="Arial"/>
                <w:lang w:eastAsia="en-GB"/>
              </w:rPr>
            </w:pPr>
            <w:r w:rsidRPr="0024033B">
              <w:rPr>
                <w:rFonts w:ascii="Arial" w:hAnsi="Arial" w:cs="Arial"/>
                <w:lang w:eastAsia="en-GB"/>
              </w:rPr>
              <w:t>3,300</w:t>
            </w:r>
          </w:p>
        </w:tc>
        <w:tc>
          <w:tcPr>
            <w:tcW w:w="0" w:type="auto"/>
            <w:tcBorders>
              <w:top w:val="nil"/>
              <w:left w:val="nil"/>
              <w:bottom w:val="single" w:sz="2" w:space="0" w:color="auto"/>
              <w:right w:val="single" w:sz="4" w:space="0" w:color="auto"/>
            </w:tcBorders>
            <w:shd w:val="clear" w:color="000000" w:fill="FFFFFF"/>
            <w:vAlign w:val="bottom"/>
            <w:hideMark/>
          </w:tcPr>
          <w:p w14:paraId="35080347" w14:textId="77777777" w:rsidR="00016C24" w:rsidRPr="0024033B" w:rsidRDefault="00016C24" w:rsidP="00500FD5">
            <w:pPr>
              <w:jc w:val="right"/>
              <w:rPr>
                <w:rFonts w:ascii="Arial" w:hAnsi="Arial" w:cs="Arial"/>
                <w:lang w:eastAsia="en-GB"/>
              </w:rPr>
            </w:pPr>
            <w:r w:rsidRPr="0024033B">
              <w:rPr>
                <w:rFonts w:ascii="Arial" w:hAnsi="Arial" w:cs="Arial"/>
                <w:lang w:eastAsia="en-GB"/>
              </w:rPr>
              <w:t>1,939</w:t>
            </w:r>
          </w:p>
        </w:tc>
        <w:tc>
          <w:tcPr>
            <w:tcW w:w="0" w:type="auto"/>
            <w:tcBorders>
              <w:top w:val="nil"/>
              <w:left w:val="nil"/>
              <w:bottom w:val="single" w:sz="2" w:space="0" w:color="auto"/>
              <w:right w:val="single" w:sz="4" w:space="0" w:color="auto"/>
            </w:tcBorders>
            <w:shd w:val="clear" w:color="000000" w:fill="FFFFFF"/>
            <w:vAlign w:val="bottom"/>
            <w:hideMark/>
          </w:tcPr>
          <w:p w14:paraId="0F7290BD" w14:textId="77777777" w:rsidR="00016C24" w:rsidRPr="0024033B" w:rsidRDefault="00016C24" w:rsidP="00500FD5">
            <w:pPr>
              <w:jc w:val="right"/>
              <w:rPr>
                <w:rFonts w:ascii="Arial" w:hAnsi="Arial" w:cs="Arial"/>
                <w:lang w:eastAsia="en-GB"/>
              </w:rPr>
            </w:pPr>
            <w:r w:rsidRPr="0024033B">
              <w:rPr>
                <w:rFonts w:ascii="Arial" w:hAnsi="Arial" w:cs="Arial"/>
                <w:lang w:eastAsia="en-GB"/>
              </w:rPr>
              <w:t>(1,361)</w:t>
            </w:r>
          </w:p>
        </w:tc>
      </w:tr>
      <w:tr w:rsidR="00016C24" w:rsidRPr="0024033B" w14:paraId="7E053CB1" w14:textId="77777777" w:rsidTr="00500FD5">
        <w:trPr>
          <w:trHeight w:val="253"/>
        </w:trPr>
        <w:tc>
          <w:tcPr>
            <w:tcW w:w="4106" w:type="dxa"/>
            <w:tcBorders>
              <w:top w:val="single" w:sz="2" w:space="0" w:color="auto"/>
              <w:left w:val="single" w:sz="4" w:space="0" w:color="auto"/>
              <w:bottom w:val="single" w:sz="2" w:space="0" w:color="auto"/>
              <w:right w:val="single" w:sz="4" w:space="0" w:color="auto"/>
            </w:tcBorders>
            <w:shd w:val="clear" w:color="000000" w:fill="FFFFFF"/>
            <w:vAlign w:val="bottom"/>
            <w:hideMark/>
          </w:tcPr>
          <w:p w14:paraId="371757C1" w14:textId="77777777" w:rsidR="00016C24" w:rsidRPr="0024033B" w:rsidRDefault="00016C24" w:rsidP="00500FD5">
            <w:pPr>
              <w:rPr>
                <w:rFonts w:ascii="Arial" w:hAnsi="Arial" w:cs="Arial"/>
                <w:b/>
                <w:bCs/>
                <w:lang w:eastAsia="en-GB"/>
              </w:rPr>
            </w:pPr>
            <w:r w:rsidRPr="0024033B">
              <w:rPr>
                <w:rFonts w:ascii="Arial" w:hAnsi="Arial" w:cs="Arial"/>
                <w:b/>
                <w:bCs/>
                <w:lang w:eastAsia="en-GB"/>
              </w:rPr>
              <w:t>Econ Development &amp; Reg</w:t>
            </w:r>
            <w:r>
              <w:rPr>
                <w:rFonts w:ascii="Arial" w:hAnsi="Arial" w:cs="Arial"/>
                <w:b/>
                <w:bCs/>
                <w:lang w:eastAsia="en-GB"/>
              </w:rPr>
              <w:t>en.</w:t>
            </w:r>
          </w:p>
        </w:tc>
        <w:tc>
          <w:tcPr>
            <w:tcW w:w="1134" w:type="dxa"/>
            <w:tcBorders>
              <w:top w:val="single" w:sz="2" w:space="0" w:color="auto"/>
              <w:left w:val="nil"/>
              <w:bottom w:val="single" w:sz="2" w:space="0" w:color="auto"/>
              <w:right w:val="single" w:sz="4" w:space="0" w:color="auto"/>
            </w:tcBorders>
            <w:shd w:val="clear" w:color="000000" w:fill="FFFFFF"/>
            <w:vAlign w:val="bottom"/>
            <w:hideMark/>
          </w:tcPr>
          <w:p w14:paraId="158E6839"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188,673</w:t>
            </w:r>
          </w:p>
        </w:tc>
        <w:tc>
          <w:tcPr>
            <w:tcW w:w="1414" w:type="dxa"/>
            <w:tcBorders>
              <w:top w:val="single" w:sz="2" w:space="0" w:color="auto"/>
              <w:left w:val="nil"/>
              <w:bottom w:val="single" w:sz="2" w:space="0" w:color="auto"/>
              <w:right w:val="single" w:sz="4" w:space="0" w:color="auto"/>
            </w:tcBorders>
            <w:shd w:val="clear" w:color="000000" w:fill="FFFFFF"/>
            <w:vAlign w:val="bottom"/>
            <w:hideMark/>
          </w:tcPr>
          <w:p w14:paraId="134115C5"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236,576</w:t>
            </w:r>
          </w:p>
        </w:tc>
        <w:tc>
          <w:tcPr>
            <w:tcW w:w="0" w:type="auto"/>
            <w:tcBorders>
              <w:top w:val="single" w:sz="2" w:space="0" w:color="auto"/>
              <w:left w:val="nil"/>
              <w:bottom w:val="single" w:sz="2" w:space="0" w:color="auto"/>
              <w:right w:val="single" w:sz="4" w:space="0" w:color="auto"/>
            </w:tcBorders>
            <w:shd w:val="clear" w:color="000000" w:fill="FFFFFF"/>
            <w:vAlign w:val="bottom"/>
            <w:hideMark/>
          </w:tcPr>
          <w:p w14:paraId="42ECEFD9"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269,558</w:t>
            </w:r>
          </w:p>
        </w:tc>
        <w:tc>
          <w:tcPr>
            <w:tcW w:w="0" w:type="auto"/>
            <w:tcBorders>
              <w:top w:val="single" w:sz="2" w:space="0" w:color="auto"/>
              <w:left w:val="nil"/>
              <w:bottom w:val="single" w:sz="2" w:space="0" w:color="auto"/>
              <w:right w:val="single" w:sz="4" w:space="0" w:color="auto"/>
            </w:tcBorders>
            <w:shd w:val="clear" w:color="000000" w:fill="FFFFFF"/>
            <w:vAlign w:val="bottom"/>
            <w:hideMark/>
          </w:tcPr>
          <w:p w14:paraId="16BA2409"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32,982</w:t>
            </w:r>
          </w:p>
        </w:tc>
      </w:tr>
      <w:tr w:rsidR="00016C24" w:rsidRPr="0024033B" w14:paraId="38063BE1" w14:textId="77777777" w:rsidTr="00500FD5">
        <w:trPr>
          <w:trHeight w:val="315"/>
        </w:trPr>
        <w:tc>
          <w:tcPr>
            <w:tcW w:w="4106" w:type="dxa"/>
            <w:tcBorders>
              <w:top w:val="single" w:sz="2" w:space="0" w:color="auto"/>
              <w:left w:val="single" w:sz="4" w:space="0" w:color="auto"/>
              <w:bottom w:val="nil"/>
              <w:right w:val="nil"/>
            </w:tcBorders>
            <w:shd w:val="clear" w:color="000000" w:fill="FFFFFF"/>
            <w:vAlign w:val="bottom"/>
            <w:hideMark/>
          </w:tcPr>
          <w:p w14:paraId="29F640D2" w14:textId="77777777" w:rsidR="00016C24" w:rsidRPr="0024033B" w:rsidRDefault="00016C24" w:rsidP="00500FD5">
            <w:pPr>
              <w:rPr>
                <w:rFonts w:ascii="Arial" w:hAnsi="Arial" w:cs="Arial"/>
                <w:b/>
                <w:bCs/>
                <w:lang w:eastAsia="en-GB"/>
              </w:rPr>
            </w:pPr>
            <w:r w:rsidRPr="0024033B">
              <w:rPr>
                <w:rFonts w:ascii="Arial" w:hAnsi="Arial" w:cs="Arial"/>
                <w:b/>
                <w:bCs/>
                <w:lang w:eastAsia="en-GB"/>
              </w:rPr>
              <w:t> </w:t>
            </w:r>
          </w:p>
        </w:tc>
        <w:tc>
          <w:tcPr>
            <w:tcW w:w="1134" w:type="dxa"/>
            <w:tcBorders>
              <w:top w:val="single" w:sz="2" w:space="0" w:color="auto"/>
              <w:left w:val="single" w:sz="4" w:space="0" w:color="auto"/>
              <w:bottom w:val="nil"/>
              <w:right w:val="nil"/>
            </w:tcBorders>
            <w:shd w:val="clear" w:color="000000" w:fill="FFFFFF"/>
            <w:vAlign w:val="bottom"/>
            <w:hideMark/>
          </w:tcPr>
          <w:p w14:paraId="67218F21"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 </w:t>
            </w:r>
          </w:p>
        </w:tc>
        <w:tc>
          <w:tcPr>
            <w:tcW w:w="1414" w:type="dxa"/>
            <w:tcBorders>
              <w:top w:val="single" w:sz="2" w:space="0" w:color="auto"/>
              <w:left w:val="single" w:sz="4" w:space="0" w:color="auto"/>
              <w:bottom w:val="nil"/>
              <w:right w:val="single" w:sz="4" w:space="0" w:color="auto"/>
            </w:tcBorders>
            <w:shd w:val="clear" w:color="000000" w:fill="FFFFFF"/>
            <w:vAlign w:val="bottom"/>
            <w:hideMark/>
          </w:tcPr>
          <w:p w14:paraId="0D7CD2D6"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 </w:t>
            </w:r>
          </w:p>
        </w:tc>
        <w:tc>
          <w:tcPr>
            <w:tcW w:w="0" w:type="auto"/>
            <w:tcBorders>
              <w:top w:val="single" w:sz="2" w:space="0" w:color="auto"/>
              <w:left w:val="nil"/>
              <w:bottom w:val="nil"/>
              <w:right w:val="single" w:sz="4" w:space="0" w:color="auto"/>
            </w:tcBorders>
            <w:shd w:val="clear" w:color="000000" w:fill="FFFFFF"/>
            <w:vAlign w:val="bottom"/>
            <w:hideMark/>
          </w:tcPr>
          <w:p w14:paraId="08B11A29"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 </w:t>
            </w:r>
          </w:p>
        </w:tc>
        <w:tc>
          <w:tcPr>
            <w:tcW w:w="0" w:type="auto"/>
            <w:tcBorders>
              <w:top w:val="single" w:sz="2" w:space="0" w:color="auto"/>
              <w:left w:val="nil"/>
              <w:bottom w:val="nil"/>
              <w:right w:val="single" w:sz="4" w:space="0" w:color="auto"/>
            </w:tcBorders>
            <w:shd w:val="clear" w:color="000000" w:fill="FFFFFF"/>
            <w:vAlign w:val="bottom"/>
            <w:hideMark/>
          </w:tcPr>
          <w:p w14:paraId="0D455623"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 </w:t>
            </w:r>
          </w:p>
        </w:tc>
      </w:tr>
      <w:tr w:rsidR="00016C24" w:rsidRPr="0024033B" w14:paraId="43677157" w14:textId="77777777" w:rsidTr="00500FD5">
        <w:trPr>
          <w:trHeight w:val="300"/>
        </w:trPr>
        <w:tc>
          <w:tcPr>
            <w:tcW w:w="4106" w:type="dxa"/>
            <w:tcBorders>
              <w:top w:val="nil"/>
              <w:left w:val="single" w:sz="4" w:space="0" w:color="auto"/>
              <w:bottom w:val="nil"/>
              <w:right w:val="nil"/>
            </w:tcBorders>
            <w:shd w:val="clear" w:color="000000" w:fill="FFFFFF"/>
            <w:vAlign w:val="bottom"/>
            <w:hideMark/>
          </w:tcPr>
          <w:p w14:paraId="6234054C" w14:textId="77777777" w:rsidR="00016C24" w:rsidRPr="0024033B" w:rsidRDefault="00016C24" w:rsidP="00500FD5">
            <w:pPr>
              <w:rPr>
                <w:rFonts w:ascii="Arial" w:hAnsi="Arial" w:cs="Arial"/>
                <w:lang w:eastAsia="en-GB"/>
              </w:rPr>
            </w:pPr>
            <w:r w:rsidRPr="0024033B">
              <w:rPr>
                <w:rFonts w:ascii="Arial" w:hAnsi="Arial" w:cs="Arial"/>
                <w:lang w:eastAsia="en-GB"/>
              </w:rPr>
              <w:t>Estates</w:t>
            </w:r>
          </w:p>
        </w:tc>
        <w:tc>
          <w:tcPr>
            <w:tcW w:w="1134" w:type="dxa"/>
            <w:tcBorders>
              <w:top w:val="nil"/>
              <w:left w:val="single" w:sz="4" w:space="0" w:color="auto"/>
              <w:bottom w:val="nil"/>
              <w:right w:val="nil"/>
            </w:tcBorders>
            <w:shd w:val="clear" w:color="000000" w:fill="FFFFFF"/>
            <w:vAlign w:val="bottom"/>
            <w:hideMark/>
          </w:tcPr>
          <w:p w14:paraId="00BC174B" w14:textId="77777777" w:rsidR="00016C24" w:rsidRPr="0024033B" w:rsidRDefault="00016C24" w:rsidP="00500FD5">
            <w:pPr>
              <w:jc w:val="right"/>
              <w:rPr>
                <w:rFonts w:ascii="Arial" w:hAnsi="Arial" w:cs="Arial"/>
                <w:lang w:eastAsia="en-GB"/>
              </w:rPr>
            </w:pPr>
            <w:r w:rsidRPr="0024033B">
              <w:rPr>
                <w:rFonts w:ascii="Arial" w:hAnsi="Arial" w:cs="Arial"/>
                <w:lang w:eastAsia="en-GB"/>
              </w:rPr>
              <w:t>4,999</w:t>
            </w:r>
          </w:p>
        </w:tc>
        <w:tc>
          <w:tcPr>
            <w:tcW w:w="1414" w:type="dxa"/>
            <w:tcBorders>
              <w:top w:val="nil"/>
              <w:left w:val="single" w:sz="4" w:space="0" w:color="auto"/>
              <w:bottom w:val="nil"/>
              <w:right w:val="single" w:sz="4" w:space="0" w:color="auto"/>
            </w:tcBorders>
            <w:shd w:val="clear" w:color="000000" w:fill="FFFFFF"/>
            <w:vAlign w:val="bottom"/>
            <w:hideMark/>
          </w:tcPr>
          <w:p w14:paraId="4AD65430" w14:textId="77777777" w:rsidR="00016C24" w:rsidRPr="0024033B" w:rsidRDefault="00016C24" w:rsidP="00500FD5">
            <w:pPr>
              <w:jc w:val="right"/>
              <w:rPr>
                <w:rFonts w:ascii="Arial" w:hAnsi="Arial" w:cs="Arial"/>
                <w:lang w:eastAsia="en-GB"/>
              </w:rPr>
            </w:pPr>
            <w:r w:rsidRPr="0024033B">
              <w:rPr>
                <w:rFonts w:ascii="Arial" w:hAnsi="Arial" w:cs="Arial"/>
                <w:lang w:eastAsia="en-GB"/>
              </w:rPr>
              <w:t>3,194</w:t>
            </w:r>
          </w:p>
        </w:tc>
        <w:tc>
          <w:tcPr>
            <w:tcW w:w="0" w:type="auto"/>
            <w:tcBorders>
              <w:top w:val="nil"/>
              <w:left w:val="nil"/>
              <w:bottom w:val="nil"/>
              <w:right w:val="single" w:sz="4" w:space="0" w:color="auto"/>
            </w:tcBorders>
            <w:shd w:val="clear" w:color="000000" w:fill="FFFFFF"/>
            <w:vAlign w:val="bottom"/>
            <w:hideMark/>
          </w:tcPr>
          <w:p w14:paraId="1B689B45" w14:textId="77777777" w:rsidR="00016C24" w:rsidRPr="0024033B" w:rsidRDefault="00016C24" w:rsidP="00500FD5">
            <w:pPr>
              <w:jc w:val="right"/>
              <w:rPr>
                <w:rFonts w:ascii="Arial" w:hAnsi="Arial" w:cs="Arial"/>
                <w:lang w:eastAsia="en-GB"/>
              </w:rPr>
            </w:pPr>
            <w:r w:rsidRPr="0024033B">
              <w:rPr>
                <w:rFonts w:ascii="Arial" w:hAnsi="Arial" w:cs="Arial"/>
                <w:lang w:eastAsia="en-GB"/>
              </w:rPr>
              <w:t>2,305</w:t>
            </w:r>
          </w:p>
        </w:tc>
        <w:tc>
          <w:tcPr>
            <w:tcW w:w="0" w:type="auto"/>
            <w:tcBorders>
              <w:top w:val="nil"/>
              <w:left w:val="nil"/>
              <w:bottom w:val="nil"/>
              <w:right w:val="single" w:sz="4" w:space="0" w:color="auto"/>
            </w:tcBorders>
            <w:shd w:val="clear" w:color="000000" w:fill="FFFFFF"/>
            <w:vAlign w:val="bottom"/>
            <w:hideMark/>
          </w:tcPr>
          <w:p w14:paraId="17195F3D" w14:textId="77777777" w:rsidR="00016C24" w:rsidRPr="0024033B" w:rsidRDefault="00016C24" w:rsidP="00500FD5">
            <w:pPr>
              <w:jc w:val="right"/>
              <w:rPr>
                <w:rFonts w:ascii="Arial" w:hAnsi="Arial" w:cs="Arial"/>
                <w:lang w:eastAsia="en-GB"/>
              </w:rPr>
            </w:pPr>
            <w:r w:rsidRPr="0024033B">
              <w:rPr>
                <w:rFonts w:ascii="Arial" w:hAnsi="Arial" w:cs="Arial"/>
                <w:lang w:eastAsia="en-GB"/>
              </w:rPr>
              <w:t>(889)</w:t>
            </w:r>
          </w:p>
        </w:tc>
      </w:tr>
      <w:tr w:rsidR="00016C24" w:rsidRPr="0024033B" w14:paraId="62CDC0F6" w14:textId="77777777" w:rsidTr="00500FD5">
        <w:trPr>
          <w:trHeight w:val="300"/>
        </w:trPr>
        <w:tc>
          <w:tcPr>
            <w:tcW w:w="4106" w:type="dxa"/>
            <w:tcBorders>
              <w:top w:val="nil"/>
              <w:left w:val="single" w:sz="4" w:space="0" w:color="auto"/>
              <w:bottom w:val="nil"/>
              <w:right w:val="nil"/>
            </w:tcBorders>
            <w:shd w:val="clear" w:color="000000" w:fill="FFFFFF"/>
            <w:vAlign w:val="bottom"/>
            <w:hideMark/>
          </w:tcPr>
          <w:p w14:paraId="7273E9B3" w14:textId="77777777" w:rsidR="00016C24" w:rsidRPr="0024033B" w:rsidRDefault="00016C24" w:rsidP="00500FD5">
            <w:pPr>
              <w:rPr>
                <w:rFonts w:ascii="Arial" w:hAnsi="Arial" w:cs="Arial"/>
                <w:lang w:eastAsia="en-GB"/>
              </w:rPr>
            </w:pPr>
            <w:r w:rsidRPr="0024033B">
              <w:rPr>
                <w:rFonts w:ascii="Arial" w:hAnsi="Arial" w:cs="Arial"/>
                <w:lang w:eastAsia="en-GB"/>
              </w:rPr>
              <w:t>ICT</w:t>
            </w:r>
          </w:p>
        </w:tc>
        <w:tc>
          <w:tcPr>
            <w:tcW w:w="1134" w:type="dxa"/>
            <w:tcBorders>
              <w:top w:val="nil"/>
              <w:left w:val="single" w:sz="4" w:space="0" w:color="auto"/>
              <w:bottom w:val="nil"/>
              <w:right w:val="nil"/>
            </w:tcBorders>
            <w:shd w:val="clear" w:color="000000" w:fill="FFFFFF"/>
            <w:vAlign w:val="bottom"/>
            <w:hideMark/>
          </w:tcPr>
          <w:p w14:paraId="63D962B9" w14:textId="77777777" w:rsidR="00016C24" w:rsidRPr="0024033B" w:rsidRDefault="00016C24" w:rsidP="00500FD5">
            <w:pPr>
              <w:jc w:val="right"/>
              <w:rPr>
                <w:rFonts w:ascii="Arial" w:hAnsi="Arial" w:cs="Arial"/>
                <w:lang w:eastAsia="en-GB"/>
              </w:rPr>
            </w:pPr>
            <w:r w:rsidRPr="0024033B">
              <w:rPr>
                <w:rFonts w:ascii="Arial" w:hAnsi="Arial" w:cs="Arial"/>
                <w:lang w:eastAsia="en-GB"/>
              </w:rPr>
              <w:t>4,017</w:t>
            </w:r>
          </w:p>
        </w:tc>
        <w:tc>
          <w:tcPr>
            <w:tcW w:w="1414" w:type="dxa"/>
            <w:tcBorders>
              <w:top w:val="nil"/>
              <w:left w:val="single" w:sz="4" w:space="0" w:color="auto"/>
              <w:bottom w:val="nil"/>
              <w:right w:val="single" w:sz="4" w:space="0" w:color="auto"/>
            </w:tcBorders>
            <w:shd w:val="clear" w:color="000000" w:fill="FFFFFF"/>
            <w:vAlign w:val="bottom"/>
            <w:hideMark/>
          </w:tcPr>
          <w:p w14:paraId="25AD4639" w14:textId="77777777" w:rsidR="00016C24" w:rsidRPr="0024033B" w:rsidRDefault="00016C24" w:rsidP="00500FD5">
            <w:pPr>
              <w:jc w:val="right"/>
              <w:rPr>
                <w:rFonts w:ascii="Arial" w:hAnsi="Arial" w:cs="Arial"/>
                <w:lang w:eastAsia="en-GB"/>
              </w:rPr>
            </w:pPr>
            <w:r w:rsidRPr="0024033B">
              <w:rPr>
                <w:rFonts w:ascii="Arial" w:hAnsi="Arial" w:cs="Arial"/>
                <w:lang w:eastAsia="en-GB"/>
              </w:rPr>
              <w:t>1,820</w:t>
            </w:r>
          </w:p>
        </w:tc>
        <w:tc>
          <w:tcPr>
            <w:tcW w:w="0" w:type="auto"/>
            <w:tcBorders>
              <w:top w:val="nil"/>
              <w:left w:val="nil"/>
              <w:bottom w:val="nil"/>
              <w:right w:val="single" w:sz="4" w:space="0" w:color="auto"/>
            </w:tcBorders>
            <w:shd w:val="clear" w:color="000000" w:fill="FFFFFF"/>
            <w:vAlign w:val="bottom"/>
            <w:hideMark/>
          </w:tcPr>
          <w:p w14:paraId="036BCB95" w14:textId="77777777" w:rsidR="00016C24" w:rsidRPr="0024033B" w:rsidRDefault="00016C24" w:rsidP="00500FD5">
            <w:pPr>
              <w:jc w:val="right"/>
              <w:rPr>
                <w:rFonts w:ascii="Arial" w:hAnsi="Arial" w:cs="Arial"/>
                <w:lang w:eastAsia="en-GB"/>
              </w:rPr>
            </w:pPr>
            <w:r w:rsidRPr="0024033B">
              <w:rPr>
                <w:rFonts w:ascii="Arial" w:hAnsi="Arial" w:cs="Arial"/>
                <w:lang w:eastAsia="en-GB"/>
              </w:rPr>
              <w:t>407</w:t>
            </w:r>
          </w:p>
        </w:tc>
        <w:tc>
          <w:tcPr>
            <w:tcW w:w="0" w:type="auto"/>
            <w:tcBorders>
              <w:top w:val="nil"/>
              <w:left w:val="nil"/>
              <w:bottom w:val="nil"/>
              <w:right w:val="single" w:sz="4" w:space="0" w:color="auto"/>
            </w:tcBorders>
            <w:shd w:val="clear" w:color="000000" w:fill="FFFFFF"/>
            <w:vAlign w:val="bottom"/>
            <w:hideMark/>
          </w:tcPr>
          <w:p w14:paraId="596DC28F" w14:textId="77777777" w:rsidR="00016C24" w:rsidRPr="0024033B" w:rsidRDefault="00016C24" w:rsidP="00500FD5">
            <w:pPr>
              <w:jc w:val="right"/>
              <w:rPr>
                <w:rFonts w:ascii="Arial" w:hAnsi="Arial" w:cs="Arial"/>
                <w:lang w:eastAsia="en-GB"/>
              </w:rPr>
            </w:pPr>
            <w:r w:rsidRPr="0024033B">
              <w:rPr>
                <w:rFonts w:ascii="Arial" w:hAnsi="Arial" w:cs="Arial"/>
                <w:lang w:eastAsia="en-GB"/>
              </w:rPr>
              <w:t>(1,413)</w:t>
            </w:r>
          </w:p>
        </w:tc>
      </w:tr>
      <w:tr w:rsidR="00016C24" w:rsidRPr="0024033B" w14:paraId="5B6CD346" w14:textId="77777777" w:rsidTr="00500FD5">
        <w:trPr>
          <w:trHeight w:val="300"/>
        </w:trPr>
        <w:tc>
          <w:tcPr>
            <w:tcW w:w="4106" w:type="dxa"/>
            <w:tcBorders>
              <w:top w:val="nil"/>
              <w:left w:val="single" w:sz="4" w:space="0" w:color="auto"/>
              <w:bottom w:val="nil"/>
              <w:right w:val="nil"/>
            </w:tcBorders>
            <w:shd w:val="clear" w:color="000000" w:fill="FFFFFF"/>
            <w:vAlign w:val="bottom"/>
            <w:hideMark/>
          </w:tcPr>
          <w:p w14:paraId="0A70957B" w14:textId="77777777" w:rsidR="00016C24" w:rsidRPr="0024033B" w:rsidRDefault="00016C24" w:rsidP="00500FD5">
            <w:pPr>
              <w:rPr>
                <w:rFonts w:ascii="Arial" w:hAnsi="Arial" w:cs="Arial"/>
                <w:lang w:eastAsia="en-GB"/>
              </w:rPr>
            </w:pPr>
            <w:r w:rsidRPr="0024033B">
              <w:rPr>
                <w:rFonts w:ascii="Arial" w:hAnsi="Arial" w:cs="Arial"/>
                <w:lang w:eastAsia="en-GB"/>
              </w:rPr>
              <w:t>Vehicles &amp; Equipment</w:t>
            </w:r>
          </w:p>
        </w:tc>
        <w:tc>
          <w:tcPr>
            <w:tcW w:w="1134" w:type="dxa"/>
            <w:tcBorders>
              <w:top w:val="nil"/>
              <w:left w:val="single" w:sz="4" w:space="0" w:color="auto"/>
              <w:bottom w:val="nil"/>
              <w:right w:val="nil"/>
            </w:tcBorders>
            <w:shd w:val="clear" w:color="000000" w:fill="FFFFFF"/>
            <w:vAlign w:val="bottom"/>
            <w:hideMark/>
          </w:tcPr>
          <w:p w14:paraId="1C2349AE" w14:textId="77777777" w:rsidR="00016C24" w:rsidRPr="0024033B" w:rsidRDefault="00016C24" w:rsidP="00500FD5">
            <w:pPr>
              <w:jc w:val="right"/>
              <w:rPr>
                <w:rFonts w:ascii="Arial" w:hAnsi="Arial" w:cs="Arial"/>
                <w:lang w:eastAsia="en-GB"/>
              </w:rPr>
            </w:pPr>
            <w:r w:rsidRPr="0024033B">
              <w:rPr>
                <w:rFonts w:ascii="Arial" w:hAnsi="Arial" w:cs="Arial"/>
                <w:lang w:eastAsia="en-GB"/>
              </w:rPr>
              <w:t>4,186</w:t>
            </w:r>
          </w:p>
        </w:tc>
        <w:tc>
          <w:tcPr>
            <w:tcW w:w="1414" w:type="dxa"/>
            <w:tcBorders>
              <w:top w:val="nil"/>
              <w:left w:val="single" w:sz="4" w:space="0" w:color="auto"/>
              <w:bottom w:val="nil"/>
              <w:right w:val="single" w:sz="4" w:space="0" w:color="auto"/>
            </w:tcBorders>
            <w:shd w:val="clear" w:color="000000" w:fill="FFFFFF"/>
            <w:vAlign w:val="bottom"/>
            <w:hideMark/>
          </w:tcPr>
          <w:p w14:paraId="10CE6251" w14:textId="77777777" w:rsidR="00016C24" w:rsidRPr="0024033B" w:rsidRDefault="00016C24" w:rsidP="00500FD5">
            <w:pPr>
              <w:jc w:val="right"/>
              <w:rPr>
                <w:rFonts w:ascii="Arial" w:hAnsi="Arial" w:cs="Arial"/>
                <w:lang w:eastAsia="en-GB"/>
              </w:rPr>
            </w:pPr>
            <w:r w:rsidRPr="0024033B">
              <w:rPr>
                <w:rFonts w:ascii="Arial" w:hAnsi="Arial" w:cs="Arial"/>
                <w:lang w:eastAsia="en-GB"/>
              </w:rPr>
              <w:t>3,779</w:t>
            </w:r>
          </w:p>
        </w:tc>
        <w:tc>
          <w:tcPr>
            <w:tcW w:w="0" w:type="auto"/>
            <w:tcBorders>
              <w:top w:val="nil"/>
              <w:left w:val="nil"/>
              <w:bottom w:val="nil"/>
              <w:right w:val="single" w:sz="4" w:space="0" w:color="auto"/>
            </w:tcBorders>
            <w:shd w:val="clear" w:color="000000" w:fill="FFFFFF"/>
            <w:vAlign w:val="bottom"/>
            <w:hideMark/>
          </w:tcPr>
          <w:p w14:paraId="589E898D" w14:textId="77777777" w:rsidR="00016C24" w:rsidRPr="0024033B" w:rsidRDefault="00016C24" w:rsidP="00500FD5">
            <w:pPr>
              <w:jc w:val="right"/>
              <w:rPr>
                <w:rFonts w:ascii="Arial" w:hAnsi="Arial" w:cs="Arial"/>
                <w:lang w:eastAsia="en-GB"/>
              </w:rPr>
            </w:pPr>
            <w:r w:rsidRPr="0024033B">
              <w:rPr>
                <w:rFonts w:ascii="Arial" w:hAnsi="Arial" w:cs="Arial"/>
                <w:lang w:eastAsia="en-GB"/>
              </w:rPr>
              <w:t>1,988</w:t>
            </w:r>
          </w:p>
        </w:tc>
        <w:tc>
          <w:tcPr>
            <w:tcW w:w="0" w:type="auto"/>
            <w:tcBorders>
              <w:top w:val="nil"/>
              <w:left w:val="nil"/>
              <w:bottom w:val="nil"/>
              <w:right w:val="single" w:sz="4" w:space="0" w:color="auto"/>
            </w:tcBorders>
            <w:shd w:val="clear" w:color="000000" w:fill="FFFFFF"/>
            <w:vAlign w:val="bottom"/>
            <w:hideMark/>
          </w:tcPr>
          <w:p w14:paraId="550FD50A" w14:textId="77777777" w:rsidR="00016C24" w:rsidRPr="0024033B" w:rsidRDefault="00016C24" w:rsidP="00500FD5">
            <w:pPr>
              <w:jc w:val="right"/>
              <w:rPr>
                <w:rFonts w:ascii="Arial" w:hAnsi="Arial" w:cs="Arial"/>
                <w:lang w:eastAsia="en-GB"/>
              </w:rPr>
            </w:pPr>
            <w:r w:rsidRPr="0024033B">
              <w:rPr>
                <w:rFonts w:ascii="Arial" w:hAnsi="Arial" w:cs="Arial"/>
                <w:lang w:eastAsia="en-GB"/>
              </w:rPr>
              <w:t>(1,791)</w:t>
            </w:r>
          </w:p>
        </w:tc>
      </w:tr>
      <w:tr w:rsidR="00016C24" w:rsidRPr="0024033B" w14:paraId="4FEB6B3A" w14:textId="77777777" w:rsidTr="00500FD5">
        <w:trPr>
          <w:trHeight w:val="300"/>
        </w:trPr>
        <w:tc>
          <w:tcPr>
            <w:tcW w:w="4106" w:type="dxa"/>
            <w:tcBorders>
              <w:top w:val="nil"/>
              <w:left w:val="single" w:sz="4" w:space="0" w:color="auto"/>
              <w:bottom w:val="nil"/>
              <w:right w:val="nil"/>
            </w:tcBorders>
            <w:shd w:val="clear" w:color="000000" w:fill="FFFFFF"/>
            <w:vAlign w:val="bottom"/>
            <w:hideMark/>
          </w:tcPr>
          <w:p w14:paraId="78F1FAD2" w14:textId="77777777" w:rsidR="00016C24" w:rsidRPr="0024033B" w:rsidRDefault="00016C24" w:rsidP="00500FD5">
            <w:pPr>
              <w:rPr>
                <w:rFonts w:ascii="Arial" w:hAnsi="Arial" w:cs="Arial"/>
                <w:lang w:eastAsia="en-GB"/>
              </w:rPr>
            </w:pPr>
            <w:r w:rsidRPr="0024033B">
              <w:rPr>
                <w:rFonts w:ascii="Arial" w:hAnsi="Arial" w:cs="Arial"/>
                <w:lang w:eastAsia="en-GB"/>
              </w:rPr>
              <w:t>Sustainability</w:t>
            </w:r>
          </w:p>
        </w:tc>
        <w:tc>
          <w:tcPr>
            <w:tcW w:w="1134" w:type="dxa"/>
            <w:tcBorders>
              <w:top w:val="nil"/>
              <w:left w:val="single" w:sz="4" w:space="0" w:color="auto"/>
              <w:bottom w:val="nil"/>
              <w:right w:val="nil"/>
            </w:tcBorders>
            <w:shd w:val="clear" w:color="000000" w:fill="FFFFFF"/>
            <w:vAlign w:val="bottom"/>
            <w:hideMark/>
          </w:tcPr>
          <w:p w14:paraId="763034AF" w14:textId="77777777" w:rsidR="00016C24" w:rsidRPr="0024033B" w:rsidRDefault="00016C24" w:rsidP="00500FD5">
            <w:pPr>
              <w:jc w:val="right"/>
              <w:rPr>
                <w:rFonts w:ascii="Arial" w:hAnsi="Arial" w:cs="Arial"/>
                <w:lang w:eastAsia="en-GB"/>
              </w:rPr>
            </w:pPr>
            <w:r w:rsidRPr="0024033B">
              <w:rPr>
                <w:rFonts w:ascii="Arial" w:hAnsi="Arial" w:cs="Arial"/>
                <w:lang w:eastAsia="en-GB"/>
              </w:rPr>
              <w:t>75</w:t>
            </w:r>
          </w:p>
        </w:tc>
        <w:tc>
          <w:tcPr>
            <w:tcW w:w="1414" w:type="dxa"/>
            <w:tcBorders>
              <w:top w:val="nil"/>
              <w:left w:val="single" w:sz="4" w:space="0" w:color="auto"/>
              <w:bottom w:val="nil"/>
              <w:right w:val="single" w:sz="4" w:space="0" w:color="auto"/>
            </w:tcBorders>
            <w:shd w:val="clear" w:color="000000" w:fill="FFFFFF"/>
            <w:vAlign w:val="bottom"/>
            <w:hideMark/>
          </w:tcPr>
          <w:p w14:paraId="32621B15" w14:textId="77777777" w:rsidR="00016C24" w:rsidRPr="0024033B" w:rsidRDefault="00016C24" w:rsidP="00500FD5">
            <w:pPr>
              <w:jc w:val="right"/>
              <w:rPr>
                <w:rFonts w:ascii="Arial" w:hAnsi="Arial" w:cs="Arial"/>
                <w:lang w:eastAsia="en-GB"/>
              </w:rPr>
            </w:pPr>
            <w:r w:rsidRPr="0024033B">
              <w:rPr>
                <w:rFonts w:ascii="Arial" w:hAnsi="Arial" w:cs="Arial"/>
                <w:lang w:eastAsia="en-GB"/>
              </w:rPr>
              <w:t>342</w:t>
            </w:r>
          </w:p>
        </w:tc>
        <w:tc>
          <w:tcPr>
            <w:tcW w:w="0" w:type="auto"/>
            <w:tcBorders>
              <w:top w:val="nil"/>
              <w:left w:val="nil"/>
              <w:bottom w:val="nil"/>
              <w:right w:val="single" w:sz="4" w:space="0" w:color="auto"/>
            </w:tcBorders>
            <w:shd w:val="clear" w:color="000000" w:fill="FFFFFF"/>
            <w:vAlign w:val="bottom"/>
            <w:hideMark/>
          </w:tcPr>
          <w:p w14:paraId="78B5B1B1" w14:textId="77777777" w:rsidR="00016C24" w:rsidRPr="0024033B" w:rsidRDefault="00016C24" w:rsidP="00500FD5">
            <w:pPr>
              <w:jc w:val="right"/>
              <w:rPr>
                <w:rFonts w:ascii="Arial" w:hAnsi="Arial" w:cs="Arial"/>
                <w:lang w:eastAsia="en-GB"/>
              </w:rPr>
            </w:pPr>
            <w:r w:rsidRPr="0024033B">
              <w:rPr>
                <w:rFonts w:ascii="Arial" w:hAnsi="Arial" w:cs="Arial"/>
                <w:lang w:eastAsia="en-GB"/>
              </w:rPr>
              <w:t>409</w:t>
            </w:r>
          </w:p>
        </w:tc>
        <w:tc>
          <w:tcPr>
            <w:tcW w:w="0" w:type="auto"/>
            <w:tcBorders>
              <w:top w:val="nil"/>
              <w:left w:val="nil"/>
              <w:bottom w:val="nil"/>
              <w:right w:val="single" w:sz="4" w:space="0" w:color="auto"/>
            </w:tcBorders>
            <w:shd w:val="clear" w:color="000000" w:fill="FFFFFF"/>
            <w:vAlign w:val="bottom"/>
            <w:hideMark/>
          </w:tcPr>
          <w:p w14:paraId="6D6ED4ED" w14:textId="77777777" w:rsidR="00016C24" w:rsidRPr="0024033B" w:rsidRDefault="00016C24" w:rsidP="00500FD5">
            <w:pPr>
              <w:jc w:val="right"/>
              <w:rPr>
                <w:rFonts w:ascii="Arial" w:hAnsi="Arial" w:cs="Arial"/>
                <w:lang w:eastAsia="en-GB"/>
              </w:rPr>
            </w:pPr>
            <w:r w:rsidRPr="0024033B">
              <w:rPr>
                <w:rFonts w:ascii="Arial" w:hAnsi="Arial" w:cs="Arial"/>
                <w:lang w:eastAsia="en-GB"/>
              </w:rPr>
              <w:t>67</w:t>
            </w:r>
          </w:p>
        </w:tc>
      </w:tr>
      <w:tr w:rsidR="00016C24" w:rsidRPr="0024033B" w14:paraId="4185EEBF" w14:textId="77777777" w:rsidTr="00500FD5">
        <w:trPr>
          <w:trHeight w:val="300"/>
        </w:trPr>
        <w:tc>
          <w:tcPr>
            <w:tcW w:w="4106" w:type="dxa"/>
            <w:tcBorders>
              <w:top w:val="nil"/>
              <w:left w:val="single" w:sz="4" w:space="0" w:color="auto"/>
              <w:bottom w:val="single" w:sz="4" w:space="0" w:color="auto"/>
              <w:right w:val="single" w:sz="4" w:space="0" w:color="auto"/>
            </w:tcBorders>
            <w:shd w:val="clear" w:color="000000" w:fill="FFFFFF"/>
            <w:vAlign w:val="bottom"/>
            <w:hideMark/>
          </w:tcPr>
          <w:p w14:paraId="157D75E7" w14:textId="77777777" w:rsidR="00016C24" w:rsidRPr="0024033B" w:rsidRDefault="00016C24" w:rsidP="00500FD5">
            <w:pPr>
              <w:rPr>
                <w:rFonts w:ascii="Arial" w:hAnsi="Arial" w:cs="Arial"/>
                <w:lang w:eastAsia="en-GB"/>
              </w:rPr>
            </w:pPr>
            <w:r w:rsidRPr="0024033B">
              <w:rPr>
                <w:rFonts w:ascii="Arial" w:hAnsi="Arial" w:cs="Arial"/>
                <w:lang w:eastAsia="en-GB"/>
              </w:rPr>
              <w:t>Waking Watch Relief</w:t>
            </w:r>
          </w:p>
        </w:tc>
        <w:tc>
          <w:tcPr>
            <w:tcW w:w="1134" w:type="dxa"/>
            <w:tcBorders>
              <w:top w:val="nil"/>
              <w:left w:val="nil"/>
              <w:bottom w:val="single" w:sz="4" w:space="0" w:color="auto"/>
              <w:right w:val="single" w:sz="4" w:space="0" w:color="auto"/>
            </w:tcBorders>
            <w:shd w:val="clear" w:color="000000" w:fill="FFFFFF"/>
            <w:vAlign w:val="bottom"/>
            <w:hideMark/>
          </w:tcPr>
          <w:p w14:paraId="0920CCA1" w14:textId="77777777" w:rsidR="00016C24" w:rsidRPr="0024033B" w:rsidRDefault="00016C24" w:rsidP="00500FD5">
            <w:pPr>
              <w:jc w:val="right"/>
              <w:rPr>
                <w:rFonts w:ascii="Arial" w:hAnsi="Arial" w:cs="Arial"/>
                <w:lang w:eastAsia="en-GB"/>
              </w:rPr>
            </w:pPr>
            <w:r>
              <w:rPr>
                <w:rFonts w:ascii="Arial" w:hAnsi="Arial" w:cs="Arial"/>
                <w:lang w:eastAsia="en-GB"/>
              </w:rPr>
              <w:t>0</w:t>
            </w:r>
          </w:p>
        </w:tc>
        <w:tc>
          <w:tcPr>
            <w:tcW w:w="1414" w:type="dxa"/>
            <w:tcBorders>
              <w:top w:val="nil"/>
              <w:left w:val="nil"/>
              <w:bottom w:val="single" w:sz="4" w:space="0" w:color="auto"/>
              <w:right w:val="single" w:sz="4" w:space="0" w:color="auto"/>
            </w:tcBorders>
            <w:shd w:val="clear" w:color="000000" w:fill="FFFFFF"/>
            <w:vAlign w:val="bottom"/>
            <w:hideMark/>
          </w:tcPr>
          <w:p w14:paraId="4A56E852" w14:textId="77777777" w:rsidR="00016C24" w:rsidRPr="0024033B" w:rsidRDefault="00016C24" w:rsidP="00500FD5">
            <w:pPr>
              <w:jc w:val="right"/>
              <w:rPr>
                <w:rFonts w:ascii="Arial" w:hAnsi="Arial" w:cs="Arial"/>
                <w:lang w:eastAsia="en-GB"/>
              </w:rPr>
            </w:pPr>
            <w:r w:rsidRPr="0024033B">
              <w:rPr>
                <w:rFonts w:ascii="Arial" w:hAnsi="Arial" w:cs="Arial"/>
                <w:lang w:eastAsia="en-GB"/>
              </w:rPr>
              <w:t>2,050</w:t>
            </w:r>
          </w:p>
        </w:tc>
        <w:tc>
          <w:tcPr>
            <w:tcW w:w="0" w:type="auto"/>
            <w:tcBorders>
              <w:top w:val="nil"/>
              <w:left w:val="nil"/>
              <w:bottom w:val="single" w:sz="4" w:space="0" w:color="auto"/>
              <w:right w:val="single" w:sz="4" w:space="0" w:color="auto"/>
            </w:tcBorders>
            <w:shd w:val="clear" w:color="000000" w:fill="FFFFFF"/>
            <w:vAlign w:val="bottom"/>
            <w:hideMark/>
          </w:tcPr>
          <w:p w14:paraId="031B7599" w14:textId="77777777" w:rsidR="00016C24" w:rsidRPr="0024033B" w:rsidRDefault="00016C24" w:rsidP="00500FD5">
            <w:pPr>
              <w:jc w:val="right"/>
              <w:rPr>
                <w:rFonts w:ascii="Arial" w:hAnsi="Arial" w:cs="Arial"/>
                <w:lang w:eastAsia="en-GB"/>
              </w:rPr>
            </w:pPr>
            <w:r w:rsidRPr="0024033B">
              <w:rPr>
                <w:rFonts w:ascii="Arial" w:hAnsi="Arial" w:cs="Arial"/>
                <w:lang w:eastAsia="en-GB"/>
              </w:rPr>
              <w:t>1,751</w:t>
            </w:r>
          </w:p>
        </w:tc>
        <w:tc>
          <w:tcPr>
            <w:tcW w:w="0" w:type="auto"/>
            <w:tcBorders>
              <w:top w:val="nil"/>
              <w:left w:val="nil"/>
              <w:bottom w:val="single" w:sz="4" w:space="0" w:color="auto"/>
              <w:right w:val="single" w:sz="4" w:space="0" w:color="auto"/>
            </w:tcBorders>
            <w:shd w:val="clear" w:color="000000" w:fill="FFFFFF"/>
            <w:vAlign w:val="bottom"/>
            <w:hideMark/>
          </w:tcPr>
          <w:p w14:paraId="4F7B1FF6" w14:textId="77777777" w:rsidR="00016C24" w:rsidRPr="0024033B" w:rsidRDefault="00016C24" w:rsidP="00500FD5">
            <w:pPr>
              <w:jc w:val="right"/>
              <w:rPr>
                <w:rFonts w:ascii="Arial" w:hAnsi="Arial" w:cs="Arial"/>
                <w:lang w:eastAsia="en-GB"/>
              </w:rPr>
            </w:pPr>
            <w:r w:rsidRPr="0024033B">
              <w:rPr>
                <w:rFonts w:ascii="Arial" w:hAnsi="Arial" w:cs="Arial"/>
                <w:lang w:eastAsia="en-GB"/>
              </w:rPr>
              <w:t>(299)</w:t>
            </w:r>
          </w:p>
        </w:tc>
      </w:tr>
      <w:tr w:rsidR="00016C24" w:rsidRPr="0024033B" w14:paraId="69F7EC11" w14:textId="77777777" w:rsidTr="00500FD5">
        <w:trPr>
          <w:trHeight w:val="330"/>
        </w:trPr>
        <w:tc>
          <w:tcPr>
            <w:tcW w:w="410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24DFB7" w14:textId="77777777" w:rsidR="00016C24" w:rsidRPr="0024033B" w:rsidRDefault="00016C24" w:rsidP="00500FD5">
            <w:pPr>
              <w:rPr>
                <w:rFonts w:ascii="Arial" w:hAnsi="Arial" w:cs="Arial"/>
                <w:b/>
                <w:bCs/>
                <w:lang w:eastAsia="en-GB"/>
              </w:rPr>
            </w:pPr>
            <w:r w:rsidRPr="0024033B">
              <w:rPr>
                <w:rFonts w:ascii="Arial" w:hAnsi="Arial" w:cs="Arial"/>
                <w:b/>
                <w:bCs/>
                <w:lang w:eastAsia="en-GB"/>
              </w:rPr>
              <w:t>Fire and Rescue Service</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14:paraId="03A75084"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13,277</w:t>
            </w:r>
          </w:p>
        </w:tc>
        <w:tc>
          <w:tcPr>
            <w:tcW w:w="1414" w:type="dxa"/>
            <w:tcBorders>
              <w:top w:val="single" w:sz="4" w:space="0" w:color="auto"/>
              <w:left w:val="nil"/>
              <w:bottom w:val="single" w:sz="4" w:space="0" w:color="auto"/>
              <w:right w:val="single" w:sz="4" w:space="0" w:color="auto"/>
            </w:tcBorders>
            <w:shd w:val="clear" w:color="000000" w:fill="FFFFFF"/>
            <w:vAlign w:val="bottom"/>
            <w:hideMark/>
          </w:tcPr>
          <w:p w14:paraId="44C8940C"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11,185</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14:paraId="5DE45DC2"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6,861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14:paraId="1CEDCDAB"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(4,324)</w:t>
            </w:r>
          </w:p>
        </w:tc>
      </w:tr>
      <w:tr w:rsidR="00016C24" w:rsidRPr="0024033B" w14:paraId="00CA9437" w14:textId="77777777" w:rsidTr="00500FD5">
        <w:trPr>
          <w:trHeight w:val="315"/>
        </w:trPr>
        <w:tc>
          <w:tcPr>
            <w:tcW w:w="4106" w:type="dxa"/>
            <w:tcBorders>
              <w:top w:val="single" w:sz="4" w:space="0" w:color="auto"/>
              <w:left w:val="single" w:sz="4" w:space="0" w:color="auto"/>
              <w:bottom w:val="nil"/>
              <w:right w:val="nil"/>
            </w:tcBorders>
            <w:shd w:val="clear" w:color="000000" w:fill="FFFFFF"/>
            <w:vAlign w:val="bottom"/>
            <w:hideMark/>
          </w:tcPr>
          <w:p w14:paraId="672824EF" w14:textId="77777777" w:rsidR="00016C24" w:rsidRPr="0024033B" w:rsidRDefault="00016C24" w:rsidP="00500FD5">
            <w:pPr>
              <w:rPr>
                <w:rFonts w:ascii="Arial" w:hAnsi="Arial" w:cs="Arial"/>
                <w:b/>
                <w:bCs/>
                <w:lang w:eastAsia="en-GB"/>
              </w:rPr>
            </w:pPr>
            <w:r w:rsidRPr="0024033B">
              <w:rPr>
                <w:rFonts w:ascii="Arial" w:hAnsi="Arial" w:cs="Arial"/>
                <w:b/>
                <w:bCs/>
                <w:lang w:eastAsia="en-GB"/>
              </w:rPr>
              <w:t> </w:t>
            </w:r>
          </w:p>
        </w:tc>
        <w:tc>
          <w:tcPr>
            <w:tcW w:w="1134" w:type="dxa"/>
            <w:tcBorders>
              <w:top w:val="single" w:sz="4" w:space="0" w:color="auto"/>
              <w:left w:val="single" w:sz="4" w:space="0" w:color="auto"/>
              <w:bottom w:val="nil"/>
              <w:right w:val="nil"/>
            </w:tcBorders>
            <w:shd w:val="clear" w:color="000000" w:fill="FFFFFF"/>
            <w:vAlign w:val="bottom"/>
            <w:hideMark/>
          </w:tcPr>
          <w:p w14:paraId="0A1DE016"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 </w:t>
            </w:r>
          </w:p>
        </w:tc>
        <w:tc>
          <w:tcPr>
            <w:tcW w:w="1414" w:type="dxa"/>
            <w:tcBorders>
              <w:top w:val="single" w:sz="4" w:space="0" w:color="auto"/>
              <w:left w:val="single" w:sz="4" w:space="0" w:color="auto"/>
              <w:bottom w:val="nil"/>
              <w:right w:val="single" w:sz="4" w:space="0" w:color="auto"/>
            </w:tcBorders>
            <w:shd w:val="clear" w:color="000000" w:fill="FFFFFF"/>
            <w:vAlign w:val="bottom"/>
            <w:hideMark/>
          </w:tcPr>
          <w:p w14:paraId="372A57C0"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 </w:t>
            </w:r>
          </w:p>
        </w:tc>
        <w:tc>
          <w:tcPr>
            <w:tcW w:w="0" w:type="auto"/>
            <w:tcBorders>
              <w:top w:val="single" w:sz="4" w:space="0" w:color="auto"/>
              <w:left w:val="nil"/>
              <w:bottom w:val="nil"/>
              <w:right w:val="single" w:sz="4" w:space="0" w:color="auto"/>
            </w:tcBorders>
            <w:shd w:val="clear" w:color="000000" w:fill="FFFFFF"/>
            <w:vAlign w:val="bottom"/>
            <w:hideMark/>
          </w:tcPr>
          <w:p w14:paraId="6E753D95"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 </w:t>
            </w:r>
          </w:p>
        </w:tc>
        <w:tc>
          <w:tcPr>
            <w:tcW w:w="0" w:type="auto"/>
            <w:tcBorders>
              <w:top w:val="single" w:sz="4" w:space="0" w:color="auto"/>
              <w:left w:val="nil"/>
              <w:bottom w:val="nil"/>
              <w:right w:val="single" w:sz="4" w:space="0" w:color="auto"/>
            </w:tcBorders>
            <w:shd w:val="clear" w:color="000000" w:fill="FFFFFF"/>
            <w:vAlign w:val="bottom"/>
            <w:hideMark/>
          </w:tcPr>
          <w:p w14:paraId="22C87F5B"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 </w:t>
            </w:r>
          </w:p>
        </w:tc>
      </w:tr>
      <w:tr w:rsidR="00016C24" w:rsidRPr="0024033B" w14:paraId="3A94FD0A" w14:textId="77777777" w:rsidTr="00500FD5">
        <w:trPr>
          <w:trHeight w:val="300"/>
        </w:trPr>
        <w:tc>
          <w:tcPr>
            <w:tcW w:w="4106" w:type="dxa"/>
            <w:tcBorders>
              <w:top w:val="nil"/>
              <w:left w:val="single" w:sz="4" w:space="0" w:color="auto"/>
              <w:bottom w:val="nil"/>
              <w:right w:val="single" w:sz="4" w:space="0" w:color="auto"/>
            </w:tcBorders>
            <w:shd w:val="clear" w:color="000000" w:fill="FFFFFF"/>
            <w:vAlign w:val="bottom"/>
            <w:hideMark/>
          </w:tcPr>
          <w:p w14:paraId="76A4A066" w14:textId="77777777" w:rsidR="00016C24" w:rsidRPr="0024033B" w:rsidRDefault="00016C24" w:rsidP="00500FD5">
            <w:pPr>
              <w:rPr>
                <w:rFonts w:ascii="Arial" w:hAnsi="Arial" w:cs="Arial"/>
                <w:lang w:eastAsia="en-GB"/>
              </w:rPr>
            </w:pPr>
            <w:r w:rsidRPr="0024033B">
              <w:rPr>
                <w:rFonts w:ascii="Arial" w:hAnsi="Arial" w:cs="Arial"/>
                <w:lang w:eastAsia="en-GB"/>
              </w:rPr>
              <w:t>Operational Sites</w:t>
            </w:r>
          </w:p>
        </w:tc>
        <w:tc>
          <w:tcPr>
            <w:tcW w:w="1134" w:type="dxa"/>
            <w:tcBorders>
              <w:top w:val="nil"/>
              <w:left w:val="nil"/>
              <w:bottom w:val="nil"/>
              <w:right w:val="single" w:sz="4" w:space="0" w:color="auto"/>
            </w:tcBorders>
            <w:shd w:val="clear" w:color="000000" w:fill="FFFFFF"/>
            <w:vAlign w:val="bottom"/>
            <w:hideMark/>
          </w:tcPr>
          <w:p w14:paraId="24AA5F85" w14:textId="77777777" w:rsidR="00016C24" w:rsidRPr="0024033B" w:rsidRDefault="00016C24" w:rsidP="00500FD5">
            <w:pPr>
              <w:jc w:val="right"/>
              <w:rPr>
                <w:rFonts w:ascii="Arial" w:hAnsi="Arial" w:cs="Arial"/>
                <w:lang w:eastAsia="en-GB"/>
              </w:rPr>
            </w:pPr>
            <w:r w:rsidRPr="0024033B">
              <w:rPr>
                <w:rFonts w:ascii="Arial" w:hAnsi="Arial" w:cs="Arial"/>
                <w:lang w:eastAsia="en-GB"/>
              </w:rPr>
              <w:t>21,300</w:t>
            </w:r>
          </w:p>
        </w:tc>
        <w:tc>
          <w:tcPr>
            <w:tcW w:w="1414" w:type="dxa"/>
            <w:tcBorders>
              <w:top w:val="nil"/>
              <w:left w:val="nil"/>
              <w:bottom w:val="nil"/>
              <w:right w:val="single" w:sz="4" w:space="0" w:color="auto"/>
            </w:tcBorders>
            <w:shd w:val="clear" w:color="000000" w:fill="FFFFFF"/>
            <w:vAlign w:val="bottom"/>
            <w:hideMark/>
          </w:tcPr>
          <w:p w14:paraId="371F3713" w14:textId="77777777" w:rsidR="00016C24" w:rsidRPr="0024033B" w:rsidRDefault="00016C24" w:rsidP="00500FD5">
            <w:pPr>
              <w:jc w:val="right"/>
              <w:rPr>
                <w:rFonts w:ascii="Arial" w:hAnsi="Arial" w:cs="Arial"/>
                <w:lang w:eastAsia="en-GB"/>
              </w:rPr>
            </w:pPr>
            <w:r w:rsidRPr="0024033B">
              <w:rPr>
                <w:rFonts w:ascii="Arial" w:hAnsi="Arial" w:cs="Arial"/>
                <w:lang w:eastAsia="en-GB"/>
              </w:rPr>
              <w:t>24,150</w:t>
            </w:r>
          </w:p>
        </w:tc>
        <w:tc>
          <w:tcPr>
            <w:tcW w:w="0" w:type="auto"/>
            <w:tcBorders>
              <w:top w:val="nil"/>
              <w:left w:val="nil"/>
              <w:bottom w:val="nil"/>
              <w:right w:val="single" w:sz="4" w:space="0" w:color="auto"/>
            </w:tcBorders>
            <w:shd w:val="clear" w:color="000000" w:fill="FFFFFF"/>
            <w:vAlign w:val="bottom"/>
            <w:hideMark/>
          </w:tcPr>
          <w:p w14:paraId="4390B1DD" w14:textId="77777777" w:rsidR="00016C24" w:rsidRPr="0024033B" w:rsidRDefault="00016C24" w:rsidP="00500FD5">
            <w:pPr>
              <w:jc w:val="right"/>
              <w:rPr>
                <w:rFonts w:ascii="Arial" w:hAnsi="Arial" w:cs="Arial"/>
                <w:lang w:eastAsia="en-GB"/>
              </w:rPr>
            </w:pPr>
            <w:r w:rsidRPr="0024033B">
              <w:rPr>
                <w:rFonts w:ascii="Arial" w:hAnsi="Arial" w:cs="Arial"/>
                <w:lang w:eastAsia="en-GB"/>
              </w:rPr>
              <w:t>15,516</w:t>
            </w:r>
          </w:p>
        </w:tc>
        <w:tc>
          <w:tcPr>
            <w:tcW w:w="0" w:type="auto"/>
            <w:tcBorders>
              <w:top w:val="nil"/>
              <w:left w:val="nil"/>
              <w:bottom w:val="nil"/>
              <w:right w:val="single" w:sz="4" w:space="0" w:color="auto"/>
            </w:tcBorders>
            <w:shd w:val="clear" w:color="000000" w:fill="FFFFFF"/>
            <w:vAlign w:val="bottom"/>
            <w:hideMark/>
          </w:tcPr>
          <w:p w14:paraId="21043C96" w14:textId="77777777" w:rsidR="00016C24" w:rsidRPr="0024033B" w:rsidRDefault="00016C24" w:rsidP="00500FD5">
            <w:pPr>
              <w:jc w:val="right"/>
              <w:rPr>
                <w:rFonts w:ascii="Arial" w:hAnsi="Arial" w:cs="Arial"/>
                <w:lang w:eastAsia="en-GB"/>
              </w:rPr>
            </w:pPr>
            <w:r w:rsidRPr="0024033B">
              <w:rPr>
                <w:rFonts w:ascii="Arial" w:hAnsi="Arial" w:cs="Arial"/>
                <w:lang w:eastAsia="en-GB"/>
              </w:rPr>
              <w:t>(8,634)</w:t>
            </w:r>
          </w:p>
        </w:tc>
      </w:tr>
      <w:tr w:rsidR="00016C24" w:rsidRPr="0024033B" w14:paraId="0BB90112" w14:textId="77777777" w:rsidTr="00500FD5">
        <w:trPr>
          <w:trHeight w:val="300"/>
        </w:trPr>
        <w:tc>
          <w:tcPr>
            <w:tcW w:w="4106" w:type="dxa"/>
            <w:tcBorders>
              <w:top w:val="nil"/>
              <w:left w:val="single" w:sz="4" w:space="0" w:color="auto"/>
              <w:bottom w:val="single" w:sz="4" w:space="0" w:color="auto"/>
              <w:right w:val="single" w:sz="4" w:space="0" w:color="auto"/>
            </w:tcBorders>
            <w:shd w:val="clear" w:color="000000" w:fill="FFFFFF"/>
            <w:vAlign w:val="bottom"/>
            <w:hideMark/>
          </w:tcPr>
          <w:p w14:paraId="00BC4B78" w14:textId="77777777" w:rsidR="00016C24" w:rsidRPr="0024033B" w:rsidRDefault="00016C24" w:rsidP="00500FD5">
            <w:pPr>
              <w:rPr>
                <w:rFonts w:ascii="Arial" w:hAnsi="Arial" w:cs="Arial"/>
                <w:lang w:eastAsia="en-GB"/>
              </w:rPr>
            </w:pPr>
            <w:r w:rsidRPr="0024033B">
              <w:rPr>
                <w:rFonts w:ascii="Arial" w:hAnsi="Arial" w:cs="Arial"/>
                <w:lang w:eastAsia="en-GB"/>
              </w:rPr>
              <w:t>Non-Operational - Sites</w:t>
            </w:r>
          </w:p>
        </w:tc>
        <w:tc>
          <w:tcPr>
            <w:tcW w:w="1134" w:type="dxa"/>
            <w:tcBorders>
              <w:top w:val="nil"/>
              <w:left w:val="nil"/>
              <w:bottom w:val="single" w:sz="4" w:space="0" w:color="auto"/>
              <w:right w:val="single" w:sz="4" w:space="0" w:color="auto"/>
            </w:tcBorders>
            <w:shd w:val="clear" w:color="000000" w:fill="FFFFFF"/>
            <w:vAlign w:val="bottom"/>
            <w:hideMark/>
          </w:tcPr>
          <w:p w14:paraId="52A7DE1C" w14:textId="77777777" w:rsidR="00016C24" w:rsidRPr="0024033B" w:rsidRDefault="00016C24" w:rsidP="00500FD5">
            <w:pPr>
              <w:jc w:val="right"/>
              <w:rPr>
                <w:rFonts w:ascii="Arial" w:hAnsi="Arial" w:cs="Arial"/>
                <w:lang w:eastAsia="en-GB"/>
              </w:rPr>
            </w:pPr>
            <w:r w:rsidRPr="0024033B">
              <w:rPr>
                <w:rFonts w:ascii="Arial" w:hAnsi="Arial" w:cs="Arial"/>
                <w:lang w:eastAsia="en-GB"/>
              </w:rPr>
              <w:t>1,750</w:t>
            </w:r>
          </w:p>
        </w:tc>
        <w:tc>
          <w:tcPr>
            <w:tcW w:w="1414" w:type="dxa"/>
            <w:tcBorders>
              <w:top w:val="nil"/>
              <w:left w:val="nil"/>
              <w:bottom w:val="single" w:sz="4" w:space="0" w:color="auto"/>
              <w:right w:val="single" w:sz="4" w:space="0" w:color="auto"/>
            </w:tcBorders>
            <w:shd w:val="clear" w:color="000000" w:fill="FFFFFF"/>
            <w:vAlign w:val="bottom"/>
            <w:hideMark/>
          </w:tcPr>
          <w:p w14:paraId="0D00B5C3" w14:textId="77777777" w:rsidR="00016C24" w:rsidRPr="0024033B" w:rsidRDefault="00016C24" w:rsidP="00500FD5">
            <w:pPr>
              <w:jc w:val="right"/>
              <w:rPr>
                <w:rFonts w:ascii="Arial" w:hAnsi="Arial" w:cs="Arial"/>
                <w:lang w:eastAsia="en-GB"/>
              </w:rPr>
            </w:pPr>
            <w:r w:rsidRPr="0024033B">
              <w:rPr>
                <w:rFonts w:ascii="Arial" w:hAnsi="Arial" w:cs="Arial"/>
                <w:lang w:eastAsia="en-GB"/>
              </w:rPr>
              <w:t>189</w:t>
            </w:r>
          </w:p>
        </w:tc>
        <w:tc>
          <w:tcPr>
            <w:tcW w:w="0" w:type="auto"/>
            <w:tcBorders>
              <w:top w:val="nil"/>
              <w:left w:val="nil"/>
              <w:bottom w:val="single" w:sz="4" w:space="0" w:color="auto"/>
              <w:right w:val="single" w:sz="4" w:space="0" w:color="auto"/>
            </w:tcBorders>
            <w:shd w:val="clear" w:color="000000" w:fill="FFFFFF"/>
            <w:vAlign w:val="bottom"/>
            <w:hideMark/>
          </w:tcPr>
          <w:p w14:paraId="6F49B3C2" w14:textId="77777777" w:rsidR="00016C24" w:rsidRPr="0024033B" w:rsidRDefault="00016C24" w:rsidP="00500FD5">
            <w:pPr>
              <w:jc w:val="right"/>
              <w:rPr>
                <w:rFonts w:ascii="Arial" w:hAnsi="Arial" w:cs="Arial"/>
                <w:lang w:eastAsia="en-GB"/>
              </w:rPr>
            </w:pPr>
            <w:r w:rsidRPr="0024033B">
              <w:rPr>
                <w:rFonts w:ascii="Arial" w:hAnsi="Arial" w:cs="Arial"/>
                <w:lang w:eastAsia="en-GB"/>
              </w:rPr>
              <w:t>38</w:t>
            </w:r>
          </w:p>
        </w:tc>
        <w:tc>
          <w:tcPr>
            <w:tcW w:w="0" w:type="auto"/>
            <w:tcBorders>
              <w:top w:val="nil"/>
              <w:left w:val="nil"/>
              <w:bottom w:val="single" w:sz="4" w:space="0" w:color="auto"/>
              <w:right w:val="single" w:sz="4" w:space="0" w:color="auto"/>
            </w:tcBorders>
            <w:shd w:val="clear" w:color="000000" w:fill="FFFFFF"/>
            <w:vAlign w:val="bottom"/>
            <w:hideMark/>
          </w:tcPr>
          <w:p w14:paraId="798202F9" w14:textId="77777777" w:rsidR="00016C24" w:rsidRPr="0024033B" w:rsidRDefault="00016C24" w:rsidP="00500FD5">
            <w:pPr>
              <w:jc w:val="right"/>
              <w:rPr>
                <w:rFonts w:ascii="Arial" w:hAnsi="Arial" w:cs="Arial"/>
                <w:lang w:eastAsia="en-GB"/>
              </w:rPr>
            </w:pPr>
            <w:r w:rsidRPr="0024033B">
              <w:rPr>
                <w:rFonts w:ascii="Arial" w:hAnsi="Arial" w:cs="Arial"/>
                <w:lang w:eastAsia="en-GB"/>
              </w:rPr>
              <w:t>(151)</w:t>
            </w:r>
          </w:p>
        </w:tc>
      </w:tr>
      <w:tr w:rsidR="00016C24" w:rsidRPr="0024033B" w14:paraId="1D6191E3" w14:textId="77777777" w:rsidTr="00500FD5">
        <w:trPr>
          <w:trHeight w:val="330"/>
        </w:trPr>
        <w:tc>
          <w:tcPr>
            <w:tcW w:w="410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6AD7B2" w14:textId="77777777" w:rsidR="00016C24" w:rsidRPr="0024033B" w:rsidRDefault="00016C24" w:rsidP="00500FD5">
            <w:pPr>
              <w:rPr>
                <w:rFonts w:ascii="Arial" w:hAnsi="Arial" w:cs="Arial"/>
                <w:b/>
                <w:bCs/>
                <w:lang w:eastAsia="en-GB"/>
              </w:rPr>
            </w:pPr>
            <w:r w:rsidRPr="0024033B">
              <w:rPr>
                <w:rFonts w:ascii="Arial" w:hAnsi="Arial" w:cs="Arial"/>
                <w:b/>
                <w:bCs/>
                <w:lang w:eastAsia="en-GB"/>
              </w:rPr>
              <w:t>Waste &amp; Resources</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14:paraId="44E19E6E"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23,050</w:t>
            </w:r>
          </w:p>
        </w:tc>
        <w:tc>
          <w:tcPr>
            <w:tcW w:w="1414" w:type="dxa"/>
            <w:tcBorders>
              <w:top w:val="single" w:sz="4" w:space="0" w:color="auto"/>
              <w:left w:val="nil"/>
              <w:bottom w:val="single" w:sz="4" w:space="0" w:color="auto"/>
              <w:right w:val="single" w:sz="4" w:space="0" w:color="auto"/>
            </w:tcBorders>
            <w:shd w:val="clear" w:color="000000" w:fill="FFFFFF"/>
            <w:vAlign w:val="bottom"/>
            <w:hideMark/>
          </w:tcPr>
          <w:p w14:paraId="1E87C8D7"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24,339</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14:paraId="5A30A2A4"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15,554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14:paraId="16DC52CF"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(8,785)</w:t>
            </w:r>
          </w:p>
        </w:tc>
      </w:tr>
      <w:tr w:rsidR="00016C24" w:rsidRPr="0024033B" w14:paraId="6B3447DB" w14:textId="77777777" w:rsidTr="00500FD5">
        <w:trPr>
          <w:trHeight w:val="330"/>
        </w:trPr>
        <w:tc>
          <w:tcPr>
            <w:tcW w:w="4106" w:type="dxa"/>
            <w:tcBorders>
              <w:top w:val="single" w:sz="4" w:space="0" w:color="auto"/>
              <w:left w:val="single" w:sz="4" w:space="0" w:color="auto"/>
              <w:right w:val="single" w:sz="4" w:space="0" w:color="auto"/>
            </w:tcBorders>
            <w:shd w:val="clear" w:color="000000" w:fill="FFFFFF"/>
            <w:vAlign w:val="bottom"/>
          </w:tcPr>
          <w:p w14:paraId="43267E44" w14:textId="77777777" w:rsidR="00016C24" w:rsidRPr="000C2D83" w:rsidRDefault="00016C24" w:rsidP="00500FD5">
            <w:pPr>
              <w:rPr>
                <w:rFonts w:ascii="Arial" w:hAnsi="Arial" w:cs="Arial"/>
                <w:lang w:eastAsia="en-GB"/>
              </w:rPr>
            </w:pPr>
          </w:p>
          <w:p w14:paraId="36C6D783" w14:textId="77777777" w:rsidR="00016C24" w:rsidRPr="000C2D83" w:rsidRDefault="00016C24" w:rsidP="00500FD5">
            <w:pPr>
              <w:rPr>
                <w:rFonts w:ascii="Arial" w:hAnsi="Arial" w:cs="Arial"/>
                <w:lang w:eastAsia="en-GB"/>
              </w:rPr>
            </w:pPr>
            <w:r w:rsidRPr="000C2D83">
              <w:rPr>
                <w:rFonts w:ascii="Arial" w:hAnsi="Arial" w:cs="Arial"/>
                <w:lang w:eastAsia="en-GB"/>
              </w:rPr>
              <w:t>Plan o</w:t>
            </w:r>
            <w:r>
              <w:rPr>
                <w:rFonts w:ascii="Arial" w:hAnsi="Arial" w:cs="Arial"/>
                <w:lang w:eastAsia="en-GB"/>
              </w:rPr>
              <w:t>n</w:t>
            </w:r>
            <w:r w:rsidRPr="000C2D83">
              <w:rPr>
                <w:rFonts w:ascii="Arial" w:hAnsi="Arial" w:cs="Arial"/>
                <w:lang w:eastAsia="en-GB"/>
              </w:rPr>
              <w:t xml:space="preserve"> a Page</w:t>
            </w:r>
          </w:p>
        </w:tc>
        <w:tc>
          <w:tcPr>
            <w:tcW w:w="1134" w:type="dxa"/>
            <w:tcBorders>
              <w:top w:val="single" w:sz="4" w:space="0" w:color="auto"/>
              <w:left w:val="single" w:sz="4" w:space="0" w:color="auto"/>
              <w:right w:val="single" w:sz="4" w:space="0" w:color="auto"/>
            </w:tcBorders>
            <w:shd w:val="clear" w:color="000000" w:fill="FFFFFF"/>
            <w:vAlign w:val="bottom"/>
          </w:tcPr>
          <w:p w14:paraId="05468A25" w14:textId="77777777" w:rsidR="00016C24" w:rsidRPr="000C2D83" w:rsidRDefault="00016C24" w:rsidP="00500FD5">
            <w:pPr>
              <w:jc w:val="right"/>
              <w:rPr>
                <w:rFonts w:ascii="Arial" w:hAnsi="Arial" w:cs="Arial"/>
                <w:lang w:eastAsia="en-GB"/>
              </w:rPr>
            </w:pPr>
            <w:r w:rsidRPr="000C2D83">
              <w:rPr>
                <w:rFonts w:ascii="Arial" w:hAnsi="Arial" w:cs="Arial"/>
                <w:lang w:eastAsia="en-GB"/>
              </w:rPr>
              <w:t>15,222</w:t>
            </w:r>
          </w:p>
        </w:tc>
        <w:tc>
          <w:tcPr>
            <w:tcW w:w="1414" w:type="dxa"/>
            <w:tcBorders>
              <w:top w:val="single" w:sz="4" w:space="0" w:color="auto"/>
              <w:left w:val="single" w:sz="4" w:space="0" w:color="auto"/>
              <w:right w:val="single" w:sz="4" w:space="0" w:color="auto"/>
            </w:tcBorders>
            <w:shd w:val="clear" w:color="000000" w:fill="FFFFFF"/>
            <w:vAlign w:val="bottom"/>
          </w:tcPr>
          <w:p w14:paraId="7E2E60D7" w14:textId="77777777" w:rsidR="00016C24" w:rsidRPr="000C2D83" w:rsidRDefault="00016C24" w:rsidP="00500FD5">
            <w:pPr>
              <w:jc w:val="right"/>
              <w:rPr>
                <w:rFonts w:ascii="Arial" w:hAnsi="Arial" w:cs="Arial"/>
                <w:lang w:eastAsia="en-GB"/>
              </w:rPr>
            </w:pPr>
            <w:r w:rsidRPr="000C2D83">
              <w:rPr>
                <w:rFonts w:ascii="Arial" w:hAnsi="Arial" w:cs="Arial"/>
                <w:lang w:eastAsia="en-GB"/>
              </w:rPr>
              <w:t>11,970</w:t>
            </w:r>
          </w:p>
        </w:tc>
        <w:tc>
          <w:tcPr>
            <w:tcW w:w="0" w:type="auto"/>
            <w:tcBorders>
              <w:top w:val="single" w:sz="4" w:space="0" w:color="auto"/>
              <w:left w:val="single" w:sz="4" w:space="0" w:color="auto"/>
              <w:right w:val="single" w:sz="4" w:space="0" w:color="auto"/>
            </w:tcBorders>
            <w:shd w:val="clear" w:color="000000" w:fill="FFFFFF"/>
            <w:vAlign w:val="bottom"/>
          </w:tcPr>
          <w:p w14:paraId="5446092C" w14:textId="77777777" w:rsidR="00016C24" w:rsidRPr="000C2D83" w:rsidRDefault="00016C24" w:rsidP="00500FD5">
            <w:pPr>
              <w:jc w:val="right"/>
              <w:rPr>
                <w:rFonts w:ascii="Arial" w:hAnsi="Arial" w:cs="Arial"/>
                <w:lang w:eastAsia="en-GB"/>
              </w:rPr>
            </w:pPr>
            <w:r w:rsidRPr="000C2D83">
              <w:rPr>
                <w:rFonts w:ascii="Arial" w:hAnsi="Arial" w:cs="Arial"/>
                <w:lang w:eastAsia="en-GB"/>
              </w:rPr>
              <w:t>10,925</w:t>
            </w:r>
          </w:p>
        </w:tc>
        <w:tc>
          <w:tcPr>
            <w:tcW w:w="0" w:type="auto"/>
            <w:tcBorders>
              <w:top w:val="single" w:sz="4" w:space="0" w:color="auto"/>
              <w:left w:val="single" w:sz="4" w:space="0" w:color="auto"/>
              <w:right w:val="single" w:sz="4" w:space="0" w:color="auto"/>
            </w:tcBorders>
            <w:shd w:val="clear" w:color="000000" w:fill="FFFFFF"/>
            <w:vAlign w:val="bottom"/>
          </w:tcPr>
          <w:p w14:paraId="1DDABA92" w14:textId="5FF4D7F4" w:rsidR="00016C24" w:rsidRPr="000C2D83" w:rsidRDefault="00016C24" w:rsidP="00500FD5">
            <w:pPr>
              <w:jc w:val="right"/>
              <w:rPr>
                <w:rFonts w:ascii="Arial" w:hAnsi="Arial" w:cs="Arial"/>
                <w:lang w:eastAsia="en-GB"/>
              </w:rPr>
            </w:pPr>
            <w:r>
              <w:rPr>
                <w:rFonts w:ascii="Arial" w:hAnsi="Arial" w:cs="Arial"/>
                <w:lang w:eastAsia="en-GB"/>
              </w:rPr>
              <w:t>(</w:t>
            </w:r>
            <w:r w:rsidRPr="000C2D83">
              <w:rPr>
                <w:rFonts w:ascii="Arial" w:hAnsi="Arial" w:cs="Arial"/>
                <w:lang w:eastAsia="en-GB"/>
              </w:rPr>
              <w:t>1,04</w:t>
            </w:r>
            <w:r>
              <w:rPr>
                <w:rFonts w:ascii="Arial" w:hAnsi="Arial" w:cs="Arial"/>
                <w:lang w:eastAsia="en-GB"/>
              </w:rPr>
              <w:t>5)</w:t>
            </w:r>
          </w:p>
        </w:tc>
      </w:tr>
      <w:tr w:rsidR="00016C24" w:rsidRPr="0024033B" w14:paraId="32EF5F89" w14:textId="77777777" w:rsidTr="00500FD5">
        <w:trPr>
          <w:trHeight w:val="330"/>
        </w:trPr>
        <w:tc>
          <w:tcPr>
            <w:tcW w:w="4106" w:type="dxa"/>
            <w:tcBorders>
              <w:left w:val="single" w:sz="4" w:space="0" w:color="auto"/>
              <w:right w:val="single" w:sz="4" w:space="0" w:color="auto"/>
            </w:tcBorders>
            <w:shd w:val="clear" w:color="000000" w:fill="FFFFFF"/>
            <w:vAlign w:val="bottom"/>
          </w:tcPr>
          <w:p w14:paraId="4FB58E13" w14:textId="77777777" w:rsidR="00016C24" w:rsidRPr="000C2D83" w:rsidRDefault="00016C24" w:rsidP="00500FD5">
            <w:pPr>
              <w:rPr>
                <w:rFonts w:ascii="Arial" w:hAnsi="Arial" w:cs="Arial"/>
                <w:lang w:eastAsia="en-GB"/>
              </w:rPr>
            </w:pPr>
            <w:r w:rsidRPr="000C2D83">
              <w:rPr>
                <w:rFonts w:ascii="Arial" w:hAnsi="Arial" w:cs="Arial"/>
                <w:lang w:eastAsia="en-GB"/>
              </w:rPr>
              <w:t>ICT</w:t>
            </w:r>
          </w:p>
        </w:tc>
        <w:tc>
          <w:tcPr>
            <w:tcW w:w="1134" w:type="dxa"/>
            <w:tcBorders>
              <w:left w:val="single" w:sz="4" w:space="0" w:color="auto"/>
              <w:right w:val="single" w:sz="4" w:space="0" w:color="auto"/>
            </w:tcBorders>
            <w:shd w:val="clear" w:color="000000" w:fill="FFFFFF"/>
            <w:vAlign w:val="bottom"/>
          </w:tcPr>
          <w:p w14:paraId="03184FF0" w14:textId="77777777" w:rsidR="00016C24" w:rsidRPr="000C2D83" w:rsidRDefault="00016C24" w:rsidP="00500FD5">
            <w:pPr>
              <w:jc w:val="right"/>
              <w:rPr>
                <w:rFonts w:ascii="Arial" w:hAnsi="Arial" w:cs="Arial"/>
                <w:lang w:eastAsia="en-GB"/>
              </w:rPr>
            </w:pPr>
            <w:r>
              <w:rPr>
                <w:rFonts w:ascii="Arial" w:hAnsi="Arial" w:cs="Arial"/>
                <w:lang w:eastAsia="en-GB"/>
              </w:rPr>
              <w:t>29,914</w:t>
            </w:r>
          </w:p>
        </w:tc>
        <w:tc>
          <w:tcPr>
            <w:tcW w:w="1414" w:type="dxa"/>
            <w:tcBorders>
              <w:left w:val="single" w:sz="4" w:space="0" w:color="auto"/>
              <w:right w:val="single" w:sz="4" w:space="0" w:color="auto"/>
            </w:tcBorders>
            <w:shd w:val="clear" w:color="000000" w:fill="FFFFFF"/>
            <w:vAlign w:val="bottom"/>
          </w:tcPr>
          <w:p w14:paraId="56BF6647" w14:textId="77777777" w:rsidR="00016C24" w:rsidRPr="000C2D83" w:rsidRDefault="00016C24" w:rsidP="00500FD5">
            <w:pPr>
              <w:jc w:val="right"/>
              <w:rPr>
                <w:rFonts w:ascii="Arial" w:hAnsi="Arial" w:cs="Arial"/>
                <w:lang w:eastAsia="en-GB"/>
              </w:rPr>
            </w:pPr>
            <w:r>
              <w:rPr>
                <w:rFonts w:ascii="Arial" w:hAnsi="Arial" w:cs="Arial"/>
                <w:lang w:eastAsia="en-GB"/>
              </w:rPr>
              <w:t>22,739</w:t>
            </w:r>
          </w:p>
        </w:tc>
        <w:tc>
          <w:tcPr>
            <w:tcW w:w="0" w:type="auto"/>
            <w:tcBorders>
              <w:left w:val="single" w:sz="4" w:space="0" w:color="auto"/>
              <w:right w:val="single" w:sz="4" w:space="0" w:color="auto"/>
            </w:tcBorders>
            <w:shd w:val="clear" w:color="000000" w:fill="FFFFFF"/>
            <w:vAlign w:val="bottom"/>
          </w:tcPr>
          <w:p w14:paraId="07C3A590" w14:textId="77777777" w:rsidR="00016C24" w:rsidRPr="000C2D83" w:rsidRDefault="00016C24" w:rsidP="00500FD5">
            <w:pPr>
              <w:jc w:val="right"/>
              <w:rPr>
                <w:rFonts w:ascii="Arial" w:hAnsi="Arial" w:cs="Arial"/>
                <w:lang w:eastAsia="en-GB"/>
              </w:rPr>
            </w:pPr>
            <w:r>
              <w:rPr>
                <w:rFonts w:ascii="Arial" w:hAnsi="Arial" w:cs="Arial"/>
                <w:lang w:eastAsia="en-GB"/>
              </w:rPr>
              <w:t>22.025</w:t>
            </w:r>
          </w:p>
        </w:tc>
        <w:tc>
          <w:tcPr>
            <w:tcW w:w="0" w:type="auto"/>
            <w:tcBorders>
              <w:left w:val="single" w:sz="4" w:space="0" w:color="auto"/>
              <w:right w:val="single" w:sz="4" w:space="0" w:color="auto"/>
            </w:tcBorders>
            <w:shd w:val="clear" w:color="000000" w:fill="FFFFFF"/>
            <w:vAlign w:val="bottom"/>
          </w:tcPr>
          <w:p w14:paraId="77B341C7" w14:textId="1F1FB835" w:rsidR="00016C24" w:rsidRPr="000C2D83" w:rsidRDefault="00016C24" w:rsidP="00500FD5">
            <w:pPr>
              <w:jc w:val="right"/>
              <w:rPr>
                <w:rFonts w:ascii="Arial" w:hAnsi="Arial" w:cs="Arial"/>
                <w:lang w:eastAsia="en-GB"/>
              </w:rPr>
            </w:pPr>
            <w:r>
              <w:rPr>
                <w:rFonts w:ascii="Arial" w:hAnsi="Arial" w:cs="Arial"/>
                <w:lang w:eastAsia="en-GB"/>
              </w:rPr>
              <w:t>(714)</w:t>
            </w:r>
          </w:p>
        </w:tc>
      </w:tr>
      <w:tr w:rsidR="00016C24" w:rsidRPr="0024033B" w14:paraId="7CC238DB" w14:textId="77777777" w:rsidTr="00500FD5">
        <w:trPr>
          <w:trHeight w:val="330"/>
        </w:trPr>
        <w:tc>
          <w:tcPr>
            <w:tcW w:w="4106" w:type="dxa"/>
            <w:tcBorders>
              <w:left w:val="single" w:sz="4" w:space="0" w:color="auto"/>
              <w:right w:val="single" w:sz="4" w:space="0" w:color="auto"/>
            </w:tcBorders>
            <w:shd w:val="clear" w:color="000000" w:fill="FFFFFF"/>
            <w:vAlign w:val="bottom"/>
          </w:tcPr>
          <w:p w14:paraId="2430E882" w14:textId="77777777" w:rsidR="00016C24" w:rsidRPr="000C2D83" w:rsidRDefault="00016C24" w:rsidP="00500FD5">
            <w:pPr>
              <w:rPr>
                <w:rFonts w:ascii="Arial" w:hAnsi="Arial" w:cs="Arial"/>
                <w:lang w:eastAsia="en-GB"/>
              </w:rPr>
            </w:pPr>
            <w:r>
              <w:rPr>
                <w:rFonts w:ascii="Arial" w:hAnsi="Arial" w:cs="Arial"/>
                <w:lang w:eastAsia="en-GB"/>
              </w:rPr>
              <w:t>Fleet</w:t>
            </w:r>
          </w:p>
        </w:tc>
        <w:tc>
          <w:tcPr>
            <w:tcW w:w="1134" w:type="dxa"/>
            <w:tcBorders>
              <w:left w:val="single" w:sz="4" w:space="0" w:color="auto"/>
              <w:right w:val="single" w:sz="4" w:space="0" w:color="auto"/>
            </w:tcBorders>
            <w:shd w:val="clear" w:color="000000" w:fill="FFFFFF"/>
            <w:vAlign w:val="bottom"/>
          </w:tcPr>
          <w:p w14:paraId="03547F9F" w14:textId="77777777" w:rsidR="00016C24" w:rsidRPr="000C2D83" w:rsidRDefault="00016C24" w:rsidP="00500FD5">
            <w:pPr>
              <w:jc w:val="right"/>
              <w:rPr>
                <w:rFonts w:ascii="Arial" w:hAnsi="Arial" w:cs="Arial"/>
                <w:lang w:eastAsia="en-GB"/>
              </w:rPr>
            </w:pPr>
            <w:r>
              <w:rPr>
                <w:rFonts w:ascii="Arial" w:hAnsi="Arial" w:cs="Arial"/>
                <w:lang w:eastAsia="en-GB"/>
              </w:rPr>
              <w:t>3,590</w:t>
            </w:r>
          </w:p>
        </w:tc>
        <w:tc>
          <w:tcPr>
            <w:tcW w:w="1414" w:type="dxa"/>
            <w:tcBorders>
              <w:left w:val="single" w:sz="4" w:space="0" w:color="auto"/>
              <w:right w:val="single" w:sz="4" w:space="0" w:color="auto"/>
            </w:tcBorders>
            <w:shd w:val="clear" w:color="000000" w:fill="FFFFFF"/>
            <w:vAlign w:val="bottom"/>
          </w:tcPr>
          <w:p w14:paraId="5BB0B9AC" w14:textId="77777777" w:rsidR="00016C24" w:rsidRPr="000C2D83" w:rsidRDefault="00016C24" w:rsidP="00500FD5">
            <w:pPr>
              <w:jc w:val="right"/>
              <w:rPr>
                <w:rFonts w:ascii="Arial" w:hAnsi="Arial" w:cs="Arial"/>
                <w:lang w:eastAsia="en-GB"/>
              </w:rPr>
            </w:pPr>
            <w:r>
              <w:rPr>
                <w:rFonts w:ascii="Arial" w:hAnsi="Arial" w:cs="Arial"/>
                <w:lang w:eastAsia="en-GB"/>
              </w:rPr>
              <w:t>4,461</w:t>
            </w:r>
          </w:p>
        </w:tc>
        <w:tc>
          <w:tcPr>
            <w:tcW w:w="0" w:type="auto"/>
            <w:tcBorders>
              <w:left w:val="single" w:sz="4" w:space="0" w:color="auto"/>
              <w:right w:val="single" w:sz="4" w:space="0" w:color="auto"/>
            </w:tcBorders>
            <w:shd w:val="clear" w:color="000000" w:fill="FFFFFF"/>
            <w:vAlign w:val="bottom"/>
          </w:tcPr>
          <w:p w14:paraId="25CFDD32" w14:textId="77777777" w:rsidR="00016C24" w:rsidRPr="000C2D83" w:rsidRDefault="00016C24" w:rsidP="00500FD5">
            <w:pPr>
              <w:jc w:val="right"/>
              <w:rPr>
                <w:rFonts w:ascii="Arial" w:hAnsi="Arial" w:cs="Arial"/>
                <w:lang w:eastAsia="en-GB"/>
              </w:rPr>
            </w:pPr>
            <w:r>
              <w:rPr>
                <w:rFonts w:ascii="Arial" w:hAnsi="Arial" w:cs="Arial"/>
                <w:lang w:eastAsia="en-GB"/>
              </w:rPr>
              <w:t>3,375</w:t>
            </w:r>
          </w:p>
        </w:tc>
        <w:tc>
          <w:tcPr>
            <w:tcW w:w="0" w:type="auto"/>
            <w:tcBorders>
              <w:left w:val="single" w:sz="4" w:space="0" w:color="auto"/>
              <w:right w:val="single" w:sz="4" w:space="0" w:color="auto"/>
            </w:tcBorders>
            <w:shd w:val="clear" w:color="000000" w:fill="FFFFFF"/>
            <w:vAlign w:val="bottom"/>
          </w:tcPr>
          <w:p w14:paraId="32658C40" w14:textId="459BD055" w:rsidR="00016C24" w:rsidRPr="000C2D83" w:rsidRDefault="00016C24" w:rsidP="00500FD5">
            <w:pPr>
              <w:jc w:val="right"/>
              <w:rPr>
                <w:rFonts w:ascii="Arial" w:hAnsi="Arial" w:cs="Arial"/>
                <w:lang w:eastAsia="en-GB"/>
              </w:rPr>
            </w:pPr>
            <w:r>
              <w:rPr>
                <w:rFonts w:ascii="Arial" w:hAnsi="Arial" w:cs="Arial"/>
                <w:lang w:eastAsia="en-GB"/>
              </w:rPr>
              <w:t>(1,086)</w:t>
            </w:r>
          </w:p>
        </w:tc>
      </w:tr>
      <w:tr w:rsidR="00016C24" w:rsidRPr="0024033B" w14:paraId="4A7F95CA" w14:textId="77777777" w:rsidTr="00500FD5">
        <w:trPr>
          <w:trHeight w:val="330"/>
        </w:trPr>
        <w:tc>
          <w:tcPr>
            <w:tcW w:w="4106" w:type="dxa"/>
            <w:tcBorders>
              <w:left w:val="single" w:sz="4" w:space="0" w:color="auto"/>
              <w:right w:val="single" w:sz="4" w:space="0" w:color="auto"/>
            </w:tcBorders>
            <w:shd w:val="clear" w:color="000000" w:fill="FFFFFF"/>
            <w:vAlign w:val="bottom"/>
          </w:tcPr>
          <w:p w14:paraId="420C1FF2" w14:textId="77777777" w:rsidR="00016C24" w:rsidRDefault="00016C24" w:rsidP="00500FD5">
            <w:pPr>
              <w:rPr>
                <w:rFonts w:ascii="Arial" w:hAnsi="Arial" w:cs="Arial"/>
                <w:lang w:eastAsia="en-GB"/>
              </w:rPr>
            </w:pPr>
            <w:r>
              <w:rPr>
                <w:rFonts w:ascii="Arial" w:hAnsi="Arial" w:cs="Arial"/>
                <w:lang w:eastAsia="en-GB"/>
              </w:rPr>
              <w:t>Estates</w:t>
            </w:r>
          </w:p>
        </w:tc>
        <w:tc>
          <w:tcPr>
            <w:tcW w:w="1134" w:type="dxa"/>
            <w:tcBorders>
              <w:left w:val="single" w:sz="4" w:space="0" w:color="auto"/>
              <w:right w:val="single" w:sz="4" w:space="0" w:color="auto"/>
            </w:tcBorders>
            <w:shd w:val="clear" w:color="000000" w:fill="FFFFFF"/>
            <w:vAlign w:val="bottom"/>
          </w:tcPr>
          <w:p w14:paraId="66326074" w14:textId="77777777" w:rsidR="00016C24" w:rsidRDefault="00016C24" w:rsidP="00500FD5">
            <w:pPr>
              <w:jc w:val="right"/>
              <w:rPr>
                <w:rFonts w:ascii="Arial" w:hAnsi="Arial" w:cs="Arial"/>
                <w:lang w:eastAsia="en-GB"/>
              </w:rPr>
            </w:pPr>
            <w:r>
              <w:rPr>
                <w:rFonts w:ascii="Arial" w:hAnsi="Arial" w:cs="Arial"/>
                <w:lang w:eastAsia="en-GB"/>
              </w:rPr>
              <w:t>1,662</w:t>
            </w:r>
          </w:p>
        </w:tc>
        <w:tc>
          <w:tcPr>
            <w:tcW w:w="1414" w:type="dxa"/>
            <w:tcBorders>
              <w:left w:val="single" w:sz="4" w:space="0" w:color="auto"/>
              <w:right w:val="single" w:sz="4" w:space="0" w:color="auto"/>
            </w:tcBorders>
            <w:shd w:val="clear" w:color="000000" w:fill="FFFFFF"/>
            <w:vAlign w:val="bottom"/>
          </w:tcPr>
          <w:p w14:paraId="35AB1E4E" w14:textId="77777777" w:rsidR="00016C24" w:rsidRDefault="00016C24" w:rsidP="00500FD5">
            <w:pPr>
              <w:jc w:val="right"/>
              <w:rPr>
                <w:rFonts w:ascii="Arial" w:hAnsi="Arial" w:cs="Arial"/>
                <w:lang w:eastAsia="en-GB"/>
              </w:rPr>
            </w:pPr>
            <w:r>
              <w:rPr>
                <w:rFonts w:ascii="Arial" w:hAnsi="Arial" w:cs="Arial"/>
                <w:lang w:eastAsia="en-GB"/>
              </w:rPr>
              <w:t>1,697</w:t>
            </w:r>
          </w:p>
        </w:tc>
        <w:tc>
          <w:tcPr>
            <w:tcW w:w="0" w:type="auto"/>
            <w:tcBorders>
              <w:left w:val="single" w:sz="4" w:space="0" w:color="auto"/>
              <w:right w:val="single" w:sz="4" w:space="0" w:color="auto"/>
            </w:tcBorders>
            <w:shd w:val="clear" w:color="000000" w:fill="FFFFFF"/>
            <w:vAlign w:val="bottom"/>
          </w:tcPr>
          <w:p w14:paraId="00B659DA" w14:textId="77777777" w:rsidR="00016C24" w:rsidRDefault="00016C24" w:rsidP="00500FD5">
            <w:pPr>
              <w:jc w:val="right"/>
              <w:rPr>
                <w:rFonts w:ascii="Arial" w:hAnsi="Arial" w:cs="Arial"/>
                <w:lang w:eastAsia="en-GB"/>
              </w:rPr>
            </w:pPr>
            <w:r>
              <w:rPr>
                <w:rFonts w:ascii="Arial" w:hAnsi="Arial" w:cs="Arial"/>
                <w:lang w:eastAsia="en-GB"/>
              </w:rPr>
              <w:t>1,611</w:t>
            </w:r>
          </w:p>
        </w:tc>
        <w:tc>
          <w:tcPr>
            <w:tcW w:w="0" w:type="auto"/>
            <w:tcBorders>
              <w:left w:val="single" w:sz="4" w:space="0" w:color="auto"/>
              <w:right w:val="single" w:sz="4" w:space="0" w:color="auto"/>
            </w:tcBorders>
            <w:shd w:val="clear" w:color="000000" w:fill="FFFFFF"/>
            <w:vAlign w:val="bottom"/>
          </w:tcPr>
          <w:p w14:paraId="6EA1A68E" w14:textId="4F07871B" w:rsidR="00016C24" w:rsidRDefault="00016C24" w:rsidP="00500FD5">
            <w:pPr>
              <w:jc w:val="right"/>
              <w:rPr>
                <w:rFonts w:ascii="Arial" w:hAnsi="Arial" w:cs="Arial"/>
                <w:lang w:eastAsia="en-GB"/>
              </w:rPr>
            </w:pPr>
            <w:r>
              <w:rPr>
                <w:rFonts w:ascii="Arial" w:hAnsi="Arial" w:cs="Arial"/>
                <w:lang w:eastAsia="en-GB"/>
              </w:rPr>
              <w:t>(86)</w:t>
            </w:r>
          </w:p>
        </w:tc>
      </w:tr>
      <w:tr w:rsidR="00016C24" w:rsidRPr="0024033B" w14:paraId="3BD94B79" w14:textId="77777777" w:rsidTr="00500FD5">
        <w:trPr>
          <w:trHeight w:val="330"/>
        </w:trPr>
        <w:tc>
          <w:tcPr>
            <w:tcW w:w="4106" w:type="dxa"/>
            <w:tcBorders>
              <w:left w:val="single" w:sz="4" w:space="0" w:color="auto"/>
              <w:bottom w:val="single" w:sz="4" w:space="0" w:color="auto"/>
              <w:right w:val="single" w:sz="4" w:space="0" w:color="auto"/>
            </w:tcBorders>
            <w:shd w:val="clear" w:color="000000" w:fill="FFFFFF"/>
            <w:vAlign w:val="bottom"/>
          </w:tcPr>
          <w:p w14:paraId="1BA243AC" w14:textId="77777777" w:rsidR="00016C24" w:rsidRPr="000C2D83" w:rsidRDefault="00016C24" w:rsidP="00500FD5">
            <w:pPr>
              <w:rPr>
                <w:rFonts w:ascii="Arial" w:hAnsi="Arial" w:cs="Arial"/>
                <w:lang w:eastAsia="en-GB"/>
              </w:rPr>
            </w:pPr>
            <w:r>
              <w:rPr>
                <w:rFonts w:ascii="Arial" w:hAnsi="Arial" w:cs="Arial"/>
                <w:lang w:eastAsia="en-GB"/>
              </w:rPr>
              <w:t>Other</w:t>
            </w:r>
          </w:p>
        </w:tc>
        <w:tc>
          <w:tcPr>
            <w:tcW w:w="1134" w:type="dxa"/>
            <w:tcBorders>
              <w:left w:val="single" w:sz="4" w:space="0" w:color="auto"/>
              <w:bottom w:val="single" w:sz="4" w:space="0" w:color="auto"/>
              <w:right w:val="single" w:sz="4" w:space="0" w:color="auto"/>
            </w:tcBorders>
            <w:shd w:val="clear" w:color="000000" w:fill="FFFFFF"/>
            <w:vAlign w:val="bottom"/>
          </w:tcPr>
          <w:p w14:paraId="3B0AD66E" w14:textId="77777777" w:rsidR="00016C24" w:rsidRPr="000C2D83" w:rsidRDefault="00016C24" w:rsidP="00500FD5">
            <w:pPr>
              <w:jc w:val="right"/>
              <w:rPr>
                <w:rFonts w:ascii="Arial" w:hAnsi="Arial" w:cs="Arial"/>
                <w:lang w:eastAsia="en-GB"/>
              </w:rPr>
            </w:pPr>
            <w:r>
              <w:rPr>
                <w:rFonts w:ascii="Arial" w:hAnsi="Arial" w:cs="Arial"/>
                <w:lang w:eastAsia="en-GB"/>
              </w:rPr>
              <w:t>3,997</w:t>
            </w:r>
          </w:p>
        </w:tc>
        <w:tc>
          <w:tcPr>
            <w:tcW w:w="1414" w:type="dxa"/>
            <w:tcBorders>
              <w:left w:val="single" w:sz="4" w:space="0" w:color="auto"/>
              <w:bottom w:val="single" w:sz="4" w:space="0" w:color="auto"/>
              <w:right w:val="single" w:sz="4" w:space="0" w:color="auto"/>
            </w:tcBorders>
            <w:shd w:val="clear" w:color="000000" w:fill="FFFFFF"/>
            <w:vAlign w:val="bottom"/>
          </w:tcPr>
          <w:p w14:paraId="29D1159A" w14:textId="77777777" w:rsidR="00016C24" w:rsidRPr="000C2D83" w:rsidRDefault="00016C24" w:rsidP="00500FD5">
            <w:pPr>
              <w:jc w:val="right"/>
              <w:rPr>
                <w:rFonts w:ascii="Arial" w:hAnsi="Arial" w:cs="Arial"/>
                <w:lang w:eastAsia="en-GB"/>
              </w:rPr>
            </w:pPr>
            <w:r>
              <w:rPr>
                <w:rFonts w:ascii="Arial" w:hAnsi="Arial" w:cs="Arial"/>
                <w:lang w:eastAsia="en-GB"/>
              </w:rPr>
              <w:t>2,625</w:t>
            </w:r>
          </w:p>
        </w:tc>
        <w:tc>
          <w:tcPr>
            <w:tcW w:w="0" w:type="auto"/>
            <w:tcBorders>
              <w:left w:val="single" w:sz="4" w:space="0" w:color="auto"/>
              <w:bottom w:val="single" w:sz="4" w:space="0" w:color="auto"/>
              <w:right w:val="single" w:sz="4" w:space="0" w:color="auto"/>
            </w:tcBorders>
            <w:shd w:val="clear" w:color="000000" w:fill="FFFFFF"/>
            <w:vAlign w:val="bottom"/>
          </w:tcPr>
          <w:p w14:paraId="55366E0A" w14:textId="77777777" w:rsidR="00016C24" w:rsidRPr="000C2D83" w:rsidRDefault="00016C24" w:rsidP="00500FD5">
            <w:pPr>
              <w:jc w:val="right"/>
              <w:rPr>
                <w:rFonts w:ascii="Arial" w:hAnsi="Arial" w:cs="Arial"/>
                <w:lang w:eastAsia="en-GB"/>
              </w:rPr>
            </w:pPr>
            <w:r>
              <w:rPr>
                <w:rFonts w:ascii="Arial" w:hAnsi="Arial" w:cs="Arial"/>
                <w:lang w:eastAsia="en-GB"/>
              </w:rPr>
              <w:t>2,301</w:t>
            </w:r>
          </w:p>
        </w:tc>
        <w:tc>
          <w:tcPr>
            <w:tcW w:w="0" w:type="auto"/>
            <w:tcBorders>
              <w:left w:val="single" w:sz="4" w:space="0" w:color="auto"/>
              <w:bottom w:val="single" w:sz="4" w:space="0" w:color="auto"/>
              <w:right w:val="single" w:sz="4" w:space="0" w:color="auto"/>
            </w:tcBorders>
            <w:shd w:val="clear" w:color="000000" w:fill="FFFFFF"/>
            <w:vAlign w:val="bottom"/>
          </w:tcPr>
          <w:p w14:paraId="24285F35" w14:textId="3FE0FA35" w:rsidR="00016C24" w:rsidRPr="000C2D83" w:rsidRDefault="00016C24" w:rsidP="00500FD5">
            <w:pPr>
              <w:jc w:val="right"/>
              <w:rPr>
                <w:rFonts w:ascii="Arial" w:hAnsi="Arial" w:cs="Arial"/>
                <w:lang w:eastAsia="en-GB"/>
              </w:rPr>
            </w:pPr>
            <w:r>
              <w:rPr>
                <w:rFonts w:ascii="Arial" w:hAnsi="Arial" w:cs="Arial"/>
                <w:lang w:eastAsia="en-GB"/>
              </w:rPr>
              <w:t>(324)</w:t>
            </w:r>
          </w:p>
        </w:tc>
      </w:tr>
      <w:tr w:rsidR="00016C24" w:rsidRPr="0024033B" w14:paraId="7220E32E" w14:textId="77777777" w:rsidTr="00500FD5">
        <w:trPr>
          <w:trHeight w:val="330"/>
        </w:trPr>
        <w:tc>
          <w:tcPr>
            <w:tcW w:w="4106" w:type="dxa"/>
            <w:tcBorders>
              <w:left w:val="single" w:sz="4" w:space="0" w:color="auto"/>
              <w:bottom w:val="single" w:sz="4" w:space="0" w:color="auto"/>
              <w:right w:val="single" w:sz="4" w:space="0" w:color="auto"/>
            </w:tcBorders>
            <w:shd w:val="clear" w:color="000000" w:fill="FFFFFF"/>
            <w:vAlign w:val="bottom"/>
          </w:tcPr>
          <w:p w14:paraId="1A3124EB" w14:textId="77777777" w:rsidR="00016C24" w:rsidRPr="002E2287" w:rsidRDefault="00016C24" w:rsidP="00500FD5">
            <w:pPr>
              <w:rPr>
                <w:rFonts w:ascii="Arial" w:hAnsi="Arial" w:cs="Arial"/>
                <w:b/>
                <w:bCs/>
                <w:lang w:eastAsia="en-GB"/>
              </w:rPr>
            </w:pPr>
            <w:r w:rsidRPr="002E2287">
              <w:rPr>
                <w:rFonts w:ascii="Arial" w:hAnsi="Arial" w:cs="Arial"/>
                <w:b/>
                <w:bCs/>
                <w:lang w:eastAsia="en-GB"/>
              </w:rPr>
              <w:t>Total Police &amp; Crime</w:t>
            </w:r>
          </w:p>
        </w:tc>
        <w:tc>
          <w:tcPr>
            <w:tcW w:w="1134" w:type="dxa"/>
            <w:tcBorders>
              <w:left w:val="single" w:sz="4" w:space="0" w:color="auto"/>
              <w:bottom w:val="single" w:sz="4" w:space="0" w:color="auto"/>
              <w:right w:val="single" w:sz="4" w:space="0" w:color="auto"/>
            </w:tcBorders>
            <w:shd w:val="clear" w:color="000000" w:fill="FFFFFF"/>
            <w:vAlign w:val="bottom"/>
          </w:tcPr>
          <w:p w14:paraId="6A621B8B" w14:textId="77777777" w:rsidR="00016C24" w:rsidRPr="00A82071" w:rsidRDefault="00016C24" w:rsidP="00500FD5">
            <w:pPr>
              <w:jc w:val="right"/>
              <w:rPr>
                <w:rFonts w:ascii="Arial" w:hAnsi="Arial" w:cs="Arial"/>
                <w:b/>
                <w:bCs/>
                <w:lang w:eastAsia="en-GB"/>
              </w:rPr>
            </w:pPr>
            <w:r w:rsidRPr="00A82071">
              <w:rPr>
                <w:rFonts w:ascii="Arial" w:hAnsi="Arial" w:cs="Arial"/>
                <w:b/>
                <w:bCs/>
                <w:lang w:eastAsia="en-GB"/>
              </w:rPr>
              <w:t>54,385</w:t>
            </w:r>
          </w:p>
        </w:tc>
        <w:tc>
          <w:tcPr>
            <w:tcW w:w="1414" w:type="dxa"/>
            <w:tcBorders>
              <w:left w:val="single" w:sz="4" w:space="0" w:color="auto"/>
              <w:bottom w:val="single" w:sz="4" w:space="0" w:color="auto"/>
              <w:right w:val="single" w:sz="4" w:space="0" w:color="auto"/>
            </w:tcBorders>
            <w:shd w:val="clear" w:color="000000" w:fill="FFFFFF"/>
            <w:vAlign w:val="bottom"/>
          </w:tcPr>
          <w:p w14:paraId="50C78AF9" w14:textId="77777777" w:rsidR="00016C24" w:rsidRPr="00E27969" w:rsidRDefault="00016C24" w:rsidP="00500FD5">
            <w:pPr>
              <w:jc w:val="right"/>
              <w:rPr>
                <w:rFonts w:ascii="Arial" w:hAnsi="Arial" w:cs="Arial"/>
                <w:b/>
                <w:bCs/>
                <w:lang w:eastAsia="en-GB"/>
              </w:rPr>
            </w:pPr>
            <w:r w:rsidRPr="00E27969">
              <w:rPr>
                <w:rFonts w:ascii="Arial" w:hAnsi="Arial" w:cs="Arial"/>
                <w:b/>
                <w:bCs/>
                <w:lang w:eastAsia="en-GB"/>
              </w:rPr>
              <w:t>43,492</w:t>
            </w:r>
          </w:p>
        </w:tc>
        <w:tc>
          <w:tcPr>
            <w:tcW w:w="0" w:type="auto"/>
            <w:tcBorders>
              <w:left w:val="single" w:sz="4" w:space="0" w:color="auto"/>
              <w:bottom w:val="single" w:sz="4" w:space="0" w:color="auto"/>
              <w:right w:val="single" w:sz="4" w:space="0" w:color="auto"/>
            </w:tcBorders>
            <w:shd w:val="clear" w:color="000000" w:fill="FFFFFF"/>
            <w:vAlign w:val="bottom"/>
          </w:tcPr>
          <w:p w14:paraId="122B4661" w14:textId="77777777" w:rsidR="00016C24" w:rsidRPr="00E27969" w:rsidRDefault="00016C24" w:rsidP="00500FD5">
            <w:pPr>
              <w:jc w:val="right"/>
              <w:rPr>
                <w:rFonts w:ascii="Arial" w:hAnsi="Arial" w:cs="Arial"/>
                <w:b/>
                <w:bCs/>
                <w:lang w:eastAsia="en-GB"/>
              </w:rPr>
            </w:pPr>
            <w:r w:rsidRPr="00E27969">
              <w:rPr>
                <w:rFonts w:ascii="Arial" w:hAnsi="Arial" w:cs="Arial"/>
                <w:b/>
                <w:bCs/>
                <w:lang w:eastAsia="en-GB"/>
              </w:rPr>
              <w:t>40,2</w:t>
            </w:r>
            <w:r>
              <w:rPr>
                <w:rFonts w:ascii="Arial" w:hAnsi="Arial" w:cs="Arial"/>
                <w:b/>
                <w:bCs/>
                <w:lang w:eastAsia="en-GB"/>
              </w:rPr>
              <w:t>37</w:t>
            </w:r>
          </w:p>
        </w:tc>
        <w:tc>
          <w:tcPr>
            <w:tcW w:w="0" w:type="auto"/>
            <w:tcBorders>
              <w:left w:val="single" w:sz="4" w:space="0" w:color="auto"/>
              <w:bottom w:val="single" w:sz="4" w:space="0" w:color="auto"/>
              <w:right w:val="single" w:sz="4" w:space="0" w:color="auto"/>
            </w:tcBorders>
            <w:shd w:val="clear" w:color="000000" w:fill="FFFFFF"/>
            <w:vAlign w:val="bottom"/>
          </w:tcPr>
          <w:p w14:paraId="2137BB80" w14:textId="705A3DB4" w:rsidR="00016C24" w:rsidRPr="00E27969" w:rsidRDefault="00016C24" w:rsidP="00500FD5">
            <w:pPr>
              <w:jc w:val="right"/>
              <w:rPr>
                <w:rFonts w:ascii="Arial" w:hAnsi="Arial" w:cs="Arial"/>
                <w:b/>
                <w:bCs/>
                <w:lang w:eastAsia="en-GB"/>
              </w:rPr>
            </w:pPr>
            <w:r>
              <w:rPr>
                <w:rFonts w:ascii="Arial" w:hAnsi="Arial" w:cs="Arial"/>
                <w:b/>
                <w:bCs/>
                <w:lang w:eastAsia="en-GB"/>
              </w:rPr>
              <w:t>(</w:t>
            </w:r>
            <w:r w:rsidRPr="00E27969">
              <w:rPr>
                <w:rFonts w:ascii="Arial" w:hAnsi="Arial" w:cs="Arial"/>
                <w:b/>
                <w:bCs/>
                <w:lang w:eastAsia="en-GB"/>
              </w:rPr>
              <w:t>3,2</w:t>
            </w:r>
            <w:r>
              <w:rPr>
                <w:rFonts w:ascii="Arial" w:hAnsi="Arial" w:cs="Arial"/>
                <w:b/>
                <w:bCs/>
                <w:lang w:eastAsia="en-GB"/>
              </w:rPr>
              <w:t>55)</w:t>
            </w:r>
          </w:p>
        </w:tc>
      </w:tr>
      <w:tr w:rsidR="00016C24" w:rsidRPr="0024033B" w14:paraId="23541DC4" w14:textId="77777777" w:rsidTr="00500FD5">
        <w:trPr>
          <w:trHeight w:val="315"/>
        </w:trPr>
        <w:tc>
          <w:tcPr>
            <w:tcW w:w="410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B85910" w14:textId="77777777" w:rsidR="00016C24" w:rsidRPr="0024033B" w:rsidRDefault="00016C24" w:rsidP="00500FD5">
            <w:pPr>
              <w:rPr>
                <w:rFonts w:ascii="Arial" w:hAnsi="Arial" w:cs="Arial"/>
                <w:b/>
                <w:bCs/>
                <w:lang w:eastAsia="en-GB"/>
              </w:rPr>
            </w:pPr>
            <w:r w:rsidRPr="0024033B">
              <w:rPr>
                <w:rFonts w:ascii="Arial" w:hAnsi="Arial" w:cs="Arial"/>
                <w:b/>
                <w:bCs/>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3DB6AC"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 </w:t>
            </w:r>
          </w:p>
        </w:tc>
        <w:tc>
          <w:tcPr>
            <w:tcW w:w="141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95A1B3"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14:paraId="4669393A"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14:paraId="4DC540CF"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 </w:t>
            </w:r>
          </w:p>
        </w:tc>
      </w:tr>
      <w:tr w:rsidR="00016C24" w:rsidRPr="0024033B" w14:paraId="64136D98" w14:textId="77777777" w:rsidTr="00500FD5">
        <w:trPr>
          <w:trHeight w:val="315"/>
        </w:trPr>
        <w:tc>
          <w:tcPr>
            <w:tcW w:w="410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06B680" w14:textId="77777777" w:rsidR="00016C24" w:rsidRPr="0024033B" w:rsidRDefault="00016C24" w:rsidP="00500FD5">
            <w:pPr>
              <w:rPr>
                <w:rFonts w:ascii="Arial" w:hAnsi="Arial" w:cs="Arial"/>
                <w:b/>
                <w:bCs/>
                <w:lang w:eastAsia="en-GB"/>
              </w:rPr>
            </w:pPr>
            <w:r w:rsidRPr="0024033B">
              <w:rPr>
                <w:rFonts w:ascii="Arial" w:hAnsi="Arial" w:cs="Arial"/>
                <w:b/>
                <w:bCs/>
                <w:lang w:eastAsia="en-GB"/>
              </w:rPr>
              <w:t xml:space="preserve">Total Capital </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14:paraId="35944596"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4</w:t>
            </w:r>
            <w:r>
              <w:rPr>
                <w:rFonts w:ascii="Arial" w:hAnsi="Arial" w:cs="Arial"/>
                <w:b/>
                <w:bCs/>
                <w:lang w:eastAsia="en-GB"/>
              </w:rPr>
              <w:t>93,335</w:t>
            </w:r>
          </w:p>
        </w:tc>
        <w:tc>
          <w:tcPr>
            <w:tcW w:w="1414" w:type="dxa"/>
            <w:tcBorders>
              <w:top w:val="single" w:sz="4" w:space="0" w:color="auto"/>
              <w:left w:val="nil"/>
              <w:bottom w:val="single" w:sz="4" w:space="0" w:color="auto"/>
              <w:right w:val="single" w:sz="4" w:space="0" w:color="auto"/>
            </w:tcBorders>
            <w:shd w:val="clear" w:color="000000" w:fill="FFFFFF"/>
            <w:vAlign w:val="bottom"/>
            <w:hideMark/>
          </w:tcPr>
          <w:p w14:paraId="143E535A" w14:textId="77777777" w:rsidR="00016C24" w:rsidRPr="0024033B" w:rsidRDefault="00016C24" w:rsidP="00500FD5">
            <w:pPr>
              <w:jc w:val="right"/>
              <w:rPr>
                <w:rFonts w:ascii="Arial" w:hAnsi="Arial" w:cs="Arial"/>
                <w:b/>
                <w:bCs/>
                <w:lang w:eastAsia="en-GB"/>
              </w:rPr>
            </w:pPr>
            <w:r>
              <w:rPr>
                <w:rFonts w:ascii="Arial" w:hAnsi="Arial" w:cs="Arial"/>
                <w:b/>
                <w:bCs/>
                <w:lang w:eastAsia="en-GB"/>
              </w:rPr>
              <w:t>523,409</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14:paraId="36105E97" w14:textId="77777777" w:rsidR="00016C24" w:rsidRPr="0024033B" w:rsidRDefault="00016C24" w:rsidP="00500FD5">
            <w:pPr>
              <w:jc w:val="right"/>
              <w:rPr>
                <w:rFonts w:ascii="Arial" w:hAnsi="Arial" w:cs="Arial"/>
                <w:b/>
                <w:bCs/>
                <w:lang w:eastAsia="en-GB"/>
              </w:rPr>
            </w:pPr>
            <w:r>
              <w:rPr>
                <w:rFonts w:ascii="Arial" w:hAnsi="Arial" w:cs="Arial"/>
                <w:b/>
                <w:bCs/>
                <w:lang w:eastAsia="en-GB"/>
              </w:rPr>
              <w:t>539,512</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14:paraId="2D0997DB" w14:textId="77777777" w:rsidR="00016C24" w:rsidRPr="0024033B" w:rsidRDefault="00016C24" w:rsidP="00500FD5">
            <w:pPr>
              <w:jc w:val="right"/>
              <w:rPr>
                <w:rFonts w:ascii="Arial" w:hAnsi="Arial" w:cs="Arial"/>
                <w:b/>
                <w:bCs/>
                <w:lang w:eastAsia="en-GB"/>
              </w:rPr>
            </w:pPr>
            <w:r w:rsidRPr="0024033B">
              <w:rPr>
                <w:rFonts w:ascii="Arial" w:hAnsi="Arial" w:cs="Arial"/>
                <w:b/>
                <w:bCs/>
                <w:lang w:eastAsia="en-GB"/>
              </w:rPr>
              <w:t>1</w:t>
            </w:r>
            <w:r>
              <w:rPr>
                <w:rFonts w:ascii="Arial" w:hAnsi="Arial" w:cs="Arial"/>
                <w:b/>
                <w:bCs/>
                <w:lang w:eastAsia="en-GB"/>
              </w:rPr>
              <w:t>6,103</w:t>
            </w:r>
          </w:p>
        </w:tc>
      </w:tr>
    </w:tbl>
    <w:p w14:paraId="58605388" w14:textId="77777777" w:rsidR="00016C24" w:rsidRDefault="00016C24" w:rsidP="00016C24">
      <w:pPr>
        <w:pStyle w:val="Normal0"/>
        <w:spacing w:after="160" w:line="240" w:lineRule="auto"/>
        <w:rPr>
          <w:rFonts w:ascii="Arial" w:hAnsi="Arial" w:cs="Arial"/>
          <w:sz w:val="24"/>
          <w:szCs w:val="22"/>
        </w:rPr>
      </w:pPr>
      <w:r>
        <w:rPr>
          <w:rFonts w:ascii="Arial" w:hAnsi="Arial" w:cs="Arial"/>
          <w:sz w:val="24"/>
          <w:szCs w:val="22"/>
        </w:rPr>
        <w:tab/>
      </w:r>
    </w:p>
    <w:p w14:paraId="02717728" w14:textId="77777777" w:rsidR="00016C24" w:rsidRDefault="00016C24" w:rsidP="00016C24">
      <w:pPr>
        <w:pStyle w:val="Normal0"/>
        <w:spacing w:after="160" w:line="240" w:lineRule="auto"/>
        <w:rPr>
          <w:rFonts w:ascii="Arial" w:hAnsi="Arial" w:cs="Arial"/>
          <w:sz w:val="24"/>
          <w:szCs w:val="22"/>
        </w:rPr>
      </w:pPr>
    </w:p>
    <w:p w14:paraId="55F4D87A" w14:textId="77777777" w:rsidR="00016C24" w:rsidRDefault="00016C24" w:rsidP="00016C24">
      <w:pPr>
        <w:pStyle w:val="Normal0"/>
        <w:spacing w:after="160" w:line="240" w:lineRule="auto"/>
        <w:rPr>
          <w:rFonts w:ascii="Arial" w:hAnsi="Arial" w:cs="Arial"/>
          <w:sz w:val="24"/>
          <w:szCs w:val="22"/>
        </w:rPr>
      </w:pPr>
    </w:p>
    <w:p w14:paraId="2D219AD6" w14:textId="77777777" w:rsidR="00016C24" w:rsidRDefault="00016C24" w:rsidP="00016C24">
      <w:pPr>
        <w:pStyle w:val="Normal0"/>
        <w:spacing w:after="160" w:line="240" w:lineRule="auto"/>
        <w:rPr>
          <w:rFonts w:ascii="Arial" w:hAnsi="Arial" w:cs="Arial"/>
          <w:sz w:val="24"/>
          <w:szCs w:val="22"/>
        </w:rPr>
      </w:pPr>
    </w:p>
    <w:tbl>
      <w:tblPr>
        <w:tblW w:w="6540" w:type="dxa"/>
        <w:tblInd w:w="841" w:type="dxa"/>
        <w:tblLook w:val="04A0" w:firstRow="1" w:lastRow="0" w:firstColumn="1" w:lastColumn="0" w:noHBand="0" w:noVBand="1"/>
      </w:tblPr>
      <w:tblGrid>
        <w:gridCol w:w="5340"/>
        <w:gridCol w:w="1200"/>
      </w:tblGrid>
      <w:tr w:rsidR="00016C24" w:rsidRPr="00C7581E" w14:paraId="503014BC" w14:textId="77777777" w:rsidTr="00500FD5">
        <w:trPr>
          <w:trHeight w:val="300"/>
        </w:trPr>
        <w:tc>
          <w:tcPr>
            <w:tcW w:w="5340" w:type="dxa"/>
            <w:tcBorders>
              <w:top w:val="single" w:sz="8" w:space="0" w:color="auto"/>
              <w:left w:val="single" w:sz="8" w:space="0" w:color="auto"/>
              <w:bottom w:val="nil"/>
              <w:right w:val="single" w:sz="8" w:space="0" w:color="auto"/>
            </w:tcBorders>
            <w:shd w:val="clear" w:color="auto" w:fill="auto"/>
            <w:noWrap/>
            <w:vAlign w:val="center"/>
            <w:hideMark/>
          </w:tcPr>
          <w:p w14:paraId="7D3DDE67" w14:textId="77777777" w:rsidR="00016C24" w:rsidRPr="00C7581E" w:rsidRDefault="00016C24" w:rsidP="00500FD5">
            <w:pPr>
              <w:spacing w:line="360" w:lineRule="auto"/>
              <w:rPr>
                <w:rFonts w:ascii="Arial" w:hAnsi="Arial" w:cs="Arial"/>
                <w:b/>
                <w:bCs/>
                <w:lang w:eastAsia="en-GB"/>
              </w:rPr>
            </w:pPr>
            <w:r w:rsidRPr="00C7581E">
              <w:rPr>
                <w:rFonts w:ascii="Arial" w:hAnsi="Arial" w:cs="Arial"/>
                <w:b/>
                <w:bCs/>
                <w:lang w:eastAsia="en-GB"/>
              </w:rPr>
              <w:t>Financed by:</w:t>
            </w:r>
          </w:p>
        </w:tc>
        <w:tc>
          <w:tcPr>
            <w:tcW w:w="1200" w:type="dxa"/>
            <w:tcBorders>
              <w:top w:val="single" w:sz="8" w:space="0" w:color="auto"/>
              <w:left w:val="nil"/>
              <w:bottom w:val="nil"/>
              <w:right w:val="single" w:sz="8" w:space="0" w:color="auto"/>
            </w:tcBorders>
            <w:shd w:val="clear" w:color="auto" w:fill="auto"/>
            <w:noWrap/>
            <w:vAlign w:val="center"/>
            <w:hideMark/>
          </w:tcPr>
          <w:p w14:paraId="498A0D61" w14:textId="77777777" w:rsidR="00016C24" w:rsidRPr="00C7581E" w:rsidRDefault="00016C24" w:rsidP="00500FD5">
            <w:pPr>
              <w:spacing w:line="360" w:lineRule="auto"/>
              <w:jc w:val="center"/>
              <w:rPr>
                <w:rFonts w:ascii="Arial" w:hAnsi="Arial" w:cs="Arial"/>
                <w:b/>
                <w:bCs/>
                <w:lang w:eastAsia="en-GB"/>
              </w:rPr>
            </w:pPr>
            <w:r w:rsidRPr="00C7581E">
              <w:rPr>
                <w:rFonts w:ascii="Arial" w:hAnsi="Arial" w:cs="Arial"/>
                <w:b/>
                <w:bCs/>
                <w:lang w:eastAsia="en-GB"/>
              </w:rPr>
              <w:t>£000</w:t>
            </w:r>
          </w:p>
        </w:tc>
      </w:tr>
      <w:tr w:rsidR="00016C24" w:rsidRPr="00C7581E" w14:paraId="4E52B41E" w14:textId="77777777" w:rsidTr="00500FD5">
        <w:trPr>
          <w:trHeight w:val="285"/>
        </w:trPr>
        <w:tc>
          <w:tcPr>
            <w:tcW w:w="5340" w:type="dxa"/>
            <w:tcBorders>
              <w:top w:val="nil"/>
              <w:left w:val="single" w:sz="8" w:space="0" w:color="auto"/>
              <w:bottom w:val="nil"/>
              <w:right w:val="single" w:sz="8" w:space="0" w:color="auto"/>
            </w:tcBorders>
            <w:shd w:val="clear" w:color="auto" w:fill="auto"/>
            <w:noWrap/>
            <w:vAlign w:val="center"/>
            <w:hideMark/>
          </w:tcPr>
          <w:p w14:paraId="5F98499C" w14:textId="77777777" w:rsidR="00016C24" w:rsidRPr="00C7581E" w:rsidRDefault="00016C24" w:rsidP="00500FD5">
            <w:pPr>
              <w:spacing w:line="360" w:lineRule="auto"/>
              <w:rPr>
                <w:rFonts w:ascii="Arial" w:hAnsi="Arial" w:cs="Arial"/>
                <w:u w:val="single"/>
                <w:lang w:eastAsia="en-GB"/>
              </w:rPr>
            </w:pPr>
            <w:r w:rsidRPr="00C7581E">
              <w:rPr>
                <w:rFonts w:ascii="Arial" w:hAnsi="Arial" w:cs="Arial"/>
                <w:u w:val="single"/>
                <w:lang w:eastAsia="en-GB"/>
              </w:rPr>
              <w:t>GMCA Resources</w:t>
            </w:r>
          </w:p>
        </w:tc>
        <w:tc>
          <w:tcPr>
            <w:tcW w:w="1200" w:type="dxa"/>
            <w:tcBorders>
              <w:top w:val="nil"/>
              <w:left w:val="nil"/>
              <w:bottom w:val="nil"/>
              <w:right w:val="single" w:sz="8" w:space="0" w:color="auto"/>
            </w:tcBorders>
            <w:shd w:val="clear" w:color="auto" w:fill="auto"/>
            <w:noWrap/>
            <w:vAlign w:val="center"/>
            <w:hideMark/>
          </w:tcPr>
          <w:p w14:paraId="704CD34A" w14:textId="77777777" w:rsidR="00016C24" w:rsidRPr="00C7581E" w:rsidRDefault="00016C24" w:rsidP="00500FD5">
            <w:pPr>
              <w:spacing w:line="360" w:lineRule="auto"/>
              <w:jc w:val="right"/>
              <w:rPr>
                <w:rFonts w:ascii="Arial" w:hAnsi="Arial" w:cs="Arial"/>
                <w:lang w:eastAsia="en-GB"/>
              </w:rPr>
            </w:pPr>
            <w:r w:rsidRPr="00C7581E">
              <w:rPr>
                <w:rFonts w:ascii="Arial" w:hAnsi="Arial" w:cs="Arial"/>
                <w:lang w:eastAsia="en-GB"/>
              </w:rPr>
              <w:t> </w:t>
            </w:r>
          </w:p>
        </w:tc>
      </w:tr>
      <w:tr w:rsidR="00016C24" w:rsidRPr="00C7581E" w14:paraId="5C554AD8" w14:textId="77777777" w:rsidTr="00500FD5">
        <w:trPr>
          <w:trHeight w:val="285"/>
        </w:trPr>
        <w:tc>
          <w:tcPr>
            <w:tcW w:w="5340" w:type="dxa"/>
            <w:tcBorders>
              <w:top w:val="nil"/>
              <w:left w:val="single" w:sz="8" w:space="0" w:color="auto"/>
              <w:bottom w:val="nil"/>
              <w:right w:val="single" w:sz="8" w:space="0" w:color="auto"/>
            </w:tcBorders>
            <w:shd w:val="clear" w:color="auto" w:fill="auto"/>
            <w:noWrap/>
            <w:vAlign w:val="center"/>
            <w:hideMark/>
          </w:tcPr>
          <w:p w14:paraId="55D4D503" w14:textId="77777777" w:rsidR="00016C24" w:rsidRPr="00C7581E" w:rsidRDefault="00016C24" w:rsidP="00500FD5">
            <w:pPr>
              <w:spacing w:line="360" w:lineRule="auto"/>
              <w:rPr>
                <w:rFonts w:ascii="Arial" w:hAnsi="Arial" w:cs="Arial"/>
                <w:lang w:eastAsia="en-GB"/>
              </w:rPr>
            </w:pPr>
            <w:r w:rsidRPr="00C7581E">
              <w:rPr>
                <w:rFonts w:ascii="Arial" w:hAnsi="Arial" w:cs="Arial"/>
                <w:lang w:eastAsia="en-GB"/>
              </w:rPr>
              <w:t>Borrowing</w:t>
            </w:r>
          </w:p>
        </w:tc>
        <w:tc>
          <w:tcPr>
            <w:tcW w:w="1200" w:type="dxa"/>
            <w:tcBorders>
              <w:top w:val="nil"/>
              <w:left w:val="nil"/>
              <w:bottom w:val="nil"/>
              <w:right w:val="single" w:sz="8" w:space="0" w:color="auto"/>
            </w:tcBorders>
            <w:shd w:val="clear" w:color="auto" w:fill="auto"/>
            <w:noWrap/>
            <w:vAlign w:val="center"/>
            <w:hideMark/>
          </w:tcPr>
          <w:p w14:paraId="60FCC66E" w14:textId="77777777" w:rsidR="00016C24" w:rsidRPr="00C7581E" w:rsidRDefault="00016C24" w:rsidP="00500FD5">
            <w:pPr>
              <w:spacing w:line="360" w:lineRule="auto"/>
              <w:jc w:val="right"/>
              <w:rPr>
                <w:rFonts w:ascii="Arial" w:hAnsi="Arial" w:cs="Arial"/>
                <w:lang w:eastAsia="en-GB"/>
              </w:rPr>
            </w:pPr>
            <w:r w:rsidRPr="00C7581E">
              <w:rPr>
                <w:rFonts w:ascii="Arial" w:hAnsi="Arial" w:cs="Arial"/>
                <w:lang w:eastAsia="en-GB"/>
              </w:rPr>
              <w:t xml:space="preserve">43,346 </w:t>
            </w:r>
          </w:p>
        </w:tc>
      </w:tr>
      <w:tr w:rsidR="00016C24" w:rsidRPr="00C7581E" w14:paraId="74CC29A9" w14:textId="77777777" w:rsidTr="00500FD5">
        <w:trPr>
          <w:trHeight w:val="285"/>
        </w:trPr>
        <w:tc>
          <w:tcPr>
            <w:tcW w:w="5340" w:type="dxa"/>
            <w:tcBorders>
              <w:top w:val="nil"/>
              <w:left w:val="single" w:sz="8" w:space="0" w:color="auto"/>
              <w:bottom w:val="nil"/>
              <w:right w:val="single" w:sz="8" w:space="0" w:color="auto"/>
            </w:tcBorders>
            <w:shd w:val="clear" w:color="auto" w:fill="auto"/>
            <w:noWrap/>
            <w:vAlign w:val="center"/>
            <w:hideMark/>
          </w:tcPr>
          <w:p w14:paraId="4F2514FD" w14:textId="77777777" w:rsidR="00016C24" w:rsidRPr="00C7581E" w:rsidRDefault="00016C24" w:rsidP="00500FD5">
            <w:pPr>
              <w:spacing w:line="360" w:lineRule="auto"/>
              <w:rPr>
                <w:rFonts w:ascii="Arial" w:hAnsi="Arial" w:cs="Arial"/>
                <w:lang w:eastAsia="en-GB"/>
              </w:rPr>
            </w:pPr>
            <w:r w:rsidRPr="00C7581E">
              <w:rPr>
                <w:rFonts w:ascii="Arial" w:hAnsi="Arial" w:cs="Arial"/>
                <w:lang w:eastAsia="en-GB"/>
              </w:rPr>
              <w:t>Capital Grants</w:t>
            </w:r>
          </w:p>
        </w:tc>
        <w:tc>
          <w:tcPr>
            <w:tcW w:w="1200" w:type="dxa"/>
            <w:tcBorders>
              <w:top w:val="nil"/>
              <w:left w:val="nil"/>
              <w:bottom w:val="nil"/>
              <w:right w:val="single" w:sz="8" w:space="0" w:color="auto"/>
            </w:tcBorders>
            <w:shd w:val="clear" w:color="auto" w:fill="auto"/>
            <w:noWrap/>
            <w:vAlign w:val="center"/>
            <w:hideMark/>
          </w:tcPr>
          <w:p w14:paraId="5CA3038D" w14:textId="77777777" w:rsidR="00016C24" w:rsidRPr="00C7581E" w:rsidRDefault="00016C24" w:rsidP="00500FD5">
            <w:pPr>
              <w:spacing w:line="360" w:lineRule="auto"/>
              <w:jc w:val="right"/>
              <w:rPr>
                <w:rFonts w:ascii="Arial" w:hAnsi="Arial" w:cs="Arial"/>
                <w:lang w:eastAsia="en-GB"/>
              </w:rPr>
            </w:pPr>
            <w:r w:rsidRPr="00C7581E">
              <w:rPr>
                <w:rFonts w:ascii="Arial" w:hAnsi="Arial" w:cs="Arial"/>
                <w:lang w:eastAsia="en-GB"/>
              </w:rPr>
              <w:t xml:space="preserve">116,519 </w:t>
            </w:r>
          </w:p>
        </w:tc>
      </w:tr>
      <w:tr w:rsidR="00016C24" w:rsidRPr="00C7581E" w14:paraId="3E5FA5A8" w14:textId="77777777" w:rsidTr="00500FD5">
        <w:trPr>
          <w:trHeight w:val="285"/>
        </w:trPr>
        <w:tc>
          <w:tcPr>
            <w:tcW w:w="5340" w:type="dxa"/>
            <w:tcBorders>
              <w:top w:val="nil"/>
              <w:left w:val="single" w:sz="8" w:space="0" w:color="auto"/>
              <w:bottom w:val="nil"/>
              <w:right w:val="single" w:sz="8" w:space="0" w:color="auto"/>
            </w:tcBorders>
            <w:shd w:val="clear" w:color="auto" w:fill="auto"/>
            <w:noWrap/>
            <w:vAlign w:val="center"/>
            <w:hideMark/>
          </w:tcPr>
          <w:p w14:paraId="576738BF" w14:textId="77777777" w:rsidR="00016C24" w:rsidRPr="00C7581E" w:rsidRDefault="00016C24" w:rsidP="00500FD5">
            <w:pPr>
              <w:spacing w:line="360" w:lineRule="auto"/>
              <w:rPr>
                <w:rFonts w:ascii="Arial" w:hAnsi="Arial" w:cs="Arial"/>
                <w:lang w:eastAsia="en-GB"/>
              </w:rPr>
            </w:pPr>
            <w:r w:rsidRPr="00C7581E">
              <w:rPr>
                <w:rFonts w:ascii="Arial" w:hAnsi="Arial" w:cs="Arial"/>
                <w:lang w:eastAsia="en-GB"/>
              </w:rPr>
              <w:t>Revenue Contribution to Capital Outlay</w:t>
            </w:r>
          </w:p>
        </w:tc>
        <w:tc>
          <w:tcPr>
            <w:tcW w:w="1200" w:type="dxa"/>
            <w:tcBorders>
              <w:top w:val="nil"/>
              <w:left w:val="nil"/>
              <w:bottom w:val="nil"/>
              <w:right w:val="single" w:sz="8" w:space="0" w:color="auto"/>
            </w:tcBorders>
            <w:shd w:val="clear" w:color="auto" w:fill="auto"/>
            <w:noWrap/>
            <w:vAlign w:val="center"/>
            <w:hideMark/>
          </w:tcPr>
          <w:p w14:paraId="2DF8D712" w14:textId="77777777" w:rsidR="00016C24" w:rsidRPr="00C7581E" w:rsidRDefault="00016C24" w:rsidP="00500FD5">
            <w:pPr>
              <w:spacing w:line="360" w:lineRule="auto"/>
              <w:jc w:val="right"/>
              <w:rPr>
                <w:rFonts w:ascii="Arial" w:hAnsi="Arial" w:cs="Arial"/>
                <w:lang w:eastAsia="en-GB"/>
              </w:rPr>
            </w:pPr>
            <w:r w:rsidRPr="00C7581E">
              <w:rPr>
                <w:rFonts w:ascii="Arial" w:hAnsi="Arial" w:cs="Arial"/>
                <w:lang w:eastAsia="en-GB"/>
              </w:rPr>
              <w:t xml:space="preserve">31,847 </w:t>
            </w:r>
          </w:p>
        </w:tc>
      </w:tr>
      <w:tr w:rsidR="00016C24" w:rsidRPr="00C7581E" w14:paraId="7DE713FA" w14:textId="77777777" w:rsidTr="00500FD5">
        <w:trPr>
          <w:trHeight w:val="527"/>
        </w:trPr>
        <w:tc>
          <w:tcPr>
            <w:tcW w:w="5340" w:type="dxa"/>
            <w:tcBorders>
              <w:top w:val="nil"/>
              <w:left w:val="single" w:sz="8" w:space="0" w:color="auto"/>
              <w:bottom w:val="nil"/>
              <w:right w:val="single" w:sz="8" w:space="0" w:color="auto"/>
            </w:tcBorders>
            <w:shd w:val="clear" w:color="auto" w:fill="auto"/>
            <w:noWrap/>
            <w:vAlign w:val="center"/>
            <w:hideMark/>
          </w:tcPr>
          <w:p w14:paraId="7662E8E2" w14:textId="77777777" w:rsidR="00016C24" w:rsidRPr="00C7581E" w:rsidRDefault="00016C24" w:rsidP="00500FD5">
            <w:pPr>
              <w:spacing w:line="360" w:lineRule="auto"/>
              <w:rPr>
                <w:rFonts w:ascii="Arial" w:hAnsi="Arial" w:cs="Arial"/>
                <w:lang w:eastAsia="en-GB"/>
              </w:rPr>
            </w:pPr>
            <w:r w:rsidRPr="00C7581E">
              <w:rPr>
                <w:rFonts w:ascii="Arial" w:hAnsi="Arial" w:cs="Arial"/>
                <w:lang w:eastAsia="en-GB"/>
              </w:rPr>
              <w:t>External Contributions</w:t>
            </w:r>
          </w:p>
        </w:tc>
        <w:tc>
          <w:tcPr>
            <w:tcW w:w="1200" w:type="dxa"/>
            <w:tcBorders>
              <w:top w:val="nil"/>
              <w:left w:val="nil"/>
              <w:bottom w:val="nil"/>
              <w:right w:val="single" w:sz="8" w:space="0" w:color="auto"/>
            </w:tcBorders>
            <w:shd w:val="clear" w:color="auto" w:fill="auto"/>
            <w:noWrap/>
            <w:vAlign w:val="center"/>
            <w:hideMark/>
          </w:tcPr>
          <w:p w14:paraId="4B8D118C" w14:textId="77777777" w:rsidR="00016C24" w:rsidRPr="00C7581E" w:rsidRDefault="00016C24" w:rsidP="00500FD5">
            <w:pPr>
              <w:spacing w:line="360" w:lineRule="auto"/>
              <w:jc w:val="right"/>
              <w:rPr>
                <w:rFonts w:ascii="Arial" w:hAnsi="Arial" w:cs="Arial"/>
                <w:lang w:eastAsia="en-GB"/>
              </w:rPr>
            </w:pPr>
            <w:r w:rsidRPr="00C7581E">
              <w:rPr>
                <w:rFonts w:ascii="Arial" w:hAnsi="Arial" w:cs="Arial"/>
                <w:lang w:eastAsia="en-GB"/>
              </w:rPr>
              <w:t xml:space="preserve">2,230 </w:t>
            </w:r>
          </w:p>
        </w:tc>
      </w:tr>
      <w:tr w:rsidR="00016C24" w:rsidRPr="00C7581E" w14:paraId="344F4D50" w14:textId="77777777" w:rsidTr="00500FD5">
        <w:trPr>
          <w:trHeight w:val="300"/>
        </w:trPr>
        <w:tc>
          <w:tcPr>
            <w:tcW w:w="5340" w:type="dxa"/>
            <w:tcBorders>
              <w:top w:val="nil"/>
              <w:left w:val="single" w:sz="8" w:space="0" w:color="auto"/>
              <w:bottom w:val="nil"/>
              <w:right w:val="single" w:sz="8" w:space="0" w:color="auto"/>
            </w:tcBorders>
            <w:shd w:val="clear" w:color="auto" w:fill="auto"/>
            <w:noWrap/>
            <w:vAlign w:val="center"/>
            <w:hideMark/>
          </w:tcPr>
          <w:p w14:paraId="24F66225" w14:textId="77777777" w:rsidR="00016C24" w:rsidRPr="00C7581E" w:rsidRDefault="00016C24" w:rsidP="00500FD5">
            <w:pPr>
              <w:spacing w:line="360" w:lineRule="auto"/>
              <w:rPr>
                <w:rFonts w:ascii="Arial" w:hAnsi="Arial" w:cs="Arial"/>
                <w:lang w:eastAsia="en-GB"/>
              </w:rPr>
            </w:pPr>
            <w:r w:rsidRPr="00C7581E">
              <w:rPr>
                <w:rFonts w:ascii="Arial" w:hAnsi="Arial" w:cs="Arial"/>
                <w:lang w:eastAsia="en-GB"/>
              </w:rPr>
              <w:t>External Contributions TfGM</w:t>
            </w:r>
          </w:p>
        </w:tc>
        <w:tc>
          <w:tcPr>
            <w:tcW w:w="1200" w:type="dxa"/>
            <w:tcBorders>
              <w:top w:val="nil"/>
              <w:left w:val="nil"/>
              <w:bottom w:val="nil"/>
              <w:right w:val="single" w:sz="8" w:space="0" w:color="auto"/>
            </w:tcBorders>
            <w:shd w:val="clear" w:color="auto" w:fill="auto"/>
            <w:noWrap/>
            <w:vAlign w:val="center"/>
            <w:hideMark/>
          </w:tcPr>
          <w:p w14:paraId="1B1FF6E4" w14:textId="77777777" w:rsidR="00016C24" w:rsidRPr="00C7581E" w:rsidRDefault="00016C24" w:rsidP="00500FD5">
            <w:pPr>
              <w:spacing w:line="360" w:lineRule="auto"/>
              <w:jc w:val="right"/>
              <w:rPr>
                <w:rFonts w:ascii="Arial" w:hAnsi="Arial" w:cs="Arial"/>
                <w:lang w:eastAsia="en-GB"/>
              </w:rPr>
            </w:pPr>
            <w:r w:rsidRPr="00C7581E">
              <w:rPr>
                <w:rFonts w:ascii="Arial" w:hAnsi="Arial" w:cs="Arial"/>
                <w:lang w:eastAsia="en-GB"/>
              </w:rPr>
              <w:t xml:space="preserve">13,361 </w:t>
            </w:r>
          </w:p>
        </w:tc>
      </w:tr>
      <w:tr w:rsidR="00016C24" w:rsidRPr="00C7581E" w14:paraId="0BCB7728" w14:textId="77777777" w:rsidTr="00500FD5">
        <w:trPr>
          <w:trHeight w:val="315"/>
        </w:trPr>
        <w:tc>
          <w:tcPr>
            <w:tcW w:w="5340" w:type="dxa"/>
            <w:tcBorders>
              <w:top w:val="nil"/>
              <w:left w:val="single" w:sz="8" w:space="0" w:color="auto"/>
              <w:bottom w:val="nil"/>
              <w:right w:val="single" w:sz="8" w:space="0" w:color="auto"/>
            </w:tcBorders>
            <w:shd w:val="clear" w:color="auto" w:fill="auto"/>
            <w:noWrap/>
            <w:vAlign w:val="center"/>
            <w:hideMark/>
          </w:tcPr>
          <w:p w14:paraId="6155D0A6" w14:textId="77777777" w:rsidR="00016C24" w:rsidRPr="00C7581E" w:rsidRDefault="00016C24" w:rsidP="00500FD5">
            <w:pPr>
              <w:spacing w:line="360" w:lineRule="auto"/>
              <w:rPr>
                <w:rFonts w:ascii="Arial" w:hAnsi="Arial" w:cs="Arial"/>
                <w:b/>
                <w:bCs/>
                <w:lang w:eastAsia="en-GB"/>
              </w:rPr>
            </w:pPr>
            <w:r w:rsidRPr="00C7581E">
              <w:rPr>
                <w:rFonts w:ascii="Arial" w:hAnsi="Arial" w:cs="Arial"/>
                <w:b/>
                <w:bCs/>
                <w:lang w:eastAsia="en-GB"/>
              </w:rPr>
              <w:t>Total Transport</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14:paraId="3432614C" w14:textId="77777777" w:rsidR="00016C24" w:rsidRPr="00C7581E" w:rsidRDefault="00016C24" w:rsidP="00500FD5">
            <w:pPr>
              <w:spacing w:line="360" w:lineRule="auto"/>
              <w:jc w:val="right"/>
              <w:rPr>
                <w:rFonts w:ascii="Arial" w:hAnsi="Arial" w:cs="Arial"/>
                <w:b/>
                <w:bCs/>
                <w:lang w:eastAsia="en-GB"/>
              </w:rPr>
            </w:pPr>
            <w:r w:rsidRPr="00C7581E">
              <w:rPr>
                <w:rFonts w:ascii="Arial" w:hAnsi="Arial" w:cs="Arial"/>
                <w:b/>
                <w:bCs/>
                <w:lang w:eastAsia="en-GB"/>
              </w:rPr>
              <w:t xml:space="preserve">207,302 </w:t>
            </w:r>
          </w:p>
        </w:tc>
      </w:tr>
      <w:tr w:rsidR="00016C24" w:rsidRPr="00C7581E" w14:paraId="487BAEED" w14:textId="77777777" w:rsidTr="00500FD5">
        <w:trPr>
          <w:trHeight w:val="285"/>
        </w:trPr>
        <w:tc>
          <w:tcPr>
            <w:tcW w:w="5340" w:type="dxa"/>
            <w:tcBorders>
              <w:top w:val="nil"/>
              <w:left w:val="single" w:sz="8" w:space="0" w:color="auto"/>
              <w:bottom w:val="nil"/>
              <w:right w:val="single" w:sz="8" w:space="0" w:color="auto"/>
            </w:tcBorders>
            <w:shd w:val="clear" w:color="auto" w:fill="auto"/>
            <w:noWrap/>
            <w:vAlign w:val="bottom"/>
            <w:hideMark/>
          </w:tcPr>
          <w:p w14:paraId="17A6E524" w14:textId="77777777" w:rsidR="00016C24" w:rsidRPr="00C7581E" w:rsidRDefault="00016C24" w:rsidP="00500FD5">
            <w:pPr>
              <w:spacing w:line="360" w:lineRule="auto"/>
              <w:rPr>
                <w:rFonts w:ascii="Arial" w:hAnsi="Arial" w:cs="Arial"/>
                <w:lang w:eastAsia="en-GB"/>
              </w:rPr>
            </w:pPr>
            <w:r w:rsidRPr="00C7581E">
              <w:rPr>
                <w:rFonts w:ascii="Arial" w:hAnsi="Arial" w:cs="Arial"/>
                <w:lang w:eastAsia="en-GB"/>
              </w:rPr>
              <w:t>Borrowing</w:t>
            </w:r>
          </w:p>
        </w:tc>
        <w:tc>
          <w:tcPr>
            <w:tcW w:w="1200" w:type="dxa"/>
            <w:tcBorders>
              <w:top w:val="nil"/>
              <w:left w:val="nil"/>
              <w:bottom w:val="nil"/>
              <w:right w:val="single" w:sz="8" w:space="0" w:color="auto"/>
            </w:tcBorders>
            <w:shd w:val="clear" w:color="auto" w:fill="auto"/>
            <w:noWrap/>
            <w:vAlign w:val="bottom"/>
            <w:hideMark/>
          </w:tcPr>
          <w:p w14:paraId="78B164F9" w14:textId="77777777" w:rsidR="00016C24" w:rsidRPr="00C7581E" w:rsidRDefault="00016C24" w:rsidP="00500FD5">
            <w:pPr>
              <w:spacing w:line="360" w:lineRule="auto"/>
              <w:jc w:val="right"/>
              <w:rPr>
                <w:rFonts w:ascii="Arial" w:hAnsi="Arial" w:cs="Arial"/>
                <w:lang w:eastAsia="en-GB"/>
              </w:rPr>
            </w:pPr>
            <w:r w:rsidRPr="00C7581E">
              <w:rPr>
                <w:rFonts w:ascii="Arial" w:hAnsi="Arial" w:cs="Arial"/>
                <w:lang w:eastAsia="en-GB"/>
              </w:rPr>
              <w:t xml:space="preserve">0 </w:t>
            </w:r>
          </w:p>
        </w:tc>
      </w:tr>
      <w:tr w:rsidR="00016C24" w:rsidRPr="00C7581E" w14:paraId="405D66AE" w14:textId="77777777" w:rsidTr="00500FD5">
        <w:trPr>
          <w:trHeight w:val="285"/>
        </w:trPr>
        <w:tc>
          <w:tcPr>
            <w:tcW w:w="5340" w:type="dxa"/>
            <w:tcBorders>
              <w:top w:val="nil"/>
              <w:left w:val="single" w:sz="8" w:space="0" w:color="auto"/>
              <w:bottom w:val="nil"/>
              <w:right w:val="single" w:sz="8" w:space="0" w:color="auto"/>
            </w:tcBorders>
            <w:shd w:val="clear" w:color="auto" w:fill="auto"/>
            <w:noWrap/>
            <w:vAlign w:val="center"/>
            <w:hideMark/>
          </w:tcPr>
          <w:p w14:paraId="4BF28759" w14:textId="77777777" w:rsidR="00016C24" w:rsidRPr="00C7581E" w:rsidRDefault="00016C24" w:rsidP="00500FD5">
            <w:pPr>
              <w:spacing w:line="360" w:lineRule="auto"/>
              <w:rPr>
                <w:rFonts w:ascii="Arial" w:hAnsi="Arial" w:cs="Arial"/>
                <w:lang w:eastAsia="en-GB"/>
              </w:rPr>
            </w:pPr>
            <w:r w:rsidRPr="00C7581E">
              <w:rPr>
                <w:rFonts w:ascii="Arial" w:hAnsi="Arial" w:cs="Arial"/>
                <w:lang w:eastAsia="en-GB"/>
              </w:rPr>
              <w:t>Capital Grants</w:t>
            </w:r>
          </w:p>
        </w:tc>
        <w:tc>
          <w:tcPr>
            <w:tcW w:w="1200" w:type="dxa"/>
            <w:tcBorders>
              <w:top w:val="nil"/>
              <w:left w:val="nil"/>
              <w:bottom w:val="nil"/>
              <w:right w:val="single" w:sz="8" w:space="0" w:color="auto"/>
            </w:tcBorders>
            <w:shd w:val="clear" w:color="auto" w:fill="auto"/>
            <w:noWrap/>
            <w:vAlign w:val="center"/>
            <w:hideMark/>
          </w:tcPr>
          <w:p w14:paraId="323F4596" w14:textId="77777777" w:rsidR="00016C24" w:rsidRPr="00C7581E" w:rsidRDefault="00016C24" w:rsidP="00500FD5">
            <w:pPr>
              <w:spacing w:line="360" w:lineRule="auto"/>
              <w:jc w:val="right"/>
              <w:rPr>
                <w:rFonts w:ascii="Arial" w:hAnsi="Arial" w:cs="Arial"/>
                <w:lang w:eastAsia="en-GB"/>
              </w:rPr>
            </w:pPr>
            <w:r w:rsidRPr="00C7581E">
              <w:rPr>
                <w:rFonts w:ascii="Arial" w:hAnsi="Arial" w:cs="Arial"/>
                <w:lang w:eastAsia="en-GB"/>
              </w:rPr>
              <w:t xml:space="preserve">112,205 </w:t>
            </w:r>
          </w:p>
        </w:tc>
      </w:tr>
      <w:tr w:rsidR="00016C24" w:rsidRPr="00C7581E" w14:paraId="4B9741E9" w14:textId="77777777" w:rsidTr="00500FD5">
        <w:trPr>
          <w:trHeight w:val="285"/>
        </w:trPr>
        <w:tc>
          <w:tcPr>
            <w:tcW w:w="5340" w:type="dxa"/>
            <w:tcBorders>
              <w:top w:val="nil"/>
              <w:left w:val="single" w:sz="8" w:space="0" w:color="auto"/>
              <w:bottom w:val="nil"/>
              <w:right w:val="single" w:sz="8" w:space="0" w:color="auto"/>
            </w:tcBorders>
            <w:shd w:val="clear" w:color="auto" w:fill="auto"/>
            <w:noWrap/>
            <w:vAlign w:val="center"/>
            <w:hideMark/>
          </w:tcPr>
          <w:p w14:paraId="5A38FD39" w14:textId="77777777" w:rsidR="00016C24" w:rsidRPr="00C7581E" w:rsidRDefault="00016C24" w:rsidP="00500FD5">
            <w:pPr>
              <w:spacing w:line="360" w:lineRule="auto"/>
              <w:rPr>
                <w:rFonts w:ascii="Arial" w:hAnsi="Arial" w:cs="Arial"/>
                <w:lang w:eastAsia="en-GB"/>
              </w:rPr>
            </w:pPr>
            <w:r w:rsidRPr="00C7581E">
              <w:rPr>
                <w:rFonts w:ascii="Arial" w:hAnsi="Arial" w:cs="Arial"/>
                <w:lang w:eastAsia="en-GB"/>
              </w:rPr>
              <w:t>Revenue Contribution to Capital Outlay</w:t>
            </w:r>
          </w:p>
        </w:tc>
        <w:tc>
          <w:tcPr>
            <w:tcW w:w="1200" w:type="dxa"/>
            <w:tcBorders>
              <w:top w:val="nil"/>
              <w:left w:val="nil"/>
              <w:bottom w:val="nil"/>
              <w:right w:val="single" w:sz="8" w:space="0" w:color="auto"/>
            </w:tcBorders>
            <w:shd w:val="clear" w:color="auto" w:fill="auto"/>
            <w:noWrap/>
            <w:vAlign w:val="center"/>
            <w:hideMark/>
          </w:tcPr>
          <w:p w14:paraId="57574FA5" w14:textId="77777777" w:rsidR="00016C24" w:rsidRPr="00C7581E" w:rsidRDefault="00016C24" w:rsidP="00500FD5">
            <w:pPr>
              <w:spacing w:line="360" w:lineRule="auto"/>
              <w:jc w:val="right"/>
              <w:rPr>
                <w:rFonts w:ascii="Arial" w:hAnsi="Arial" w:cs="Arial"/>
                <w:lang w:eastAsia="en-GB"/>
              </w:rPr>
            </w:pPr>
            <w:r w:rsidRPr="00C7581E">
              <w:rPr>
                <w:rFonts w:ascii="Arial" w:hAnsi="Arial" w:cs="Arial"/>
                <w:lang w:eastAsia="en-GB"/>
              </w:rPr>
              <w:t xml:space="preserve">0 </w:t>
            </w:r>
          </w:p>
        </w:tc>
      </w:tr>
      <w:tr w:rsidR="00016C24" w:rsidRPr="00C7581E" w14:paraId="5FE58053" w14:textId="77777777" w:rsidTr="00500FD5">
        <w:trPr>
          <w:trHeight w:val="300"/>
        </w:trPr>
        <w:tc>
          <w:tcPr>
            <w:tcW w:w="5340" w:type="dxa"/>
            <w:tcBorders>
              <w:top w:val="nil"/>
              <w:left w:val="single" w:sz="8" w:space="0" w:color="auto"/>
              <w:bottom w:val="nil"/>
              <w:right w:val="single" w:sz="8" w:space="0" w:color="auto"/>
            </w:tcBorders>
            <w:shd w:val="clear" w:color="auto" w:fill="auto"/>
            <w:noWrap/>
            <w:vAlign w:val="center"/>
            <w:hideMark/>
          </w:tcPr>
          <w:p w14:paraId="04C860BD" w14:textId="77777777" w:rsidR="00016C24" w:rsidRPr="00C7581E" w:rsidRDefault="00016C24" w:rsidP="00500FD5">
            <w:pPr>
              <w:spacing w:line="360" w:lineRule="auto"/>
              <w:rPr>
                <w:rFonts w:ascii="Arial" w:hAnsi="Arial" w:cs="Arial"/>
                <w:lang w:eastAsia="en-GB"/>
              </w:rPr>
            </w:pPr>
            <w:r w:rsidRPr="00C7581E">
              <w:rPr>
                <w:rFonts w:ascii="Arial" w:hAnsi="Arial" w:cs="Arial"/>
                <w:lang w:eastAsia="en-GB"/>
              </w:rPr>
              <w:t>Useable Capital Receipts</w:t>
            </w:r>
          </w:p>
        </w:tc>
        <w:tc>
          <w:tcPr>
            <w:tcW w:w="1200" w:type="dxa"/>
            <w:tcBorders>
              <w:top w:val="nil"/>
              <w:left w:val="nil"/>
              <w:bottom w:val="nil"/>
              <w:right w:val="single" w:sz="8" w:space="0" w:color="auto"/>
            </w:tcBorders>
            <w:shd w:val="clear" w:color="auto" w:fill="auto"/>
            <w:noWrap/>
            <w:vAlign w:val="center"/>
            <w:hideMark/>
          </w:tcPr>
          <w:p w14:paraId="1633E504" w14:textId="77777777" w:rsidR="00016C24" w:rsidRPr="00C7581E" w:rsidRDefault="00016C24" w:rsidP="00500FD5">
            <w:pPr>
              <w:spacing w:line="360" w:lineRule="auto"/>
              <w:jc w:val="right"/>
              <w:rPr>
                <w:rFonts w:ascii="Arial" w:hAnsi="Arial" w:cs="Arial"/>
                <w:lang w:eastAsia="en-GB"/>
              </w:rPr>
            </w:pPr>
            <w:r w:rsidRPr="00C7581E">
              <w:rPr>
                <w:rFonts w:ascii="Arial" w:hAnsi="Arial" w:cs="Arial"/>
                <w:lang w:eastAsia="en-GB"/>
              </w:rPr>
              <w:t xml:space="preserve">157,353 </w:t>
            </w:r>
          </w:p>
        </w:tc>
      </w:tr>
      <w:tr w:rsidR="00016C24" w:rsidRPr="00C7581E" w14:paraId="5CBEA7BD" w14:textId="77777777" w:rsidTr="00500FD5">
        <w:trPr>
          <w:trHeight w:val="315"/>
        </w:trPr>
        <w:tc>
          <w:tcPr>
            <w:tcW w:w="5340" w:type="dxa"/>
            <w:tcBorders>
              <w:top w:val="nil"/>
              <w:left w:val="single" w:sz="8" w:space="0" w:color="auto"/>
              <w:bottom w:val="nil"/>
              <w:right w:val="single" w:sz="8" w:space="0" w:color="auto"/>
            </w:tcBorders>
            <w:shd w:val="clear" w:color="auto" w:fill="auto"/>
            <w:noWrap/>
            <w:vAlign w:val="center"/>
            <w:hideMark/>
          </w:tcPr>
          <w:p w14:paraId="0278E100" w14:textId="77777777" w:rsidR="00016C24" w:rsidRPr="00C7581E" w:rsidRDefault="00016C24" w:rsidP="00500FD5">
            <w:pPr>
              <w:spacing w:line="360" w:lineRule="auto"/>
              <w:rPr>
                <w:rFonts w:ascii="Arial" w:hAnsi="Arial" w:cs="Arial"/>
                <w:b/>
                <w:bCs/>
                <w:lang w:eastAsia="en-GB"/>
              </w:rPr>
            </w:pPr>
            <w:r w:rsidRPr="00C7581E">
              <w:rPr>
                <w:rFonts w:ascii="Arial" w:hAnsi="Arial" w:cs="Arial"/>
                <w:b/>
                <w:bCs/>
                <w:lang w:eastAsia="en-GB"/>
              </w:rPr>
              <w:t>Total Economic Development and Regen</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14:paraId="725C5F3D" w14:textId="77777777" w:rsidR="00016C24" w:rsidRPr="00C7581E" w:rsidRDefault="00016C24" w:rsidP="00500FD5">
            <w:pPr>
              <w:spacing w:line="360" w:lineRule="auto"/>
              <w:jc w:val="right"/>
              <w:rPr>
                <w:rFonts w:ascii="Arial" w:hAnsi="Arial" w:cs="Arial"/>
                <w:b/>
                <w:bCs/>
                <w:lang w:eastAsia="en-GB"/>
              </w:rPr>
            </w:pPr>
            <w:r w:rsidRPr="00C7581E">
              <w:rPr>
                <w:rFonts w:ascii="Arial" w:hAnsi="Arial" w:cs="Arial"/>
                <w:b/>
                <w:bCs/>
                <w:lang w:eastAsia="en-GB"/>
              </w:rPr>
              <w:t xml:space="preserve">269,558 </w:t>
            </w:r>
          </w:p>
        </w:tc>
      </w:tr>
      <w:tr w:rsidR="00016C24" w:rsidRPr="00C7581E" w14:paraId="23831FC2" w14:textId="77777777" w:rsidTr="00500FD5">
        <w:trPr>
          <w:trHeight w:val="285"/>
        </w:trPr>
        <w:tc>
          <w:tcPr>
            <w:tcW w:w="5340" w:type="dxa"/>
            <w:tcBorders>
              <w:top w:val="nil"/>
              <w:left w:val="single" w:sz="8" w:space="0" w:color="auto"/>
              <w:bottom w:val="nil"/>
              <w:right w:val="single" w:sz="8" w:space="0" w:color="auto"/>
            </w:tcBorders>
            <w:shd w:val="clear" w:color="auto" w:fill="auto"/>
            <w:noWrap/>
            <w:vAlign w:val="bottom"/>
            <w:hideMark/>
          </w:tcPr>
          <w:p w14:paraId="1935E2E4" w14:textId="77777777" w:rsidR="00016C24" w:rsidRPr="00C7581E" w:rsidRDefault="00016C24" w:rsidP="00500FD5">
            <w:pPr>
              <w:spacing w:line="360" w:lineRule="auto"/>
              <w:rPr>
                <w:rFonts w:ascii="Arial" w:hAnsi="Arial" w:cs="Arial"/>
                <w:lang w:eastAsia="en-GB"/>
              </w:rPr>
            </w:pPr>
            <w:r w:rsidRPr="00C7581E">
              <w:rPr>
                <w:rFonts w:ascii="Arial" w:hAnsi="Arial" w:cs="Arial"/>
                <w:lang w:eastAsia="en-GB"/>
              </w:rPr>
              <w:t>Borrowing</w:t>
            </w:r>
          </w:p>
        </w:tc>
        <w:tc>
          <w:tcPr>
            <w:tcW w:w="1200" w:type="dxa"/>
            <w:tcBorders>
              <w:top w:val="nil"/>
              <w:left w:val="nil"/>
              <w:bottom w:val="nil"/>
              <w:right w:val="single" w:sz="8" w:space="0" w:color="auto"/>
            </w:tcBorders>
            <w:shd w:val="clear" w:color="auto" w:fill="auto"/>
            <w:noWrap/>
            <w:vAlign w:val="bottom"/>
            <w:hideMark/>
          </w:tcPr>
          <w:p w14:paraId="434E0784" w14:textId="77777777" w:rsidR="00016C24" w:rsidRPr="00C7581E" w:rsidRDefault="00016C24" w:rsidP="00500FD5">
            <w:pPr>
              <w:spacing w:line="360" w:lineRule="auto"/>
              <w:jc w:val="right"/>
              <w:rPr>
                <w:rFonts w:ascii="Arial" w:hAnsi="Arial" w:cs="Arial"/>
                <w:lang w:eastAsia="en-GB"/>
              </w:rPr>
            </w:pPr>
            <w:r w:rsidRPr="00C7581E">
              <w:rPr>
                <w:rFonts w:ascii="Arial" w:hAnsi="Arial" w:cs="Arial"/>
                <w:lang w:eastAsia="en-GB"/>
              </w:rPr>
              <w:t xml:space="preserve">1,779 </w:t>
            </w:r>
          </w:p>
        </w:tc>
      </w:tr>
      <w:tr w:rsidR="00016C24" w:rsidRPr="00C7581E" w14:paraId="342E305C" w14:textId="77777777" w:rsidTr="00500FD5">
        <w:trPr>
          <w:trHeight w:val="285"/>
        </w:trPr>
        <w:tc>
          <w:tcPr>
            <w:tcW w:w="5340" w:type="dxa"/>
            <w:tcBorders>
              <w:top w:val="nil"/>
              <w:left w:val="single" w:sz="8" w:space="0" w:color="auto"/>
              <w:bottom w:val="nil"/>
              <w:right w:val="single" w:sz="8" w:space="0" w:color="auto"/>
            </w:tcBorders>
            <w:shd w:val="clear" w:color="auto" w:fill="auto"/>
            <w:noWrap/>
            <w:vAlign w:val="bottom"/>
            <w:hideMark/>
          </w:tcPr>
          <w:p w14:paraId="78660FEB" w14:textId="77777777" w:rsidR="00016C24" w:rsidRPr="00C7581E" w:rsidRDefault="00016C24" w:rsidP="00500FD5">
            <w:pPr>
              <w:spacing w:line="360" w:lineRule="auto"/>
              <w:rPr>
                <w:rFonts w:ascii="Arial" w:hAnsi="Arial" w:cs="Arial"/>
                <w:lang w:eastAsia="en-GB"/>
              </w:rPr>
            </w:pPr>
            <w:r w:rsidRPr="00C7581E">
              <w:rPr>
                <w:rFonts w:ascii="Arial" w:hAnsi="Arial" w:cs="Arial"/>
                <w:lang w:eastAsia="en-GB"/>
              </w:rPr>
              <w:t>Capital Grants</w:t>
            </w:r>
          </w:p>
        </w:tc>
        <w:tc>
          <w:tcPr>
            <w:tcW w:w="1200" w:type="dxa"/>
            <w:tcBorders>
              <w:top w:val="nil"/>
              <w:left w:val="nil"/>
              <w:bottom w:val="nil"/>
              <w:right w:val="single" w:sz="8" w:space="0" w:color="auto"/>
            </w:tcBorders>
            <w:shd w:val="clear" w:color="auto" w:fill="auto"/>
            <w:noWrap/>
            <w:vAlign w:val="bottom"/>
            <w:hideMark/>
          </w:tcPr>
          <w:p w14:paraId="7E7D9E48" w14:textId="77777777" w:rsidR="00016C24" w:rsidRPr="00C7581E" w:rsidRDefault="00016C24" w:rsidP="00500FD5">
            <w:pPr>
              <w:spacing w:line="360" w:lineRule="auto"/>
              <w:jc w:val="right"/>
              <w:rPr>
                <w:rFonts w:ascii="Arial" w:hAnsi="Arial" w:cs="Arial"/>
                <w:lang w:eastAsia="en-GB"/>
              </w:rPr>
            </w:pPr>
            <w:r w:rsidRPr="00C7581E">
              <w:rPr>
                <w:rFonts w:ascii="Arial" w:hAnsi="Arial" w:cs="Arial"/>
                <w:lang w:eastAsia="en-GB"/>
              </w:rPr>
              <w:t xml:space="preserve">1,751 </w:t>
            </w:r>
          </w:p>
        </w:tc>
      </w:tr>
      <w:tr w:rsidR="00016C24" w:rsidRPr="00C7581E" w14:paraId="0AF67771" w14:textId="77777777" w:rsidTr="00500FD5">
        <w:trPr>
          <w:trHeight w:val="285"/>
        </w:trPr>
        <w:tc>
          <w:tcPr>
            <w:tcW w:w="5340" w:type="dxa"/>
            <w:tcBorders>
              <w:top w:val="nil"/>
              <w:left w:val="single" w:sz="8" w:space="0" w:color="auto"/>
              <w:bottom w:val="nil"/>
              <w:right w:val="single" w:sz="8" w:space="0" w:color="auto"/>
            </w:tcBorders>
            <w:shd w:val="clear" w:color="auto" w:fill="auto"/>
            <w:noWrap/>
            <w:vAlign w:val="bottom"/>
            <w:hideMark/>
          </w:tcPr>
          <w:p w14:paraId="6B020B2B" w14:textId="77777777" w:rsidR="00016C24" w:rsidRPr="00C7581E" w:rsidRDefault="00016C24" w:rsidP="00500FD5">
            <w:pPr>
              <w:spacing w:line="360" w:lineRule="auto"/>
              <w:rPr>
                <w:rFonts w:ascii="Arial" w:hAnsi="Arial" w:cs="Arial"/>
                <w:lang w:eastAsia="en-GB"/>
              </w:rPr>
            </w:pPr>
            <w:r w:rsidRPr="00C7581E">
              <w:rPr>
                <w:rFonts w:ascii="Arial" w:hAnsi="Arial" w:cs="Arial"/>
                <w:lang w:eastAsia="en-GB"/>
              </w:rPr>
              <w:t>Revenue Contribution to Capital Outlay</w:t>
            </w:r>
          </w:p>
        </w:tc>
        <w:tc>
          <w:tcPr>
            <w:tcW w:w="1200" w:type="dxa"/>
            <w:tcBorders>
              <w:top w:val="nil"/>
              <w:left w:val="nil"/>
              <w:bottom w:val="nil"/>
              <w:right w:val="single" w:sz="8" w:space="0" w:color="auto"/>
            </w:tcBorders>
            <w:shd w:val="clear" w:color="auto" w:fill="auto"/>
            <w:noWrap/>
            <w:vAlign w:val="bottom"/>
            <w:hideMark/>
          </w:tcPr>
          <w:p w14:paraId="487350FB" w14:textId="77777777" w:rsidR="00016C24" w:rsidRPr="00C7581E" w:rsidRDefault="00016C24" w:rsidP="00500FD5">
            <w:pPr>
              <w:spacing w:line="360" w:lineRule="auto"/>
              <w:jc w:val="right"/>
              <w:rPr>
                <w:rFonts w:ascii="Arial" w:hAnsi="Arial" w:cs="Arial"/>
                <w:lang w:eastAsia="en-GB"/>
              </w:rPr>
            </w:pPr>
            <w:r w:rsidRPr="00C7581E">
              <w:rPr>
                <w:rFonts w:ascii="Arial" w:hAnsi="Arial" w:cs="Arial"/>
                <w:lang w:eastAsia="en-GB"/>
              </w:rPr>
              <w:t xml:space="preserve">3,330 </w:t>
            </w:r>
          </w:p>
        </w:tc>
      </w:tr>
      <w:tr w:rsidR="00016C24" w:rsidRPr="00C7581E" w14:paraId="0A6B648C" w14:textId="77777777" w:rsidTr="00500FD5">
        <w:trPr>
          <w:trHeight w:val="300"/>
        </w:trPr>
        <w:tc>
          <w:tcPr>
            <w:tcW w:w="5340" w:type="dxa"/>
            <w:tcBorders>
              <w:top w:val="nil"/>
              <w:left w:val="single" w:sz="8" w:space="0" w:color="auto"/>
              <w:bottom w:val="nil"/>
              <w:right w:val="single" w:sz="8" w:space="0" w:color="auto"/>
            </w:tcBorders>
            <w:shd w:val="clear" w:color="auto" w:fill="auto"/>
            <w:noWrap/>
            <w:vAlign w:val="bottom"/>
            <w:hideMark/>
          </w:tcPr>
          <w:p w14:paraId="2C50DDC1" w14:textId="77777777" w:rsidR="00016C24" w:rsidRPr="00C7581E" w:rsidRDefault="00016C24" w:rsidP="00500FD5">
            <w:pPr>
              <w:spacing w:line="360" w:lineRule="auto"/>
              <w:rPr>
                <w:rFonts w:ascii="Arial" w:hAnsi="Arial" w:cs="Arial"/>
                <w:lang w:eastAsia="en-GB"/>
              </w:rPr>
            </w:pPr>
            <w:r w:rsidRPr="00C7581E">
              <w:rPr>
                <w:rFonts w:ascii="Arial" w:hAnsi="Arial" w:cs="Arial"/>
                <w:lang w:eastAsia="en-GB"/>
              </w:rPr>
              <w:t>Capital Receipts</w:t>
            </w:r>
          </w:p>
        </w:tc>
        <w:tc>
          <w:tcPr>
            <w:tcW w:w="1200" w:type="dxa"/>
            <w:tcBorders>
              <w:top w:val="nil"/>
              <w:left w:val="nil"/>
              <w:bottom w:val="nil"/>
              <w:right w:val="single" w:sz="8" w:space="0" w:color="auto"/>
            </w:tcBorders>
            <w:shd w:val="clear" w:color="auto" w:fill="auto"/>
            <w:noWrap/>
            <w:vAlign w:val="bottom"/>
            <w:hideMark/>
          </w:tcPr>
          <w:p w14:paraId="3557F554" w14:textId="77777777" w:rsidR="00016C24" w:rsidRPr="00C7581E" w:rsidRDefault="00016C24" w:rsidP="00500FD5">
            <w:pPr>
              <w:spacing w:line="360" w:lineRule="auto"/>
              <w:jc w:val="right"/>
              <w:rPr>
                <w:rFonts w:ascii="Arial" w:hAnsi="Arial" w:cs="Arial"/>
                <w:lang w:eastAsia="en-GB"/>
              </w:rPr>
            </w:pPr>
            <w:r w:rsidRPr="00C7581E">
              <w:rPr>
                <w:rFonts w:ascii="Arial" w:hAnsi="Arial" w:cs="Arial"/>
                <w:lang w:eastAsia="en-GB"/>
              </w:rPr>
              <w:t xml:space="preserve">0 </w:t>
            </w:r>
          </w:p>
        </w:tc>
      </w:tr>
      <w:tr w:rsidR="00016C24" w:rsidRPr="00C7581E" w14:paraId="78DCF7B4" w14:textId="77777777" w:rsidTr="00500FD5">
        <w:trPr>
          <w:trHeight w:val="315"/>
        </w:trPr>
        <w:tc>
          <w:tcPr>
            <w:tcW w:w="5340" w:type="dxa"/>
            <w:tcBorders>
              <w:top w:val="nil"/>
              <w:left w:val="single" w:sz="8" w:space="0" w:color="auto"/>
              <w:bottom w:val="nil"/>
              <w:right w:val="single" w:sz="8" w:space="0" w:color="auto"/>
            </w:tcBorders>
            <w:shd w:val="clear" w:color="auto" w:fill="auto"/>
            <w:noWrap/>
            <w:vAlign w:val="center"/>
            <w:hideMark/>
          </w:tcPr>
          <w:p w14:paraId="54FCF7D8" w14:textId="77777777" w:rsidR="00016C24" w:rsidRPr="00C7581E" w:rsidRDefault="00016C24" w:rsidP="00500FD5">
            <w:pPr>
              <w:spacing w:line="360" w:lineRule="auto"/>
              <w:rPr>
                <w:rFonts w:ascii="Arial" w:hAnsi="Arial" w:cs="Arial"/>
                <w:b/>
                <w:bCs/>
                <w:lang w:eastAsia="en-GB"/>
              </w:rPr>
            </w:pPr>
            <w:r w:rsidRPr="00C7581E">
              <w:rPr>
                <w:rFonts w:ascii="Arial" w:hAnsi="Arial" w:cs="Arial"/>
                <w:b/>
                <w:bCs/>
                <w:lang w:eastAsia="en-GB"/>
              </w:rPr>
              <w:t>Total Fire and Rescue Service</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14:paraId="07BD0106" w14:textId="77777777" w:rsidR="00016C24" w:rsidRPr="00C7581E" w:rsidRDefault="00016C24" w:rsidP="00500FD5">
            <w:pPr>
              <w:spacing w:line="360" w:lineRule="auto"/>
              <w:jc w:val="right"/>
              <w:rPr>
                <w:rFonts w:ascii="Arial" w:hAnsi="Arial" w:cs="Arial"/>
                <w:b/>
                <w:bCs/>
                <w:lang w:eastAsia="en-GB"/>
              </w:rPr>
            </w:pPr>
            <w:r w:rsidRPr="00C7581E">
              <w:rPr>
                <w:rFonts w:ascii="Arial" w:hAnsi="Arial" w:cs="Arial"/>
                <w:b/>
                <w:bCs/>
                <w:lang w:eastAsia="en-GB"/>
              </w:rPr>
              <w:t xml:space="preserve">6,861 </w:t>
            </w:r>
          </w:p>
        </w:tc>
      </w:tr>
      <w:tr w:rsidR="00016C24" w:rsidRPr="00C7581E" w14:paraId="2DD5AFB9" w14:textId="77777777" w:rsidTr="00500FD5">
        <w:trPr>
          <w:trHeight w:val="285"/>
        </w:trPr>
        <w:tc>
          <w:tcPr>
            <w:tcW w:w="5340" w:type="dxa"/>
            <w:tcBorders>
              <w:top w:val="nil"/>
              <w:left w:val="single" w:sz="8" w:space="0" w:color="auto"/>
              <w:bottom w:val="nil"/>
              <w:right w:val="single" w:sz="8" w:space="0" w:color="auto"/>
            </w:tcBorders>
            <w:shd w:val="clear" w:color="auto" w:fill="auto"/>
            <w:noWrap/>
            <w:vAlign w:val="bottom"/>
            <w:hideMark/>
          </w:tcPr>
          <w:p w14:paraId="50179AE4" w14:textId="77777777" w:rsidR="00016C24" w:rsidRPr="00C7581E" w:rsidRDefault="00016C24" w:rsidP="00500FD5">
            <w:pPr>
              <w:spacing w:line="360" w:lineRule="auto"/>
              <w:rPr>
                <w:rFonts w:ascii="Arial" w:hAnsi="Arial" w:cs="Arial"/>
                <w:lang w:eastAsia="en-GB"/>
              </w:rPr>
            </w:pPr>
            <w:r w:rsidRPr="00C7581E">
              <w:rPr>
                <w:rFonts w:ascii="Arial" w:hAnsi="Arial" w:cs="Arial"/>
                <w:lang w:eastAsia="en-GB"/>
              </w:rPr>
              <w:t>Borrowing</w:t>
            </w:r>
          </w:p>
        </w:tc>
        <w:tc>
          <w:tcPr>
            <w:tcW w:w="1200" w:type="dxa"/>
            <w:tcBorders>
              <w:top w:val="nil"/>
              <w:left w:val="nil"/>
              <w:bottom w:val="nil"/>
              <w:right w:val="single" w:sz="8" w:space="0" w:color="auto"/>
            </w:tcBorders>
            <w:shd w:val="clear" w:color="auto" w:fill="auto"/>
            <w:noWrap/>
            <w:vAlign w:val="bottom"/>
            <w:hideMark/>
          </w:tcPr>
          <w:p w14:paraId="349E0940" w14:textId="77777777" w:rsidR="00016C24" w:rsidRPr="00C7581E" w:rsidRDefault="00016C24" w:rsidP="00500FD5">
            <w:pPr>
              <w:spacing w:line="360" w:lineRule="auto"/>
              <w:jc w:val="right"/>
              <w:rPr>
                <w:rFonts w:ascii="Arial" w:hAnsi="Arial" w:cs="Arial"/>
                <w:lang w:eastAsia="en-GB"/>
              </w:rPr>
            </w:pPr>
            <w:r w:rsidRPr="00C7581E">
              <w:rPr>
                <w:rFonts w:ascii="Arial" w:hAnsi="Arial" w:cs="Arial"/>
                <w:lang w:eastAsia="en-GB"/>
              </w:rPr>
              <w:t xml:space="preserve">14,295 </w:t>
            </w:r>
          </w:p>
        </w:tc>
      </w:tr>
      <w:tr w:rsidR="00016C24" w:rsidRPr="00C7581E" w14:paraId="423A20D0" w14:textId="77777777" w:rsidTr="00500FD5">
        <w:trPr>
          <w:trHeight w:val="285"/>
        </w:trPr>
        <w:tc>
          <w:tcPr>
            <w:tcW w:w="5340" w:type="dxa"/>
            <w:tcBorders>
              <w:top w:val="nil"/>
              <w:left w:val="single" w:sz="8" w:space="0" w:color="auto"/>
              <w:bottom w:val="nil"/>
              <w:right w:val="single" w:sz="8" w:space="0" w:color="auto"/>
            </w:tcBorders>
            <w:shd w:val="clear" w:color="auto" w:fill="auto"/>
            <w:noWrap/>
            <w:vAlign w:val="bottom"/>
            <w:hideMark/>
          </w:tcPr>
          <w:p w14:paraId="79C30D04" w14:textId="77777777" w:rsidR="00016C24" w:rsidRPr="00C7581E" w:rsidRDefault="00016C24" w:rsidP="00500FD5">
            <w:pPr>
              <w:spacing w:line="360" w:lineRule="auto"/>
              <w:rPr>
                <w:rFonts w:ascii="Arial" w:hAnsi="Arial" w:cs="Arial"/>
                <w:lang w:eastAsia="en-GB"/>
              </w:rPr>
            </w:pPr>
            <w:r w:rsidRPr="00C7581E">
              <w:rPr>
                <w:rFonts w:ascii="Arial" w:hAnsi="Arial" w:cs="Arial"/>
                <w:lang w:eastAsia="en-GB"/>
              </w:rPr>
              <w:t>Useable Capital Receipts</w:t>
            </w:r>
          </w:p>
        </w:tc>
        <w:tc>
          <w:tcPr>
            <w:tcW w:w="1200" w:type="dxa"/>
            <w:tcBorders>
              <w:top w:val="nil"/>
              <w:left w:val="nil"/>
              <w:bottom w:val="nil"/>
              <w:right w:val="single" w:sz="8" w:space="0" w:color="auto"/>
            </w:tcBorders>
            <w:shd w:val="clear" w:color="auto" w:fill="auto"/>
            <w:noWrap/>
            <w:vAlign w:val="bottom"/>
            <w:hideMark/>
          </w:tcPr>
          <w:p w14:paraId="4AD7573A" w14:textId="77777777" w:rsidR="00016C24" w:rsidRPr="00C7581E" w:rsidRDefault="00016C24" w:rsidP="00500FD5">
            <w:pPr>
              <w:spacing w:line="360" w:lineRule="auto"/>
              <w:jc w:val="right"/>
              <w:rPr>
                <w:rFonts w:ascii="Arial" w:hAnsi="Arial" w:cs="Arial"/>
                <w:lang w:eastAsia="en-GB"/>
              </w:rPr>
            </w:pPr>
            <w:r w:rsidRPr="00C7581E">
              <w:rPr>
                <w:rFonts w:ascii="Arial" w:hAnsi="Arial" w:cs="Arial"/>
                <w:lang w:eastAsia="en-GB"/>
              </w:rPr>
              <w:t xml:space="preserve">318 </w:t>
            </w:r>
          </w:p>
        </w:tc>
      </w:tr>
      <w:tr w:rsidR="00016C24" w:rsidRPr="00C7581E" w14:paraId="59B3B35D" w14:textId="77777777" w:rsidTr="00500FD5">
        <w:trPr>
          <w:trHeight w:val="300"/>
        </w:trPr>
        <w:tc>
          <w:tcPr>
            <w:tcW w:w="5340" w:type="dxa"/>
            <w:tcBorders>
              <w:top w:val="nil"/>
              <w:left w:val="single" w:sz="8" w:space="0" w:color="auto"/>
              <w:bottom w:val="nil"/>
              <w:right w:val="single" w:sz="8" w:space="0" w:color="auto"/>
            </w:tcBorders>
            <w:shd w:val="clear" w:color="auto" w:fill="auto"/>
            <w:noWrap/>
            <w:vAlign w:val="center"/>
            <w:hideMark/>
          </w:tcPr>
          <w:p w14:paraId="4B09B61C" w14:textId="77777777" w:rsidR="00016C24" w:rsidRPr="00C7581E" w:rsidRDefault="00016C24" w:rsidP="00500FD5">
            <w:pPr>
              <w:spacing w:line="360" w:lineRule="auto"/>
              <w:rPr>
                <w:rFonts w:ascii="Arial" w:hAnsi="Arial" w:cs="Arial"/>
                <w:lang w:eastAsia="en-GB"/>
              </w:rPr>
            </w:pPr>
            <w:r w:rsidRPr="00C7581E">
              <w:rPr>
                <w:rFonts w:ascii="Arial" w:hAnsi="Arial" w:cs="Arial"/>
                <w:lang w:eastAsia="en-GB"/>
              </w:rPr>
              <w:t>Revenue Contribution to Capital Outlay</w:t>
            </w:r>
          </w:p>
        </w:tc>
        <w:tc>
          <w:tcPr>
            <w:tcW w:w="1200" w:type="dxa"/>
            <w:tcBorders>
              <w:top w:val="nil"/>
              <w:left w:val="nil"/>
              <w:bottom w:val="nil"/>
              <w:right w:val="single" w:sz="8" w:space="0" w:color="auto"/>
            </w:tcBorders>
            <w:shd w:val="clear" w:color="auto" w:fill="auto"/>
            <w:noWrap/>
            <w:vAlign w:val="bottom"/>
            <w:hideMark/>
          </w:tcPr>
          <w:p w14:paraId="4E9C3540" w14:textId="77777777" w:rsidR="00016C24" w:rsidRPr="00C7581E" w:rsidRDefault="00016C24" w:rsidP="00500FD5">
            <w:pPr>
              <w:spacing w:line="360" w:lineRule="auto"/>
              <w:jc w:val="right"/>
              <w:rPr>
                <w:rFonts w:ascii="Arial" w:hAnsi="Arial" w:cs="Arial"/>
                <w:lang w:eastAsia="en-GB"/>
              </w:rPr>
            </w:pPr>
            <w:r w:rsidRPr="00C7581E">
              <w:rPr>
                <w:rFonts w:ascii="Arial" w:hAnsi="Arial" w:cs="Arial"/>
                <w:lang w:eastAsia="en-GB"/>
              </w:rPr>
              <w:t xml:space="preserve">941 </w:t>
            </w:r>
          </w:p>
        </w:tc>
      </w:tr>
      <w:tr w:rsidR="00016C24" w:rsidRPr="00C7581E" w14:paraId="0ED80180" w14:textId="77777777" w:rsidTr="00500FD5">
        <w:trPr>
          <w:trHeight w:val="315"/>
        </w:trPr>
        <w:tc>
          <w:tcPr>
            <w:tcW w:w="5340" w:type="dxa"/>
            <w:tcBorders>
              <w:top w:val="nil"/>
              <w:left w:val="single" w:sz="8" w:space="0" w:color="auto"/>
              <w:bottom w:val="nil"/>
              <w:right w:val="single" w:sz="8" w:space="0" w:color="auto"/>
            </w:tcBorders>
            <w:shd w:val="clear" w:color="auto" w:fill="auto"/>
            <w:noWrap/>
            <w:vAlign w:val="center"/>
            <w:hideMark/>
          </w:tcPr>
          <w:p w14:paraId="5DF4CBD4" w14:textId="77777777" w:rsidR="00016C24" w:rsidRPr="00C7581E" w:rsidRDefault="00016C24" w:rsidP="00500FD5">
            <w:pPr>
              <w:spacing w:line="360" w:lineRule="auto"/>
              <w:rPr>
                <w:rFonts w:ascii="Arial" w:hAnsi="Arial" w:cs="Arial"/>
                <w:b/>
                <w:bCs/>
                <w:lang w:eastAsia="en-GB"/>
              </w:rPr>
            </w:pPr>
            <w:r w:rsidRPr="00C7581E">
              <w:rPr>
                <w:rFonts w:ascii="Arial" w:hAnsi="Arial" w:cs="Arial"/>
                <w:b/>
                <w:bCs/>
                <w:lang w:eastAsia="en-GB"/>
              </w:rPr>
              <w:t>Total Waste</w:t>
            </w:r>
          </w:p>
        </w:tc>
        <w:tc>
          <w:tcPr>
            <w:tcW w:w="1200" w:type="dxa"/>
            <w:tcBorders>
              <w:top w:val="single" w:sz="8" w:space="0" w:color="auto"/>
              <w:left w:val="nil"/>
              <w:bottom w:val="nil"/>
              <w:right w:val="single" w:sz="8" w:space="0" w:color="auto"/>
            </w:tcBorders>
            <w:shd w:val="clear" w:color="auto" w:fill="auto"/>
            <w:noWrap/>
            <w:vAlign w:val="center"/>
            <w:hideMark/>
          </w:tcPr>
          <w:p w14:paraId="133C6414" w14:textId="77777777" w:rsidR="00016C24" w:rsidRPr="00C7581E" w:rsidRDefault="00016C24" w:rsidP="00500FD5">
            <w:pPr>
              <w:spacing w:line="360" w:lineRule="auto"/>
              <w:jc w:val="right"/>
              <w:rPr>
                <w:rFonts w:ascii="Arial" w:hAnsi="Arial" w:cs="Arial"/>
                <w:b/>
                <w:bCs/>
                <w:lang w:eastAsia="en-GB"/>
              </w:rPr>
            </w:pPr>
            <w:r w:rsidRPr="00C7581E">
              <w:rPr>
                <w:rFonts w:ascii="Arial" w:hAnsi="Arial" w:cs="Arial"/>
                <w:b/>
                <w:bCs/>
                <w:lang w:eastAsia="en-GB"/>
              </w:rPr>
              <w:t xml:space="preserve">15,554 </w:t>
            </w:r>
          </w:p>
        </w:tc>
      </w:tr>
      <w:tr w:rsidR="00016C24" w:rsidRPr="00C7581E" w14:paraId="7565DF1D" w14:textId="77777777" w:rsidTr="00500FD5">
        <w:trPr>
          <w:trHeight w:val="315"/>
        </w:trPr>
        <w:tc>
          <w:tcPr>
            <w:tcW w:w="5340" w:type="dxa"/>
            <w:tcBorders>
              <w:top w:val="nil"/>
              <w:left w:val="single" w:sz="8" w:space="0" w:color="auto"/>
              <w:bottom w:val="nil"/>
              <w:right w:val="single" w:sz="8" w:space="0" w:color="auto"/>
            </w:tcBorders>
            <w:shd w:val="clear" w:color="auto" w:fill="auto"/>
            <w:noWrap/>
            <w:vAlign w:val="center"/>
          </w:tcPr>
          <w:p w14:paraId="0FBE41C0" w14:textId="77777777" w:rsidR="00016C24" w:rsidRPr="007A678E" w:rsidRDefault="00016C24" w:rsidP="00500FD5">
            <w:pPr>
              <w:spacing w:line="360" w:lineRule="auto"/>
              <w:rPr>
                <w:rFonts w:ascii="Arial" w:hAnsi="Arial" w:cs="Arial"/>
                <w:lang w:eastAsia="en-GB"/>
              </w:rPr>
            </w:pPr>
            <w:r>
              <w:rPr>
                <w:rFonts w:ascii="Arial" w:hAnsi="Arial" w:cs="Arial"/>
                <w:lang w:eastAsia="en-GB"/>
              </w:rPr>
              <w:t>Borrowing</w:t>
            </w:r>
          </w:p>
        </w:tc>
        <w:tc>
          <w:tcPr>
            <w:tcW w:w="1200" w:type="dxa"/>
            <w:tcBorders>
              <w:top w:val="single" w:sz="8" w:space="0" w:color="auto"/>
              <w:left w:val="nil"/>
              <w:right w:val="single" w:sz="8" w:space="0" w:color="auto"/>
            </w:tcBorders>
            <w:shd w:val="clear" w:color="auto" w:fill="auto"/>
            <w:noWrap/>
            <w:vAlign w:val="center"/>
          </w:tcPr>
          <w:p w14:paraId="10ED29B6" w14:textId="77777777" w:rsidR="00016C24" w:rsidRPr="00945306" w:rsidRDefault="00016C24" w:rsidP="00500FD5">
            <w:pPr>
              <w:spacing w:line="360" w:lineRule="auto"/>
              <w:jc w:val="right"/>
              <w:rPr>
                <w:rFonts w:ascii="Arial" w:hAnsi="Arial" w:cs="Arial"/>
                <w:lang w:eastAsia="en-GB"/>
              </w:rPr>
            </w:pPr>
            <w:r w:rsidRPr="00945306">
              <w:rPr>
                <w:rFonts w:ascii="Arial" w:hAnsi="Arial" w:cs="Arial"/>
                <w:lang w:eastAsia="en-GB"/>
              </w:rPr>
              <w:t>39</w:t>
            </w:r>
            <w:r>
              <w:rPr>
                <w:rFonts w:ascii="Arial" w:hAnsi="Arial" w:cs="Arial"/>
                <w:lang w:eastAsia="en-GB"/>
              </w:rPr>
              <w:t>,637</w:t>
            </w:r>
          </w:p>
        </w:tc>
      </w:tr>
      <w:tr w:rsidR="00016C24" w:rsidRPr="00C7581E" w14:paraId="657265DB" w14:textId="77777777" w:rsidTr="00500FD5">
        <w:trPr>
          <w:trHeight w:val="315"/>
        </w:trPr>
        <w:tc>
          <w:tcPr>
            <w:tcW w:w="5340" w:type="dxa"/>
            <w:tcBorders>
              <w:top w:val="nil"/>
              <w:left w:val="single" w:sz="8" w:space="0" w:color="auto"/>
              <w:bottom w:val="nil"/>
              <w:right w:val="single" w:sz="8" w:space="0" w:color="auto"/>
            </w:tcBorders>
            <w:shd w:val="clear" w:color="auto" w:fill="auto"/>
            <w:noWrap/>
            <w:vAlign w:val="center"/>
          </w:tcPr>
          <w:p w14:paraId="602D5DFC" w14:textId="77777777" w:rsidR="00016C24" w:rsidRPr="007A678E" w:rsidRDefault="00016C24" w:rsidP="00500FD5">
            <w:pPr>
              <w:spacing w:line="360" w:lineRule="auto"/>
              <w:rPr>
                <w:rFonts w:ascii="Arial" w:hAnsi="Arial" w:cs="Arial"/>
                <w:lang w:eastAsia="en-GB"/>
              </w:rPr>
            </w:pPr>
            <w:r>
              <w:rPr>
                <w:rFonts w:ascii="Arial" w:hAnsi="Arial" w:cs="Arial"/>
                <w:lang w:eastAsia="en-GB"/>
              </w:rPr>
              <w:t>Capital Grant</w:t>
            </w:r>
          </w:p>
        </w:tc>
        <w:tc>
          <w:tcPr>
            <w:tcW w:w="1200" w:type="dxa"/>
            <w:tcBorders>
              <w:left w:val="nil"/>
              <w:right w:val="single" w:sz="8" w:space="0" w:color="auto"/>
            </w:tcBorders>
            <w:shd w:val="clear" w:color="auto" w:fill="auto"/>
            <w:noWrap/>
            <w:vAlign w:val="center"/>
          </w:tcPr>
          <w:p w14:paraId="477B6F87" w14:textId="77777777" w:rsidR="00016C24" w:rsidRPr="00945306" w:rsidRDefault="00016C24" w:rsidP="00500FD5">
            <w:pPr>
              <w:spacing w:line="360" w:lineRule="auto"/>
              <w:jc w:val="right"/>
              <w:rPr>
                <w:rFonts w:ascii="Arial" w:hAnsi="Arial" w:cs="Arial"/>
                <w:lang w:eastAsia="en-GB"/>
              </w:rPr>
            </w:pPr>
            <w:r w:rsidRPr="00945306">
              <w:rPr>
                <w:rFonts w:ascii="Arial" w:hAnsi="Arial" w:cs="Arial"/>
                <w:lang w:eastAsia="en-GB"/>
              </w:rPr>
              <w:t>600</w:t>
            </w:r>
          </w:p>
        </w:tc>
      </w:tr>
      <w:tr w:rsidR="00016C24" w:rsidRPr="00C7581E" w14:paraId="10CB5DB1" w14:textId="77777777" w:rsidTr="00500FD5">
        <w:trPr>
          <w:trHeight w:val="315"/>
        </w:trPr>
        <w:tc>
          <w:tcPr>
            <w:tcW w:w="5340" w:type="dxa"/>
            <w:tcBorders>
              <w:top w:val="nil"/>
              <w:left w:val="single" w:sz="8" w:space="0" w:color="auto"/>
              <w:bottom w:val="nil"/>
              <w:right w:val="single" w:sz="8" w:space="0" w:color="auto"/>
            </w:tcBorders>
            <w:shd w:val="clear" w:color="auto" w:fill="auto"/>
            <w:noWrap/>
            <w:vAlign w:val="center"/>
          </w:tcPr>
          <w:p w14:paraId="70BA7E43" w14:textId="77777777" w:rsidR="00016C24" w:rsidRPr="007A678E" w:rsidRDefault="00016C24" w:rsidP="00500FD5">
            <w:pPr>
              <w:spacing w:line="360" w:lineRule="auto"/>
              <w:rPr>
                <w:rFonts w:ascii="Arial" w:hAnsi="Arial" w:cs="Arial"/>
                <w:lang w:eastAsia="en-GB"/>
              </w:rPr>
            </w:pPr>
            <w:r>
              <w:rPr>
                <w:rFonts w:ascii="Arial" w:hAnsi="Arial" w:cs="Arial"/>
                <w:lang w:eastAsia="en-GB"/>
              </w:rPr>
              <w:t>Capital Receipt</w:t>
            </w:r>
          </w:p>
        </w:tc>
        <w:tc>
          <w:tcPr>
            <w:tcW w:w="1200" w:type="dxa"/>
            <w:tcBorders>
              <w:left w:val="nil"/>
              <w:bottom w:val="single" w:sz="8" w:space="0" w:color="auto"/>
              <w:right w:val="single" w:sz="8" w:space="0" w:color="auto"/>
            </w:tcBorders>
            <w:shd w:val="clear" w:color="auto" w:fill="auto"/>
            <w:noWrap/>
            <w:vAlign w:val="center"/>
          </w:tcPr>
          <w:p w14:paraId="3D8ACC46" w14:textId="77777777" w:rsidR="00016C24" w:rsidRPr="00945306" w:rsidRDefault="00016C24" w:rsidP="00500FD5">
            <w:pPr>
              <w:spacing w:line="360" w:lineRule="auto"/>
              <w:jc w:val="right"/>
              <w:rPr>
                <w:rFonts w:ascii="Arial" w:hAnsi="Arial" w:cs="Arial"/>
                <w:lang w:eastAsia="en-GB"/>
              </w:rPr>
            </w:pPr>
            <w:r w:rsidRPr="00945306">
              <w:rPr>
                <w:rFonts w:ascii="Arial" w:hAnsi="Arial" w:cs="Arial"/>
                <w:lang w:eastAsia="en-GB"/>
              </w:rPr>
              <w:t>0</w:t>
            </w:r>
          </w:p>
        </w:tc>
      </w:tr>
      <w:tr w:rsidR="00016C24" w:rsidRPr="00C7581E" w14:paraId="2439298E" w14:textId="77777777" w:rsidTr="00500FD5">
        <w:trPr>
          <w:trHeight w:val="315"/>
        </w:trPr>
        <w:tc>
          <w:tcPr>
            <w:tcW w:w="5340" w:type="dxa"/>
            <w:tcBorders>
              <w:top w:val="nil"/>
              <w:left w:val="single" w:sz="8" w:space="0" w:color="auto"/>
              <w:bottom w:val="nil"/>
              <w:right w:val="single" w:sz="8" w:space="0" w:color="auto"/>
            </w:tcBorders>
            <w:shd w:val="clear" w:color="auto" w:fill="auto"/>
            <w:noWrap/>
            <w:vAlign w:val="center"/>
          </w:tcPr>
          <w:p w14:paraId="64D614FB" w14:textId="77777777" w:rsidR="00016C24" w:rsidRPr="00C7581E" w:rsidRDefault="00016C24" w:rsidP="00500FD5">
            <w:pPr>
              <w:spacing w:line="360" w:lineRule="auto"/>
              <w:rPr>
                <w:rFonts w:ascii="Arial" w:hAnsi="Arial" w:cs="Arial"/>
                <w:b/>
                <w:bCs/>
                <w:lang w:eastAsia="en-GB"/>
              </w:rPr>
            </w:pPr>
            <w:r>
              <w:rPr>
                <w:rFonts w:ascii="Arial" w:hAnsi="Arial" w:cs="Arial"/>
                <w:b/>
                <w:bCs/>
                <w:lang w:eastAsia="en-GB"/>
              </w:rPr>
              <w:t>Total Police and Crime</w:t>
            </w:r>
          </w:p>
        </w:tc>
        <w:tc>
          <w:tcPr>
            <w:tcW w:w="1200" w:type="dxa"/>
            <w:tcBorders>
              <w:left w:val="nil"/>
              <w:bottom w:val="single" w:sz="8" w:space="0" w:color="auto"/>
              <w:right w:val="single" w:sz="8" w:space="0" w:color="auto"/>
            </w:tcBorders>
            <w:shd w:val="clear" w:color="auto" w:fill="auto"/>
            <w:noWrap/>
            <w:vAlign w:val="center"/>
          </w:tcPr>
          <w:p w14:paraId="03EFDE8B" w14:textId="77777777" w:rsidR="00016C24" w:rsidRPr="00C7581E" w:rsidRDefault="00016C24" w:rsidP="00500FD5">
            <w:pPr>
              <w:spacing w:line="360" w:lineRule="auto"/>
              <w:jc w:val="right"/>
              <w:rPr>
                <w:rFonts w:ascii="Arial" w:hAnsi="Arial" w:cs="Arial"/>
                <w:b/>
                <w:bCs/>
                <w:lang w:eastAsia="en-GB"/>
              </w:rPr>
            </w:pPr>
            <w:r>
              <w:rPr>
                <w:rFonts w:ascii="Arial" w:hAnsi="Arial" w:cs="Arial"/>
                <w:b/>
                <w:bCs/>
                <w:lang w:eastAsia="en-GB"/>
              </w:rPr>
              <w:t>40,237</w:t>
            </w:r>
          </w:p>
        </w:tc>
      </w:tr>
      <w:tr w:rsidR="00016C24" w:rsidRPr="00C7581E" w14:paraId="04DA2D81" w14:textId="77777777" w:rsidTr="00500FD5">
        <w:trPr>
          <w:trHeight w:val="315"/>
        </w:trPr>
        <w:tc>
          <w:tcPr>
            <w:tcW w:w="5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FFBE2C2" w14:textId="77777777" w:rsidR="00016C24" w:rsidRPr="00C7581E" w:rsidRDefault="00016C24" w:rsidP="00500FD5">
            <w:pPr>
              <w:spacing w:line="360" w:lineRule="auto"/>
              <w:rPr>
                <w:rFonts w:ascii="Arial" w:hAnsi="Arial" w:cs="Arial"/>
                <w:b/>
                <w:bCs/>
                <w:lang w:eastAsia="en-GB"/>
              </w:rPr>
            </w:pPr>
            <w:r w:rsidRPr="00C7581E">
              <w:rPr>
                <w:rFonts w:ascii="Arial" w:hAnsi="Arial" w:cs="Arial"/>
                <w:b/>
                <w:bCs/>
                <w:lang w:eastAsia="en-GB"/>
              </w:rPr>
              <w:t>Total Funding</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14:paraId="3D3712D4" w14:textId="77777777" w:rsidR="00016C24" w:rsidRPr="00C7581E" w:rsidRDefault="00016C24" w:rsidP="00500FD5">
            <w:pPr>
              <w:spacing w:line="360" w:lineRule="auto"/>
              <w:jc w:val="right"/>
              <w:rPr>
                <w:rFonts w:ascii="Arial" w:hAnsi="Arial" w:cs="Arial"/>
                <w:b/>
                <w:bCs/>
                <w:lang w:eastAsia="en-GB"/>
              </w:rPr>
            </w:pPr>
            <w:r>
              <w:rPr>
                <w:rFonts w:ascii="Arial" w:hAnsi="Arial" w:cs="Arial"/>
                <w:b/>
                <w:bCs/>
                <w:lang w:eastAsia="en-GB"/>
              </w:rPr>
              <w:t>539</w:t>
            </w:r>
            <w:r w:rsidRPr="00C7581E">
              <w:rPr>
                <w:rFonts w:ascii="Arial" w:hAnsi="Arial" w:cs="Arial"/>
                <w:b/>
                <w:bCs/>
                <w:lang w:eastAsia="en-GB"/>
              </w:rPr>
              <w:t>,</w:t>
            </w:r>
            <w:r>
              <w:rPr>
                <w:rFonts w:ascii="Arial" w:hAnsi="Arial" w:cs="Arial"/>
                <w:b/>
                <w:bCs/>
                <w:lang w:eastAsia="en-GB"/>
              </w:rPr>
              <w:t>512</w:t>
            </w:r>
            <w:r w:rsidRPr="00C7581E">
              <w:rPr>
                <w:rFonts w:ascii="Arial" w:hAnsi="Arial" w:cs="Arial"/>
                <w:b/>
                <w:bCs/>
                <w:lang w:eastAsia="en-GB"/>
              </w:rPr>
              <w:t xml:space="preserve"> </w:t>
            </w:r>
          </w:p>
        </w:tc>
      </w:tr>
      <w:tr w:rsidR="00016C24" w:rsidRPr="00C7581E" w14:paraId="1B578C74" w14:textId="77777777" w:rsidTr="00500FD5">
        <w:trPr>
          <w:trHeight w:val="300"/>
        </w:trPr>
        <w:tc>
          <w:tcPr>
            <w:tcW w:w="5340" w:type="dxa"/>
            <w:tcBorders>
              <w:top w:val="nil"/>
              <w:left w:val="nil"/>
              <w:bottom w:val="nil"/>
              <w:right w:val="nil"/>
            </w:tcBorders>
            <w:shd w:val="clear" w:color="auto" w:fill="auto"/>
            <w:noWrap/>
            <w:vAlign w:val="bottom"/>
            <w:hideMark/>
          </w:tcPr>
          <w:p w14:paraId="41106336" w14:textId="77777777" w:rsidR="00016C24" w:rsidRPr="00C7581E" w:rsidRDefault="00016C24" w:rsidP="00500FD5">
            <w:pPr>
              <w:spacing w:line="360" w:lineRule="auto"/>
              <w:jc w:val="right"/>
              <w:rPr>
                <w:rFonts w:ascii="Arial" w:hAnsi="Arial" w:cs="Arial"/>
                <w:b/>
                <w:bCs/>
                <w:lang w:eastAsia="en-GB"/>
              </w:rPr>
            </w:pPr>
          </w:p>
        </w:tc>
        <w:tc>
          <w:tcPr>
            <w:tcW w:w="1200" w:type="dxa"/>
            <w:tcBorders>
              <w:top w:val="nil"/>
              <w:left w:val="nil"/>
              <w:bottom w:val="nil"/>
              <w:right w:val="nil"/>
            </w:tcBorders>
            <w:shd w:val="clear" w:color="auto" w:fill="auto"/>
            <w:noWrap/>
            <w:vAlign w:val="bottom"/>
            <w:hideMark/>
          </w:tcPr>
          <w:p w14:paraId="2CBAF50C" w14:textId="77777777" w:rsidR="00016C24" w:rsidRPr="00C7581E" w:rsidRDefault="00016C24" w:rsidP="00500FD5">
            <w:pPr>
              <w:spacing w:line="360" w:lineRule="auto"/>
              <w:rPr>
                <w:lang w:eastAsia="en-GB"/>
              </w:rPr>
            </w:pPr>
          </w:p>
        </w:tc>
      </w:tr>
    </w:tbl>
    <w:p w14:paraId="73207F35" w14:textId="77777777" w:rsidR="00016C24" w:rsidRDefault="00016C24" w:rsidP="00016C24">
      <w:pPr>
        <w:spacing w:line="360" w:lineRule="auto"/>
        <w:rPr>
          <w:rFonts w:ascii="Arial" w:hAnsi="Arial" w:cs="Arial"/>
        </w:rPr>
      </w:pPr>
    </w:p>
    <w:p w14:paraId="40BCFDAE" w14:textId="77777777" w:rsidR="00016C24" w:rsidRDefault="00016C24" w:rsidP="00016C24">
      <w:pPr>
        <w:rPr>
          <w:rFonts w:ascii="Arial" w:hAnsi="Arial" w:cs="Arial"/>
        </w:rPr>
      </w:pPr>
      <w:r>
        <w:rPr>
          <w:rFonts w:ascii="Arial" w:hAnsi="Arial" w:cs="Arial"/>
        </w:rPr>
        <w:br w:type="page"/>
      </w:r>
    </w:p>
    <w:p w14:paraId="2DF03623" w14:textId="77777777" w:rsidR="00016C24" w:rsidRPr="00BB5C63" w:rsidRDefault="00016C24" w:rsidP="00016C24">
      <w:pPr>
        <w:pStyle w:val="Heading3"/>
        <w:spacing w:after="160"/>
      </w:pPr>
      <w:bookmarkStart w:id="42" w:name="_Toc109922591"/>
      <w:r w:rsidRPr="00BB5C63">
        <w:lastRenderedPageBreak/>
        <w:t>Treasury Management Performance in 2021/22</w:t>
      </w:r>
      <w:bookmarkEnd w:id="42"/>
    </w:p>
    <w:p w14:paraId="7359A53E" w14:textId="77777777" w:rsidR="00016C24" w:rsidRPr="00BB5C63" w:rsidRDefault="00016C24" w:rsidP="00016C24">
      <w:pPr>
        <w:pStyle w:val="Heading3"/>
        <w:spacing w:after="160"/>
      </w:pPr>
      <w:bookmarkStart w:id="43" w:name="_Toc109922592"/>
      <w:r w:rsidRPr="00BB5C63">
        <w:t>Borrowing and Borrowing Limits</w:t>
      </w:r>
      <w:bookmarkEnd w:id="43"/>
    </w:p>
    <w:p w14:paraId="51253522" w14:textId="77777777" w:rsidR="00016C24" w:rsidRPr="00BB5C63" w:rsidRDefault="00016C24" w:rsidP="00016C24">
      <w:pPr>
        <w:pStyle w:val="Normal0"/>
        <w:spacing w:after="160" w:line="240" w:lineRule="auto"/>
        <w:rPr>
          <w:rFonts w:ascii="Arial" w:hAnsi="Arial" w:cs="Arial"/>
          <w:sz w:val="24"/>
          <w:szCs w:val="24"/>
          <w:lang w:val="en-GB"/>
        </w:rPr>
      </w:pPr>
      <w:r w:rsidRPr="00BB5C63">
        <w:rPr>
          <w:rFonts w:ascii="Arial" w:hAnsi="Arial" w:cs="Arial"/>
          <w:sz w:val="24"/>
          <w:szCs w:val="24"/>
          <w:lang w:val="en-GB"/>
        </w:rPr>
        <w:t>In 2021/22, the Authority had an authorised limit for external debt of £2,685.1m, which compares to the actual level of debt outstanding at 31 March 2022 of £1,425.9m. Debt outstanding (including accounting adjustments) is made up of the following figures:</w:t>
      </w:r>
    </w:p>
    <w:p w14:paraId="1B742BB3" w14:textId="77777777" w:rsidR="00016C24" w:rsidRPr="00982EF6" w:rsidRDefault="00016C24" w:rsidP="00016C24">
      <w:pPr>
        <w:pStyle w:val="Normal0"/>
        <w:spacing w:after="160" w:line="240" w:lineRule="auto"/>
        <w:rPr>
          <w:rFonts w:ascii="Arial" w:hAnsi="Arial" w:cs="Arial"/>
          <w:sz w:val="24"/>
          <w:szCs w:val="24"/>
          <w:highlight w:val="green"/>
          <w:lang w:val="en-GB"/>
        </w:rPr>
      </w:pPr>
    </w:p>
    <w:tbl>
      <w:tblPr>
        <w:tblStyle w:val="TableGrid"/>
        <w:tblW w:w="0" w:type="auto"/>
        <w:jc w:val="center"/>
        <w:tblLook w:val="04A0" w:firstRow="1" w:lastRow="0" w:firstColumn="1" w:lastColumn="0" w:noHBand="0" w:noVBand="1"/>
      </w:tblPr>
      <w:tblGrid>
        <w:gridCol w:w="1084"/>
        <w:gridCol w:w="3831"/>
        <w:gridCol w:w="1084"/>
      </w:tblGrid>
      <w:tr w:rsidR="00016C24" w:rsidRPr="00982EF6" w14:paraId="541DC896" w14:textId="77777777" w:rsidTr="00500FD5">
        <w:trPr>
          <w:jc w:val="center"/>
        </w:trPr>
        <w:tc>
          <w:tcPr>
            <w:tcW w:w="0" w:type="auto"/>
          </w:tcPr>
          <w:p w14:paraId="52BD3D68" w14:textId="77777777" w:rsidR="00016C24" w:rsidRPr="00BB5C63" w:rsidRDefault="00016C24" w:rsidP="00500FD5">
            <w:pPr>
              <w:pStyle w:val="Normal0"/>
              <w:spacing w:after="160" w:line="240" w:lineRule="auto"/>
              <w:jc w:val="right"/>
              <w:rPr>
                <w:rFonts w:ascii="Arial" w:hAnsi="Arial" w:cs="Arial"/>
                <w:b/>
                <w:sz w:val="24"/>
                <w:szCs w:val="24"/>
                <w:lang w:val="en-GB"/>
              </w:rPr>
            </w:pPr>
            <w:r w:rsidRPr="00BB5C63">
              <w:rPr>
                <w:rFonts w:ascii="Arial" w:hAnsi="Arial" w:cs="Arial"/>
                <w:b/>
                <w:sz w:val="24"/>
                <w:szCs w:val="24"/>
                <w:lang w:val="en-GB"/>
              </w:rPr>
              <w:t>2020/21</w:t>
            </w:r>
          </w:p>
          <w:p w14:paraId="40E98E48" w14:textId="77777777" w:rsidR="00016C24" w:rsidRPr="00BB5C63" w:rsidRDefault="00016C24" w:rsidP="00500FD5">
            <w:pPr>
              <w:pStyle w:val="Normal0"/>
              <w:spacing w:after="160" w:line="240" w:lineRule="auto"/>
              <w:jc w:val="right"/>
              <w:rPr>
                <w:rFonts w:ascii="Arial" w:hAnsi="Arial" w:cs="Arial"/>
                <w:b/>
                <w:sz w:val="24"/>
                <w:szCs w:val="24"/>
                <w:lang w:val="en-GB"/>
              </w:rPr>
            </w:pPr>
            <w:r w:rsidRPr="00BB5C63">
              <w:rPr>
                <w:rFonts w:ascii="Arial" w:hAnsi="Arial" w:cs="Arial"/>
                <w:b/>
                <w:sz w:val="24"/>
                <w:szCs w:val="24"/>
                <w:lang w:val="en-GB"/>
              </w:rPr>
              <w:t>£m</w:t>
            </w:r>
          </w:p>
        </w:tc>
        <w:tc>
          <w:tcPr>
            <w:tcW w:w="0" w:type="auto"/>
          </w:tcPr>
          <w:p w14:paraId="5B042F47" w14:textId="77777777" w:rsidR="00016C24" w:rsidRPr="00BB5C63" w:rsidRDefault="00016C24" w:rsidP="00500FD5">
            <w:pPr>
              <w:pStyle w:val="Normal0"/>
              <w:spacing w:after="160" w:line="240" w:lineRule="auto"/>
              <w:rPr>
                <w:rFonts w:ascii="Arial" w:hAnsi="Arial" w:cs="Arial"/>
                <w:b/>
                <w:sz w:val="22"/>
                <w:szCs w:val="22"/>
                <w:lang w:val="en-GB"/>
              </w:rPr>
            </w:pPr>
            <w:bookmarkStart w:id="44" w:name="_Hlk75956512"/>
            <w:bookmarkStart w:id="45" w:name="_Hlk108528000"/>
          </w:p>
        </w:tc>
        <w:tc>
          <w:tcPr>
            <w:tcW w:w="0" w:type="auto"/>
          </w:tcPr>
          <w:p w14:paraId="4A96AFCD" w14:textId="77777777" w:rsidR="00016C24" w:rsidRPr="00BB5C63" w:rsidRDefault="00016C24" w:rsidP="00500FD5">
            <w:pPr>
              <w:pStyle w:val="Normal0"/>
              <w:spacing w:after="160" w:line="240" w:lineRule="auto"/>
              <w:jc w:val="right"/>
              <w:rPr>
                <w:rFonts w:ascii="Arial" w:hAnsi="Arial" w:cs="Arial"/>
                <w:b/>
                <w:sz w:val="24"/>
                <w:szCs w:val="24"/>
                <w:lang w:val="en-GB"/>
              </w:rPr>
            </w:pPr>
            <w:r w:rsidRPr="00BB5C63">
              <w:rPr>
                <w:rFonts w:ascii="Arial" w:hAnsi="Arial" w:cs="Arial"/>
                <w:b/>
                <w:sz w:val="24"/>
                <w:szCs w:val="24"/>
                <w:lang w:val="en-GB"/>
              </w:rPr>
              <w:t>2021/22</w:t>
            </w:r>
          </w:p>
          <w:p w14:paraId="11E332BA" w14:textId="77777777" w:rsidR="00016C24" w:rsidRPr="00982EF6" w:rsidRDefault="00016C24" w:rsidP="00500FD5">
            <w:pPr>
              <w:pStyle w:val="Normal0"/>
              <w:spacing w:after="160" w:line="240" w:lineRule="auto"/>
              <w:jc w:val="right"/>
              <w:rPr>
                <w:rFonts w:ascii="Arial" w:hAnsi="Arial" w:cs="Arial"/>
                <w:b/>
                <w:sz w:val="24"/>
                <w:szCs w:val="24"/>
                <w:highlight w:val="green"/>
                <w:lang w:val="en-GB"/>
              </w:rPr>
            </w:pPr>
            <w:r w:rsidRPr="00BB5C63">
              <w:rPr>
                <w:rFonts w:ascii="Arial" w:hAnsi="Arial" w:cs="Arial"/>
                <w:b/>
                <w:sz w:val="24"/>
                <w:szCs w:val="24"/>
                <w:lang w:val="en-GB"/>
              </w:rPr>
              <w:t>£m</w:t>
            </w:r>
          </w:p>
        </w:tc>
      </w:tr>
      <w:tr w:rsidR="00016C24" w:rsidRPr="00982EF6" w14:paraId="07ED0879" w14:textId="77777777" w:rsidTr="00500FD5">
        <w:trPr>
          <w:jc w:val="center"/>
        </w:trPr>
        <w:tc>
          <w:tcPr>
            <w:tcW w:w="0" w:type="auto"/>
            <w:tcBorders>
              <w:bottom w:val="nil"/>
            </w:tcBorders>
          </w:tcPr>
          <w:p w14:paraId="15A4F31E" w14:textId="77777777" w:rsidR="00016C24" w:rsidRPr="00BB5C63" w:rsidRDefault="00016C24" w:rsidP="00500FD5">
            <w:pPr>
              <w:pStyle w:val="Normal0"/>
              <w:spacing w:after="160" w:line="240" w:lineRule="auto"/>
              <w:jc w:val="right"/>
              <w:rPr>
                <w:rFonts w:ascii="Arial" w:hAnsi="Arial" w:cs="Arial"/>
                <w:sz w:val="24"/>
                <w:szCs w:val="24"/>
                <w:lang w:val="en-GB"/>
              </w:rPr>
            </w:pPr>
            <w:r w:rsidRPr="00BB5C63">
              <w:rPr>
                <w:rFonts w:ascii="Arial" w:hAnsi="Arial" w:cs="Arial"/>
                <w:sz w:val="24"/>
                <w:szCs w:val="24"/>
                <w:lang w:val="en-GB"/>
              </w:rPr>
              <w:t>567.5</w:t>
            </w:r>
          </w:p>
        </w:tc>
        <w:tc>
          <w:tcPr>
            <w:tcW w:w="0" w:type="auto"/>
            <w:tcBorders>
              <w:bottom w:val="nil"/>
            </w:tcBorders>
          </w:tcPr>
          <w:p w14:paraId="740F8A74" w14:textId="77777777" w:rsidR="00016C24" w:rsidRPr="00BB5C63" w:rsidRDefault="00016C24" w:rsidP="00500FD5">
            <w:pPr>
              <w:pStyle w:val="Normal0"/>
              <w:spacing w:after="160" w:line="240" w:lineRule="auto"/>
              <w:rPr>
                <w:rFonts w:ascii="Arial" w:hAnsi="Arial" w:cs="Arial"/>
                <w:sz w:val="24"/>
                <w:szCs w:val="24"/>
                <w:lang w:val="en-GB"/>
              </w:rPr>
            </w:pPr>
            <w:r w:rsidRPr="00BB5C63">
              <w:rPr>
                <w:rFonts w:ascii="Arial" w:hAnsi="Arial" w:cs="Arial"/>
                <w:sz w:val="24"/>
                <w:szCs w:val="24"/>
                <w:lang w:val="en-GB"/>
              </w:rPr>
              <w:t>Public Works Loan Board (PWLB)</w:t>
            </w:r>
          </w:p>
        </w:tc>
        <w:tc>
          <w:tcPr>
            <w:tcW w:w="0" w:type="auto"/>
            <w:tcBorders>
              <w:bottom w:val="nil"/>
            </w:tcBorders>
          </w:tcPr>
          <w:p w14:paraId="133F8C10" w14:textId="77777777" w:rsidR="00016C24" w:rsidRPr="00093EA4" w:rsidRDefault="00016C24" w:rsidP="00500FD5">
            <w:pPr>
              <w:pStyle w:val="Normal0"/>
              <w:spacing w:after="160" w:line="240" w:lineRule="auto"/>
              <w:jc w:val="right"/>
              <w:rPr>
                <w:rFonts w:ascii="Arial" w:hAnsi="Arial" w:cs="Arial"/>
                <w:sz w:val="24"/>
                <w:szCs w:val="24"/>
                <w:lang w:val="en-GB"/>
              </w:rPr>
            </w:pPr>
            <w:r w:rsidRPr="00093EA4">
              <w:rPr>
                <w:rFonts w:ascii="Arial" w:hAnsi="Arial" w:cs="Arial"/>
                <w:sz w:val="24"/>
                <w:szCs w:val="24"/>
                <w:lang w:val="en-GB"/>
              </w:rPr>
              <w:t>546.2</w:t>
            </w:r>
          </w:p>
        </w:tc>
      </w:tr>
      <w:tr w:rsidR="00016C24" w:rsidRPr="00982EF6" w14:paraId="4E90B493" w14:textId="77777777" w:rsidTr="00500FD5">
        <w:trPr>
          <w:jc w:val="center"/>
        </w:trPr>
        <w:tc>
          <w:tcPr>
            <w:tcW w:w="0" w:type="auto"/>
            <w:tcBorders>
              <w:top w:val="nil"/>
              <w:bottom w:val="nil"/>
            </w:tcBorders>
          </w:tcPr>
          <w:p w14:paraId="2B6AC873" w14:textId="77777777" w:rsidR="00016C24" w:rsidRPr="00BB5C63" w:rsidRDefault="00016C24" w:rsidP="00500FD5">
            <w:pPr>
              <w:pStyle w:val="Normal0"/>
              <w:spacing w:after="160" w:line="240" w:lineRule="auto"/>
              <w:jc w:val="right"/>
              <w:rPr>
                <w:rFonts w:ascii="Arial" w:hAnsi="Arial" w:cs="Arial"/>
                <w:sz w:val="24"/>
                <w:szCs w:val="24"/>
                <w:lang w:val="en-GB"/>
              </w:rPr>
            </w:pPr>
            <w:r w:rsidRPr="00BB5C63">
              <w:rPr>
                <w:rFonts w:ascii="Arial" w:hAnsi="Arial" w:cs="Arial"/>
                <w:sz w:val="24"/>
                <w:szCs w:val="24"/>
                <w:lang w:val="en-GB"/>
              </w:rPr>
              <w:t>571.6</w:t>
            </w:r>
          </w:p>
        </w:tc>
        <w:tc>
          <w:tcPr>
            <w:tcW w:w="0" w:type="auto"/>
            <w:tcBorders>
              <w:top w:val="nil"/>
              <w:bottom w:val="nil"/>
            </w:tcBorders>
          </w:tcPr>
          <w:p w14:paraId="3A98A9FC" w14:textId="77777777" w:rsidR="00016C24" w:rsidRPr="00BB5C63" w:rsidRDefault="00016C24" w:rsidP="00500FD5">
            <w:pPr>
              <w:pStyle w:val="Normal0"/>
              <w:spacing w:after="160" w:line="240" w:lineRule="auto"/>
              <w:rPr>
                <w:rFonts w:ascii="Arial" w:hAnsi="Arial" w:cs="Arial"/>
                <w:sz w:val="24"/>
                <w:szCs w:val="24"/>
                <w:lang w:val="en-GB"/>
              </w:rPr>
            </w:pPr>
            <w:r w:rsidRPr="00BB5C63">
              <w:rPr>
                <w:rFonts w:ascii="Arial" w:hAnsi="Arial" w:cs="Arial"/>
                <w:sz w:val="24"/>
                <w:szCs w:val="24"/>
                <w:lang w:val="en-GB"/>
              </w:rPr>
              <w:t>European Investment Bank (EIB)</w:t>
            </w:r>
          </w:p>
        </w:tc>
        <w:tc>
          <w:tcPr>
            <w:tcW w:w="0" w:type="auto"/>
            <w:tcBorders>
              <w:top w:val="nil"/>
              <w:bottom w:val="nil"/>
            </w:tcBorders>
          </w:tcPr>
          <w:p w14:paraId="0DBE09F5" w14:textId="77777777" w:rsidR="00016C24" w:rsidRPr="00093EA4" w:rsidRDefault="00016C24" w:rsidP="00500FD5">
            <w:pPr>
              <w:pStyle w:val="Normal0"/>
              <w:spacing w:after="160" w:line="240" w:lineRule="auto"/>
              <w:jc w:val="right"/>
              <w:rPr>
                <w:rFonts w:ascii="Arial" w:hAnsi="Arial" w:cs="Arial"/>
                <w:sz w:val="24"/>
                <w:szCs w:val="24"/>
                <w:lang w:val="en-GB"/>
              </w:rPr>
            </w:pPr>
            <w:r w:rsidRPr="00093EA4">
              <w:rPr>
                <w:rFonts w:ascii="Arial" w:hAnsi="Arial" w:cs="Arial"/>
                <w:sz w:val="24"/>
                <w:szCs w:val="24"/>
                <w:lang w:val="en-GB"/>
              </w:rPr>
              <w:t>559.9</w:t>
            </w:r>
          </w:p>
        </w:tc>
      </w:tr>
      <w:tr w:rsidR="00016C24" w:rsidRPr="00982EF6" w14:paraId="72A74434" w14:textId="77777777" w:rsidTr="00500FD5">
        <w:trPr>
          <w:jc w:val="center"/>
        </w:trPr>
        <w:tc>
          <w:tcPr>
            <w:tcW w:w="0" w:type="auto"/>
            <w:tcBorders>
              <w:top w:val="nil"/>
              <w:bottom w:val="nil"/>
            </w:tcBorders>
          </w:tcPr>
          <w:p w14:paraId="206C4A90" w14:textId="77777777" w:rsidR="00016C24" w:rsidRPr="00BB5C63" w:rsidRDefault="00016C24" w:rsidP="00500FD5">
            <w:pPr>
              <w:pStyle w:val="Normal0"/>
              <w:spacing w:after="160" w:line="240" w:lineRule="auto"/>
              <w:jc w:val="right"/>
              <w:rPr>
                <w:rFonts w:ascii="Arial" w:hAnsi="Arial" w:cs="Arial"/>
                <w:sz w:val="24"/>
                <w:szCs w:val="24"/>
                <w:lang w:val="en-GB"/>
              </w:rPr>
            </w:pPr>
            <w:r w:rsidRPr="00BB5C63">
              <w:rPr>
                <w:rFonts w:ascii="Arial" w:hAnsi="Arial" w:cs="Arial"/>
                <w:sz w:val="24"/>
                <w:szCs w:val="24"/>
                <w:lang w:val="en-GB"/>
              </w:rPr>
              <w:t>106.2</w:t>
            </w:r>
          </w:p>
        </w:tc>
        <w:tc>
          <w:tcPr>
            <w:tcW w:w="0" w:type="auto"/>
            <w:tcBorders>
              <w:top w:val="nil"/>
              <w:bottom w:val="nil"/>
            </w:tcBorders>
          </w:tcPr>
          <w:p w14:paraId="75754403" w14:textId="77777777" w:rsidR="00016C24" w:rsidRPr="00BB5C63" w:rsidRDefault="00016C24" w:rsidP="00500FD5">
            <w:pPr>
              <w:pStyle w:val="Normal0"/>
              <w:spacing w:after="160" w:line="240" w:lineRule="auto"/>
              <w:rPr>
                <w:rFonts w:ascii="Arial" w:hAnsi="Arial" w:cs="Arial"/>
                <w:sz w:val="24"/>
                <w:szCs w:val="24"/>
                <w:lang w:val="en-GB"/>
              </w:rPr>
            </w:pPr>
            <w:r w:rsidRPr="00BB5C63">
              <w:rPr>
                <w:rFonts w:ascii="Arial" w:hAnsi="Arial" w:cs="Arial"/>
                <w:sz w:val="24"/>
                <w:szCs w:val="24"/>
                <w:lang w:val="en-GB"/>
              </w:rPr>
              <w:t>Market</w:t>
            </w:r>
          </w:p>
        </w:tc>
        <w:tc>
          <w:tcPr>
            <w:tcW w:w="0" w:type="auto"/>
            <w:tcBorders>
              <w:top w:val="nil"/>
              <w:bottom w:val="nil"/>
            </w:tcBorders>
          </w:tcPr>
          <w:p w14:paraId="2EBF0ECB" w14:textId="77777777" w:rsidR="00016C24" w:rsidRPr="00093EA4" w:rsidRDefault="00016C24" w:rsidP="00500FD5">
            <w:pPr>
              <w:pStyle w:val="Normal0"/>
              <w:spacing w:after="160" w:line="240" w:lineRule="auto"/>
              <w:jc w:val="right"/>
              <w:rPr>
                <w:rFonts w:ascii="Arial" w:hAnsi="Arial" w:cs="Arial"/>
                <w:sz w:val="24"/>
                <w:szCs w:val="24"/>
                <w:lang w:val="en-GB"/>
              </w:rPr>
            </w:pPr>
            <w:r w:rsidRPr="00093EA4">
              <w:rPr>
                <w:rFonts w:ascii="Arial" w:hAnsi="Arial" w:cs="Arial"/>
                <w:sz w:val="24"/>
                <w:szCs w:val="24"/>
                <w:lang w:val="en-GB"/>
              </w:rPr>
              <w:t>106.2</w:t>
            </w:r>
          </w:p>
        </w:tc>
      </w:tr>
      <w:tr w:rsidR="00016C24" w:rsidRPr="00982EF6" w14:paraId="2715C6D1" w14:textId="77777777" w:rsidTr="00500FD5">
        <w:trPr>
          <w:jc w:val="center"/>
        </w:trPr>
        <w:tc>
          <w:tcPr>
            <w:tcW w:w="0" w:type="auto"/>
            <w:tcBorders>
              <w:top w:val="nil"/>
              <w:bottom w:val="nil"/>
            </w:tcBorders>
          </w:tcPr>
          <w:p w14:paraId="15F08384" w14:textId="77777777" w:rsidR="00016C24" w:rsidRPr="00BB5C63" w:rsidRDefault="00016C24" w:rsidP="00500FD5">
            <w:pPr>
              <w:pStyle w:val="Normal0"/>
              <w:spacing w:after="160" w:line="240" w:lineRule="auto"/>
              <w:jc w:val="right"/>
              <w:rPr>
                <w:rFonts w:ascii="Arial" w:hAnsi="Arial" w:cs="Arial"/>
                <w:sz w:val="24"/>
                <w:szCs w:val="24"/>
                <w:lang w:val="en-GB"/>
              </w:rPr>
            </w:pPr>
            <w:r w:rsidRPr="00BB5C63">
              <w:rPr>
                <w:rFonts w:ascii="Arial" w:hAnsi="Arial" w:cs="Arial"/>
                <w:sz w:val="24"/>
                <w:szCs w:val="24"/>
                <w:lang w:val="en-GB"/>
              </w:rPr>
              <w:t>61.8</w:t>
            </w:r>
          </w:p>
        </w:tc>
        <w:tc>
          <w:tcPr>
            <w:tcW w:w="0" w:type="auto"/>
            <w:tcBorders>
              <w:top w:val="nil"/>
              <w:bottom w:val="nil"/>
            </w:tcBorders>
          </w:tcPr>
          <w:p w14:paraId="46F225E9" w14:textId="77777777" w:rsidR="00016C24" w:rsidRPr="00BB5C63" w:rsidRDefault="00016C24" w:rsidP="00500FD5">
            <w:pPr>
              <w:pStyle w:val="Normal0"/>
              <w:spacing w:after="160" w:line="240" w:lineRule="auto"/>
              <w:rPr>
                <w:rFonts w:ascii="Arial" w:hAnsi="Arial" w:cs="Arial"/>
                <w:sz w:val="24"/>
                <w:szCs w:val="24"/>
                <w:lang w:val="en-GB"/>
              </w:rPr>
            </w:pPr>
            <w:r w:rsidRPr="00BB5C63">
              <w:rPr>
                <w:rFonts w:ascii="Arial" w:hAnsi="Arial" w:cs="Arial"/>
                <w:sz w:val="24"/>
                <w:szCs w:val="24"/>
                <w:lang w:val="en-GB"/>
              </w:rPr>
              <w:t>Temporary</w:t>
            </w:r>
          </w:p>
        </w:tc>
        <w:tc>
          <w:tcPr>
            <w:tcW w:w="0" w:type="auto"/>
            <w:tcBorders>
              <w:top w:val="nil"/>
              <w:bottom w:val="nil"/>
            </w:tcBorders>
          </w:tcPr>
          <w:p w14:paraId="52A53602" w14:textId="77777777" w:rsidR="00016C24" w:rsidRPr="00093EA4" w:rsidRDefault="00016C24" w:rsidP="00500FD5">
            <w:pPr>
              <w:pStyle w:val="Normal0"/>
              <w:spacing w:after="160" w:line="240" w:lineRule="auto"/>
              <w:jc w:val="right"/>
              <w:rPr>
                <w:rFonts w:ascii="Arial" w:hAnsi="Arial" w:cs="Arial"/>
                <w:sz w:val="24"/>
                <w:szCs w:val="24"/>
                <w:lang w:val="en-GB"/>
              </w:rPr>
            </w:pPr>
            <w:r w:rsidRPr="00093EA4">
              <w:rPr>
                <w:rFonts w:ascii="Arial" w:hAnsi="Arial" w:cs="Arial"/>
                <w:sz w:val="24"/>
                <w:szCs w:val="24"/>
                <w:lang w:val="en-GB"/>
              </w:rPr>
              <w:t>20.3</w:t>
            </w:r>
          </w:p>
        </w:tc>
      </w:tr>
      <w:tr w:rsidR="00016C24" w:rsidRPr="00982EF6" w14:paraId="04A95D27" w14:textId="77777777" w:rsidTr="00500FD5">
        <w:trPr>
          <w:jc w:val="center"/>
        </w:trPr>
        <w:tc>
          <w:tcPr>
            <w:tcW w:w="0" w:type="auto"/>
            <w:tcBorders>
              <w:top w:val="nil"/>
              <w:bottom w:val="nil"/>
            </w:tcBorders>
          </w:tcPr>
          <w:p w14:paraId="0978FC79" w14:textId="77777777" w:rsidR="00016C24" w:rsidRPr="00BB5C63" w:rsidRDefault="00016C24" w:rsidP="00500FD5">
            <w:pPr>
              <w:pStyle w:val="Normal0"/>
              <w:spacing w:after="160" w:line="240" w:lineRule="auto"/>
              <w:jc w:val="right"/>
              <w:rPr>
                <w:rFonts w:ascii="Arial" w:hAnsi="Arial" w:cs="Arial"/>
                <w:sz w:val="24"/>
                <w:szCs w:val="24"/>
                <w:lang w:val="en-GB"/>
              </w:rPr>
            </w:pPr>
            <w:r w:rsidRPr="00BB5C63">
              <w:rPr>
                <w:rFonts w:ascii="Arial" w:hAnsi="Arial" w:cs="Arial"/>
                <w:sz w:val="24"/>
                <w:szCs w:val="24"/>
                <w:lang w:val="en-GB"/>
              </w:rPr>
              <w:t>161.2</w:t>
            </w:r>
          </w:p>
        </w:tc>
        <w:tc>
          <w:tcPr>
            <w:tcW w:w="0" w:type="auto"/>
            <w:tcBorders>
              <w:top w:val="nil"/>
              <w:bottom w:val="nil"/>
            </w:tcBorders>
          </w:tcPr>
          <w:p w14:paraId="017A5872" w14:textId="77777777" w:rsidR="00016C24" w:rsidRPr="00BB5C63" w:rsidRDefault="00016C24" w:rsidP="00500FD5">
            <w:pPr>
              <w:pStyle w:val="Normal0"/>
              <w:spacing w:after="160" w:line="240" w:lineRule="auto"/>
              <w:rPr>
                <w:rFonts w:ascii="Arial" w:hAnsi="Arial" w:cs="Arial"/>
                <w:sz w:val="24"/>
                <w:szCs w:val="24"/>
                <w:lang w:val="en-GB"/>
              </w:rPr>
            </w:pPr>
            <w:r w:rsidRPr="00BB5C63">
              <w:rPr>
                <w:rFonts w:ascii="Arial" w:hAnsi="Arial" w:cs="Arial"/>
                <w:sz w:val="24"/>
                <w:szCs w:val="24"/>
                <w:lang w:val="en-GB"/>
              </w:rPr>
              <w:t>MHCLG – HIF</w:t>
            </w:r>
          </w:p>
        </w:tc>
        <w:tc>
          <w:tcPr>
            <w:tcW w:w="0" w:type="auto"/>
            <w:tcBorders>
              <w:top w:val="nil"/>
              <w:bottom w:val="nil"/>
            </w:tcBorders>
            <w:shd w:val="clear" w:color="auto" w:fill="auto"/>
          </w:tcPr>
          <w:p w14:paraId="4D9FC084" w14:textId="77777777" w:rsidR="00016C24" w:rsidRPr="00093EA4" w:rsidRDefault="00016C24" w:rsidP="00500FD5">
            <w:pPr>
              <w:pStyle w:val="Normal0"/>
              <w:spacing w:after="160" w:line="240" w:lineRule="auto"/>
              <w:jc w:val="right"/>
              <w:rPr>
                <w:rFonts w:ascii="Arial" w:hAnsi="Arial" w:cs="Arial"/>
                <w:sz w:val="24"/>
                <w:szCs w:val="24"/>
                <w:lang w:val="en-GB"/>
              </w:rPr>
            </w:pPr>
            <w:r w:rsidRPr="00093EA4">
              <w:rPr>
                <w:rFonts w:ascii="Arial" w:hAnsi="Arial" w:cs="Arial"/>
                <w:sz w:val="24"/>
                <w:szCs w:val="24"/>
                <w:lang w:val="en-GB"/>
              </w:rPr>
              <w:t>164.1</w:t>
            </w:r>
          </w:p>
        </w:tc>
      </w:tr>
      <w:tr w:rsidR="00016C24" w:rsidRPr="00982EF6" w14:paraId="197D9894" w14:textId="77777777" w:rsidTr="00500FD5">
        <w:trPr>
          <w:jc w:val="center"/>
        </w:trPr>
        <w:tc>
          <w:tcPr>
            <w:tcW w:w="0" w:type="auto"/>
            <w:tcBorders>
              <w:top w:val="nil"/>
            </w:tcBorders>
          </w:tcPr>
          <w:p w14:paraId="70674DE6" w14:textId="77777777" w:rsidR="00016C24" w:rsidRPr="00BB5C63" w:rsidRDefault="00016C24" w:rsidP="00500FD5">
            <w:pPr>
              <w:pStyle w:val="Normal0"/>
              <w:spacing w:after="160" w:line="240" w:lineRule="auto"/>
              <w:jc w:val="right"/>
              <w:rPr>
                <w:rFonts w:ascii="Arial" w:hAnsi="Arial" w:cs="Arial"/>
                <w:sz w:val="24"/>
                <w:szCs w:val="24"/>
                <w:lang w:val="en-GB"/>
              </w:rPr>
            </w:pPr>
            <w:r w:rsidRPr="00BB5C63">
              <w:rPr>
                <w:rFonts w:ascii="Arial" w:hAnsi="Arial" w:cs="Arial"/>
                <w:sz w:val="24"/>
                <w:szCs w:val="24"/>
                <w:lang w:val="en-GB"/>
              </w:rPr>
              <w:t>28.5</w:t>
            </w:r>
          </w:p>
        </w:tc>
        <w:tc>
          <w:tcPr>
            <w:tcW w:w="0" w:type="auto"/>
            <w:tcBorders>
              <w:top w:val="nil"/>
            </w:tcBorders>
          </w:tcPr>
          <w:p w14:paraId="46245B41" w14:textId="77777777" w:rsidR="00016C24" w:rsidRPr="00BB5C63" w:rsidRDefault="00016C24" w:rsidP="00500FD5">
            <w:pPr>
              <w:pStyle w:val="Normal0"/>
              <w:spacing w:after="160" w:line="240" w:lineRule="auto"/>
              <w:rPr>
                <w:rFonts w:ascii="Arial" w:hAnsi="Arial" w:cs="Arial"/>
                <w:sz w:val="24"/>
                <w:szCs w:val="24"/>
                <w:lang w:val="en-GB"/>
              </w:rPr>
            </w:pPr>
            <w:r w:rsidRPr="00BB5C63">
              <w:rPr>
                <w:rFonts w:ascii="Arial" w:hAnsi="Arial" w:cs="Arial"/>
                <w:sz w:val="24"/>
                <w:szCs w:val="24"/>
                <w:lang w:val="en-GB"/>
              </w:rPr>
              <w:t>Homes England</w:t>
            </w:r>
          </w:p>
        </w:tc>
        <w:tc>
          <w:tcPr>
            <w:tcW w:w="0" w:type="auto"/>
            <w:tcBorders>
              <w:top w:val="nil"/>
            </w:tcBorders>
            <w:shd w:val="clear" w:color="auto" w:fill="auto"/>
          </w:tcPr>
          <w:p w14:paraId="7BCD9943" w14:textId="77777777" w:rsidR="00016C24" w:rsidRPr="00093EA4" w:rsidRDefault="00016C24" w:rsidP="00500FD5">
            <w:pPr>
              <w:pStyle w:val="Normal0"/>
              <w:spacing w:after="160" w:line="240" w:lineRule="auto"/>
              <w:jc w:val="right"/>
              <w:rPr>
                <w:rFonts w:ascii="Arial" w:hAnsi="Arial" w:cs="Arial"/>
                <w:sz w:val="24"/>
                <w:szCs w:val="24"/>
                <w:lang w:val="en-GB"/>
              </w:rPr>
            </w:pPr>
            <w:r w:rsidRPr="00093EA4">
              <w:rPr>
                <w:rFonts w:ascii="Arial" w:hAnsi="Arial" w:cs="Arial"/>
                <w:sz w:val="24"/>
                <w:szCs w:val="24"/>
                <w:lang w:val="en-GB"/>
              </w:rPr>
              <w:t>29.2</w:t>
            </w:r>
          </w:p>
        </w:tc>
      </w:tr>
      <w:tr w:rsidR="00016C24" w:rsidRPr="00982EF6" w14:paraId="581EF645" w14:textId="77777777" w:rsidTr="00500FD5">
        <w:trPr>
          <w:jc w:val="center"/>
        </w:trPr>
        <w:tc>
          <w:tcPr>
            <w:tcW w:w="0" w:type="auto"/>
          </w:tcPr>
          <w:p w14:paraId="02531559" w14:textId="77777777" w:rsidR="00016C24" w:rsidRPr="00BB5C63" w:rsidRDefault="00016C24" w:rsidP="00500FD5">
            <w:pPr>
              <w:pStyle w:val="Normal0"/>
              <w:spacing w:after="160" w:line="240" w:lineRule="auto"/>
              <w:jc w:val="right"/>
              <w:rPr>
                <w:rFonts w:ascii="Arial" w:hAnsi="Arial" w:cs="Arial"/>
                <w:b/>
                <w:sz w:val="24"/>
                <w:szCs w:val="24"/>
                <w:lang w:val="en-GB"/>
              </w:rPr>
            </w:pPr>
            <w:r w:rsidRPr="00BB5C63">
              <w:rPr>
                <w:rFonts w:ascii="Arial" w:hAnsi="Arial" w:cs="Arial"/>
                <w:b/>
                <w:sz w:val="24"/>
                <w:szCs w:val="24"/>
                <w:lang w:val="en-GB"/>
              </w:rPr>
              <w:t>1,496.8</w:t>
            </w:r>
          </w:p>
        </w:tc>
        <w:bookmarkEnd w:id="44"/>
        <w:tc>
          <w:tcPr>
            <w:tcW w:w="0" w:type="auto"/>
          </w:tcPr>
          <w:p w14:paraId="4866B7EC" w14:textId="77777777" w:rsidR="00016C24" w:rsidRPr="00BB5C63" w:rsidRDefault="00016C24" w:rsidP="00500FD5">
            <w:pPr>
              <w:pStyle w:val="Normal0"/>
              <w:spacing w:after="160" w:line="240" w:lineRule="auto"/>
              <w:rPr>
                <w:rFonts w:ascii="Arial" w:hAnsi="Arial" w:cs="Arial"/>
                <w:b/>
                <w:sz w:val="24"/>
                <w:szCs w:val="24"/>
                <w:lang w:val="en-GB"/>
              </w:rPr>
            </w:pPr>
            <w:r w:rsidRPr="00BB5C63">
              <w:rPr>
                <w:rFonts w:ascii="Arial" w:hAnsi="Arial" w:cs="Arial"/>
                <w:b/>
                <w:sz w:val="24"/>
                <w:szCs w:val="24"/>
                <w:lang w:val="en-GB"/>
              </w:rPr>
              <w:t>Total</w:t>
            </w:r>
          </w:p>
        </w:tc>
        <w:tc>
          <w:tcPr>
            <w:tcW w:w="0" w:type="auto"/>
          </w:tcPr>
          <w:p w14:paraId="27AAA23E" w14:textId="77777777" w:rsidR="00016C24" w:rsidRPr="00982EF6" w:rsidRDefault="00016C24" w:rsidP="00500FD5">
            <w:pPr>
              <w:pStyle w:val="Normal0"/>
              <w:spacing w:after="160" w:line="240" w:lineRule="auto"/>
              <w:jc w:val="right"/>
              <w:rPr>
                <w:rFonts w:ascii="Arial" w:hAnsi="Arial" w:cs="Arial"/>
                <w:b/>
                <w:sz w:val="24"/>
                <w:szCs w:val="24"/>
                <w:highlight w:val="green"/>
                <w:lang w:val="en-GB"/>
              </w:rPr>
            </w:pPr>
            <w:r w:rsidRPr="00093EA4">
              <w:rPr>
                <w:rFonts w:ascii="Arial" w:hAnsi="Arial" w:cs="Arial"/>
                <w:b/>
                <w:sz w:val="24"/>
                <w:szCs w:val="24"/>
                <w:lang w:val="en-GB"/>
              </w:rPr>
              <w:t>1,425.9</w:t>
            </w:r>
          </w:p>
        </w:tc>
      </w:tr>
      <w:bookmarkEnd w:id="45"/>
    </w:tbl>
    <w:p w14:paraId="36DA956D" w14:textId="77777777" w:rsidR="00016C24" w:rsidRPr="00982EF6" w:rsidRDefault="00016C24" w:rsidP="00016C24">
      <w:pPr>
        <w:pStyle w:val="Normal0"/>
        <w:spacing w:after="160" w:line="240" w:lineRule="auto"/>
        <w:rPr>
          <w:rFonts w:ascii="Arial" w:hAnsi="Arial" w:cs="Arial"/>
          <w:sz w:val="24"/>
          <w:szCs w:val="24"/>
          <w:highlight w:val="green"/>
          <w:lang w:val="en-GB"/>
        </w:rPr>
      </w:pPr>
    </w:p>
    <w:p w14:paraId="7AA340B3" w14:textId="77777777" w:rsidR="00016C24" w:rsidRPr="00093EA4" w:rsidRDefault="00016C24" w:rsidP="00016C24">
      <w:pPr>
        <w:pStyle w:val="Normal0"/>
        <w:spacing w:after="160" w:line="240" w:lineRule="auto"/>
        <w:rPr>
          <w:rFonts w:ascii="Arial" w:hAnsi="Arial" w:cs="Arial"/>
          <w:bCs/>
          <w:sz w:val="24"/>
          <w:szCs w:val="22"/>
        </w:rPr>
      </w:pPr>
      <w:r w:rsidRPr="00093EA4">
        <w:rPr>
          <w:rFonts w:ascii="Arial" w:hAnsi="Arial" w:cs="Arial"/>
          <w:sz w:val="24"/>
          <w:szCs w:val="22"/>
        </w:rPr>
        <w:t>Total borrowings show a net decrease during the year of £70.9m due to</w:t>
      </w:r>
      <w:r w:rsidRPr="00093EA4">
        <w:rPr>
          <w:rFonts w:ascii="Arial" w:hAnsi="Arial" w:cs="Arial"/>
          <w:bCs/>
          <w:sz w:val="24"/>
          <w:szCs w:val="22"/>
        </w:rPr>
        <w:t xml:space="preserve"> scheduled repayments to PWLB and EIB, reduced temporary borrowing and other accounting adjustments.</w:t>
      </w:r>
    </w:p>
    <w:p w14:paraId="63F60584" w14:textId="77777777" w:rsidR="00016C24" w:rsidRPr="00BB5C63" w:rsidRDefault="00016C24" w:rsidP="00016C24">
      <w:pPr>
        <w:pStyle w:val="Heading3"/>
        <w:spacing w:after="160"/>
      </w:pPr>
      <w:bookmarkStart w:id="46" w:name="_Toc109922593"/>
      <w:r w:rsidRPr="00BB5C63">
        <w:t>Short Term Investments for Treasury Management Purposes</w:t>
      </w:r>
      <w:bookmarkEnd w:id="46"/>
    </w:p>
    <w:p w14:paraId="703E87C5" w14:textId="77777777" w:rsidR="00016C24" w:rsidRPr="00BB5C63" w:rsidRDefault="00016C24" w:rsidP="00016C24">
      <w:pPr>
        <w:pStyle w:val="Normal0"/>
        <w:spacing w:after="160" w:line="240" w:lineRule="auto"/>
        <w:rPr>
          <w:rFonts w:ascii="Arial" w:hAnsi="Arial" w:cs="Arial"/>
          <w:sz w:val="24"/>
          <w:szCs w:val="24"/>
          <w:lang w:val="en-GB"/>
        </w:rPr>
      </w:pPr>
      <w:r w:rsidRPr="00BB5C63">
        <w:rPr>
          <w:rFonts w:ascii="Arial" w:hAnsi="Arial" w:cs="Arial"/>
          <w:sz w:val="24"/>
          <w:szCs w:val="24"/>
          <w:lang w:val="en-GB"/>
        </w:rPr>
        <w:t>Whilst the Authority held short-term borrowing at the end of the financial year, a level of short</w:t>
      </w:r>
      <w:r>
        <w:rPr>
          <w:rFonts w:ascii="Arial" w:hAnsi="Arial" w:cs="Arial"/>
          <w:sz w:val="24"/>
          <w:szCs w:val="24"/>
          <w:lang w:val="en-GB"/>
        </w:rPr>
        <w:t>-</w:t>
      </w:r>
      <w:r w:rsidRPr="00BB5C63">
        <w:rPr>
          <w:rFonts w:ascii="Arial" w:hAnsi="Arial" w:cs="Arial"/>
          <w:sz w:val="24"/>
          <w:szCs w:val="24"/>
          <w:lang w:val="en-GB"/>
        </w:rPr>
        <w:t>term cash is always held to cover unexpected cash flow requirements. Short term deposits (excluding bank current accounts) as at 31 March 2022 were £245.7m. This is made up of the following figures:</w:t>
      </w:r>
    </w:p>
    <w:tbl>
      <w:tblPr>
        <w:tblStyle w:val="TableGrid"/>
        <w:tblW w:w="7947" w:type="dxa"/>
        <w:jc w:val="center"/>
        <w:tblLook w:val="04A0" w:firstRow="1" w:lastRow="0" w:firstColumn="1" w:lastColumn="0" w:noHBand="0" w:noVBand="1"/>
      </w:tblPr>
      <w:tblGrid>
        <w:gridCol w:w="1442"/>
        <w:gridCol w:w="5063"/>
        <w:gridCol w:w="1442"/>
      </w:tblGrid>
      <w:tr w:rsidR="00016C24" w:rsidRPr="00982EF6" w14:paraId="729C080E" w14:textId="77777777" w:rsidTr="00500FD5">
        <w:trPr>
          <w:jc w:val="center"/>
        </w:trPr>
        <w:tc>
          <w:tcPr>
            <w:tcW w:w="0" w:type="auto"/>
          </w:tcPr>
          <w:p w14:paraId="29EB8335" w14:textId="77777777" w:rsidR="00016C24" w:rsidRPr="00BB5C63" w:rsidRDefault="00016C24" w:rsidP="00500FD5">
            <w:pPr>
              <w:spacing w:after="160"/>
              <w:jc w:val="right"/>
              <w:rPr>
                <w:rFonts w:ascii="Arial" w:hAnsi="Arial" w:cs="Arial"/>
                <w:b/>
              </w:rPr>
            </w:pPr>
            <w:r w:rsidRPr="00BB5C63">
              <w:rPr>
                <w:rFonts w:ascii="Arial" w:hAnsi="Arial" w:cs="Arial"/>
                <w:b/>
              </w:rPr>
              <w:t>2020/21</w:t>
            </w:r>
          </w:p>
          <w:p w14:paraId="4B155ECC" w14:textId="77777777" w:rsidR="00016C24" w:rsidRPr="00BB5C63" w:rsidRDefault="00016C24" w:rsidP="00500FD5">
            <w:pPr>
              <w:spacing w:after="160"/>
              <w:jc w:val="right"/>
              <w:rPr>
                <w:rFonts w:ascii="Arial" w:hAnsi="Arial" w:cs="Arial"/>
                <w:b/>
              </w:rPr>
            </w:pPr>
            <w:r w:rsidRPr="00BB5C63">
              <w:rPr>
                <w:rFonts w:ascii="Arial" w:hAnsi="Arial" w:cs="Arial"/>
                <w:b/>
              </w:rPr>
              <w:t>£m</w:t>
            </w:r>
          </w:p>
        </w:tc>
        <w:tc>
          <w:tcPr>
            <w:tcW w:w="0" w:type="auto"/>
          </w:tcPr>
          <w:p w14:paraId="0DE28A16" w14:textId="77777777" w:rsidR="00016C24" w:rsidRPr="00BB5C63" w:rsidRDefault="00016C24" w:rsidP="00500FD5">
            <w:pPr>
              <w:spacing w:after="160"/>
              <w:rPr>
                <w:rFonts w:ascii="Arial" w:hAnsi="Arial" w:cs="Arial"/>
                <w:b/>
              </w:rPr>
            </w:pPr>
            <w:bookmarkStart w:id="47" w:name="_Hlk75956765"/>
          </w:p>
        </w:tc>
        <w:tc>
          <w:tcPr>
            <w:tcW w:w="0" w:type="auto"/>
          </w:tcPr>
          <w:p w14:paraId="46D81687" w14:textId="77777777" w:rsidR="00016C24" w:rsidRPr="00BB5C63" w:rsidRDefault="00016C24" w:rsidP="00500FD5">
            <w:pPr>
              <w:spacing w:after="160"/>
              <w:jc w:val="right"/>
              <w:rPr>
                <w:rFonts w:ascii="Arial" w:hAnsi="Arial" w:cs="Arial"/>
                <w:b/>
              </w:rPr>
            </w:pPr>
            <w:r w:rsidRPr="00BB5C63">
              <w:rPr>
                <w:rFonts w:ascii="Arial" w:hAnsi="Arial" w:cs="Arial"/>
                <w:b/>
              </w:rPr>
              <w:t>2021/22</w:t>
            </w:r>
          </w:p>
          <w:p w14:paraId="6AE51D25" w14:textId="77777777" w:rsidR="00016C24" w:rsidRPr="00BB5C63" w:rsidRDefault="00016C24" w:rsidP="00500FD5">
            <w:pPr>
              <w:spacing w:after="160"/>
              <w:jc w:val="right"/>
              <w:rPr>
                <w:rFonts w:ascii="Arial" w:hAnsi="Arial" w:cs="Arial"/>
                <w:b/>
              </w:rPr>
            </w:pPr>
            <w:r w:rsidRPr="00BB5C63">
              <w:rPr>
                <w:rFonts w:ascii="Arial" w:hAnsi="Arial" w:cs="Arial"/>
                <w:b/>
              </w:rPr>
              <w:t>£m</w:t>
            </w:r>
          </w:p>
        </w:tc>
      </w:tr>
      <w:tr w:rsidR="00016C24" w:rsidRPr="00982EF6" w14:paraId="7534F081" w14:textId="77777777" w:rsidTr="00500FD5">
        <w:trPr>
          <w:jc w:val="center"/>
        </w:trPr>
        <w:tc>
          <w:tcPr>
            <w:tcW w:w="0" w:type="auto"/>
            <w:tcBorders>
              <w:bottom w:val="nil"/>
            </w:tcBorders>
          </w:tcPr>
          <w:p w14:paraId="66EDE56A" w14:textId="77777777" w:rsidR="00016C24" w:rsidRPr="00BB5C63" w:rsidRDefault="00016C24" w:rsidP="00500FD5">
            <w:pPr>
              <w:spacing w:after="160"/>
              <w:jc w:val="right"/>
              <w:rPr>
                <w:rFonts w:ascii="Arial" w:hAnsi="Arial" w:cs="Arial"/>
              </w:rPr>
            </w:pPr>
            <w:r w:rsidRPr="00BB5C63">
              <w:rPr>
                <w:rFonts w:ascii="Arial" w:hAnsi="Arial" w:cs="Arial"/>
              </w:rPr>
              <w:t>89.4</w:t>
            </w:r>
          </w:p>
        </w:tc>
        <w:tc>
          <w:tcPr>
            <w:tcW w:w="0" w:type="auto"/>
            <w:tcBorders>
              <w:bottom w:val="nil"/>
            </w:tcBorders>
          </w:tcPr>
          <w:p w14:paraId="4F86F5BD" w14:textId="77777777" w:rsidR="00016C24" w:rsidRPr="00BB5C63" w:rsidRDefault="00016C24" w:rsidP="00500FD5">
            <w:pPr>
              <w:spacing w:after="160"/>
              <w:rPr>
                <w:rFonts w:ascii="Arial" w:hAnsi="Arial" w:cs="Arial"/>
              </w:rPr>
            </w:pPr>
            <w:r w:rsidRPr="00BB5C63">
              <w:rPr>
                <w:rFonts w:ascii="Arial" w:hAnsi="Arial" w:cs="Arial"/>
              </w:rPr>
              <w:t>Bank Deposits</w:t>
            </w:r>
          </w:p>
        </w:tc>
        <w:tc>
          <w:tcPr>
            <w:tcW w:w="0" w:type="auto"/>
            <w:tcBorders>
              <w:bottom w:val="nil"/>
            </w:tcBorders>
          </w:tcPr>
          <w:p w14:paraId="078E3286" w14:textId="77777777" w:rsidR="00016C24" w:rsidRPr="00BB5C63" w:rsidRDefault="00016C24" w:rsidP="00500FD5">
            <w:pPr>
              <w:spacing w:after="160"/>
              <w:jc w:val="right"/>
              <w:rPr>
                <w:rFonts w:ascii="Arial" w:hAnsi="Arial" w:cs="Arial"/>
              </w:rPr>
            </w:pPr>
            <w:r w:rsidRPr="00BB5C63">
              <w:rPr>
                <w:rFonts w:ascii="Arial" w:hAnsi="Arial" w:cs="Arial"/>
              </w:rPr>
              <w:t>13.4</w:t>
            </w:r>
          </w:p>
        </w:tc>
      </w:tr>
      <w:tr w:rsidR="00016C24" w:rsidRPr="00982EF6" w14:paraId="25299763" w14:textId="77777777" w:rsidTr="00500FD5">
        <w:trPr>
          <w:jc w:val="center"/>
        </w:trPr>
        <w:tc>
          <w:tcPr>
            <w:tcW w:w="0" w:type="auto"/>
            <w:tcBorders>
              <w:top w:val="nil"/>
              <w:bottom w:val="nil"/>
            </w:tcBorders>
          </w:tcPr>
          <w:p w14:paraId="0AFB7D0D" w14:textId="77777777" w:rsidR="00016C24" w:rsidRPr="00BB5C63" w:rsidRDefault="00016C24" w:rsidP="00500FD5">
            <w:pPr>
              <w:spacing w:after="160"/>
              <w:jc w:val="right"/>
              <w:rPr>
                <w:rFonts w:ascii="Arial" w:hAnsi="Arial" w:cs="Arial"/>
              </w:rPr>
            </w:pPr>
            <w:r w:rsidRPr="00BB5C63">
              <w:rPr>
                <w:rFonts w:ascii="Arial" w:hAnsi="Arial" w:cs="Arial"/>
              </w:rPr>
              <w:t>50.0</w:t>
            </w:r>
          </w:p>
        </w:tc>
        <w:tc>
          <w:tcPr>
            <w:tcW w:w="0" w:type="auto"/>
            <w:tcBorders>
              <w:top w:val="nil"/>
              <w:bottom w:val="nil"/>
            </w:tcBorders>
          </w:tcPr>
          <w:p w14:paraId="6CF91CAF" w14:textId="77777777" w:rsidR="00016C24" w:rsidRPr="00BB5C63" w:rsidRDefault="00016C24" w:rsidP="00500FD5">
            <w:pPr>
              <w:spacing w:after="160"/>
              <w:rPr>
                <w:rFonts w:ascii="Arial" w:hAnsi="Arial" w:cs="Arial"/>
              </w:rPr>
            </w:pPr>
            <w:r w:rsidRPr="00BB5C63">
              <w:rPr>
                <w:rFonts w:ascii="Arial" w:hAnsi="Arial" w:cs="Arial"/>
              </w:rPr>
              <w:t>UK Government Backed Deposits</w:t>
            </w:r>
          </w:p>
        </w:tc>
        <w:tc>
          <w:tcPr>
            <w:tcW w:w="0" w:type="auto"/>
            <w:tcBorders>
              <w:top w:val="nil"/>
              <w:bottom w:val="nil"/>
            </w:tcBorders>
          </w:tcPr>
          <w:p w14:paraId="2BCE51EC" w14:textId="77777777" w:rsidR="00016C24" w:rsidRPr="00BB5C63" w:rsidRDefault="00016C24" w:rsidP="00500FD5">
            <w:pPr>
              <w:spacing w:after="160"/>
              <w:jc w:val="right"/>
              <w:rPr>
                <w:rFonts w:ascii="Arial" w:hAnsi="Arial" w:cs="Arial"/>
              </w:rPr>
            </w:pPr>
            <w:r w:rsidRPr="00BB5C63">
              <w:rPr>
                <w:rFonts w:ascii="Arial" w:hAnsi="Arial" w:cs="Arial"/>
              </w:rPr>
              <w:t>232.3</w:t>
            </w:r>
          </w:p>
        </w:tc>
      </w:tr>
      <w:tr w:rsidR="00016C24" w:rsidRPr="00982EF6" w14:paraId="4DD6BEC4" w14:textId="77777777" w:rsidTr="00500FD5">
        <w:trPr>
          <w:jc w:val="center"/>
        </w:trPr>
        <w:tc>
          <w:tcPr>
            <w:tcW w:w="0" w:type="auto"/>
          </w:tcPr>
          <w:p w14:paraId="47A183D6" w14:textId="77777777" w:rsidR="00016C24" w:rsidRPr="00BB5C63" w:rsidRDefault="00016C24" w:rsidP="00500FD5">
            <w:pPr>
              <w:spacing w:after="160"/>
              <w:jc w:val="right"/>
              <w:rPr>
                <w:rFonts w:ascii="Arial" w:hAnsi="Arial" w:cs="Arial"/>
                <w:b/>
              </w:rPr>
            </w:pPr>
            <w:r w:rsidRPr="00BB5C63">
              <w:rPr>
                <w:rFonts w:ascii="Arial" w:hAnsi="Arial" w:cs="Arial"/>
                <w:b/>
              </w:rPr>
              <w:t>139.4</w:t>
            </w:r>
          </w:p>
        </w:tc>
        <w:tc>
          <w:tcPr>
            <w:tcW w:w="0" w:type="auto"/>
          </w:tcPr>
          <w:p w14:paraId="1A4B7E8A" w14:textId="77777777" w:rsidR="00016C24" w:rsidRPr="00BB5C63" w:rsidRDefault="00016C24" w:rsidP="00500FD5">
            <w:pPr>
              <w:spacing w:after="160"/>
              <w:rPr>
                <w:rFonts w:ascii="Arial" w:hAnsi="Arial" w:cs="Arial"/>
                <w:b/>
              </w:rPr>
            </w:pPr>
            <w:r w:rsidRPr="00BB5C63">
              <w:rPr>
                <w:rFonts w:ascii="Arial" w:hAnsi="Arial" w:cs="Arial"/>
                <w:b/>
              </w:rPr>
              <w:t>Total</w:t>
            </w:r>
          </w:p>
        </w:tc>
        <w:tc>
          <w:tcPr>
            <w:tcW w:w="0" w:type="auto"/>
          </w:tcPr>
          <w:p w14:paraId="5D4226C8" w14:textId="77777777" w:rsidR="00016C24" w:rsidRPr="00BB5C63" w:rsidRDefault="00016C24" w:rsidP="00500FD5">
            <w:pPr>
              <w:spacing w:after="160"/>
              <w:jc w:val="right"/>
              <w:rPr>
                <w:rFonts w:ascii="Arial" w:hAnsi="Arial" w:cs="Arial"/>
                <w:b/>
              </w:rPr>
            </w:pPr>
            <w:r w:rsidRPr="00BB5C63">
              <w:rPr>
                <w:rFonts w:ascii="Arial" w:hAnsi="Arial" w:cs="Arial"/>
                <w:b/>
              </w:rPr>
              <w:t>245.7</w:t>
            </w:r>
          </w:p>
        </w:tc>
      </w:tr>
      <w:bookmarkEnd w:id="47"/>
    </w:tbl>
    <w:p w14:paraId="42614590" w14:textId="77777777" w:rsidR="00016C24" w:rsidRPr="00982EF6" w:rsidRDefault="00016C24" w:rsidP="00016C24">
      <w:pPr>
        <w:pStyle w:val="Normal0"/>
        <w:spacing w:after="160" w:line="240" w:lineRule="auto"/>
        <w:rPr>
          <w:rFonts w:ascii="Arial" w:hAnsi="Arial" w:cs="Arial"/>
          <w:sz w:val="24"/>
          <w:szCs w:val="24"/>
          <w:highlight w:val="green"/>
          <w:lang w:val="en-GB"/>
        </w:rPr>
      </w:pPr>
    </w:p>
    <w:p w14:paraId="28B66F6B" w14:textId="77777777" w:rsidR="00016C24" w:rsidRPr="00F005F9" w:rsidRDefault="00016C24" w:rsidP="00016C24">
      <w:pPr>
        <w:pStyle w:val="Normal0"/>
        <w:spacing w:after="160" w:line="240" w:lineRule="auto"/>
        <w:rPr>
          <w:rFonts w:ascii="Arial" w:hAnsi="Arial" w:cs="Arial"/>
          <w:sz w:val="24"/>
          <w:szCs w:val="24"/>
          <w:lang w:val="en-GB"/>
        </w:rPr>
      </w:pPr>
      <w:r w:rsidRPr="00F005F9">
        <w:rPr>
          <w:rFonts w:ascii="Arial" w:hAnsi="Arial" w:cs="Arial"/>
          <w:sz w:val="24"/>
          <w:szCs w:val="24"/>
          <w:lang w:val="en-GB"/>
        </w:rPr>
        <w:t>Total investments showed an increase in the year of £106.3m, mainly due to the advanced receipt of grants from central government.</w:t>
      </w:r>
    </w:p>
    <w:p w14:paraId="490BEE0C" w14:textId="77777777" w:rsidR="00E853C6" w:rsidRDefault="00E853C6">
      <w:pPr>
        <w:rPr>
          <w:rFonts w:ascii="Arial" w:hAnsi="Arial" w:cs="Arial"/>
          <w:b/>
          <w:bCs/>
          <w:sz w:val="26"/>
          <w:szCs w:val="26"/>
        </w:rPr>
      </w:pPr>
      <w:r>
        <w:br w:type="page"/>
      </w:r>
    </w:p>
    <w:p w14:paraId="79DD27FF" w14:textId="18B3E95A" w:rsidR="00016C24" w:rsidRPr="00921BD1" w:rsidRDefault="00016C24" w:rsidP="00016C24">
      <w:pPr>
        <w:pStyle w:val="Heading3"/>
        <w:spacing w:after="160"/>
      </w:pPr>
      <w:bookmarkStart w:id="48" w:name="_Toc109922594"/>
      <w:r w:rsidRPr="00921BD1">
        <w:lastRenderedPageBreak/>
        <w:t>Outlook for the future – financial landscape.</w:t>
      </w:r>
      <w:bookmarkEnd w:id="48"/>
    </w:p>
    <w:p w14:paraId="34545075" w14:textId="3CE356FF" w:rsidR="00016C24" w:rsidRDefault="00016C24" w:rsidP="00016C24">
      <w:pPr>
        <w:rPr>
          <w:rFonts w:ascii="Arial" w:hAnsi="Arial" w:cs="Arial"/>
        </w:rPr>
      </w:pPr>
      <w:r w:rsidRPr="0040174D">
        <w:rPr>
          <w:rFonts w:ascii="Arial" w:hAnsi="Arial" w:cs="Arial"/>
        </w:rPr>
        <w:t xml:space="preserve">The 2021 Spending Review provided </w:t>
      </w:r>
      <w:r>
        <w:rPr>
          <w:rFonts w:ascii="Arial" w:hAnsi="Arial" w:cs="Arial"/>
        </w:rPr>
        <w:t xml:space="preserve">covered the three-year period to 2024/25, however the government has only confirmed a </w:t>
      </w:r>
      <w:r w:rsidRPr="0040174D">
        <w:rPr>
          <w:rFonts w:ascii="Arial" w:hAnsi="Arial" w:cs="Arial"/>
        </w:rPr>
        <w:t xml:space="preserve">one-year settlement for </w:t>
      </w:r>
      <w:r>
        <w:rPr>
          <w:rFonts w:ascii="Arial" w:hAnsi="Arial" w:cs="Arial"/>
        </w:rPr>
        <w:t xml:space="preserve">Police and Crime Commissioners and </w:t>
      </w:r>
      <w:r w:rsidRPr="0040174D">
        <w:rPr>
          <w:rFonts w:ascii="Arial" w:hAnsi="Arial" w:cs="Arial"/>
        </w:rPr>
        <w:t>Fire and Rescue Service</w:t>
      </w:r>
      <w:r>
        <w:rPr>
          <w:rFonts w:ascii="Arial" w:hAnsi="Arial" w:cs="Arial"/>
        </w:rPr>
        <w:t>s</w:t>
      </w:r>
      <w:r w:rsidRPr="0040174D">
        <w:rPr>
          <w:rFonts w:ascii="Arial" w:hAnsi="Arial" w:cs="Arial"/>
        </w:rPr>
        <w:t xml:space="preserve"> in 2022/23. </w:t>
      </w:r>
      <w:r>
        <w:rPr>
          <w:rFonts w:ascii="Arial" w:hAnsi="Arial" w:cs="Arial"/>
        </w:rPr>
        <w:t xml:space="preserve">The budget approved in February 2022 for all areas of GMCA reflected the confirmed funding from government at that time and estimated funding for 2023/24 and 2024/25.  </w:t>
      </w:r>
    </w:p>
    <w:p w14:paraId="219F64DC" w14:textId="77777777" w:rsidR="00016C24" w:rsidRDefault="00016C24" w:rsidP="00016C24">
      <w:pPr>
        <w:rPr>
          <w:rFonts w:ascii="Arial" w:hAnsi="Arial" w:cs="Arial"/>
        </w:rPr>
      </w:pPr>
    </w:p>
    <w:p w14:paraId="7AED02EA" w14:textId="77777777" w:rsidR="00016C24" w:rsidRPr="0040174D" w:rsidRDefault="00016C24" w:rsidP="00016C24">
      <w:pPr>
        <w:rPr>
          <w:rFonts w:ascii="Arial" w:hAnsi="Arial" w:cs="Arial"/>
        </w:rPr>
      </w:pPr>
      <w:r w:rsidRPr="0040174D">
        <w:rPr>
          <w:rFonts w:ascii="Arial" w:hAnsi="Arial" w:cs="Arial"/>
        </w:rPr>
        <w:t xml:space="preserve">For 2022/23 the Mayor proposed a precept of £102.95 (Band D) which was an increase of £12 from 2021/22. This was to provide budget support to the Fire and Rescue Service which would receive £7.20 of the precept and other Mayoral General Functions which would receive £31.75. </w:t>
      </w:r>
    </w:p>
    <w:p w14:paraId="7195D7A5" w14:textId="77777777" w:rsidR="00016C24" w:rsidRPr="004E0B77" w:rsidRDefault="00016C24" w:rsidP="00016C24">
      <w:pPr>
        <w:pStyle w:val="2AGMAHeading2"/>
        <w:numPr>
          <w:ilvl w:val="0"/>
          <w:numId w:val="0"/>
        </w:numPr>
        <w:jc w:val="left"/>
      </w:pPr>
      <w:r w:rsidRPr="004E0B77">
        <w:t xml:space="preserve">Highways and Transport, Economic Development and Regeneration and Waste Disposal Services are all funded through a mixture of Levies and Contributions from the GM Authorities alongside specific grant funding from Government Departments. </w:t>
      </w:r>
    </w:p>
    <w:p w14:paraId="1C7ED2E6" w14:textId="14C4DC76" w:rsidR="00016C24" w:rsidRPr="004E0B77" w:rsidRDefault="00016C24" w:rsidP="00016C24">
      <w:pPr>
        <w:pStyle w:val="2AGMAHeading2"/>
        <w:numPr>
          <w:ilvl w:val="0"/>
          <w:numId w:val="0"/>
        </w:numPr>
        <w:jc w:val="left"/>
      </w:pPr>
      <w:r w:rsidRPr="004E0B77">
        <w:t xml:space="preserve">For 2022/23 the Transport Levy has been set at £105.8m and the Statutory Charge </w:t>
      </w:r>
      <w:r w:rsidR="00BE70A8">
        <w:t xml:space="preserve">has </w:t>
      </w:r>
      <w:r w:rsidRPr="004E0B77">
        <w:t>be</w:t>
      </w:r>
      <w:r w:rsidR="00BE70A8">
        <w:t>en</w:t>
      </w:r>
      <w:r w:rsidRPr="004E0B77">
        <w:t xml:space="preserve"> set at £86.7m, a total of £192.5m which is unchanged from 2021/22. </w:t>
      </w:r>
      <w:r w:rsidRPr="004E0B77">
        <w:rPr>
          <w:lang w:val="en-US"/>
        </w:rPr>
        <w:t>The Transport Levy and Statutory Charge is distributed across the Districts based on mid-year 2020 population.</w:t>
      </w:r>
    </w:p>
    <w:p w14:paraId="486D8211" w14:textId="788D5AE9" w:rsidR="00016C24" w:rsidRDefault="00016C24" w:rsidP="00016C24">
      <w:pPr>
        <w:rPr>
          <w:rFonts w:ascii="Arial" w:hAnsi="Arial" w:cs="Arial"/>
        </w:rPr>
      </w:pPr>
      <w:r>
        <w:rPr>
          <w:rFonts w:ascii="Arial" w:hAnsi="Arial" w:cs="Arial"/>
        </w:rPr>
        <w:t xml:space="preserve">Since the budget was approved further capital and revenue funding for key programmes of work including the City Region Sustainable Transport Settlement (CRSTS), Bus Services Improvement Programme (BSIP), UK Shared Prosperity Fund (UKSPF). The medium term financial plan including the capital programme for 2022-2025 will be updated and reported to GMCA for approval to reflect these changes during 2022/23 financial year.  </w:t>
      </w:r>
    </w:p>
    <w:p w14:paraId="2C23AF14" w14:textId="77777777" w:rsidR="00016C24" w:rsidRDefault="00016C24" w:rsidP="00016C24">
      <w:pPr>
        <w:rPr>
          <w:rFonts w:ascii="Arial" w:hAnsi="Arial" w:cs="Arial"/>
        </w:rPr>
      </w:pPr>
    </w:p>
    <w:p w14:paraId="70005121" w14:textId="6223342F" w:rsidR="00016C24" w:rsidRPr="004E0B77" w:rsidRDefault="00016C24" w:rsidP="00016C24">
      <w:pPr>
        <w:rPr>
          <w:rFonts w:ascii="Arial" w:hAnsi="Arial" w:cs="Arial"/>
        </w:rPr>
      </w:pPr>
      <w:r w:rsidRPr="004E0B77">
        <w:rPr>
          <w:rFonts w:ascii="Arial" w:hAnsi="Arial" w:cs="Arial"/>
        </w:rPr>
        <w:t>The Business Rates 100% retention pilot was extended for a further year into 2022/23. Greater Manchester will strongly support the retention of the 100% pilot beyond 2022/23. Continuation of the 100% pilot would enable G</w:t>
      </w:r>
      <w:r>
        <w:rPr>
          <w:rFonts w:ascii="Arial" w:hAnsi="Arial" w:cs="Arial"/>
        </w:rPr>
        <w:t>reater Manchester</w:t>
      </w:r>
      <w:r w:rsidRPr="004E0B77">
        <w:rPr>
          <w:rFonts w:ascii="Arial" w:hAnsi="Arial" w:cs="Arial"/>
        </w:rPr>
        <w:t xml:space="preserve"> to maintain a source of income to cover its investment priorities to promote growth in the GM economic area. </w:t>
      </w:r>
    </w:p>
    <w:p w14:paraId="57354809" w14:textId="77777777" w:rsidR="00016C24" w:rsidRPr="001C6644" w:rsidRDefault="00016C24" w:rsidP="00016C24">
      <w:pPr>
        <w:rPr>
          <w:rFonts w:ascii="Arial" w:hAnsi="Arial" w:cs="Arial"/>
        </w:rPr>
      </w:pPr>
    </w:p>
    <w:p w14:paraId="32197496" w14:textId="7B95E289" w:rsidR="00016C24" w:rsidRDefault="00016C24" w:rsidP="00016C24">
      <w:pPr>
        <w:pStyle w:val="Normal0"/>
        <w:spacing w:after="160" w:line="240" w:lineRule="auto"/>
        <w:rPr>
          <w:rFonts w:ascii="Arial" w:hAnsi="Arial" w:cs="Arial"/>
          <w:sz w:val="24"/>
          <w:szCs w:val="24"/>
          <w:lang w:val="en-GB"/>
        </w:rPr>
      </w:pPr>
      <w:r w:rsidRPr="001C6644">
        <w:rPr>
          <w:rFonts w:ascii="Arial" w:hAnsi="Arial" w:cs="Arial"/>
          <w:sz w:val="24"/>
          <w:szCs w:val="24"/>
          <w:lang w:val="en-GB"/>
        </w:rPr>
        <w:t xml:space="preserve">The 10 GM Authorities continue to face uncertain financial prospects as the country emerges from the COVID-19 pandemic, with continuing pressure </w:t>
      </w:r>
      <w:r>
        <w:rPr>
          <w:rFonts w:ascii="Arial" w:hAnsi="Arial" w:cs="Arial"/>
          <w:sz w:val="24"/>
          <w:szCs w:val="24"/>
          <w:lang w:val="en-GB"/>
        </w:rPr>
        <w:t xml:space="preserve">on </w:t>
      </w:r>
      <w:r w:rsidRPr="001C6644">
        <w:rPr>
          <w:rFonts w:ascii="Arial" w:hAnsi="Arial" w:cs="Arial"/>
          <w:sz w:val="24"/>
          <w:szCs w:val="24"/>
          <w:lang w:val="en-GB"/>
        </w:rPr>
        <w:t>budgets from social care services and more recently the impact of inflationary increases and the long awaited Fair Funding Review.  This will continue to impact on and influence the levels of Contributions and Waste and Transport Levies which are funded from the 10 GM Authorities’ General Fund Budgets.</w:t>
      </w:r>
    </w:p>
    <w:p w14:paraId="159A66E0" w14:textId="269333EF" w:rsidR="00016C24" w:rsidRDefault="00016C24" w:rsidP="00016C24">
      <w:pPr>
        <w:rPr>
          <w:rFonts w:ascii="Arial" w:hAnsi="Arial" w:cs="Arial"/>
        </w:rPr>
      </w:pPr>
      <w:r w:rsidRPr="003E05DA">
        <w:rPr>
          <w:rFonts w:ascii="Arial" w:hAnsi="Arial" w:cs="Arial"/>
        </w:rPr>
        <w:t>There is a</w:t>
      </w:r>
      <w:r>
        <w:rPr>
          <w:rFonts w:ascii="Arial" w:hAnsi="Arial" w:cs="Arial"/>
        </w:rPr>
        <w:t>n inherent</w:t>
      </w:r>
      <w:r w:rsidRPr="003E05DA">
        <w:rPr>
          <w:rFonts w:ascii="Arial" w:hAnsi="Arial" w:cs="Arial"/>
        </w:rPr>
        <w:t xml:space="preserve"> </w:t>
      </w:r>
      <w:r>
        <w:rPr>
          <w:rFonts w:ascii="Arial" w:hAnsi="Arial" w:cs="Arial"/>
        </w:rPr>
        <w:t xml:space="preserve">financial </w:t>
      </w:r>
      <w:r w:rsidRPr="003E05DA">
        <w:rPr>
          <w:rFonts w:ascii="Arial" w:hAnsi="Arial" w:cs="Arial"/>
        </w:rPr>
        <w:t>risk</w:t>
      </w:r>
      <w:r>
        <w:rPr>
          <w:rFonts w:ascii="Arial" w:hAnsi="Arial" w:cs="Arial"/>
        </w:rPr>
        <w:t xml:space="preserve"> across all areas of </w:t>
      </w:r>
      <w:r w:rsidR="00BE70A8">
        <w:rPr>
          <w:rFonts w:ascii="Arial" w:hAnsi="Arial" w:cs="Arial"/>
        </w:rPr>
        <w:t xml:space="preserve">the </w:t>
      </w:r>
      <w:r>
        <w:rPr>
          <w:rFonts w:ascii="Arial" w:hAnsi="Arial" w:cs="Arial"/>
        </w:rPr>
        <w:t>GMCA</w:t>
      </w:r>
      <w:r w:rsidRPr="003E05DA">
        <w:rPr>
          <w:rFonts w:ascii="Arial" w:hAnsi="Arial" w:cs="Arial"/>
        </w:rPr>
        <w:t xml:space="preserve"> </w:t>
      </w:r>
      <w:r>
        <w:rPr>
          <w:rFonts w:ascii="Arial" w:hAnsi="Arial" w:cs="Arial"/>
        </w:rPr>
        <w:t xml:space="preserve">with </w:t>
      </w:r>
      <w:r w:rsidRPr="003E05DA">
        <w:rPr>
          <w:rFonts w:ascii="Arial" w:hAnsi="Arial" w:cs="Arial"/>
        </w:rPr>
        <w:t>inflation as a consequence of the challenging global economic environment</w:t>
      </w:r>
      <w:r>
        <w:rPr>
          <w:rFonts w:ascii="Arial" w:hAnsi="Arial" w:cs="Arial"/>
        </w:rPr>
        <w:t>, the ‘cost of living crisis’ and pandemic recovery impacting particularly on transport revenues</w:t>
      </w:r>
      <w:r w:rsidRPr="003E05DA">
        <w:rPr>
          <w:rFonts w:ascii="Arial" w:hAnsi="Arial" w:cs="Arial"/>
        </w:rPr>
        <w:t xml:space="preserve">.  </w:t>
      </w:r>
      <w:r>
        <w:rPr>
          <w:rFonts w:ascii="Arial" w:hAnsi="Arial" w:cs="Arial"/>
        </w:rPr>
        <w:t xml:space="preserve">The outcome of pay negotiations is difficult to predict and the availability of government funding to meet pressures is not confirmed.  </w:t>
      </w:r>
    </w:p>
    <w:p w14:paraId="56A5F327" w14:textId="77777777" w:rsidR="00016C24" w:rsidRPr="001C6644" w:rsidRDefault="00016C24" w:rsidP="00016C24">
      <w:pPr>
        <w:rPr>
          <w:rFonts w:ascii="Arial" w:hAnsi="Arial" w:cs="Arial"/>
        </w:rPr>
      </w:pPr>
    </w:p>
    <w:p w14:paraId="5F6964AF" w14:textId="77777777" w:rsidR="00016C24" w:rsidRPr="00363998" w:rsidRDefault="00016C24" w:rsidP="00016C24">
      <w:pPr>
        <w:pStyle w:val="Heading6"/>
        <w:spacing w:after="160"/>
        <w:rPr>
          <w:rFonts w:cs="Arial"/>
        </w:rPr>
      </w:pPr>
      <w:r w:rsidRPr="00363998">
        <w:rPr>
          <w:rFonts w:cs="Arial"/>
        </w:rPr>
        <w:lastRenderedPageBreak/>
        <w:t>Mayor’s Police and Crime Services</w:t>
      </w:r>
    </w:p>
    <w:p w14:paraId="69486816" w14:textId="77777777" w:rsidR="00016C24" w:rsidRPr="00363998" w:rsidRDefault="00016C24" w:rsidP="00016C24">
      <w:pPr>
        <w:rPr>
          <w:rFonts w:ascii="Arial" w:hAnsi="Arial" w:cs="Arial"/>
          <w:lang w:val="en" w:eastAsia="en-GB"/>
        </w:rPr>
      </w:pPr>
      <w:r w:rsidRPr="00363998">
        <w:rPr>
          <w:rFonts w:ascii="Arial" w:hAnsi="Arial" w:cs="Arial"/>
          <w:lang w:val="en" w:eastAsia="en-GB"/>
        </w:rPr>
        <w:t xml:space="preserve">Funding for police is sourced 75% from a central Government grant and 25% from the policing precept. Revenue funding for 2022/23 is budgeted at £718.5m, which is an overall increase of £44.1m compared to 2021/22. </w:t>
      </w:r>
    </w:p>
    <w:p w14:paraId="19CDFE05" w14:textId="77777777" w:rsidR="00016C24" w:rsidRPr="00363998" w:rsidRDefault="00016C24" w:rsidP="00016C24">
      <w:pPr>
        <w:rPr>
          <w:rFonts w:ascii="Arial" w:hAnsi="Arial" w:cs="Arial"/>
          <w:lang w:val="en" w:eastAsia="en-GB"/>
        </w:rPr>
      </w:pPr>
    </w:p>
    <w:p w14:paraId="0E96BA1F" w14:textId="77777777" w:rsidR="00016C24" w:rsidRDefault="00016C24" w:rsidP="00016C24">
      <w:pPr>
        <w:rPr>
          <w:rFonts w:ascii="Arial" w:hAnsi="Arial" w:cs="Arial"/>
        </w:rPr>
      </w:pPr>
      <w:r w:rsidRPr="00363998">
        <w:rPr>
          <w:rFonts w:ascii="Arial" w:hAnsi="Arial" w:cs="Arial"/>
          <w:lang w:val="en" w:eastAsia="en-GB"/>
        </w:rPr>
        <w:t xml:space="preserve">For 2021/22 the Government grant for police included an additional £29.9m for Greater Manchester Police. </w:t>
      </w:r>
      <w:r w:rsidRPr="00363998">
        <w:rPr>
          <w:rFonts w:ascii="Arial" w:hAnsi="Arial" w:cs="Arial"/>
        </w:rPr>
        <w:t xml:space="preserve">This includes the final year of the police uplift funding relating to the recruitment of the third tranche of the 20,000 new officers nationwide. </w:t>
      </w:r>
    </w:p>
    <w:p w14:paraId="476EE27F" w14:textId="77777777" w:rsidR="00016C24" w:rsidRDefault="00016C24" w:rsidP="00016C24">
      <w:pPr>
        <w:rPr>
          <w:rFonts w:ascii="Arial" w:hAnsi="Arial" w:cs="Arial"/>
        </w:rPr>
      </w:pPr>
    </w:p>
    <w:p w14:paraId="03F3F490" w14:textId="4065E683" w:rsidR="00016C24" w:rsidRPr="00327AC3" w:rsidRDefault="00016C24" w:rsidP="00016C24">
      <w:pPr>
        <w:rPr>
          <w:rFonts w:ascii="Arial" w:hAnsi="Arial" w:cs="Arial"/>
        </w:rPr>
      </w:pPr>
      <w:r w:rsidRPr="00327AC3">
        <w:rPr>
          <w:rFonts w:ascii="Arial" w:hAnsi="Arial" w:cs="Arial"/>
        </w:rPr>
        <w:t>As part of the overall funding for policing in 2022/23, the Government gave PCCs the ability to raise the police element of council tax (the precept) by up to £10 a year for an average Band D property which was approved by the Police, Fire and Crime Panel in January 2022.  With this increase the Greater Manchester police and crime precept  remain</w:t>
      </w:r>
      <w:r>
        <w:rPr>
          <w:rFonts w:ascii="Arial" w:hAnsi="Arial" w:cs="Arial"/>
        </w:rPr>
        <w:t>s</w:t>
      </w:r>
      <w:r w:rsidRPr="00327AC3">
        <w:rPr>
          <w:rFonts w:ascii="Arial" w:hAnsi="Arial" w:cs="Arial"/>
        </w:rPr>
        <w:t xml:space="preserve"> one of the 10 lowest out of the 42 police and crime areas of England. However Greater Manchester is more dependent than other areas on changes to Government grant funding due to the lower council tax base in the region. </w:t>
      </w:r>
    </w:p>
    <w:p w14:paraId="40F9E44C" w14:textId="77777777" w:rsidR="00016C24" w:rsidRDefault="00016C24" w:rsidP="00016C24">
      <w:pPr>
        <w:rPr>
          <w:rFonts w:ascii="Arial" w:hAnsi="Arial" w:cs="Arial"/>
        </w:rPr>
      </w:pPr>
    </w:p>
    <w:p w14:paraId="4DB802FD" w14:textId="77777777" w:rsidR="00016C24" w:rsidRPr="003E05DA" w:rsidRDefault="00016C24" w:rsidP="00016C24">
      <w:pPr>
        <w:rPr>
          <w:rFonts w:ascii="Arial" w:hAnsi="Arial" w:cs="Arial"/>
        </w:rPr>
      </w:pPr>
      <w:r w:rsidRPr="003E05DA">
        <w:rPr>
          <w:rFonts w:ascii="Arial" w:hAnsi="Arial" w:cs="Arial"/>
        </w:rPr>
        <w:t>The revenue budget for 2022/23 sets out the resources which are available to fund Mayoral PCC functions and GMP to resource policing services with a focus on addressing the concerns raised by HMICFRS in their inspection of GMP in December 2020. Implementation of GMP’s improvement plan as set out in the ‘Plan on a Page’ (POAP) includes significant change and a commitment to fulfil promises made to the public to deliver an effective police service. Th</w:t>
      </w:r>
      <w:r>
        <w:rPr>
          <w:rFonts w:ascii="Arial" w:hAnsi="Arial" w:cs="Arial"/>
        </w:rPr>
        <w:t>is</w:t>
      </w:r>
      <w:r w:rsidRPr="003E05DA">
        <w:rPr>
          <w:rFonts w:ascii="Arial" w:hAnsi="Arial" w:cs="Arial"/>
        </w:rPr>
        <w:t xml:space="preserve"> is supported by a medium</w:t>
      </w:r>
      <w:r>
        <w:rPr>
          <w:rFonts w:ascii="Arial" w:hAnsi="Arial" w:cs="Arial"/>
        </w:rPr>
        <w:t>-</w:t>
      </w:r>
      <w:r w:rsidRPr="003E05DA">
        <w:rPr>
          <w:rFonts w:ascii="Arial" w:hAnsi="Arial" w:cs="Arial"/>
        </w:rPr>
        <w:t>term financial plan incorporating use of non-recurrent resources and efficiency savings from within existing budgets</w:t>
      </w:r>
      <w:r>
        <w:rPr>
          <w:rFonts w:ascii="Arial" w:hAnsi="Arial" w:cs="Arial"/>
        </w:rPr>
        <w:t>.</w:t>
      </w:r>
    </w:p>
    <w:p w14:paraId="27577369" w14:textId="77777777" w:rsidR="00016C24" w:rsidRPr="003E05DA" w:rsidRDefault="00016C24" w:rsidP="00016C24">
      <w:pPr>
        <w:rPr>
          <w:rFonts w:ascii="Arial" w:hAnsi="Arial" w:cs="Arial"/>
        </w:rPr>
      </w:pPr>
    </w:p>
    <w:p w14:paraId="60F35244" w14:textId="326DC414" w:rsidR="00016C24" w:rsidRPr="003E05DA" w:rsidRDefault="00016C24" w:rsidP="00016C24">
      <w:pPr>
        <w:rPr>
          <w:rFonts w:ascii="Arial" w:hAnsi="Arial" w:cs="Arial"/>
        </w:rPr>
      </w:pPr>
      <w:r w:rsidRPr="003E05DA">
        <w:rPr>
          <w:rFonts w:ascii="Arial" w:hAnsi="Arial" w:cs="Arial"/>
        </w:rPr>
        <w:t>Overall Police funding is dependent on Government grant and the PCC precept. There is an assumption of a £10 precept for each of the three years 2022/23, 2023/24 and 2024/25</w:t>
      </w:r>
      <w:r w:rsidR="00032DA3">
        <w:rPr>
          <w:rFonts w:ascii="Arial" w:hAnsi="Arial" w:cs="Arial"/>
        </w:rPr>
        <w:t xml:space="preserve">, </w:t>
      </w:r>
      <w:r w:rsidRPr="003E05DA">
        <w:rPr>
          <w:rFonts w:ascii="Arial" w:hAnsi="Arial" w:cs="Arial"/>
        </w:rPr>
        <w:t xml:space="preserve">however this is subject to local consultation and decision in January each year. There is a risk that police cost pressures will exceed available funding if the maximum £10 precept increase is not agreed upon locally. </w:t>
      </w:r>
    </w:p>
    <w:p w14:paraId="5793B087" w14:textId="4BE1081C" w:rsidR="00AD2D07" w:rsidRPr="00CA3482" w:rsidRDefault="00AD2D07" w:rsidP="0038082E">
      <w:pPr>
        <w:pStyle w:val="Heading3"/>
      </w:pPr>
      <w:bookmarkStart w:id="49" w:name="_Toc109922595"/>
      <w:r w:rsidRPr="00CA3482">
        <w:t>What is in the Statements of Accounts?</w:t>
      </w:r>
      <w:bookmarkEnd w:id="11"/>
      <w:bookmarkEnd w:id="12"/>
      <w:bookmarkEnd w:id="49"/>
    </w:p>
    <w:p w14:paraId="57E81584" w14:textId="77777777" w:rsidR="00AD2D07" w:rsidRPr="0007572B" w:rsidRDefault="00AD2D07" w:rsidP="0038082E">
      <w:pPr>
        <w:pStyle w:val="Normal0"/>
        <w:spacing w:afterLines="160" w:after="384" w:line="240" w:lineRule="auto"/>
        <w:rPr>
          <w:rFonts w:ascii="Arial" w:hAnsi="Arial" w:cs="Arial"/>
          <w:sz w:val="24"/>
          <w:szCs w:val="24"/>
          <w:lang w:val="en-GB"/>
        </w:rPr>
      </w:pPr>
      <w:r w:rsidRPr="0007572B">
        <w:rPr>
          <w:rFonts w:ascii="Arial" w:hAnsi="Arial" w:cs="Arial"/>
          <w:sz w:val="24"/>
          <w:szCs w:val="24"/>
          <w:lang w:val="en-GB"/>
        </w:rPr>
        <w:t>The Accounts are prepared using International Financial Reporting Standards (IFRS). These are the same standards that a large company would use in preparing its financial statements. The following paragraphs give a brief explanation of the purpose and relationship between each of the main statements, which make up the Authority’s Annual Statement of Accounts.</w:t>
      </w:r>
    </w:p>
    <w:p w14:paraId="7D8E470F" w14:textId="77777777" w:rsidR="00AD2D07" w:rsidRPr="0007572B" w:rsidRDefault="00AD2D07" w:rsidP="0038082E">
      <w:pPr>
        <w:pStyle w:val="Heading4bold"/>
      </w:pPr>
      <w:r w:rsidRPr="0007572B">
        <w:t>Statement of Responsibilities for the Statement of Accounts</w:t>
      </w:r>
    </w:p>
    <w:p w14:paraId="5649100C" w14:textId="77777777" w:rsidR="00AD2D07" w:rsidRPr="0007572B" w:rsidRDefault="00AD2D07" w:rsidP="0038082E">
      <w:pPr>
        <w:pStyle w:val="Normal0"/>
        <w:spacing w:afterLines="160" w:after="384" w:line="240" w:lineRule="auto"/>
        <w:rPr>
          <w:rFonts w:ascii="Arial" w:hAnsi="Arial" w:cs="Arial"/>
          <w:sz w:val="24"/>
          <w:szCs w:val="24"/>
          <w:lang w:val="en-GB"/>
        </w:rPr>
      </w:pPr>
      <w:r w:rsidRPr="0007572B">
        <w:rPr>
          <w:rFonts w:ascii="Arial" w:hAnsi="Arial" w:cs="Arial"/>
          <w:sz w:val="24"/>
          <w:szCs w:val="24"/>
          <w:lang w:val="en-GB"/>
        </w:rPr>
        <w:t>The statement confirms the responsibilities of the Authority and the Treasurer for the production and content of the Annual Statement of Accounts</w:t>
      </w:r>
    </w:p>
    <w:p w14:paraId="4BF9711A" w14:textId="77777777" w:rsidR="00AD2D07" w:rsidRPr="0007572B" w:rsidRDefault="00AD2D07" w:rsidP="0038082E">
      <w:pPr>
        <w:pStyle w:val="Heading4bold"/>
      </w:pPr>
      <w:r w:rsidRPr="0007572B">
        <w:t>Movement in Reserves Statement (MIRS)</w:t>
      </w:r>
    </w:p>
    <w:p w14:paraId="3B74DCFE" w14:textId="77777777" w:rsidR="00AD2D07" w:rsidRPr="0007572B" w:rsidRDefault="00AD2D07" w:rsidP="0038082E">
      <w:pPr>
        <w:pStyle w:val="Normal0"/>
        <w:spacing w:afterLines="160" w:after="384" w:line="240" w:lineRule="auto"/>
        <w:rPr>
          <w:rFonts w:ascii="Arial" w:hAnsi="Arial" w:cs="Arial"/>
          <w:sz w:val="24"/>
          <w:szCs w:val="24"/>
          <w:lang w:val="en-GB"/>
        </w:rPr>
      </w:pPr>
      <w:r w:rsidRPr="0007572B">
        <w:rPr>
          <w:rFonts w:ascii="Arial" w:hAnsi="Arial" w:cs="Arial"/>
          <w:sz w:val="24"/>
          <w:szCs w:val="24"/>
          <w:lang w:val="en-GB"/>
        </w:rPr>
        <w:t xml:space="preserve">This statement shows the movement in the year on the different reserves. It shows how the deficit for the year in the Comprehensive Income and Expenditure statement is adjusted by the costs that are not a charge to local taxpayers. </w:t>
      </w:r>
    </w:p>
    <w:p w14:paraId="0D4EE15B" w14:textId="77777777" w:rsidR="00AD2D07" w:rsidRPr="0007572B" w:rsidRDefault="00AD2D07" w:rsidP="0038082E">
      <w:pPr>
        <w:pStyle w:val="Heading4bold"/>
      </w:pPr>
      <w:r w:rsidRPr="0007572B">
        <w:lastRenderedPageBreak/>
        <w:t>Comprehensive Income and Expenditure Statement (CIES)</w:t>
      </w:r>
    </w:p>
    <w:p w14:paraId="262814CF" w14:textId="77777777" w:rsidR="00AD2D07" w:rsidRPr="0007572B" w:rsidRDefault="00AD2D07" w:rsidP="0038082E">
      <w:pPr>
        <w:pStyle w:val="Normal0"/>
        <w:spacing w:afterLines="160" w:after="384" w:line="240" w:lineRule="auto"/>
        <w:rPr>
          <w:rFonts w:ascii="Arial" w:hAnsi="Arial" w:cs="Arial"/>
          <w:sz w:val="24"/>
          <w:szCs w:val="24"/>
          <w:lang w:val="en-GB"/>
        </w:rPr>
      </w:pPr>
      <w:r w:rsidRPr="0007572B">
        <w:rPr>
          <w:rFonts w:ascii="Arial" w:hAnsi="Arial" w:cs="Arial"/>
          <w:sz w:val="24"/>
          <w:szCs w:val="24"/>
          <w:lang w:val="en-GB"/>
        </w:rPr>
        <w:t xml:space="preserve">This statement shows the accounting cost in the year of providing services in accordance with International Financial Reporting Standards (IFRS), rather than the amount to be funded by local taxpayers. </w:t>
      </w:r>
    </w:p>
    <w:p w14:paraId="6AB31E3E" w14:textId="77777777" w:rsidR="00AD2D07" w:rsidRPr="0007572B" w:rsidRDefault="00AD2D07" w:rsidP="0038082E">
      <w:pPr>
        <w:pStyle w:val="Heading4bold"/>
      </w:pPr>
      <w:r w:rsidRPr="0007572B">
        <w:t>Balance Sheet (BS)</w:t>
      </w:r>
    </w:p>
    <w:p w14:paraId="749C1094" w14:textId="77777777" w:rsidR="00AD2D07" w:rsidRPr="0007572B" w:rsidRDefault="00AD2D07" w:rsidP="0038082E">
      <w:pPr>
        <w:pStyle w:val="Normal0"/>
        <w:spacing w:afterLines="160" w:after="384" w:line="240" w:lineRule="auto"/>
        <w:rPr>
          <w:rFonts w:ascii="Arial" w:hAnsi="Arial" w:cs="Arial"/>
          <w:sz w:val="24"/>
          <w:szCs w:val="24"/>
          <w:lang w:val="en-GB"/>
        </w:rPr>
      </w:pPr>
      <w:r w:rsidRPr="0007572B">
        <w:rPr>
          <w:rFonts w:ascii="Arial" w:hAnsi="Arial" w:cs="Arial"/>
          <w:sz w:val="24"/>
          <w:szCs w:val="24"/>
          <w:lang w:val="en-GB"/>
        </w:rPr>
        <w:t>The balance sheet shows the value as at the balance sheet date of the Authority’s recognised assets and liabilities.</w:t>
      </w:r>
    </w:p>
    <w:p w14:paraId="2234F8BA" w14:textId="77777777" w:rsidR="00AD2D07" w:rsidRPr="0007572B" w:rsidRDefault="00AD2D07" w:rsidP="0038082E">
      <w:pPr>
        <w:pStyle w:val="Heading4bold"/>
      </w:pPr>
      <w:r w:rsidRPr="0007572B">
        <w:t>Cash Flow Statement</w:t>
      </w:r>
    </w:p>
    <w:p w14:paraId="6536ADE4" w14:textId="77777777" w:rsidR="00AD2D07" w:rsidRPr="0007572B" w:rsidRDefault="00AD2D07" w:rsidP="0038082E">
      <w:pPr>
        <w:pStyle w:val="Normal0"/>
        <w:spacing w:afterLines="160" w:after="384" w:line="240" w:lineRule="auto"/>
        <w:rPr>
          <w:rFonts w:ascii="Arial" w:hAnsi="Arial" w:cs="Arial"/>
          <w:sz w:val="24"/>
          <w:szCs w:val="24"/>
          <w:lang w:val="en-GB"/>
        </w:rPr>
      </w:pPr>
      <w:r w:rsidRPr="0007572B">
        <w:rPr>
          <w:rFonts w:ascii="Arial" w:hAnsi="Arial" w:cs="Arial"/>
          <w:sz w:val="24"/>
          <w:szCs w:val="24"/>
          <w:lang w:val="en-GB"/>
        </w:rPr>
        <w:t xml:space="preserve">This statement shows the changes in cash and cash equivalents held by the Authority during the reporting period. </w:t>
      </w:r>
    </w:p>
    <w:p w14:paraId="7DB9F81D" w14:textId="77777777" w:rsidR="00AD2D07" w:rsidRPr="0007572B" w:rsidRDefault="00AD2D07" w:rsidP="0038082E">
      <w:pPr>
        <w:pStyle w:val="Heading4bold"/>
      </w:pPr>
      <w:r w:rsidRPr="0007572B">
        <w:t>Expenditure and Funding Analysis</w:t>
      </w:r>
    </w:p>
    <w:p w14:paraId="62706D24" w14:textId="77777777" w:rsidR="00AD2D07" w:rsidRPr="0007572B" w:rsidRDefault="00AD2D07" w:rsidP="0038082E">
      <w:pPr>
        <w:pStyle w:val="Normal0"/>
        <w:spacing w:afterLines="160" w:after="384" w:line="240" w:lineRule="auto"/>
        <w:rPr>
          <w:rFonts w:ascii="Arial" w:hAnsi="Arial" w:cs="Arial"/>
          <w:sz w:val="24"/>
          <w:szCs w:val="24"/>
          <w:lang w:val="en-GB"/>
        </w:rPr>
      </w:pPr>
      <w:r w:rsidRPr="0007572B">
        <w:rPr>
          <w:rFonts w:ascii="Arial" w:hAnsi="Arial" w:cs="Arial"/>
          <w:sz w:val="24"/>
          <w:szCs w:val="24"/>
          <w:lang w:val="en-GB"/>
        </w:rPr>
        <w:t>This analysis shows how annual expenditure is used and funded from resources (government grants, precept and levy) by the Authority in comparison with those resources consumed or earned in accordance with generally accepted accounting practices.</w:t>
      </w:r>
    </w:p>
    <w:p w14:paraId="0E17DA9E" w14:textId="77777777" w:rsidR="00AD2D07" w:rsidRPr="0007572B" w:rsidRDefault="00AD2D07" w:rsidP="0038082E">
      <w:pPr>
        <w:pStyle w:val="Heading4bold"/>
      </w:pPr>
      <w:r w:rsidRPr="0007572B">
        <w:t>Accounting Policies and Concepts</w:t>
      </w:r>
    </w:p>
    <w:p w14:paraId="442A9F63" w14:textId="77777777" w:rsidR="00AD2D07" w:rsidRPr="0007572B" w:rsidRDefault="00AD2D07" w:rsidP="0038082E">
      <w:pPr>
        <w:pStyle w:val="Normal0"/>
        <w:spacing w:afterLines="160" w:after="384" w:line="240" w:lineRule="auto"/>
        <w:rPr>
          <w:rFonts w:ascii="Arial" w:hAnsi="Arial" w:cs="Arial"/>
          <w:sz w:val="24"/>
          <w:szCs w:val="24"/>
          <w:lang w:val="en-GB"/>
        </w:rPr>
      </w:pPr>
      <w:r w:rsidRPr="0007572B">
        <w:rPr>
          <w:rFonts w:ascii="Arial" w:hAnsi="Arial" w:cs="Arial"/>
          <w:sz w:val="24"/>
          <w:szCs w:val="24"/>
          <w:lang w:val="en-GB"/>
        </w:rPr>
        <w:t xml:space="preserve">These are the specific principles, bases, conventions, rules and practices applied by the Authority in preparing and presenting the financial statements. </w:t>
      </w:r>
    </w:p>
    <w:p w14:paraId="32317773" w14:textId="77777777" w:rsidR="00AD2D07" w:rsidRPr="0007572B" w:rsidRDefault="00AD2D07" w:rsidP="0038082E">
      <w:pPr>
        <w:pStyle w:val="Heading4bold"/>
      </w:pPr>
      <w:r w:rsidRPr="0007572B">
        <w:t>Notes to the Financial Statements</w:t>
      </w:r>
    </w:p>
    <w:p w14:paraId="2EC0527E" w14:textId="77777777" w:rsidR="00AD2D07" w:rsidRPr="0007572B" w:rsidRDefault="00AD2D07" w:rsidP="0038082E">
      <w:pPr>
        <w:pStyle w:val="Normal0"/>
        <w:spacing w:afterLines="160" w:after="384" w:line="240" w:lineRule="auto"/>
        <w:rPr>
          <w:rFonts w:ascii="Arial" w:hAnsi="Arial" w:cs="Arial"/>
          <w:sz w:val="24"/>
          <w:szCs w:val="24"/>
          <w:lang w:val="en-GB"/>
        </w:rPr>
      </w:pPr>
      <w:r w:rsidRPr="0007572B">
        <w:rPr>
          <w:rFonts w:ascii="Arial" w:hAnsi="Arial" w:cs="Arial"/>
          <w:sz w:val="24"/>
          <w:szCs w:val="24"/>
          <w:lang w:val="en-GB"/>
        </w:rPr>
        <w:t>These include information required by the Code and additional material items of interest to assist the readers understanding of the reported figures.</w:t>
      </w:r>
    </w:p>
    <w:p w14:paraId="23296BD7" w14:textId="77777777" w:rsidR="00AD2D07" w:rsidRPr="0007572B" w:rsidRDefault="00AD2D07" w:rsidP="0038082E">
      <w:pPr>
        <w:pStyle w:val="Heading4bold"/>
      </w:pPr>
      <w:r w:rsidRPr="0007572B">
        <w:t>Events after the reporting period and authorised for issue date</w:t>
      </w:r>
    </w:p>
    <w:p w14:paraId="071AD633" w14:textId="77777777" w:rsidR="00AD2D07" w:rsidRPr="0007572B" w:rsidRDefault="00AD2D07" w:rsidP="0038082E">
      <w:pPr>
        <w:pStyle w:val="Normal0"/>
        <w:spacing w:afterLines="160" w:after="384" w:line="240" w:lineRule="auto"/>
        <w:rPr>
          <w:rFonts w:ascii="Arial" w:hAnsi="Arial" w:cs="Arial"/>
          <w:sz w:val="24"/>
          <w:szCs w:val="24"/>
          <w:lang w:val="en-GB"/>
        </w:rPr>
      </w:pPr>
      <w:r w:rsidRPr="0007572B">
        <w:rPr>
          <w:rFonts w:ascii="Arial" w:hAnsi="Arial" w:cs="Arial"/>
          <w:sz w:val="24"/>
          <w:szCs w:val="24"/>
          <w:lang w:val="en-GB"/>
        </w:rPr>
        <w:t>This summarises any major events that happened between the year end and the authorised for issue date. Events coming to light after the authorised for issue date will not be included in the financial statements.</w:t>
      </w:r>
    </w:p>
    <w:p w14:paraId="2B9813C2" w14:textId="77777777" w:rsidR="00AD2D07" w:rsidRPr="0007572B" w:rsidRDefault="00AD2D07" w:rsidP="0038082E">
      <w:pPr>
        <w:pStyle w:val="Heading4bold"/>
      </w:pPr>
      <w:r w:rsidRPr="0007572B">
        <w:t>Group Accounts</w:t>
      </w:r>
    </w:p>
    <w:p w14:paraId="043AB9EB" w14:textId="77777777" w:rsidR="00AD2D07" w:rsidRPr="0007572B" w:rsidRDefault="00AD2D07" w:rsidP="0038082E">
      <w:pPr>
        <w:pStyle w:val="Normal0"/>
        <w:spacing w:afterLines="160" w:after="384" w:line="240" w:lineRule="auto"/>
        <w:rPr>
          <w:rFonts w:ascii="Arial" w:hAnsi="Arial" w:cs="Arial"/>
          <w:sz w:val="24"/>
          <w:szCs w:val="24"/>
          <w:lang w:val="en-GB"/>
        </w:rPr>
      </w:pPr>
      <w:r w:rsidRPr="0007572B">
        <w:rPr>
          <w:rFonts w:ascii="Arial" w:hAnsi="Arial" w:cs="Arial"/>
          <w:sz w:val="24"/>
          <w:szCs w:val="24"/>
          <w:lang w:val="en-GB"/>
        </w:rPr>
        <w:t>These include the accounts of the entities listed earlier in this narrative:</w:t>
      </w:r>
    </w:p>
    <w:p w14:paraId="5BFB27F0" w14:textId="77777777" w:rsidR="00AD2D07" w:rsidRPr="0007572B" w:rsidRDefault="00AD2D07" w:rsidP="0038082E">
      <w:pPr>
        <w:pStyle w:val="Normal0"/>
        <w:spacing w:afterLines="160" w:after="384" w:line="240" w:lineRule="auto"/>
        <w:rPr>
          <w:rFonts w:ascii="Arial" w:hAnsi="Arial" w:cs="Arial"/>
          <w:sz w:val="24"/>
          <w:szCs w:val="24"/>
          <w:lang w:val="en-GB"/>
        </w:rPr>
      </w:pPr>
      <w:r w:rsidRPr="0007572B">
        <w:rPr>
          <w:rFonts w:ascii="Arial" w:hAnsi="Arial" w:cs="Arial"/>
          <w:sz w:val="24"/>
          <w:szCs w:val="24"/>
          <w:lang w:val="en-GB"/>
        </w:rPr>
        <w:t xml:space="preserve">Transport for Greater Manchester, Chief Constable of Greater Manchester Police, </w:t>
      </w:r>
      <w:r w:rsidRPr="0007572B">
        <w:rPr>
          <w:rFonts w:ascii="Arial" w:hAnsi="Arial" w:cs="Arial"/>
          <w:sz w:val="24"/>
          <w:szCs w:val="24"/>
        </w:rPr>
        <w:t>NW Evergreen Holdings Limited Partnership and GM Fund of Funds Limited Partnership.</w:t>
      </w:r>
    </w:p>
    <w:p w14:paraId="4D380B89" w14:textId="77777777" w:rsidR="00AD2D07" w:rsidRPr="0007572B" w:rsidRDefault="00AD2D07" w:rsidP="0038082E">
      <w:pPr>
        <w:pStyle w:val="Heading4bold"/>
      </w:pPr>
      <w:r w:rsidRPr="0007572B">
        <w:t>Glossary of financial terms</w:t>
      </w:r>
    </w:p>
    <w:p w14:paraId="7A1F6F71" w14:textId="77777777" w:rsidR="00AD2D07" w:rsidRPr="0007572B" w:rsidRDefault="00AD2D07" w:rsidP="0038082E">
      <w:pPr>
        <w:pStyle w:val="Normal0"/>
        <w:spacing w:afterLines="160" w:after="384" w:line="240" w:lineRule="auto"/>
        <w:rPr>
          <w:rFonts w:ascii="Arial" w:hAnsi="Arial" w:cs="Arial"/>
          <w:sz w:val="24"/>
          <w:szCs w:val="24"/>
          <w:lang w:val="en-GB"/>
        </w:rPr>
      </w:pPr>
      <w:r w:rsidRPr="0007572B">
        <w:rPr>
          <w:rFonts w:ascii="Arial" w:hAnsi="Arial" w:cs="Arial"/>
          <w:sz w:val="24"/>
          <w:szCs w:val="24"/>
          <w:lang w:val="en-GB"/>
        </w:rPr>
        <w:t>The nature of this document means that technical words are unavoidable. The glossary found at the end of the document is intended to simplify and explain such words.</w:t>
      </w:r>
    </w:p>
    <w:p w14:paraId="230338BD" w14:textId="77777777" w:rsidR="00AD2D07" w:rsidRPr="0007572B" w:rsidRDefault="00AD2D07" w:rsidP="0038082E">
      <w:pPr>
        <w:pStyle w:val="Normal0"/>
        <w:spacing w:afterLines="160" w:after="384" w:line="240" w:lineRule="auto"/>
        <w:rPr>
          <w:rFonts w:ascii="Arial" w:hAnsi="Arial" w:cs="Arial"/>
          <w:sz w:val="24"/>
          <w:szCs w:val="24"/>
          <w:lang w:val="en-GB"/>
        </w:rPr>
      </w:pPr>
      <w:r w:rsidRPr="0007572B">
        <w:rPr>
          <w:rFonts w:ascii="Arial" w:hAnsi="Arial" w:cs="Arial"/>
          <w:noProof/>
          <w:sz w:val="24"/>
          <w:szCs w:val="24"/>
          <w:lang w:val="en-GB" w:eastAsia="en-GB"/>
        </w:rPr>
        <w:lastRenderedPageBreak/>
        <w:drawing>
          <wp:inline distT="0" distB="0" distL="0" distR="0" wp14:anchorId="3C7AB4E7" wp14:editId="4A7AD610">
            <wp:extent cx="1571336" cy="864235"/>
            <wp:effectExtent l="0" t="0" r="0" b="0"/>
            <wp:docPr id="54" name="Picture 54" descr="Signature of Steve Wilson, Greater Manchester Combined Authority Treasur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298" descr="Signature of Steve Wilson, Greater Manchester Combined Authority Treasur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99643" cy="879804"/>
                    </a:xfrm>
                    <a:prstGeom prst="rect">
                      <a:avLst/>
                    </a:prstGeom>
                    <a:noFill/>
                    <a:ln>
                      <a:noFill/>
                    </a:ln>
                  </pic:spPr>
                </pic:pic>
              </a:graphicData>
            </a:graphic>
          </wp:inline>
        </w:drawing>
      </w:r>
    </w:p>
    <w:p w14:paraId="4DA479B6" w14:textId="77777777" w:rsidR="00AD2D07" w:rsidRPr="0007572B" w:rsidRDefault="00AD2D07" w:rsidP="0038082E">
      <w:pPr>
        <w:pStyle w:val="Normal0"/>
        <w:spacing w:line="240" w:lineRule="auto"/>
        <w:rPr>
          <w:rFonts w:ascii="Arial" w:hAnsi="Arial" w:cs="Arial"/>
          <w:b/>
          <w:sz w:val="24"/>
          <w:szCs w:val="24"/>
          <w:lang w:val="en-GB"/>
        </w:rPr>
      </w:pPr>
      <w:r w:rsidRPr="0007572B">
        <w:rPr>
          <w:rFonts w:ascii="Arial" w:hAnsi="Arial" w:cs="Arial"/>
          <w:b/>
          <w:sz w:val="24"/>
          <w:szCs w:val="24"/>
          <w:lang w:val="en-GB"/>
        </w:rPr>
        <w:t>Steve Wilson</w:t>
      </w:r>
    </w:p>
    <w:p w14:paraId="1AE808F8" w14:textId="5B7030A0" w:rsidR="000811AC" w:rsidRPr="0007572B" w:rsidRDefault="00AD2D07" w:rsidP="0038082E">
      <w:pPr>
        <w:pStyle w:val="Normal0"/>
        <w:spacing w:after="1920" w:line="240" w:lineRule="auto"/>
        <w:rPr>
          <w:rFonts w:ascii="Arial" w:hAnsi="Arial" w:cs="Arial"/>
          <w:b/>
          <w:sz w:val="24"/>
          <w:szCs w:val="24"/>
          <w:lang w:val="en-GB"/>
        </w:rPr>
      </w:pPr>
      <w:r w:rsidRPr="0007572B">
        <w:rPr>
          <w:rFonts w:ascii="Arial" w:hAnsi="Arial" w:cs="Arial"/>
          <w:b/>
          <w:sz w:val="24"/>
          <w:szCs w:val="24"/>
          <w:lang w:val="en-GB"/>
        </w:rPr>
        <w:t>Greater Manchester Combined Authority Treasurer</w:t>
      </w:r>
    </w:p>
    <w:p w14:paraId="1B658630" w14:textId="14A46731" w:rsidR="004E11FD" w:rsidRPr="0007572B" w:rsidRDefault="004E11FD" w:rsidP="0038082E">
      <w:pPr>
        <w:jc w:val="both"/>
        <w:rPr>
          <w:rStyle w:val="Hyperlink"/>
          <w:rFonts w:ascii="Arial" w:hAnsi="Arial" w:cs="Arial"/>
          <w:b/>
          <w:color w:val="auto"/>
          <w:sz w:val="22"/>
          <w:szCs w:val="22"/>
          <w:highlight w:val="yellow"/>
          <w:u w:val="none"/>
        </w:rPr>
        <w:sectPr w:rsidR="004E11FD" w:rsidRPr="0007572B" w:rsidSect="006962C5">
          <w:headerReference w:type="default" r:id="rId17"/>
          <w:pgSz w:w="11906" w:h="16838"/>
          <w:pgMar w:top="946" w:right="1416" w:bottom="1440" w:left="1080" w:header="283" w:footer="567" w:gutter="0"/>
          <w:cols w:space="708"/>
          <w:docGrid w:linePitch="360"/>
        </w:sectPr>
      </w:pPr>
    </w:p>
    <w:p w14:paraId="20D99B88" w14:textId="4EE9C805" w:rsidR="00482031" w:rsidRPr="0007572B" w:rsidRDefault="00482031" w:rsidP="0038082E">
      <w:pPr>
        <w:pStyle w:val="Heading2green"/>
      </w:pPr>
      <w:bookmarkStart w:id="50" w:name="_Toc109922596"/>
      <w:r w:rsidRPr="0007572B">
        <w:lastRenderedPageBreak/>
        <w:t>Statement of Responsibilities for the Statement of Accounts</w:t>
      </w:r>
      <w:bookmarkEnd w:id="50"/>
    </w:p>
    <w:p w14:paraId="57307DCE" w14:textId="77777777" w:rsidR="001A16CB" w:rsidRPr="0007572B" w:rsidRDefault="001A16CB" w:rsidP="0038082E">
      <w:pPr>
        <w:jc w:val="both"/>
        <w:rPr>
          <w:rStyle w:val="Hyperlink"/>
          <w:rFonts w:ascii="Arial" w:hAnsi="Arial" w:cs="Arial"/>
          <w:color w:val="auto"/>
          <w:sz w:val="22"/>
          <w:szCs w:val="22"/>
          <w:u w:val="none"/>
        </w:rPr>
      </w:pPr>
    </w:p>
    <w:p w14:paraId="7A573A06" w14:textId="77777777" w:rsidR="00482031" w:rsidRPr="0007572B" w:rsidRDefault="00482031" w:rsidP="0038082E">
      <w:pPr>
        <w:rPr>
          <w:rStyle w:val="Hyperlink"/>
          <w:rFonts w:ascii="Arial" w:hAnsi="Arial" w:cs="Arial"/>
          <w:color w:val="auto"/>
          <w:u w:val="none"/>
        </w:rPr>
      </w:pPr>
      <w:r w:rsidRPr="0007572B">
        <w:rPr>
          <w:rStyle w:val="Hyperlink"/>
          <w:rFonts w:ascii="Arial" w:hAnsi="Arial" w:cs="Arial"/>
          <w:color w:val="auto"/>
          <w:u w:val="none"/>
        </w:rPr>
        <w:t>Th</w:t>
      </w:r>
      <w:r w:rsidR="008A1801" w:rsidRPr="0007572B">
        <w:rPr>
          <w:rStyle w:val="Hyperlink"/>
          <w:rFonts w:ascii="Arial" w:hAnsi="Arial" w:cs="Arial"/>
          <w:color w:val="auto"/>
          <w:u w:val="none"/>
        </w:rPr>
        <w:t>is</w:t>
      </w:r>
      <w:r w:rsidRPr="0007572B">
        <w:rPr>
          <w:rStyle w:val="Hyperlink"/>
          <w:rFonts w:ascii="Arial" w:hAnsi="Arial" w:cs="Arial"/>
          <w:color w:val="auto"/>
          <w:u w:val="none"/>
        </w:rPr>
        <w:t xml:space="preserve"> statement confirms the responsibilities of the </w:t>
      </w:r>
      <w:r w:rsidR="00F0640C" w:rsidRPr="0007572B">
        <w:rPr>
          <w:rStyle w:val="Hyperlink"/>
          <w:rFonts w:ascii="Arial" w:hAnsi="Arial" w:cs="Arial"/>
          <w:color w:val="auto"/>
          <w:u w:val="none"/>
        </w:rPr>
        <w:t xml:space="preserve">Greater Manchester Combined </w:t>
      </w:r>
      <w:r w:rsidRPr="0007572B">
        <w:rPr>
          <w:rStyle w:val="Hyperlink"/>
          <w:rFonts w:ascii="Arial" w:hAnsi="Arial" w:cs="Arial"/>
          <w:color w:val="auto"/>
          <w:u w:val="none"/>
        </w:rPr>
        <w:t xml:space="preserve">Authority </w:t>
      </w:r>
      <w:r w:rsidR="00413CC3" w:rsidRPr="0007572B">
        <w:rPr>
          <w:rStyle w:val="Hyperlink"/>
          <w:rFonts w:ascii="Arial" w:hAnsi="Arial" w:cs="Arial"/>
          <w:color w:val="auto"/>
          <w:u w:val="none"/>
        </w:rPr>
        <w:t>(t</w:t>
      </w:r>
      <w:r w:rsidR="005B4139" w:rsidRPr="0007572B">
        <w:rPr>
          <w:rStyle w:val="Hyperlink"/>
          <w:rFonts w:ascii="Arial" w:hAnsi="Arial" w:cs="Arial"/>
          <w:color w:val="auto"/>
          <w:u w:val="none"/>
        </w:rPr>
        <w:t xml:space="preserve">he Authority) </w:t>
      </w:r>
      <w:r w:rsidRPr="0007572B">
        <w:rPr>
          <w:rStyle w:val="Hyperlink"/>
          <w:rFonts w:ascii="Arial" w:hAnsi="Arial" w:cs="Arial"/>
          <w:color w:val="auto"/>
          <w:u w:val="none"/>
        </w:rPr>
        <w:t>and the Treasurer for the production and content of the Annual Statement of Accounts.</w:t>
      </w:r>
    </w:p>
    <w:p w14:paraId="3892253F" w14:textId="77777777" w:rsidR="00CF3300" w:rsidRPr="0007572B" w:rsidRDefault="00CF3300" w:rsidP="0038082E">
      <w:pPr>
        <w:pStyle w:val="Heading3"/>
        <w:rPr>
          <w:highlight w:val="yellow"/>
        </w:rPr>
      </w:pPr>
      <w:bookmarkStart w:id="51" w:name="_Toc92894858"/>
      <w:bookmarkStart w:id="52" w:name="_Toc92895163"/>
      <w:bookmarkStart w:id="53" w:name="_Toc109160259"/>
      <w:bookmarkStart w:id="54" w:name="_Toc109922597"/>
      <w:r w:rsidRPr="0007572B">
        <w:t>Further Information</w:t>
      </w:r>
      <w:bookmarkEnd w:id="51"/>
      <w:bookmarkEnd w:id="52"/>
      <w:bookmarkEnd w:id="53"/>
      <w:bookmarkEnd w:id="54"/>
    </w:p>
    <w:p w14:paraId="59ABBDD3" w14:textId="77777777" w:rsidR="00CF3300" w:rsidRPr="0007572B" w:rsidRDefault="00CF3300" w:rsidP="0038082E">
      <w:pPr>
        <w:spacing w:after="240"/>
        <w:rPr>
          <w:rFonts w:ascii="Arial" w:hAnsi="Arial" w:cs="Arial"/>
        </w:rPr>
      </w:pPr>
      <w:r w:rsidRPr="0007572B">
        <w:rPr>
          <w:rFonts w:ascii="Arial" w:hAnsi="Arial" w:cs="Arial"/>
        </w:rPr>
        <w:t xml:space="preserve">Further information about the </w:t>
      </w:r>
      <w:r w:rsidR="00F0640C" w:rsidRPr="0007572B">
        <w:rPr>
          <w:rStyle w:val="Hyperlink"/>
          <w:rFonts w:ascii="Arial" w:hAnsi="Arial" w:cs="Arial"/>
          <w:color w:val="auto"/>
          <w:u w:val="none"/>
        </w:rPr>
        <w:t>Authority</w:t>
      </w:r>
      <w:r w:rsidRPr="0007572B">
        <w:rPr>
          <w:rFonts w:ascii="Arial" w:hAnsi="Arial" w:cs="Arial"/>
        </w:rPr>
        <w:t>’s Annual Statement of Accounts is available upon request from the following address:</w:t>
      </w:r>
    </w:p>
    <w:p w14:paraId="2C9E1C9F" w14:textId="77777777" w:rsidR="00B76ED8" w:rsidRPr="0007572B" w:rsidRDefault="00B76ED8" w:rsidP="0038082E">
      <w:pPr>
        <w:rPr>
          <w:rFonts w:ascii="Arial" w:hAnsi="Arial" w:cs="Arial"/>
        </w:rPr>
      </w:pPr>
      <w:r w:rsidRPr="0007572B">
        <w:rPr>
          <w:rFonts w:ascii="Arial" w:hAnsi="Arial" w:cs="Arial"/>
        </w:rPr>
        <w:t>Greater Manchester Combined Authority,</w:t>
      </w:r>
    </w:p>
    <w:p w14:paraId="48BCD8DA" w14:textId="7118177C" w:rsidR="00CF3300" w:rsidRPr="0007572B" w:rsidRDefault="00CF3300" w:rsidP="0038082E">
      <w:pPr>
        <w:rPr>
          <w:rFonts w:ascii="Arial" w:hAnsi="Arial" w:cs="Arial"/>
        </w:rPr>
      </w:pPr>
      <w:r w:rsidRPr="0007572B">
        <w:rPr>
          <w:rFonts w:ascii="Arial" w:hAnsi="Arial" w:cs="Arial"/>
        </w:rPr>
        <w:t>Finance Department</w:t>
      </w:r>
    </w:p>
    <w:p w14:paraId="0FD7FBEA" w14:textId="62650FF9" w:rsidR="00CF3300" w:rsidRPr="0007572B" w:rsidRDefault="003E69FE" w:rsidP="0038082E">
      <w:pPr>
        <w:rPr>
          <w:rFonts w:ascii="Arial" w:hAnsi="Arial" w:cs="Arial"/>
        </w:rPr>
      </w:pPr>
      <w:r w:rsidRPr="0007572B">
        <w:rPr>
          <w:rFonts w:ascii="Arial" w:hAnsi="Arial" w:cs="Arial"/>
        </w:rPr>
        <w:t>1</w:t>
      </w:r>
      <w:r w:rsidRPr="0007572B">
        <w:rPr>
          <w:rFonts w:ascii="Arial" w:hAnsi="Arial" w:cs="Arial"/>
          <w:vertAlign w:val="superscript"/>
        </w:rPr>
        <w:t>st</w:t>
      </w:r>
      <w:r w:rsidRPr="0007572B">
        <w:rPr>
          <w:rFonts w:ascii="Arial" w:hAnsi="Arial" w:cs="Arial"/>
        </w:rPr>
        <w:t xml:space="preserve"> Floor</w:t>
      </w:r>
      <w:r w:rsidR="00B76ED8" w:rsidRPr="0007572B">
        <w:rPr>
          <w:rFonts w:ascii="Arial" w:hAnsi="Arial" w:cs="Arial"/>
        </w:rPr>
        <w:t xml:space="preserve">, </w:t>
      </w:r>
      <w:r w:rsidR="002C411B" w:rsidRPr="0007572B">
        <w:rPr>
          <w:rFonts w:ascii="Arial" w:hAnsi="Arial" w:cs="Arial"/>
        </w:rPr>
        <w:t>Broadhurst</w:t>
      </w:r>
      <w:r w:rsidRPr="0007572B">
        <w:rPr>
          <w:rFonts w:ascii="Arial" w:hAnsi="Arial" w:cs="Arial"/>
        </w:rPr>
        <w:t xml:space="preserve"> House</w:t>
      </w:r>
    </w:p>
    <w:p w14:paraId="6BE7F5E1" w14:textId="77777777" w:rsidR="00CF3300" w:rsidRPr="0007572B" w:rsidRDefault="003E69FE" w:rsidP="0038082E">
      <w:pPr>
        <w:rPr>
          <w:rFonts w:ascii="Arial" w:hAnsi="Arial" w:cs="Arial"/>
        </w:rPr>
      </w:pPr>
      <w:r w:rsidRPr="0007572B">
        <w:rPr>
          <w:rFonts w:ascii="Arial" w:hAnsi="Arial" w:cs="Arial"/>
        </w:rPr>
        <w:t>56 Oxford Street</w:t>
      </w:r>
    </w:p>
    <w:p w14:paraId="3CD0A995" w14:textId="77777777" w:rsidR="00CF3300" w:rsidRPr="0007572B" w:rsidRDefault="00CF3300" w:rsidP="0038082E">
      <w:pPr>
        <w:rPr>
          <w:rFonts w:ascii="Arial" w:hAnsi="Arial" w:cs="Arial"/>
        </w:rPr>
      </w:pPr>
      <w:r w:rsidRPr="0007572B">
        <w:rPr>
          <w:rFonts w:ascii="Arial" w:hAnsi="Arial" w:cs="Arial"/>
        </w:rPr>
        <w:t>Manchester</w:t>
      </w:r>
    </w:p>
    <w:p w14:paraId="2C0681E3" w14:textId="77777777" w:rsidR="00CF3300" w:rsidRPr="0007572B" w:rsidRDefault="003E69FE" w:rsidP="0038082E">
      <w:pPr>
        <w:spacing w:after="240"/>
        <w:rPr>
          <w:rFonts w:ascii="Arial" w:hAnsi="Arial" w:cs="Arial"/>
        </w:rPr>
      </w:pPr>
      <w:r w:rsidRPr="0007572B">
        <w:rPr>
          <w:rFonts w:ascii="Arial" w:hAnsi="Arial" w:cs="Arial"/>
        </w:rPr>
        <w:t>M1 6EU</w:t>
      </w:r>
    </w:p>
    <w:p w14:paraId="27906C37" w14:textId="4B74FFDB" w:rsidR="004F14AA" w:rsidRPr="0007572B" w:rsidRDefault="004028D3" w:rsidP="0038082E">
      <w:pPr>
        <w:spacing w:after="240"/>
        <w:rPr>
          <w:rFonts w:ascii="Arial" w:hAnsi="Arial" w:cs="Arial"/>
        </w:rPr>
      </w:pPr>
      <w:r w:rsidRPr="0007572B">
        <w:rPr>
          <w:rFonts w:ascii="Arial" w:hAnsi="Arial" w:cs="Arial"/>
        </w:rPr>
        <w:t>This and previous year</w:t>
      </w:r>
      <w:r w:rsidR="00D93E0C" w:rsidRPr="0007572B">
        <w:rPr>
          <w:rFonts w:ascii="Arial" w:hAnsi="Arial" w:cs="Arial"/>
        </w:rPr>
        <w:t>’</w:t>
      </w:r>
      <w:r w:rsidRPr="0007572B">
        <w:rPr>
          <w:rFonts w:ascii="Arial" w:hAnsi="Arial" w:cs="Arial"/>
        </w:rPr>
        <w:t>s</w:t>
      </w:r>
      <w:r w:rsidR="00CF3300" w:rsidRPr="0007572B">
        <w:rPr>
          <w:rFonts w:ascii="Arial" w:hAnsi="Arial" w:cs="Arial"/>
        </w:rPr>
        <w:t xml:space="preserve"> Annual Statement of Accounts can be viewed on the Greater Manchester Combined Authority’s website</w:t>
      </w:r>
      <w:r w:rsidR="00D64FA5" w:rsidRPr="0007572B">
        <w:rPr>
          <w:rFonts w:ascii="Arial" w:hAnsi="Arial" w:cs="Arial"/>
        </w:rPr>
        <w:t>:</w:t>
      </w:r>
      <w:r w:rsidR="00CF3300" w:rsidRPr="0007572B">
        <w:rPr>
          <w:rFonts w:ascii="Arial" w:hAnsi="Arial" w:cs="Arial"/>
        </w:rPr>
        <w:t xml:space="preserve"> </w:t>
      </w:r>
      <w:r w:rsidR="00F460E0" w:rsidRPr="0007572B">
        <w:rPr>
          <w:rFonts w:ascii="Arial" w:hAnsi="Arial" w:cs="Arial"/>
        </w:rPr>
        <w:t>www.greatermanchester-ca.gov.uk</w:t>
      </w:r>
      <w:r w:rsidR="00CF3300" w:rsidRPr="0007572B">
        <w:rPr>
          <w:rFonts w:ascii="Arial" w:hAnsi="Arial" w:cs="Arial"/>
        </w:rPr>
        <w:t xml:space="preserve">  </w:t>
      </w:r>
    </w:p>
    <w:p w14:paraId="6A944309" w14:textId="77777777" w:rsidR="00CF3300" w:rsidRPr="0007572B" w:rsidRDefault="00CF3300" w:rsidP="0038082E">
      <w:pPr>
        <w:pStyle w:val="Heading3"/>
      </w:pPr>
      <w:bookmarkStart w:id="55" w:name="_Toc92894859"/>
      <w:bookmarkStart w:id="56" w:name="_Toc92895164"/>
      <w:bookmarkStart w:id="57" w:name="_Toc109160260"/>
      <w:bookmarkStart w:id="58" w:name="_Toc109922598"/>
      <w:r w:rsidRPr="0007572B">
        <w:t>The Authority’s Responsibilities</w:t>
      </w:r>
      <w:bookmarkEnd w:id="55"/>
      <w:bookmarkEnd w:id="56"/>
      <w:bookmarkEnd w:id="57"/>
      <w:bookmarkEnd w:id="58"/>
    </w:p>
    <w:p w14:paraId="54DC8DEE" w14:textId="77777777" w:rsidR="00CF3300" w:rsidRPr="0007572B" w:rsidRDefault="00F0640C" w:rsidP="0038082E">
      <w:pPr>
        <w:pStyle w:val="SubHeader"/>
        <w:rPr>
          <w:b w:val="0"/>
          <w:sz w:val="24"/>
          <w:szCs w:val="24"/>
        </w:rPr>
      </w:pPr>
      <w:bookmarkStart w:id="59" w:name="_Toc92894860"/>
      <w:bookmarkStart w:id="60" w:name="_Toc92895165"/>
      <w:bookmarkStart w:id="61" w:name="_Toc109160261"/>
      <w:bookmarkStart w:id="62" w:name="_Toc109922599"/>
      <w:r w:rsidRPr="0007572B">
        <w:rPr>
          <w:b w:val="0"/>
          <w:sz w:val="24"/>
          <w:szCs w:val="24"/>
        </w:rPr>
        <w:t xml:space="preserve">The </w:t>
      </w:r>
      <w:r w:rsidR="002D40FF" w:rsidRPr="0007572B">
        <w:rPr>
          <w:b w:val="0"/>
          <w:sz w:val="24"/>
          <w:szCs w:val="24"/>
        </w:rPr>
        <w:t>A</w:t>
      </w:r>
      <w:r w:rsidR="00CF3300" w:rsidRPr="0007572B">
        <w:rPr>
          <w:b w:val="0"/>
          <w:sz w:val="24"/>
          <w:szCs w:val="24"/>
        </w:rPr>
        <w:t>uthority is required to:</w:t>
      </w:r>
      <w:bookmarkEnd w:id="59"/>
      <w:bookmarkEnd w:id="60"/>
      <w:bookmarkEnd w:id="61"/>
      <w:bookmarkEnd w:id="62"/>
    </w:p>
    <w:p w14:paraId="2C3DBF40" w14:textId="77777777" w:rsidR="00CF3300" w:rsidRPr="0007572B" w:rsidRDefault="00CF3300" w:rsidP="0038082E">
      <w:pPr>
        <w:rPr>
          <w:rFonts w:ascii="Arial" w:hAnsi="Arial" w:cs="Arial"/>
        </w:rPr>
      </w:pPr>
    </w:p>
    <w:p w14:paraId="57DEC148" w14:textId="7DD515CF" w:rsidR="00CF3300" w:rsidRPr="0007572B" w:rsidRDefault="001366B9" w:rsidP="0038082E">
      <w:pPr>
        <w:numPr>
          <w:ilvl w:val="0"/>
          <w:numId w:val="2"/>
        </w:numPr>
        <w:rPr>
          <w:rFonts w:ascii="Arial" w:hAnsi="Arial" w:cs="Arial"/>
        </w:rPr>
      </w:pPr>
      <w:r w:rsidRPr="0007572B">
        <w:rPr>
          <w:rFonts w:ascii="Arial" w:hAnsi="Arial" w:cs="Arial"/>
        </w:rPr>
        <w:t>Make</w:t>
      </w:r>
      <w:r w:rsidR="00CF3300" w:rsidRPr="0007572B">
        <w:rPr>
          <w:rFonts w:ascii="Arial" w:hAnsi="Arial" w:cs="Arial"/>
        </w:rPr>
        <w:t xml:space="preserve"> arrangements for the proper administration of its financial affairs and to secure that one of its officers has the responsibility for the administration of those affairs. In this </w:t>
      </w:r>
      <w:r w:rsidR="00413CC3" w:rsidRPr="0007572B">
        <w:rPr>
          <w:rFonts w:ascii="Arial" w:hAnsi="Arial" w:cs="Arial"/>
        </w:rPr>
        <w:t>A</w:t>
      </w:r>
      <w:r w:rsidR="00CF3300" w:rsidRPr="0007572B">
        <w:rPr>
          <w:rFonts w:ascii="Arial" w:hAnsi="Arial" w:cs="Arial"/>
        </w:rPr>
        <w:t>uthority, that officer is the Treasurer.</w:t>
      </w:r>
    </w:p>
    <w:p w14:paraId="17A9C87E" w14:textId="77777777" w:rsidR="00CF3300" w:rsidRPr="0007572B" w:rsidRDefault="001366B9" w:rsidP="0038082E">
      <w:pPr>
        <w:numPr>
          <w:ilvl w:val="0"/>
          <w:numId w:val="1"/>
        </w:numPr>
        <w:rPr>
          <w:rFonts w:ascii="Arial" w:hAnsi="Arial" w:cs="Arial"/>
        </w:rPr>
      </w:pPr>
      <w:r w:rsidRPr="0007572B">
        <w:rPr>
          <w:rFonts w:ascii="Arial" w:hAnsi="Arial" w:cs="Arial"/>
        </w:rPr>
        <w:t>Manage</w:t>
      </w:r>
      <w:r w:rsidR="00CF3300" w:rsidRPr="0007572B">
        <w:rPr>
          <w:rFonts w:ascii="Arial" w:hAnsi="Arial" w:cs="Arial"/>
        </w:rPr>
        <w:t xml:space="preserve"> its affairs to secure economic, efficient and effective use of resources and safeguard its assets.</w:t>
      </w:r>
    </w:p>
    <w:p w14:paraId="677D3B60" w14:textId="77777777" w:rsidR="00CF3300" w:rsidRPr="0007572B" w:rsidRDefault="001366B9" w:rsidP="0038082E">
      <w:pPr>
        <w:numPr>
          <w:ilvl w:val="0"/>
          <w:numId w:val="1"/>
        </w:numPr>
        <w:jc w:val="both"/>
        <w:rPr>
          <w:rFonts w:ascii="Arial" w:hAnsi="Arial" w:cs="Arial"/>
        </w:rPr>
      </w:pPr>
      <w:r w:rsidRPr="0007572B">
        <w:rPr>
          <w:rFonts w:ascii="Arial" w:hAnsi="Arial" w:cs="Arial"/>
        </w:rPr>
        <w:t>Approve</w:t>
      </w:r>
      <w:r w:rsidR="00CF3300" w:rsidRPr="0007572B">
        <w:rPr>
          <w:rFonts w:ascii="Arial" w:hAnsi="Arial" w:cs="Arial"/>
        </w:rPr>
        <w:t xml:space="preserve"> the Statement of Accounts.</w:t>
      </w:r>
    </w:p>
    <w:p w14:paraId="4A5BB528" w14:textId="36B0C110" w:rsidR="00CF3300" w:rsidRPr="00CA3482" w:rsidRDefault="00CF3300" w:rsidP="0038082E">
      <w:pPr>
        <w:pStyle w:val="Heading3"/>
      </w:pPr>
      <w:bookmarkStart w:id="63" w:name="_Toc92894861"/>
      <w:bookmarkStart w:id="64" w:name="_Toc92895166"/>
      <w:bookmarkStart w:id="65" w:name="_Toc109160262"/>
      <w:bookmarkStart w:id="66" w:name="_Toc109922600"/>
      <w:r w:rsidRPr="00CA3482">
        <w:t>The Treasurer’s Responsibilities</w:t>
      </w:r>
      <w:bookmarkEnd w:id="63"/>
      <w:bookmarkEnd w:id="64"/>
      <w:bookmarkEnd w:id="65"/>
      <w:bookmarkEnd w:id="66"/>
    </w:p>
    <w:p w14:paraId="5CC598C8" w14:textId="77777777" w:rsidR="00CF3300" w:rsidRPr="0007572B" w:rsidRDefault="00CF3300" w:rsidP="0038082E">
      <w:pPr>
        <w:rPr>
          <w:rFonts w:ascii="Arial" w:hAnsi="Arial" w:cs="Arial"/>
        </w:rPr>
      </w:pPr>
      <w:r w:rsidRPr="0007572B">
        <w:rPr>
          <w:rFonts w:ascii="Arial" w:hAnsi="Arial" w:cs="Arial"/>
        </w:rPr>
        <w:t xml:space="preserve">The Treasurer is responsible for the preparation of the </w:t>
      </w:r>
      <w:r w:rsidR="00F0640C" w:rsidRPr="0007572B">
        <w:rPr>
          <w:rFonts w:ascii="Arial" w:hAnsi="Arial" w:cs="Arial"/>
        </w:rPr>
        <w:t>a</w:t>
      </w:r>
      <w:r w:rsidRPr="0007572B">
        <w:rPr>
          <w:rFonts w:ascii="Arial" w:hAnsi="Arial" w:cs="Arial"/>
        </w:rPr>
        <w:t>uthority’s Statement of Accounts in accordance with proper practices as set out in the CIPFA/LASAAC Code of Practice on Local Authority Accounting in the United Kingdom (the Code).</w:t>
      </w:r>
    </w:p>
    <w:p w14:paraId="238307BA" w14:textId="77777777" w:rsidR="00CF3300" w:rsidRPr="0007572B" w:rsidRDefault="00CF3300" w:rsidP="0038082E">
      <w:pPr>
        <w:jc w:val="both"/>
        <w:rPr>
          <w:rFonts w:ascii="Arial" w:hAnsi="Arial" w:cs="Arial"/>
          <w:b/>
        </w:rPr>
      </w:pPr>
    </w:p>
    <w:p w14:paraId="74CC2097" w14:textId="77777777" w:rsidR="00CF3300" w:rsidRPr="0007572B" w:rsidRDefault="00CF3300" w:rsidP="0038082E">
      <w:pPr>
        <w:jc w:val="both"/>
        <w:rPr>
          <w:rFonts w:ascii="Arial" w:hAnsi="Arial" w:cs="Arial"/>
        </w:rPr>
      </w:pPr>
      <w:r w:rsidRPr="0007572B">
        <w:rPr>
          <w:rFonts w:ascii="Arial" w:hAnsi="Arial" w:cs="Arial"/>
        </w:rPr>
        <w:t>In preparing this Statement of Accounts, the Treasurer has:</w:t>
      </w:r>
    </w:p>
    <w:p w14:paraId="560B3FA2" w14:textId="77777777" w:rsidR="00CF3300" w:rsidRPr="0007572B" w:rsidRDefault="001A16CB" w:rsidP="0038082E">
      <w:pPr>
        <w:numPr>
          <w:ilvl w:val="0"/>
          <w:numId w:val="3"/>
        </w:numPr>
        <w:jc w:val="both"/>
        <w:rPr>
          <w:rFonts w:ascii="Arial" w:hAnsi="Arial" w:cs="Arial"/>
        </w:rPr>
      </w:pPr>
      <w:r w:rsidRPr="0007572B">
        <w:rPr>
          <w:rFonts w:ascii="Arial" w:hAnsi="Arial" w:cs="Arial"/>
        </w:rPr>
        <w:t>Selected</w:t>
      </w:r>
      <w:r w:rsidR="00CF3300" w:rsidRPr="0007572B">
        <w:rPr>
          <w:rFonts w:ascii="Arial" w:hAnsi="Arial" w:cs="Arial"/>
        </w:rPr>
        <w:t xml:space="preserve"> suitable accounting policies and then applied them consistently.</w:t>
      </w:r>
    </w:p>
    <w:p w14:paraId="08951095" w14:textId="77777777" w:rsidR="00CF3300" w:rsidRPr="0007572B" w:rsidRDefault="001A16CB" w:rsidP="0038082E">
      <w:pPr>
        <w:numPr>
          <w:ilvl w:val="0"/>
          <w:numId w:val="3"/>
        </w:numPr>
        <w:jc w:val="both"/>
        <w:rPr>
          <w:rFonts w:ascii="Arial" w:hAnsi="Arial" w:cs="Arial"/>
        </w:rPr>
      </w:pPr>
      <w:r w:rsidRPr="0007572B">
        <w:rPr>
          <w:rFonts w:ascii="Arial" w:hAnsi="Arial" w:cs="Arial"/>
        </w:rPr>
        <w:t>Made</w:t>
      </w:r>
      <w:r w:rsidR="00CF3300" w:rsidRPr="0007572B">
        <w:rPr>
          <w:rFonts w:ascii="Arial" w:hAnsi="Arial" w:cs="Arial"/>
        </w:rPr>
        <w:t xml:space="preserve"> judgements and estimates that were reasonable and prudent.</w:t>
      </w:r>
    </w:p>
    <w:p w14:paraId="59A9D8BA" w14:textId="77777777" w:rsidR="00CF3300" w:rsidRPr="0007572B" w:rsidRDefault="001A16CB" w:rsidP="0038082E">
      <w:pPr>
        <w:numPr>
          <w:ilvl w:val="0"/>
          <w:numId w:val="3"/>
        </w:numPr>
        <w:jc w:val="both"/>
        <w:rPr>
          <w:rFonts w:ascii="Arial" w:hAnsi="Arial" w:cs="Arial"/>
          <w:b/>
        </w:rPr>
      </w:pPr>
      <w:r w:rsidRPr="0007572B">
        <w:rPr>
          <w:rFonts w:ascii="Arial" w:hAnsi="Arial" w:cs="Arial"/>
        </w:rPr>
        <w:t>Complied</w:t>
      </w:r>
      <w:r w:rsidR="00413CC3" w:rsidRPr="0007572B">
        <w:rPr>
          <w:rFonts w:ascii="Arial" w:hAnsi="Arial" w:cs="Arial"/>
        </w:rPr>
        <w:t xml:space="preserve"> with the</w:t>
      </w:r>
      <w:r w:rsidR="00CF3300" w:rsidRPr="0007572B">
        <w:rPr>
          <w:rFonts w:ascii="Arial" w:hAnsi="Arial" w:cs="Arial"/>
        </w:rPr>
        <w:t xml:space="preserve"> Code.</w:t>
      </w:r>
    </w:p>
    <w:p w14:paraId="7A2178EE" w14:textId="711D4AC9" w:rsidR="00CF3300" w:rsidRPr="00CA3482" w:rsidRDefault="00CF3300" w:rsidP="0038082E">
      <w:pPr>
        <w:pStyle w:val="Heading3"/>
      </w:pPr>
      <w:bookmarkStart w:id="67" w:name="_Toc92894862"/>
      <w:bookmarkStart w:id="68" w:name="_Toc92895167"/>
      <w:bookmarkStart w:id="69" w:name="_Toc109160263"/>
      <w:bookmarkStart w:id="70" w:name="_Toc109922601"/>
      <w:r w:rsidRPr="00CA3482">
        <w:rPr>
          <w:rStyle w:val="SubHeaderChar"/>
          <w:b/>
          <w:bCs/>
        </w:rPr>
        <w:t>The Treasurer has also</w:t>
      </w:r>
      <w:r w:rsidRPr="00CA3482">
        <w:t>:</w:t>
      </w:r>
      <w:bookmarkEnd w:id="67"/>
      <w:bookmarkEnd w:id="68"/>
      <w:bookmarkEnd w:id="69"/>
      <w:bookmarkEnd w:id="70"/>
    </w:p>
    <w:p w14:paraId="71293CAB" w14:textId="39371F0F" w:rsidR="00CF3300" w:rsidRPr="0007572B" w:rsidRDefault="001A16CB" w:rsidP="0038082E">
      <w:pPr>
        <w:numPr>
          <w:ilvl w:val="0"/>
          <w:numId w:val="4"/>
        </w:numPr>
        <w:jc w:val="both"/>
        <w:rPr>
          <w:rFonts w:ascii="Arial" w:hAnsi="Arial" w:cs="Arial"/>
        </w:rPr>
      </w:pPr>
      <w:r w:rsidRPr="0007572B">
        <w:rPr>
          <w:rFonts w:ascii="Arial" w:hAnsi="Arial" w:cs="Arial"/>
        </w:rPr>
        <w:t>K</w:t>
      </w:r>
      <w:r w:rsidR="00CF3300" w:rsidRPr="0007572B">
        <w:rPr>
          <w:rFonts w:ascii="Arial" w:hAnsi="Arial" w:cs="Arial"/>
        </w:rPr>
        <w:t>ept proper accounting records which were up to date</w:t>
      </w:r>
      <w:r w:rsidR="00027EC2">
        <w:rPr>
          <w:rFonts w:ascii="Arial" w:hAnsi="Arial" w:cs="Arial"/>
        </w:rPr>
        <w:t>.</w:t>
      </w:r>
    </w:p>
    <w:p w14:paraId="56094FDA" w14:textId="77777777" w:rsidR="00CF3300" w:rsidRPr="0007572B" w:rsidRDefault="001A16CB" w:rsidP="0038082E">
      <w:pPr>
        <w:numPr>
          <w:ilvl w:val="0"/>
          <w:numId w:val="4"/>
        </w:numPr>
        <w:rPr>
          <w:rFonts w:ascii="Arial" w:hAnsi="Arial" w:cs="Arial"/>
        </w:rPr>
      </w:pPr>
      <w:r w:rsidRPr="0007572B">
        <w:rPr>
          <w:rFonts w:ascii="Arial" w:hAnsi="Arial" w:cs="Arial"/>
        </w:rPr>
        <w:t>T</w:t>
      </w:r>
      <w:r w:rsidR="00CF3300" w:rsidRPr="0007572B">
        <w:rPr>
          <w:rFonts w:ascii="Arial" w:hAnsi="Arial" w:cs="Arial"/>
        </w:rPr>
        <w:t>aken reasonable steps for the prevention and detection of fraud and other irregularities.</w:t>
      </w:r>
    </w:p>
    <w:p w14:paraId="3E492F0B" w14:textId="77777777" w:rsidR="00CF3300" w:rsidRPr="0007572B" w:rsidRDefault="00CF3300" w:rsidP="0038082E">
      <w:pPr>
        <w:pStyle w:val="Header"/>
        <w:tabs>
          <w:tab w:val="clear" w:pos="4153"/>
          <w:tab w:val="clear" w:pos="8306"/>
        </w:tabs>
        <w:jc w:val="both"/>
        <w:rPr>
          <w:rFonts w:cs="Arial"/>
          <w:b/>
        </w:rPr>
      </w:pPr>
    </w:p>
    <w:p w14:paraId="189E9277" w14:textId="72114EA2" w:rsidR="00CF3300" w:rsidRPr="0007572B" w:rsidRDefault="00CF3300" w:rsidP="0038082E">
      <w:pPr>
        <w:rPr>
          <w:rFonts w:ascii="Arial" w:hAnsi="Arial" w:cs="Arial"/>
        </w:rPr>
      </w:pPr>
      <w:r w:rsidRPr="0007572B">
        <w:rPr>
          <w:rFonts w:ascii="Arial" w:hAnsi="Arial" w:cs="Arial"/>
        </w:rPr>
        <w:lastRenderedPageBreak/>
        <w:t>I certify that the</w:t>
      </w:r>
      <w:r w:rsidR="00A664A1" w:rsidRPr="0007572B">
        <w:rPr>
          <w:rFonts w:ascii="Arial" w:hAnsi="Arial" w:cs="Arial"/>
        </w:rPr>
        <w:t xml:space="preserve">se </w:t>
      </w:r>
      <w:r w:rsidR="00F6328E" w:rsidRPr="0007572B">
        <w:rPr>
          <w:rFonts w:ascii="Arial" w:hAnsi="Arial" w:cs="Arial"/>
        </w:rPr>
        <w:t>un</w:t>
      </w:r>
      <w:r w:rsidR="003B01B5" w:rsidRPr="0007572B">
        <w:rPr>
          <w:rFonts w:ascii="Arial" w:hAnsi="Arial" w:cs="Arial"/>
        </w:rPr>
        <w:t>audited</w:t>
      </w:r>
      <w:r w:rsidRPr="0007572B">
        <w:rPr>
          <w:rFonts w:ascii="Arial" w:hAnsi="Arial" w:cs="Arial"/>
        </w:rPr>
        <w:t xml:space="preserve"> Statement of Accounts give a true and fair view of the financial position of the </w:t>
      </w:r>
      <w:r w:rsidR="002D40FF" w:rsidRPr="0007572B">
        <w:rPr>
          <w:rFonts w:ascii="Arial" w:hAnsi="Arial" w:cs="Arial"/>
        </w:rPr>
        <w:t>A</w:t>
      </w:r>
      <w:r w:rsidRPr="0007572B">
        <w:rPr>
          <w:rFonts w:ascii="Arial" w:hAnsi="Arial" w:cs="Arial"/>
        </w:rPr>
        <w:t xml:space="preserve">uthority as at 31 March </w:t>
      </w:r>
      <w:r w:rsidR="00FF2959" w:rsidRPr="0007572B">
        <w:rPr>
          <w:rFonts w:ascii="Arial" w:hAnsi="Arial" w:cs="Arial"/>
        </w:rPr>
        <w:t>202</w:t>
      </w:r>
      <w:r w:rsidR="006721E7">
        <w:rPr>
          <w:rFonts w:ascii="Arial" w:hAnsi="Arial" w:cs="Arial"/>
        </w:rPr>
        <w:t>2</w:t>
      </w:r>
      <w:r w:rsidRPr="0007572B">
        <w:rPr>
          <w:rFonts w:ascii="Arial" w:hAnsi="Arial" w:cs="Arial"/>
        </w:rPr>
        <w:t xml:space="preserve"> and of its income and ex</w:t>
      </w:r>
      <w:r w:rsidR="00D22EC9" w:rsidRPr="0007572B">
        <w:rPr>
          <w:rFonts w:ascii="Arial" w:hAnsi="Arial" w:cs="Arial"/>
        </w:rPr>
        <w:t>penditure for the year ended 31</w:t>
      </w:r>
      <w:r w:rsidRPr="0007572B">
        <w:rPr>
          <w:rFonts w:ascii="Arial" w:hAnsi="Arial" w:cs="Arial"/>
        </w:rPr>
        <w:t xml:space="preserve"> March </w:t>
      </w:r>
      <w:r w:rsidR="00FF2959" w:rsidRPr="0007572B">
        <w:rPr>
          <w:rFonts w:ascii="Arial" w:hAnsi="Arial" w:cs="Arial"/>
        </w:rPr>
        <w:t>202</w:t>
      </w:r>
      <w:r w:rsidR="006721E7">
        <w:rPr>
          <w:rFonts w:ascii="Arial" w:hAnsi="Arial" w:cs="Arial"/>
        </w:rPr>
        <w:t>2</w:t>
      </w:r>
      <w:r w:rsidRPr="0007572B">
        <w:rPr>
          <w:rFonts w:ascii="Arial" w:hAnsi="Arial" w:cs="Arial"/>
        </w:rPr>
        <w:t>.</w:t>
      </w:r>
    </w:p>
    <w:p w14:paraId="3B7A1490" w14:textId="17BED530" w:rsidR="00D60764" w:rsidRPr="0007572B" w:rsidRDefault="00D60764" w:rsidP="0038082E">
      <w:pPr>
        <w:jc w:val="both"/>
        <w:rPr>
          <w:rFonts w:ascii="Arial" w:hAnsi="Arial" w:cs="Arial"/>
          <w:b/>
        </w:rPr>
      </w:pPr>
    </w:p>
    <w:p w14:paraId="0F05471E" w14:textId="77777777" w:rsidR="009D250F" w:rsidRPr="0007572B" w:rsidRDefault="009D250F" w:rsidP="0038082E">
      <w:pPr>
        <w:jc w:val="both"/>
        <w:rPr>
          <w:rFonts w:ascii="Arial" w:hAnsi="Arial" w:cs="Arial"/>
          <w:b/>
        </w:rPr>
      </w:pPr>
    </w:p>
    <w:p w14:paraId="28BDB731" w14:textId="01D6FD3C" w:rsidR="005D1F85" w:rsidRPr="0007572B" w:rsidRDefault="00CB356D" w:rsidP="0038082E">
      <w:pPr>
        <w:jc w:val="both"/>
        <w:rPr>
          <w:rFonts w:ascii="Arial" w:hAnsi="Arial" w:cs="Arial"/>
          <w:b/>
        </w:rPr>
      </w:pPr>
      <w:r w:rsidRPr="0007572B">
        <w:rPr>
          <w:rFonts w:ascii="Arial" w:hAnsi="Arial" w:cs="Arial"/>
          <w:noProof/>
          <w:sz w:val="28"/>
          <w:szCs w:val="28"/>
          <w:lang w:eastAsia="en-GB"/>
        </w:rPr>
        <w:drawing>
          <wp:inline distT="0" distB="0" distL="0" distR="0" wp14:anchorId="2FBDA4C4" wp14:editId="7DC498F0">
            <wp:extent cx="1617518" cy="889635"/>
            <wp:effectExtent l="0" t="0" r="1905" b="5715"/>
            <wp:docPr id="299" name="Picture 299" descr="Signature of Steve Wilson, Greater Manchester Combined Authority Treasur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299" descr="Signature of Steve Wilson, Greater Manchester Combined Authority Treasur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48307" cy="906569"/>
                    </a:xfrm>
                    <a:prstGeom prst="rect">
                      <a:avLst/>
                    </a:prstGeom>
                    <a:noFill/>
                    <a:ln>
                      <a:noFill/>
                    </a:ln>
                  </pic:spPr>
                </pic:pic>
              </a:graphicData>
            </a:graphic>
          </wp:inline>
        </w:drawing>
      </w:r>
    </w:p>
    <w:p w14:paraId="54637E5F" w14:textId="276AEE95" w:rsidR="00CF3300" w:rsidRPr="0007572B" w:rsidRDefault="005D1F85" w:rsidP="0038082E">
      <w:pPr>
        <w:jc w:val="both"/>
        <w:rPr>
          <w:rFonts w:ascii="Arial" w:hAnsi="Arial" w:cs="Arial"/>
          <w:b/>
        </w:rPr>
      </w:pPr>
      <w:r w:rsidRPr="0007572B">
        <w:rPr>
          <w:rFonts w:ascii="Arial" w:hAnsi="Arial" w:cs="Arial"/>
          <w:b/>
        </w:rPr>
        <w:t>Steve Wilson</w:t>
      </w:r>
    </w:p>
    <w:p w14:paraId="07F3E259" w14:textId="77777777" w:rsidR="00CF3300" w:rsidRPr="0007572B" w:rsidRDefault="00CF3300" w:rsidP="0038082E">
      <w:pPr>
        <w:jc w:val="both"/>
        <w:rPr>
          <w:rFonts w:ascii="Arial" w:hAnsi="Arial" w:cs="Arial"/>
          <w:b/>
        </w:rPr>
      </w:pPr>
      <w:r w:rsidRPr="0007572B">
        <w:rPr>
          <w:rFonts w:ascii="Arial" w:hAnsi="Arial" w:cs="Arial"/>
          <w:b/>
        </w:rPr>
        <w:t>Greater Manchester Combined Authority</w:t>
      </w:r>
      <w:r w:rsidR="00513B48" w:rsidRPr="0007572B">
        <w:rPr>
          <w:rFonts w:ascii="Arial" w:hAnsi="Arial" w:cs="Arial"/>
          <w:b/>
        </w:rPr>
        <w:t xml:space="preserve"> Treasurer</w:t>
      </w:r>
    </w:p>
    <w:p w14:paraId="601DE994" w14:textId="5AB443E2" w:rsidR="00AC02DA" w:rsidRPr="0007572B" w:rsidRDefault="00AC02DA" w:rsidP="0038082E">
      <w:pPr>
        <w:rPr>
          <w:rFonts w:ascii="Arial" w:hAnsi="Arial" w:cs="Arial"/>
          <w:color w:val="000000" w:themeColor="text1"/>
          <w:sz w:val="22"/>
          <w:szCs w:val="22"/>
        </w:rPr>
      </w:pPr>
    </w:p>
    <w:p w14:paraId="509D1A7B" w14:textId="77777777" w:rsidR="00A664A1" w:rsidRPr="0007572B" w:rsidRDefault="00A664A1" w:rsidP="0038082E">
      <w:pPr>
        <w:rPr>
          <w:rFonts w:ascii="Arial" w:hAnsi="Arial" w:cs="Arial"/>
          <w:color w:val="000000" w:themeColor="text1"/>
          <w:sz w:val="22"/>
          <w:szCs w:val="22"/>
        </w:rPr>
      </w:pPr>
    </w:p>
    <w:p w14:paraId="7696B7B1" w14:textId="77777777" w:rsidR="008A1801" w:rsidRPr="0007572B" w:rsidRDefault="00C66C51" w:rsidP="0038082E">
      <w:pPr>
        <w:rPr>
          <w:rFonts w:ascii="Arial" w:hAnsi="Arial" w:cs="Arial"/>
          <w:b/>
          <w:color w:val="000000" w:themeColor="text1"/>
          <w:sz w:val="22"/>
          <w:szCs w:val="22"/>
        </w:rPr>
      </w:pPr>
      <w:r w:rsidRPr="0007572B">
        <w:rPr>
          <w:rFonts w:ascii="Arial" w:hAnsi="Arial" w:cs="Arial"/>
          <w:b/>
          <w:color w:val="000000" w:themeColor="text1"/>
          <w:sz w:val="22"/>
          <w:szCs w:val="22"/>
        </w:rPr>
        <w:br w:type="page"/>
      </w:r>
    </w:p>
    <w:p w14:paraId="0F11F4D8" w14:textId="77777777" w:rsidR="008A1801" w:rsidRPr="0007572B" w:rsidRDefault="008A1801" w:rsidP="0038082E">
      <w:pPr>
        <w:jc w:val="center"/>
        <w:rPr>
          <w:rFonts w:ascii="Arial" w:hAnsi="Arial" w:cs="Arial"/>
          <w:b/>
          <w:sz w:val="40"/>
          <w:szCs w:val="40"/>
        </w:rPr>
      </w:pPr>
    </w:p>
    <w:p w14:paraId="3EEAB98B" w14:textId="77777777" w:rsidR="008A1801" w:rsidRPr="0007572B" w:rsidRDefault="008A1801" w:rsidP="0038082E">
      <w:pPr>
        <w:jc w:val="center"/>
        <w:rPr>
          <w:rFonts w:ascii="Arial" w:hAnsi="Arial" w:cs="Arial"/>
          <w:b/>
          <w:sz w:val="40"/>
          <w:szCs w:val="40"/>
        </w:rPr>
      </w:pPr>
    </w:p>
    <w:p w14:paraId="4DDCD061" w14:textId="77777777" w:rsidR="008A1801" w:rsidRPr="0007572B" w:rsidRDefault="008A1801" w:rsidP="0038082E">
      <w:pPr>
        <w:jc w:val="center"/>
        <w:rPr>
          <w:rFonts w:ascii="Arial" w:hAnsi="Arial" w:cs="Arial"/>
          <w:b/>
          <w:sz w:val="40"/>
          <w:szCs w:val="40"/>
        </w:rPr>
      </w:pPr>
    </w:p>
    <w:p w14:paraId="2B32ECA3" w14:textId="77777777" w:rsidR="008A1801" w:rsidRPr="0007572B" w:rsidRDefault="008A1801" w:rsidP="0038082E">
      <w:pPr>
        <w:jc w:val="center"/>
        <w:rPr>
          <w:rFonts w:ascii="Arial" w:hAnsi="Arial" w:cs="Arial"/>
          <w:b/>
          <w:sz w:val="40"/>
          <w:szCs w:val="40"/>
        </w:rPr>
      </w:pPr>
    </w:p>
    <w:p w14:paraId="5BACE30F" w14:textId="6B533CBF" w:rsidR="00CB4A8E" w:rsidRPr="002A6C4C" w:rsidRDefault="008A1801" w:rsidP="0038082E">
      <w:pPr>
        <w:pStyle w:val="Heading1"/>
        <w:jc w:val="center"/>
      </w:pPr>
      <w:bookmarkStart w:id="71" w:name="_Toc92895168"/>
      <w:bookmarkStart w:id="72" w:name="_Toc109922602"/>
      <w:r w:rsidRPr="002A6C4C">
        <w:t>Greate</w:t>
      </w:r>
      <w:r w:rsidR="00E266B1" w:rsidRPr="002A6C4C">
        <w:t>r Manchester Combined Authority</w:t>
      </w:r>
      <w:r w:rsidR="00261631">
        <w:t xml:space="preserve"> Single Entity Accounts</w:t>
      </w:r>
      <w:bookmarkEnd w:id="71"/>
      <w:bookmarkEnd w:id="72"/>
    </w:p>
    <w:p w14:paraId="128F98FC" w14:textId="77777777" w:rsidR="00E266B1" w:rsidRPr="0007572B" w:rsidRDefault="00E266B1" w:rsidP="0038082E">
      <w:pPr>
        <w:jc w:val="center"/>
        <w:rPr>
          <w:rFonts w:ascii="Arial" w:hAnsi="Arial" w:cs="Arial"/>
          <w:b/>
          <w:sz w:val="40"/>
          <w:szCs w:val="40"/>
        </w:rPr>
      </w:pPr>
    </w:p>
    <w:p w14:paraId="7731744A" w14:textId="77777777" w:rsidR="00CB4A8E" w:rsidRPr="0007572B" w:rsidRDefault="00CB4A8E" w:rsidP="0038082E">
      <w:pPr>
        <w:jc w:val="center"/>
        <w:rPr>
          <w:rFonts w:ascii="Arial" w:hAnsi="Arial" w:cs="Arial"/>
          <w:b/>
          <w:sz w:val="40"/>
          <w:szCs w:val="40"/>
        </w:rPr>
      </w:pPr>
    </w:p>
    <w:p w14:paraId="3F473491" w14:textId="2F6E37D4" w:rsidR="00FA2AC4" w:rsidRPr="0007572B" w:rsidRDefault="00DA6CEE" w:rsidP="0038082E">
      <w:pPr>
        <w:pStyle w:val="Heaading2green"/>
      </w:pPr>
      <w:bookmarkStart w:id="73" w:name="_Toc109922603"/>
      <w:r w:rsidRPr="0007572B">
        <w:t xml:space="preserve">Financial </w:t>
      </w:r>
      <w:r w:rsidR="008A1801" w:rsidRPr="0007572B">
        <w:t>Statements</w:t>
      </w:r>
      <w:bookmarkEnd w:id="73"/>
    </w:p>
    <w:p w14:paraId="29B877EB" w14:textId="77777777" w:rsidR="00DA6CEE" w:rsidRPr="0007572B" w:rsidRDefault="00DA6CEE" w:rsidP="0038082E">
      <w:pPr>
        <w:rPr>
          <w:rFonts w:ascii="Arial" w:hAnsi="Arial" w:cs="Arial"/>
          <w:b/>
          <w:sz w:val="22"/>
          <w:szCs w:val="22"/>
        </w:rPr>
      </w:pPr>
    </w:p>
    <w:p w14:paraId="24DD32A9" w14:textId="77777777" w:rsidR="004E11FD" w:rsidRPr="0007572B" w:rsidRDefault="004E11FD" w:rsidP="0038082E">
      <w:pPr>
        <w:rPr>
          <w:rFonts w:ascii="Arial" w:hAnsi="Arial" w:cs="Arial"/>
          <w:b/>
          <w:sz w:val="22"/>
          <w:szCs w:val="22"/>
        </w:rPr>
      </w:pPr>
    </w:p>
    <w:p w14:paraId="54ED5163" w14:textId="77777777" w:rsidR="00BA365E" w:rsidRPr="0007572B" w:rsidRDefault="00BA365E" w:rsidP="0038082E">
      <w:pPr>
        <w:rPr>
          <w:rFonts w:ascii="Arial" w:hAnsi="Arial" w:cs="Arial"/>
          <w:b/>
          <w:sz w:val="22"/>
          <w:szCs w:val="22"/>
        </w:rPr>
      </w:pPr>
    </w:p>
    <w:p w14:paraId="0BBA67CA" w14:textId="77777777" w:rsidR="00BA365E" w:rsidRPr="0007572B" w:rsidRDefault="00BA365E" w:rsidP="0038082E">
      <w:pPr>
        <w:rPr>
          <w:rFonts w:ascii="Arial" w:hAnsi="Arial" w:cs="Arial"/>
          <w:b/>
          <w:sz w:val="22"/>
          <w:szCs w:val="22"/>
        </w:rPr>
      </w:pPr>
    </w:p>
    <w:p w14:paraId="069F70CF" w14:textId="77777777" w:rsidR="00FF6768" w:rsidRPr="0007572B" w:rsidRDefault="00FF6768" w:rsidP="0038082E">
      <w:pPr>
        <w:rPr>
          <w:rFonts w:ascii="Arial" w:hAnsi="Arial" w:cs="Arial"/>
          <w:b/>
          <w:sz w:val="22"/>
          <w:szCs w:val="22"/>
        </w:rPr>
        <w:sectPr w:rsidR="00FF6768" w:rsidRPr="0007572B" w:rsidSect="008064FB">
          <w:pgSz w:w="11906" w:h="16838"/>
          <w:pgMar w:top="1444" w:right="1416" w:bottom="1440" w:left="1080" w:header="568" w:footer="567" w:gutter="0"/>
          <w:cols w:space="708"/>
          <w:docGrid w:linePitch="360"/>
        </w:sectPr>
      </w:pPr>
    </w:p>
    <w:p w14:paraId="55A6082B" w14:textId="3C168176" w:rsidR="00FA2AC4" w:rsidRPr="0007572B" w:rsidRDefault="00BC54CF" w:rsidP="0038082E">
      <w:pPr>
        <w:pStyle w:val="Heading3green"/>
      </w:pPr>
      <w:bookmarkStart w:id="74" w:name="_Toc109922604"/>
      <w:r w:rsidRPr="0007572B">
        <w:lastRenderedPageBreak/>
        <w:t>Comprehensive I</w:t>
      </w:r>
      <w:r w:rsidR="005B1B6B" w:rsidRPr="0007572B">
        <w:t>ncome and Expenditure Statement</w:t>
      </w:r>
      <w:bookmarkEnd w:id="74"/>
    </w:p>
    <w:p w14:paraId="1DC2B6C9" w14:textId="39330471" w:rsidR="00BC54CF" w:rsidRDefault="00D552A9" w:rsidP="0038082E">
      <w:pPr>
        <w:rPr>
          <w:rFonts w:ascii="Arial" w:eastAsia="Verdana" w:hAnsi="Arial" w:cs="Arial"/>
        </w:rPr>
      </w:pPr>
      <w:r w:rsidRPr="0007572B">
        <w:rPr>
          <w:rFonts w:ascii="Arial" w:eastAsia="Verdana" w:hAnsi="Arial" w:cs="Arial"/>
        </w:rPr>
        <w:t>The Comprehensive Income and Expenditure Statement shows the accounting cost in the year of providing services in accordance with generally accepted accounting practices, rather than the amount to be funded from taxation. Authorities raise taxation (and rents) to cover expenditure in accordance with statutory requirements; this may be different from the accounting cost. The taxation position is shown in both the Expenditure and Funding Analysis and the Movement in Reserves Statement.</w:t>
      </w:r>
    </w:p>
    <w:p w14:paraId="753E2DE7" w14:textId="6D73E25D" w:rsidR="007575E1" w:rsidRDefault="007575E1" w:rsidP="0038082E">
      <w:pPr>
        <w:rPr>
          <w:rFonts w:ascii="Arial" w:eastAsia="Verdana" w:hAnsi="Arial" w:cs="Arial"/>
        </w:rPr>
      </w:pPr>
    </w:p>
    <w:p w14:paraId="313F8BD0" w14:textId="5A162E93" w:rsidR="0038082E" w:rsidRDefault="008E0264" w:rsidP="0038082E">
      <w:pPr>
        <w:rPr>
          <w:rFonts w:ascii="Arial" w:eastAsia="Verdana" w:hAnsi="Arial" w:cs="Arial"/>
        </w:rPr>
      </w:pPr>
      <w:r w:rsidRPr="008E0264">
        <w:rPr>
          <w:rFonts w:eastAsia="Verdana"/>
          <w:noProof/>
        </w:rPr>
        <w:drawing>
          <wp:inline distT="0" distB="0" distL="0" distR="0" wp14:anchorId="640A7C41" wp14:editId="144C6780">
            <wp:extent cx="6605626" cy="3489327"/>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14130" cy="3493819"/>
                    </a:xfrm>
                    <a:prstGeom prst="rect">
                      <a:avLst/>
                    </a:prstGeom>
                    <a:noFill/>
                    <a:ln>
                      <a:noFill/>
                    </a:ln>
                  </pic:spPr>
                </pic:pic>
              </a:graphicData>
            </a:graphic>
          </wp:inline>
        </w:drawing>
      </w:r>
    </w:p>
    <w:p w14:paraId="0BD4025A" w14:textId="636097A6" w:rsidR="005D1F85" w:rsidRPr="0007572B" w:rsidRDefault="005D1F85" w:rsidP="0038082E">
      <w:pPr>
        <w:rPr>
          <w:rFonts w:ascii="Arial" w:hAnsi="Arial" w:cs="Arial"/>
          <w:noProof/>
          <w:lang w:eastAsia="en-GB"/>
        </w:rPr>
      </w:pPr>
    </w:p>
    <w:p w14:paraId="6E0F7818" w14:textId="4D3C431B" w:rsidR="004407D7" w:rsidRPr="0007572B" w:rsidRDefault="005D1F85" w:rsidP="0038082E">
      <w:pPr>
        <w:jc w:val="both"/>
        <w:rPr>
          <w:rFonts w:ascii="Arial" w:hAnsi="Arial" w:cs="Arial"/>
          <w:b/>
          <w:sz w:val="22"/>
          <w:szCs w:val="22"/>
        </w:rPr>
      </w:pPr>
      <w:r w:rsidRPr="0007572B">
        <w:rPr>
          <w:rFonts w:ascii="Arial" w:hAnsi="Arial" w:cs="Arial"/>
          <w:b/>
          <w:sz w:val="22"/>
          <w:szCs w:val="22"/>
        </w:rPr>
        <w:t>Steve Wilson</w:t>
      </w:r>
    </w:p>
    <w:p w14:paraId="627F1B6A" w14:textId="77777777" w:rsidR="004407D7" w:rsidRPr="0007572B" w:rsidRDefault="004407D7" w:rsidP="0038082E">
      <w:pPr>
        <w:jc w:val="both"/>
        <w:rPr>
          <w:rFonts w:ascii="Arial" w:hAnsi="Arial" w:cs="Arial"/>
          <w:b/>
          <w:sz w:val="22"/>
          <w:szCs w:val="22"/>
        </w:rPr>
      </w:pPr>
      <w:r w:rsidRPr="0007572B">
        <w:rPr>
          <w:rFonts w:ascii="Arial" w:hAnsi="Arial" w:cs="Arial"/>
          <w:b/>
          <w:sz w:val="22"/>
          <w:szCs w:val="22"/>
        </w:rPr>
        <w:t>Greater Manchester Combined Authority Treasurer</w:t>
      </w:r>
    </w:p>
    <w:p w14:paraId="0DF37B8E" w14:textId="771130DC" w:rsidR="00BC6411" w:rsidRPr="0007572B" w:rsidRDefault="00AD0EA6" w:rsidP="0038082E">
      <w:pPr>
        <w:jc w:val="both"/>
        <w:rPr>
          <w:rFonts w:ascii="Arial" w:hAnsi="Arial" w:cs="Arial"/>
          <w:b/>
          <w:sz w:val="22"/>
          <w:szCs w:val="22"/>
        </w:rPr>
        <w:sectPr w:rsidR="00BC6411" w:rsidRPr="0007572B" w:rsidSect="00FF6768">
          <w:pgSz w:w="16838" w:h="11906" w:orient="landscape"/>
          <w:pgMar w:top="1080" w:right="1444" w:bottom="1416" w:left="1440" w:header="568" w:footer="567" w:gutter="0"/>
          <w:cols w:space="708"/>
          <w:docGrid w:linePitch="360"/>
        </w:sectPr>
      </w:pPr>
      <w:r w:rsidRPr="0007572B">
        <w:rPr>
          <w:rFonts w:ascii="Arial" w:hAnsi="Arial" w:cs="Arial"/>
          <w:b/>
          <w:sz w:val="22"/>
          <w:szCs w:val="22"/>
        </w:rPr>
        <w:t>Date</w:t>
      </w:r>
      <w:r w:rsidR="00B51F59" w:rsidRPr="0007572B">
        <w:rPr>
          <w:rFonts w:ascii="Arial" w:hAnsi="Arial" w:cs="Arial"/>
          <w:b/>
          <w:sz w:val="22"/>
          <w:szCs w:val="22"/>
        </w:rPr>
        <w:t>:</w:t>
      </w:r>
      <w:r w:rsidR="00655E4C">
        <w:rPr>
          <w:rFonts w:ascii="Arial" w:hAnsi="Arial" w:cs="Arial"/>
          <w:b/>
          <w:sz w:val="22"/>
          <w:szCs w:val="22"/>
        </w:rPr>
        <w:t xml:space="preserve"> </w:t>
      </w:r>
      <w:r w:rsidR="00041DAE">
        <w:rPr>
          <w:rFonts w:ascii="Arial" w:hAnsi="Arial" w:cs="Arial"/>
          <w:b/>
          <w:sz w:val="22"/>
          <w:szCs w:val="22"/>
        </w:rPr>
        <w:t>27</w:t>
      </w:r>
      <w:r w:rsidR="00655E4C">
        <w:rPr>
          <w:rFonts w:ascii="Arial" w:hAnsi="Arial" w:cs="Arial"/>
          <w:b/>
          <w:sz w:val="22"/>
          <w:szCs w:val="22"/>
        </w:rPr>
        <w:t xml:space="preserve"> July 2022</w:t>
      </w:r>
    </w:p>
    <w:p w14:paraId="7C08C077" w14:textId="431F5A2A" w:rsidR="00A039AC" w:rsidRPr="002A6C4C" w:rsidRDefault="00A039AC" w:rsidP="0038082E">
      <w:pPr>
        <w:pStyle w:val="Heading3green"/>
      </w:pPr>
      <w:bookmarkStart w:id="75" w:name="_Toc109922605"/>
      <w:r w:rsidRPr="002A6C4C">
        <w:lastRenderedPageBreak/>
        <w:t>Movement in Reserves</w:t>
      </w:r>
      <w:r w:rsidR="005B1B6B" w:rsidRPr="002A6C4C">
        <w:t xml:space="preserve"> Statement</w:t>
      </w:r>
      <w:bookmarkEnd w:id="75"/>
    </w:p>
    <w:p w14:paraId="76CC8D56" w14:textId="77777777" w:rsidR="00EC408E" w:rsidRPr="0007572B" w:rsidRDefault="00EC408E" w:rsidP="0038082E">
      <w:pPr>
        <w:jc w:val="both"/>
        <w:rPr>
          <w:rFonts w:ascii="Arial" w:hAnsi="Arial" w:cs="Arial"/>
          <w:sz w:val="22"/>
          <w:szCs w:val="22"/>
        </w:rPr>
      </w:pPr>
    </w:p>
    <w:p w14:paraId="2057230A" w14:textId="639AE48A" w:rsidR="00D552A9" w:rsidRDefault="00D552A9" w:rsidP="0038082E">
      <w:pPr>
        <w:rPr>
          <w:rFonts w:ascii="Arial" w:eastAsia="Calibri" w:hAnsi="Arial" w:cs="Arial"/>
          <w:lang w:val="pt-BR"/>
        </w:rPr>
      </w:pPr>
      <w:r w:rsidRPr="0007572B">
        <w:rPr>
          <w:rFonts w:ascii="Arial" w:eastAsia="Calibri" w:hAnsi="Arial" w:cs="Arial"/>
          <w:lang w:val="pt-BR"/>
        </w:rPr>
        <w:t xml:space="preserve">The Movement in Reserves Statement shows the movement from the start of the year to the end </w:t>
      </w:r>
      <w:r w:rsidR="00627BE3">
        <w:rPr>
          <w:rFonts w:ascii="Arial" w:eastAsia="Calibri" w:hAnsi="Arial" w:cs="Arial"/>
          <w:lang w:val="pt-BR"/>
        </w:rPr>
        <w:t xml:space="preserve">of the year </w:t>
      </w:r>
      <w:r w:rsidRPr="0007572B">
        <w:rPr>
          <w:rFonts w:ascii="Arial" w:eastAsia="Calibri" w:hAnsi="Arial" w:cs="Arial"/>
          <w:lang w:val="pt-BR"/>
        </w:rPr>
        <w:t>on the different reserves held by the Authority, analysed into ‘usable reserves’ (i</w:t>
      </w:r>
      <w:r w:rsidR="009D0BC9" w:rsidRPr="0007572B">
        <w:rPr>
          <w:rFonts w:ascii="Arial" w:eastAsia="Calibri" w:hAnsi="Arial" w:cs="Arial"/>
          <w:lang w:val="pt-BR"/>
        </w:rPr>
        <w:t>.</w:t>
      </w:r>
      <w:r w:rsidRPr="0007572B">
        <w:rPr>
          <w:rFonts w:ascii="Arial" w:eastAsia="Calibri" w:hAnsi="Arial" w:cs="Arial"/>
          <w:lang w:val="pt-BR"/>
        </w:rPr>
        <w:t>e</w:t>
      </w:r>
      <w:r w:rsidR="009D0BC9" w:rsidRPr="0007572B">
        <w:rPr>
          <w:rFonts w:ascii="Arial" w:eastAsia="Calibri" w:hAnsi="Arial" w:cs="Arial"/>
          <w:lang w:val="pt-BR"/>
        </w:rPr>
        <w:t>.</w:t>
      </w:r>
      <w:r w:rsidRPr="0007572B">
        <w:rPr>
          <w:rFonts w:ascii="Arial" w:eastAsia="Calibri" w:hAnsi="Arial" w:cs="Arial"/>
          <w:lang w:val="pt-BR"/>
        </w:rPr>
        <w:t xml:space="preserve"> those that can be applied to fund expenditure or reduce local taxation) and other ‘unusable reserves’. The Statement shows how the movements in year of the Authority’s reserves are broken down between gains and losses incurred in accordance with generally accepted accounting practices and the statutory adjustments required to return to the amounts chargeable to council tax for the year. The Net Increase/Decrease line shows the statutory General Fund Balance movements in the year following those adjustments.</w:t>
      </w:r>
    </w:p>
    <w:p w14:paraId="129856B8" w14:textId="77777777" w:rsidR="007575E1" w:rsidRPr="0007572B" w:rsidRDefault="007575E1" w:rsidP="0038082E">
      <w:pPr>
        <w:rPr>
          <w:rFonts w:ascii="Arial" w:eastAsia="Calibri" w:hAnsi="Arial" w:cs="Arial"/>
          <w:lang w:val="pt-BR"/>
        </w:rPr>
      </w:pPr>
    </w:p>
    <w:p w14:paraId="53C4D8D8" w14:textId="418245B2" w:rsidR="007575E1" w:rsidRPr="0007572B" w:rsidRDefault="008E0264" w:rsidP="0038082E">
      <w:pPr>
        <w:rPr>
          <w:rFonts w:ascii="Arial" w:hAnsi="Arial" w:cs="Arial"/>
          <w:b/>
          <w:sz w:val="28"/>
          <w:szCs w:val="28"/>
        </w:rPr>
        <w:sectPr w:rsidR="007575E1" w:rsidRPr="0007572B" w:rsidSect="00BC6411">
          <w:pgSz w:w="16838" w:h="11906" w:orient="landscape"/>
          <w:pgMar w:top="1080" w:right="1444" w:bottom="1416" w:left="1440" w:header="568" w:footer="567" w:gutter="0"/>
          <w:cols w:space="708"/>
          <w:docGrid w:linePitch="360"/>
        </w:sectPr>
      </w:pPr>
      <w:r w:rsidRPr="008E0264">
        <w:rPr>
          <w:noProof/>
        </w:rPr>
        <w:drawing>
          <wp:inline distT="0" distB="0" distL="0" distR="0" wp14:anchorId="3A8DAF33" wp14:editId="33F3AB97">
            <wp:extent cx="8860790" cy="27895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60790" cy="2789555"/>
                    </a:xfrm>
                    <a:prstGeom prst="rect">
                      <a:avLst/>
                    </a:prstGeom>
                    <a:noFill/>
                    <a:ln>
                      <a:noFill/>
                    </a:ln>
                  </pic:spPr>
                </pic:pic>
              </a:graphicData>
            </a:graphic>
          </wp:inline>
        </w:drawing>
      </w:r>
    </w:p>
    <w:p w14:paraId="72BE6ED4" w14:textId="60F44A9D" w:rsidR="00D2583B" w:rsidRPr="0007572B" w:rsidRDefault="00D2583B" w:rsidP="0038082E">
      <w:pPr>
        <w:pStyle w:val="Heading3green"/>
      </w:pPr>
      <w:bookmarkStart w:id="76" w:name="_Toc109922606"/>
      <w:r w:rsidRPr="0007572B">
        <w:lastRenderedPageBreak/>
        <w:t>Balance Sheet</w:t>
      </w:r>
      <w:bookmarkEnd w:id="76"/>
    </w:p>
    <w:p w14:paraId="60934230" w14:textId="24EE7390" w:rsidR="009F53F8" w:rsidRPr="0007572B" w:rsidRDefault="009F53F8" w:rsidP="0038082E">
      <w:pPr>
        <w:rPr>
          <w:rFonts w:ascii="Arial" w:hAnsi="Arial" w:cs="Arial"/>
        </w:rPr>
      </w:pPr>
      <w:r w:rsidRPr="0007572B">
        <w:rPr>
          <w:rFonts w:ascii="Arial" w:hAnsi="Arial" w:cs="Arial"/>
        </w:rPr>
        <w:t>The Balance Sheet shows the value of assets and liabilities recognised by the Authority. The net assets/liabilities are matched by the usable and unusable reserves held. Usable reserves can be utilised to fund services whereas unusable reserves are accounting reserves held to reconcile the position between the accounting cost of services and the cost set out in legislation that is chargeable to precepts and taxation.</w:t>
      </w:r>
    </w:p>
    <w:p w14:paraId="0C5F2713" w14:textId="0D7629CF" w:rsidR="00D552A9" w:rsidRDefault="009F53F8" w:rsidP="0038082E">
      <w:pPr>
        <w:rPr>
          <w:rFonts w:ascii="Arial" w:hAnsi="Arial" w:cs="Arial"/>
        </w:rPr>
      </w:pPr>
      <w:r w:rsidRPr="0007572B">
        <w:rPr>
          <w:rFonts w:ascii="Arial" w:hAnsi="Arial" w:cs="Arial"/>
        </w:rPr>
        <w:t>Further details of balance sheet items can be found in the relevant associated notes.</w:t>
      </w:r>
    </w:p>
    <w:p w14:paraId="092EB2F5" w14:textId="77777777" w:rsidR="00E853C6" w:rsidRDefault="00E853C6" w:rsidP="0038082E">
      <w:pPr>
        <w:rPr>
          <w:rFonts w:ascii="Arial" w:hAnsi="Arial" w:cs="Arial"/>
        </w:rPr>
      </w:pPr>
    </w:p>
    <w:p w14:paraId="032CD6BA" w14:textId="39510FB0" w:rsidR="007575E1" w:rsidRDefault="008E0264" w:rsidP="0038082E">
      <w:pPr>
        <w:rPr>
          <w:rFonts w:ascii="Arial" w:hAnsi="Arial" w:cs="Arial"/>
        </w:rPr>
      </w:pPr>
      <w:r w:rsidRPr="008E0264">
        <w:rPr>
          <w:noProof/>
        </w:rPr>
        <w:drawing>
          <wp:inline distT="0" distB="0" distL="0" distR="0" wp14:anchorId="01A91627" wp14:editId="38DABB62">
            <wp:extent cx="4699502" cy="6166713"/>
            <wp:effectExtent l="0" t="0" r="635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01312" cy="6169088"/>
                    </a:xfrm>
                    <a:prstGeom prst="rect">
                      <a:avLst/>
                    </a:prstGeom>
                    <a:noFill/>
                    <a:ln>
                      <a:noFill/>
                    </a:ln>
                  </pic:spPr>
                </pic:pic>
              </a:graphicData>
            </a:graphic>
          </wp:inline>
        </w:drawing>
      </w:r>
    </w:p>
    <w:p w14:paraId="402E2498" w14:textId="1AA5BDC4" w:rsidR="00771AC6" w:rsidRPr="0007572B" w:rsidRDefault="00771AC6" w:rsidP="0038082E">
      <w:pPr>
        <w:jc w:val="both"/>
        <w:rPr>
          <w:rFonts w:ascii="Arial" w:hAnsi="Arial" w:cs="Arial"/>
          <w:sz w:val="22"/>
          <w:szCs w:val="22"/>
        </w:rPr>
      </w:pPr>
    </w:p>
    <w:p w14:paraId="70532064" w14:textId="5F232C1F" w:rsidR="00C302DA" w:rsidRPr="0007572B" w:rsidRDefault="00C302DA" w:rsidP="0038082E">
      <w:pPr>
        <w:jc w:val="both"/>
        <w:rPr>
          <w:rFonts w:ascii="Arial" w:hAnsi="Arial" w:cs="Arial"/>
          <w:noProof/>
          <w:lang w:eastAsia="en-GB"/>
        </w:rPr>
      </w:pPr>
    </w:p>
    <w:p w14:paraId="49907882" w14:textId="5CF798F3" w:rsidR="00B173FF" w:rsidRPr="0007572B" w:rsidRDefault="00A16916" w:rsidP="0038082E">
      <w:pPr>
        <w:jc w:val="both"/>
        <w:rPr>
          <w:rFonts w:ascii="Arial" w:hAnsi="Arial" w:cs="Arial"/>
          <w:b/>
        </w:rPr>
      </w:pPr>
      <w:r w:rsidRPr="0007572B">
        <w:rPr>
          <w:rFonts w:ascii="Arial" w:hAnsi="Arial" w:cs="Arial"/>
          <w:b/>
        </w:rPr>
        <w:t>Steve Wilson</w:t>
      </w:r>
    </w:p>
    <w:p w14:paraId="466BE280" w14:textId="77777777" w:rsidR="00B173FF" w:rsidRPr="0007572B" w:rsidRDefault="00B173FF" w:rsidP="0038082E">
      <w:pPr>
        <w:jc w:val="both"/>
        <w:rPr>
          <w:rFonts w:ascii="Arial" w:hAnsi="Arial" w:cs="Arial"/>
          <w:b/>
        </w:rPr>
      </w:pPr>
      <w:r w:rsidRPr="0007572B">
        <w:rPr>
          <w:rFonts w:ascii="Arial" w:hAnsi="Arial" w:cs="Arial"/>
          <w:b/>
        </w:rPr>
        <w:t>Greater Manchester Combined Authority Treasurer</w:t>
      </w:r>
    </w:p>
    <w:p w14:paraId="3DF8D8BA" w14:textId="1CB3D869" w:rsidR="00D50C37" w:rsidRPr="0007572B" w:rsidRDefault="00AD0EA6" w:rsidP="0038082E">
      <w:pPr>
        <w:jc w:val="both"/>
        <w:rPr>
          <w:rFonts w:ascii="Arial" w:hAnsi="Arial" w:cs="Arial"/>
          <w:b/>
          <w:sz w:val="22"/>
          <w:szCs w:val="22"/>
        </w:rPr>
      </w:pPr>
      <w:r w:rsidRPr="0007572B">
        <w:rPr>
          <w:rFonts w:ascii="Arial" w:hAnsi="Arial" w:cs="Arial"/>
          <w:b/>
        </w:rPr>
        <w:t>Date</w:t>
      </w:r>
      <w:r w:rsidR="00B51F59" w:rsidRPr="0007572B">
        <w:rPr>
          <w:rFonts w:ascii="Arial" w:hAnsi="Arial" w:cs="Arial"/>
          <w:b/>
        </w:rPr>
        <w:t xml:space="preserve">: </w:t>
      </w:r>
      <w:r w:rsidR="00041DAE">
        <w:rPr>
          <w:rFonts w:ascii="Arial" w:hAnsi="Arial" w:cs="Arial"/>
          <w:b/>
        </w:rPr>
        <w:t>27</w:t>
      </w:r>
      <w:r w:rsidR="00655E4C">
        <w:rPr>
          <w:rFonts w:ascii="Arial" w:hAnsi="Arial" w:cs="Arial"/>
          <w:b/>
        </w:rPr>
        <w:t xml:space="preserve"> July 2022</w:t>
      </w:r>
      <w:r w:rsidR="00D50C37" w:rsidRPr="0007572B">
        <w:rPr>
          <w:rFonts w:ascii="Arial" w:hAnsi="Arial" w:cs="Arial"/>
          <w:b/>
          <w:sz w:val="22"/>
          <w:szCs w:val="22"/>
        </w:rPr>
        <w:br w:type="page"/>
      </w:r>
    </w:p>
    <w:p w14:paraId="6F7A298C" w14:textId="05FAECE3" w:rsidR="00513B48" w:rsidRPr="0007572B" w:rsidRDefault="00513B48" w:rsidP="0038082E">
      <w:pPr>
        <w:pStyle w:val="Heading3green"/>
      </w:pPr>
      <w:bookmarkStart w:id="77" w:name="_Toc109922607"/>
      <w:r w:rsidRPr="0007572B">
        <w:lastRenderedPageBreak/>
        <w:t>Cash Flow Statement</w:t>
      </w:r>
      <w:bookmarkEnd w:id="77"/>
    </w:p>
    <w:p w14:paraId="3C98D4E6" w14:textId="77777777" w:rsidR="00986BB0" w:rsidRPr="0007572B" w:rsidRDefault="00986BB0" w:rsidP="0038082E">
      <w:pPr>
        <w:jc w:val="both"/>
        <w:rPr>
          <w:rFonts w:ascii="Arial" w:hAnsi="Arial" w:cs="Arial"/>
          <w:sz w:val="20"/>
          <w:szCs w:val="20"/>
        </w:rPr>
      </w:pPr>
    </w:p>
    <w:p w14:paraId="07D63A90" w14:textId="77777777" w:rsidR="00716A39" w:rsidRPr="0007572B" w:rsidRDefault="00D552A9" w:rsidP="0038082E">
      <w:pPr>
        <w:rPr>
          <w:rFonts w:ascii="Arial" w:eastAsia="Calibri" w:hAnsi="Arial" w:cs="Arial"/>
          <w:lang w:val="pt-BR"/>
        </w:rPr>
      </w:pPr>
      <w:r w:rsidRPr="0007572B">
        <w:rPr>
          <w:rFonts w:ascii="Arial" w:eastAsia="Calibri" w:hAnsi="Arial" w:cs="Arial"/>
          <w:lang w:val="pt-BR"/>
        </w:rPr>
        <w:t xml:space="preserve">The Cash Flow Statement shows the changes in cash and cash equivalents of the Authority during the reporting period. The statement shows how the Authority generates and uses cash and cash equivalents by classifying cash flows as operating, investing and financing activities. The amount of net cash flows arising from operating activities is a key indicator of the extent to which the operations of the Authority are funded by way of taxation and grant income or from the recipients of services provided by the Authority. </w:t>
      </w:r>
    </w:p>
    <w:p w14:paraId="2702127E" w14:textId="77777777" w:rsidR="00716A39" w:rsidRPr="0007572B" w:rsidRDefault="00716A39" w:rsidP="0038082E">
      <w:pPr>
        <w:rPr>
          <w:rFonts w:ascii="Arial" w:eastAsia="Calibri" w:hAnsi="Arial" w:cs="Arial"/>
          <w:lang w:val="pt-BR"/>
        </w:rPr>
      </w:pPr>
    </w:p>
    <w:p w14:paraId="4E2C4AE7" w14:textId="49391674" w:rsidR="008A1801" w:rsidRPr="0007572B" w:rsidRDefault="00D552A9" w:rsidP="0038082E">
      <w:pPr>
        <w:rPr>
          <w:rFonts w:ascii="Arial" w:eastAsia="Calibri" w:hAnsi="Arial" w:cs="Arial"/>
          <w:lang w:val="pt-BR"/>
        </w:rPr>
      </w:pPr>
      <w:r w:rsidRPr="0007572B">
        <w:rPr>
          <w:rFonts w:ascii="Arial" w:eastAsia="Calibri" w:hAnsi="Arial" w:cs="Arial"/>
          <w:lang w:val="pt-BR"/>
        </w:rPr>
        <w:t>Investing activities represent the extent to which cash outflows have been made for resources which are intended to contribute to the Authority’s future service delivery. Cash flows arising from financing activities are useful in predicting claims on future cash flows by providers of capital (i</w:t>
      </w:r>
      <w:r w:rsidR="009D0BC9" w:rsidRPr="0007572B">
        <w:rPr>
          <w:rFonts w:ascii="Arial" w:eastAsia="Calibri" w:hAnsi="Arial" w:cs="Arial"/>
          <w:lang w:val="pt-BR"/>
        </w:rPr>
        <w:t>.</w:t>
      </w:r>
      <w:r w:rsidRPr="0007572B">
        <w:rPr>
          <w:rFonts w:ascii="Arial" w:eastAsia="Calibri" w:hAnsi="Arial" w:cs="Arial"/>
          <w:lang w:val="pt-BR"/>
        </w:rPr>
        <w:t>e</w:t>
      </w:r>
      <w:r w:rsidR="009D0BC9" w:rsidRPr="0007572B">
        <w:rPr>
          <w:rFonts w:ascii="Arial" w:eastAsia="Calibri" w:hAnsi="Arial" w:cs="Arial"/>
          <w:lang w:val="pt-BR"/>
        </w:rPr>
        <w:t>.</w:t>
      </w:r>
      <w:r w:rsidRPr="0007572B">
        <w:rPr>
          <w:rFonts w:ascii="Arial" w:eastAsia="Calibri" w:hAnsi="Arial" w:cs="Arial"/>
          <w:lang w:val="pt-BR"/>
        </w:rPr>
        <w:t xml:space="preserve"> borrowing) to the Authority.</w:t>
      </w:r>
    </w:p>
    <w:p w14:paraId="14426779" w14:textId="77777777" w:rsidR="00543B15" w:rsidRPr="0007572B" w:rsidRDefault="00543B15" w:rsidP="0038082E">
      <w:pPr>
        <w:jc w:val="both"/>
        <w:rPr>
          <w:rFonts w:ascii="Arial" w:hAnsi="Arial" w:cs="Arial"/>
          <w:sz w:val="22"/>
          <w:szCs w:val="22"/>
        </w:rPr>
      </w:pPr>
    </w:p>
    <w:p w14:paraId="5044F22F" w14:textId="70CB62CD" w:rsidR="00062B2C" w:rsidRPr="0007572B" w:rsidRDefault="008E0264" w:rsidP="0038082E">
      <w:pPr>
        <w:jc w:val="both"/>
        <w:rPr>
          <w:rFonts w:ascii="Arial" w:hAnsi="Arial" w:cs="Arial"/>
          <w:sz w:val="22"/>
          <w:szCs w:val="22"/>
        </w:rPr>
      </w:pPr>
      <w:r w:rsidRPr="008E0264">
        <w:rPr>
          <w:noProof/>
        </w:rPr>
        <w:drawing>
          <wp:inline distT="0" distB="0" distL="0" distR="0" wp14:anchorId="73BB1B38" wp14:editId="0E6C6E2D">
            <wp:extent cx="5749925" cy="217995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49925" cy="2179955"/>
                    </a:xfrm>
                    <a:prstGeom prst="rect">
                      <a:avLst/>
                    </a:prstGeom>
                    <a:noFill/>
                    <a:ln>
                      <a:noFill/>
                    </a:ln>
                  </pic:spPr>
                </pic:pic>
              </a:graphicData>
            </a:graphic>
          </wp:inline>
        </w:drawing>
      </w:r>
    </w:p>
    <w:p w14:paraId="000BE180" w14:textId="77777777" w:rsidR="00F2757F" w:rsidRPr="0007572B" w:rsidRDefault="00F2757F" w:rsidP="0038082E">
      <w:pPr>
        <w:jc w:val="both"/>
        <w:rPr>
          <w:rFonts w:ascii="Arial" w:hAnsi="Arial" w:cs="Arial"/>
          <w:b/>
          <w:sz w:val="22"/>
          <w:szCs w:val="22"/>
        </w:rPr>
      </w:pPr>
    </w:p>
    <w:p w14:paraId="62D6989B" w14:textId="77777777" w:rsidR="0095384C" w:rsidRPr="0007572B" w:rsidRDefault="0095384C" w:rsidP="0038082E">
      <w:pPr>
        <w:rPr>
          <w:rFonts w:ascii="Arial" w:hAnsi="Arial" w:cs="Arial"/>
          <w:b/>
          <w:sz w:val="40"/>
          <w:szCs w:val="40"/>
        </w:rPr>
      </w:pPr>
      <w:r w:rsidRPr="0007572B">
        <w:rPr>
          <w:rFonts w:ascii="Arial" w:hAnsi="Arial" w:cs="Arial"/>
          <w:b/>
          <w:sz w:val="40"/>
          <w:szCs w:val="40"/>
        </w:rPr>
        <w:br w:type="page"/>
      </w:r>
    </w:p>
    <w:p w14:paraId="4419846C" w14:textId="77777777" w:rsidR="00E266B1" w:rsidRPr="0007572B" w:rsidRDefault="00E266B1" w:rsidP="0038082E">
      <w:pPr>
        <w:jc w:val="center"/>
        <w:rPr>
          <w:rFonts w:ascii="Arial" w:hAnsi="Arial" w:cs="Arial"/>
          <w:b/>
          <w:sz w:val="40"/>
          <w:szCs w:val="40"/>
        </w:rPr>
      </w:pPr>
    </w:p>
    <w:p w14:paraId="21F9FEF3" w14:textId="111CD10A" w:rsidR="00CB4A8E" w:rsidRPr="0007572B" w:rsidRDefault="00CB4A8E" w:rsidP="0038082E">
      <w:pPr>
        <w:pStyle w:val="Heaading2green"/>
      </w:pPr>
      <w:bookmarkStart w:id="78" w:name="_Toc92895174"/>
      <w:bookmarkStart w:id="79" w:name="_Toc109922608"/>
      <w:r w:rsidRPr="0007572B">
        <w:t>Single Entity Accounts</w:t>
      </w:r>
      <w:bookmarkEnd w:id="78"/>
      <w:bookmarkEnd w:id="79"/>
    </w:p>
    <w:p w14:paraId="0EB67058" w14:textId="77777777" w:rsidR="00CB4A8E" w:rsidRPr="0007572B" w:rsidRDefault="00CB4A8E" w:rsidP="0038082E">
      <w:pPr>
        <w:jc w:val="center"/>
        <w:rPr>
          <w:rFonts w:ascii="Arial" w:hAnsi="Arial" w:cs="Arial"/>
          <w:b/>
          <w:sz w:val="40"/>
          <w:szCs w:val="40"/>
        </w:rPr>
      </w:pPr>
    </w:p>
    <w:p w14:paraId="08009F10" w14:textId="7331A0AD" w:rsidR="00CB4A8E" w:rsidRPr="0007572B" w:rsidRDefault="00CB4A8E" w:rsidP="0038082E">
      <w:pPr>
        <w:pStyle w:val="Heaading2green"/>
      </w:pPr>
      <w:bookmarkStart w:id="80" w:name="_Toc109922609"/>
      <w:r w:rsidRPr="0007572B">
        <w:t>Notes to the Financial Statements</w:t>
      </w:r>
      <w:bookmarkEnd w:id="80"/>
    </w:p>
    <w:p w14:paraId="1AE2DA0B" w14:textId="77777777" w:rsidR="00606E4A" w:rsidRPr="0007572B" w:rsidRDefault="00606E4A" w:rsidP="0038082E">
      <w:pPr>
        <w:rPr>
          <w:rFonts w:ascii="Arial" w:hAnsi="Arial" w:cs="Arial"/>
          <w:b/>
          <w:sz w:val="40"/>
          <w:szCs w:val="40"/>
        </w:rPr>
      </w:pPr>
      <w:r w:rsidRPr="0007572B">
        <w:rPr>
          <w:rFonts w:ascii="Arial" w:hAnsi="Arial" w:cs="Arial"/>
          <w:b/>
          <w:sz w:val="40"/>
          <w:szCs w:val="40"/>
        </w:rPr>
        <w:br w:type="page"/>
      </w:r>
    </w:p>
    <w:p w14:paraId="50CCA0A5" w14:textId="5D931CDF" w:rsidR="00B266FC" w:rsidRPr="004D2865" w:rsidRDefault="00B266FC" w:rsidP="0038082E">
      <w:pPr>
        <w:pStyle w:val="Heading3greennumbered"/>
      </w:pPr>
      <w:bookmarkStart w:id="81" w:name="_Toc92894872"/>
      <w:bookmarkStart w:id="82" w:name="_Toc92895176"/>
      <w:bookmarkStart w:id="83" w:name="_Toc109922610"/>
      <w:r w:rsidRPr="004D2865">
        <w:lastRenderedPageBreak/>
        <w:t>1 Accounting Concepts and Policies</w:t>
      </w:r>
      <w:bookmarkEnd w:id="81"/>
      <w:bookmarkEnd w:id="82"/>
      <w:bookmarkEnd w:id="83"/>
    </w:p>
    <w:p w14:paraId="19C16F86" w14:textId="77777777" w:rsidR="00924E51" w:rsidRPr="004D2865" w:rsidRDefault="00924E51" w:rsidP="0038082E">
      <w:pPr>
        <w:rPr>
          <w:rFonts w:eastAsiaTheme="minorHAnsi"/>
        </w:rPr>
      </w:pPr>
    </w:p>
    <w:p w14:paraId="376BD4E5" w14:textId="77777777" w:rsidR="00655E4C" w:rsidRPr="0007572B" w:rsidRDefault="00655E4C" w:rsidP="00655E4C">
      <w:pPr>
        <w:pStyle w:val="Heading4bold"/>
        <w:rPr>
          <w:rFonts w:eastAsiaTheme="minorHAnsi"/>
          <w:lang w:val="en-US"/>
        </w:rPr>
      </w:pPr>
      <w:r w:rsidRPr="0007572B">
        <w:rPr>
          <w:rFonts w:eastAsiaTheme="minorHAnsi"/>
          <w:lang w:val="en-US"/>
        </w:rPr>
        <w:t>1.1. General Principles</w:t>
      </w:r>
    </w:p>
    <w:p w14:paraId="3ED32990" w14:textId="77777777" w:rsidR="00655E4C" w:rsidRPr="0007572B" w:rsidRDefault="00655E4C" w:rsidP="00655E4C">
      <w:pPr>
        <w:pStyle w:val="Normal0"/>
        <w:spacing w:line="240" w:lineRule="auto"/>
        <w:rPr>
          <w:rFonts w:ascii="Arial" w:hAnsi="Arial" w:cs="Arial"/>
          <w:bCs/>
          <w:sz w:val="24"/>
          <w:szCs w:val="24"/>
          <w:lang w:eastAsia="en-GB"/>
        </w:rPr>
      </w:pPr>
      <w:r w:rsidRPr="0007572B">
        <w:rPr>
          <w:rFonts w:ascii="Arial" w:hAnsi="Arial" w:cs="Arial"/>
          <w:bCs/>
          <w:color w:val="000000"/>
          <w:sz w:val="24"/>
          <w:szCs w:val="24"/>
          <w:lang w:eastAsia="en-GB"/>
        </w:rPr>
        <w:t xml:space="preserve">The </w:t>
      </w:r>
      <w:r w:rsidRPr="0007572B">
        <w:rPr>
          <w:rFonts w:ascii="Arial" w:hAnsi="Arial" w:cs="Arial"/>
          <w:bCs/>
          <w:sz w:val="24"/>
          <w:szCs w:val="24"/>
          <w:lang w:eastAsia="en-GB"/>
        </w:rPr>
        <w:t>Statement of Accounts summarises the Authority’s transactions for the 202</w:t>
      </w:r>
      <w:r>
        <w:rPr>
          <w:rFonts w:ascii="Arial" w:hAnsi="Arial" w:cs="Arial"/>
          <w:bCs/>
          <w:sz w:val="24"/>
          <w:szCs w:val="24"/>
          <w:lang w:eastAsia="en-GB"/>
        </w:rPr>
        <w:t>1</w:t>
      </w:r>
      <w:r w:rsidRPr="0007572B">
        <w:rPr>
          <w:rFonts w:ascii="Arial" w:hAnsi="Arial" w:cs="Arial"/>
          <w:bCs/>
          <w:sz w:val="24"/>
          <w:szCs w:val="24"/>
          <w:lang w:eastAsia="en-GB"/>
        </w:rPr>
        <w:t>/2</w:t>
      </w:r>
      <w:r>
        <w:rPr>
          <w:rFonts w:ascii="Arial" w:hAnsi="Arial" w:cs="Arial"/>
          <w:bCs/>
          <w:sz w:val="24"/>
          <w:szCs w:val="24"/>
          <w:lang w:eastAsia="en-GB"/>
        </w:rPr>
        <w:t>2</w:t>
      </w:r>
      <w:r w:rsidRPr="0007572B">
        <w:rPr>
          <w:rFonts w:ascii="Arial" w:hAnsi="Arial" w:cs="Arial"/>
          <w:bCs/>
          <w:sz w:val="24"/>
          <w:szCs w:val="24"/>
          <w:lang w:eastAsia="en-GB"/>
        </w:rPr>
        <w:t xml:space="preserve"> financial year and its position at the year-end of 31 March 202</w:t>
      </w:r>
      <w:r>
        <w:rPr>
          <w:rFonts w:ascii="Arial" w:hAnsi="Arial" w:cs="Arial"/>
          <w:bCs/>
          <w:sz w:val="24"/>
          <w:szCs w:val="24"/>
          <w:lang w:eastAsia="en-GB"/>
        </w:rPr>
        <w:t>2</w:t>
      </w:r>
      <w:r w:rsidRPr="0007572B">
        <w:rPr>
          <w:rFonts w:ascii="Arial" w:hAnsi="Arial" w:cs="Arial"/>
          <w:bCs/>
          <w:sz w:val="24"/>
          <w:szCs w:val="24"/>
          <w:lang w:eastAsia="en-GB"/>
        </w:rPr>
        <w:t xml:space="preserve">. The Authority is required to prepare an annual Statement of Accounts by the Accounts and Audit Regulations 2015. These regulations require the Accounts to be prepared in accordance with proper accounting practices. </w:t>
      </w:r>
    </w:p>
    <w:p w14:paraId="45EE4105" w14:textId="77777777" w:rsidR="00655E4C" w:rsidRPr="0007572B" w:rsidRDefault="00655E4C" w:rsidP="00655E4C">
      <w:pPr>
        <w:pStyle w:val="Normal0"/>
        <w:spacing w:line="240" w:lineRule="auto"/>
        <w:rPr>
          <w:rFonts w:ascii="Arial" w:hAnsi="Arial" w:cs="Arial"/>
          <w:bCs/>
          <w:sz w:val="24"/>
          <w:szCs w:val="24"/>
          <w:lang w:eastAsia="en-GB"/>
        </w:rPr>
      </w:pPr>
    </w:p>
    <w:p w14:paraId="60413023" w14:textId="77777777" w:rsidR="00655E4C" w:rsidRPr="0007572B" w:rsidRDefault="00655E4C" w:rsidP="00655E4C">
      <w:pPr>
        <w:pStyle w:val="Normal0"/>
        <w:autoSpaceDE w:val="0"/>
        <w:autoSpaceDN w:val="0"/>
        <w:spacing w:line="240" w:lineRule="auto"/>
        <w:rPr>
          <w:rFonts w:ascii="Arial" w:hAnsi="Arial" w:cs="Arial"/>
          <w:bCs/>
          <w:sz w:val="24"/>
          <w:szCs w:val="24"/>
          <w:lang w:eastAsia="en-GB"/>
        </w:rPr>
      </w:pPr>
      <w:r w:rsidRPr="0007572B">
        <w:rPr>
          <w:rFonts w:ascii="Arial" w:hAnsi="Arial" w:cs="Arial"/>
          <w:bCs/>
          <w:sz w:val="24"/>
          <w:szCs w:val="24"/>
          <w:lang w:eastAsia="en-GB"/>
        </w:rPr>
        <w:t xml:space="preserve">These practices primarily comprise the Code of Practice on Local Authority Accounting in the United Kingdom </w:t>
      </w:r>
      <w:r>
        <w:rPr>
          <w:rFonts w:ascii="Arial" w:hAnsi="Arial" w:cs="Arial"/>
          <w:bCs/>
          <w:sz w:val="24"/>
          <w:szCs w:val="24"/>
          <w:lang w:eastAsia="en-GB"/>
        </w:rPr>
        <w:t>2021/22</w:t>
      </w:r>
      <w:r w:rsidRPr="0007572B">
        <w:rPr>
          <w:rFonts w:ascii="Arial" w:hAnsi="Arial" w:cs="Arial"/>
          <w:bCs/>
          <w:sz w:val="24"/>
          <w:szCs w:val="24"/>
          <w:lang w:eastAsia="en-GB"/>
        </w:rPr>
        <w:t>, supported by International Financial Reporting Standards (IFRS) and statutory guidance issued under section 12 of the Local Government Act 2003.</w:t>
      </w:r>
    </w:p>
    <w:p w14:paraId="3FE087F4" w14:textId="77777777" w:rsidR="00655E4C" w:rsidRPr="0007572B" w:rsidRDefault="00655E4C" w:rsidP="00655E4C">
      <w:pPr>
        <w:pStyle w:val="Normal0"/>
        <w:spacing w:line="240" w:lineRule="auto"/>
        <w:rPr>
          <w:rFonts w:ascii="Arial" w:hAnsi="Arial" w:cs="Arial"/>
          <w:bCs/>
          <w:sz w:val="24"/>
          <w:szCs w:val="24"/>
          <w:lang w:eastAsia="en-GB"/>
        </w:rPr>
      </w:pPr>
    </w:p>
    <w:p w14:paraId="23CC824B" w14:textId="77777777" w:rsidR="00655E4C" w:rsidRDefault="00655E4C" w:rsidP="00655E4C">
      <w:pPr>
        <w:rPr>
          <w:rFonts w:ascii="Arial" w:hAnsi="Arial" w:cs="Arial"/>
          <w:bCs/>
          <w:lang w:eastAsia="en-GB"/>
        </w:rPr>
      </w:pPr>
      <w:r w:rsidRPr="0007572B">
        <w:rPr>
          <w:rFonts w:ascii="Arial" w:hAnsi="Arial" w:cs="Arial"/>
          <w:bCs/>
          <w:lang w:eastAsia="en-GB"/>
        </w:rPr>
        <w:t>The accounting convention adopted in the Statement of Accounts is principally historical cost, modified by the revaluation of certain categories of non-current assets and financial instruments.</w:t>
      </w:r>
    </w:p>
    <w:p w14:paraId="77AF4B3D" w14:textId="77777777" w:rsidR="00655E4C" w:rsidRPr="0007572B" w:rsidRDefault="00655E4C" w:rsidP="00655E4C">
      <w:pPr>
        <w:rPr>
          <w:rFonts w:ascii="Arial" w:hAnsi="Arial" w:cs="Arial"/>
          <w:bCs/>
          <w:color w:val="000000"/>
          <w:lang w:val="en-US" w:eastAsia="en-GB"/>
        </w:rPr>
      </w:pPr>
    </w:p>
    <w:p w14:paraId="1AE654C1" w14:textId="77777777" w:rsidR="00655E4C" w:rsidRPr="0007572B" w:rsidRDefault="00655E4C" w:rsidP="00655E4C">
      <w:pPr>
        <w:pStyle w:val="Heading4bold"/>
        <w:rPr>
          <w:lang w:eastAsia="en-GB"/>
        </w:rPr>
      </w:pPr>
      <w:r w:rsidRPr="0007572B">
        <w:rPr>
          <w:lang w:eastAsia="en-GB"/>
        </w:rPr>
        <w:t>1.2. Accounting Concepts</w:t>
      </w:r>
    </w:p>
    <w:p w14:paraId="114E31AE" w14:textId="77777777" w:rsidR="00655E4C" w:rsidRPr="00C5321C" w:rsidRDefault="00655E4C" w:rsidP="00655E4C">
      <w:pPr>
        <w:rPr>
          <w:rFonts w:ascii="Arial" w:hAnsi="Arial" w:cs="Arial"/>
          <w:bCs/>
          <w:lang w:eastAsia="en-GB"/>
        </w:rPr>
      </w:pPr>
      <w:r w:rsidRPr="0007572B">
        <w:rPr>
          <w:rFonts w:ascii="Arial" w:hAnsi="Arial" w:cs="Arial"/>
          <w:bCs/>
          <w:lang w:eastAsia="en-GB"/>
        </w:rPr>
        <w:t xml:space="preserve">The accounts are prepared on a going concern basis. This </w:t>
      </w:r>
      <w:r w:rsidRPr="00C5321C">
        <w:rPr>
          <w:rFonts w:ascii="Arial" w:hAnsi="Arial" w:cs="Arial"/>
          <w:bCs/>
          <w:lang w:eastAsia="en-GB"/>
        </w:rPr>
        <w:t xml:space="preserve">assumes </w:t>
      </w:r>
      <w:r w:rsidRPr="00C5321C">
        <w:rPr>
          <w:rFonts w:ascii="Arial" w:hAnsi="Arial" w:cs="Arial"/>
        </w:rPr>
        <w:t>that the functions of the authority will continue in operational existence for the foreseeable future</w:t>
      </w:r>
      <w:r w:rsidRPr="00C5321C">
        <w:rPr>
          <w:rFonts w:ascii="Arial" w:hAnsi="Arial" w:cs="Arial"/>
          <w:bCs/>
          <w:lang w:eastAsia="en-GB"/>
        </w:rPr>
        <w:t>.</w:t>
      </w:r>
    </w:p>
    <w:p w14:paraId="7FD49136" w14:textId="77777777" w:rsidR="00655E4C" w:rsidRPr="0007572B" w:rsidRDefault="00655E4C" w:rsidP="00655E4C">
      <w:pPr>
        <w:rPr>
          <w:rFonts w:ascii="Arial" w:hAnsi="Arial" w:cs="Arial"/>
          <w:bCs/>
          <w:lang w:eastAsia="en-GB"/>
        </w:rPr>
      </w:pPr>
    </w:p>
    <w:p w14:paraId="18D3BCE1" w14:textId="77777777" w:rsidR="00655E4C" w:rsidRPr="0007572B" w:rsidRDefault="00655E4C" w:rsidP="00655E4C">
      <w:pPr>
        <w:rPr>
          <w:rFonts w:ascii="Arial" w:hAnsi="Arial" w:cs="Arial"/>
          <w:bCs/>
          <w:lang w:eastAsia="en-GB"/>
        </w:rPr>
      </w:pPr>
      <w:r w:rsidRPr="0007572B">
        <w:rPr>
          <w:rFonts w:ascii="Arial" w:hAnsi="Arial" w:cs="Arial"/>
          <w:bCs/>
          <w:lang w:eastAsia="en-GB"/>
        </w:rPr>
        <w:t xml:space="preserve">As a combined authority, the GMCA has to operate within its powers. The services provided by the GMCA include waste disposal functions, fire and rescue functions, police and crime commissioner, transport, economic development and regeneration. These services are funded by levies paid by the 10 Greater Manchester authorities, precepts collected by the 10 Greater Manchester authorities and grants provided by central government. The Authority does not anticipate that these levies, precepts or grants will cease in the foreseeable future given the statutory requirements placed on the GMCA to provide these services. </w:t>
      </w:r>
    </w:p>
    <w:p w14:paraId="0E01CBBF" w14:textId="77777777" w:rsidR="00655E4C" w:rsidRPr="0007572B" w:rsidRDefault="00655E4C" w:rsidP="00655E4C">
      <w:pPr>
        <w:rPr>
          <w:rFonts w:ascii="Arial" w:hAnsi="Arial" w:cs="Arial"/>
          <w:bCs/>
          <w:lang w:eastAsia="en-GB"/>
        </w:rPr>
      </w:pPr>
    </w:p>
    <w:p w14:paraId="75F22737" w14:textId="77777777" w:rsidR="00655E4C" w:rsidRDefault="00655E4C" w:rsidP="00655E4C">
      <w:pPr>
        <w:rPr>
          <w:rFonts w:ascii="Arial" w:hAnsi="Arial" w:cs="Arial"/>
          <w:bCs/>
          <w:lang w:eastAsia="en-GB"/>
        </w:rPr>
      </w:pPr>
      <w:r w:rsidRPr="0007572B">
        <w:rPr>
          <w:rFonts w:ascii="Arial" w:hAnsi="Arial" w:cs="Arial"/>
          <w:bCs/>
          <w:lang w:eastAsia="en-GB"/>
        </w:rPr>
        <w:t>The group includes TfGM, which provides the transport network across Greater Manchester, and although transport related borrowing sits on the GMCA balance sheet, all the transport assets sit on TFGM's balance sheet. GMCA carries sufficient reserves in respect of each of its functions to provide resilience in the event of volatility in its various funding sources.</w:t>
      </w:r>
    </w:p>
    <w:p w14:paraId="65D75819" w14:textId="77777777" w:rsidR="00655E4C" w:rsidRPr="0007572B" w:rsidRDefault="00655E4C" w:rsidP="00655E4C">
      <w:pPr>
        <w:rPr>
          <w:rFonts w:ascii="Arial" w:hAnsi="Arial" w:cs="Arial"/>
          <w:bCs/>
          <w:lang w:eastAsia="en-GB"/>
        </w:rPr>
      </w:pPr>
    </w:p>
    <w:p w14:paraId="115B9F4F" w14:textId="77777777" w:rsidR="00655E4C" w:rsidRPr="0007572B" w:rsidRDefault="00655E4C" w:rsidP="00655E4C">
      <w:pPr>
        <w:pStyle w:val="Heading4bold"/>
        <w:rPr>
          <w:lang w:eastAsia="en-GB"/>
        </w:rPr>
      </w:pPr>
      <w:r w:rsidRPr="002555A0">
        <w:rPr>
          <w:lang w:eastAsia="en-GB"/>
        </w:rPr>
        <w:t xml:space="preserve">1.3. Accruals </w:t>
      </w:r>
      <w:r w:rsidRPr="0007572B">
        <w:rPr>
          <w:lang w:eastAsia="en-GB"/>
        </w:rPr>
        <w:t>of Income and Expenditure</w:t>
      </w:r>
    </w:p>
    <w:p w14:paraId="02FB6694" w14:textId="77777777" w:rsidR="00655E4C" w:rsidRPr="0007572B" w:rsidRDefault="00655E4C" w:rsidP="00655E4C">
      <w:pPr>
        <w:pStyle w:val="Normal0"/>
        <w:spacing w:line="240" w:lineRule="auto"/>
        <w:rPr>
          <w:rFonts w:ascii="Arial" w:hAnsi="Arial" w:cs="Arial"/>
          <w:bCs/>
          <w:sz w:val="24"/>
          <w:szCs w:val="24"/>
          <w:lang w:eastAsia="en-GB"/>
        </w:rPr>
      </w:pPr>
      <w:r w:rsidRPr="0007572B">
        <w:rPr>
          <w:rFonts w:ascii="Arial" w:hAnsi="Arial" w:cs="Arial"/>
          <w:bCs/>
          <w:sz w:val="24"/>
          <w:szCs w:val="24"/>
          <w:lang w:eastAsia="en-GB"/>
        </w:rPr>
        <w:t>Activity is accounted for in the year that it takes place, not simply when cash payments are made or received. In particular:</w:t>
      </w:r>
    </w:p>
    <w:p w14:paraId="019AFD2F" w14:textId="77777777" w:rsidR="00655E4C" w:rsidRPr="0007572B" w:rsidRDefault="00655E4C" w:rsidP="00655E4C">
      <w:pPr>
        <w:pStyle w:val="Normal0"/>
        <w:spacing w:line="240" w:lineRule="auto"/>
        <w:rPr>
          <w:rFonts w:ascii="Arial" w:hAnsi="Arial" w:cs="Arial"/>
          <w:bCs/>
          <w:sz w:val="24"/>
          <w:szCs w:val="24"/>
          <w:lang w:eastAsia="en-GB"/>
        </w:rPr>
      </w:pPr>
    </w:p>
    <w:p w14:paraId="31EF9725" w14:textId="77777777" w:rsidR="00655E4C" w:rsidRPr="0007572B" w:rsidRDefault="00655E4C" w:rsidP="00EB27EB">
      <w:pPr>
        <w:pStyle w:val="ListParagraph"/>
        <w:numPr>
          <w:ilvl w:val="0"/>
          <w:numId w:val="18"/>
        </w:numPr>
        <w:spacing w:line="240" w:lineRule="auto"/>
        <w:ind w:left="993" w:hanging="426"/>
        <w:rPr>
          <w:rFonts w:ascii="Arial" w:hAnsi="Arial" w:cs="Arial"/>
          <w:bCs/>
          <w:sz w:val="24"/>
          <w:szCs w:val="24"/>
        </w:rPr>
      </w:pPr>
      <w:r w:rsidRPr="0007572B">
        <w:rPr>
          <w:rFonts w:ascii="Arial" w:hAnsi="Arial" w:cs="Arial"/>
          <w:bCs/>
          <w:sz w:val="24"/>
          <w:szCs w:val="24"/>
        </w:rPr>
        <w:t>Supplies are recorded as expenditure when they are consumed. Where there is a gap between the date supplies are received and their consumption they are carried as inventories on the Balance Sheet;</w:t>
      </w:r>
    </w:p>
    <w:p w14:paraId="4F863137" w14:textId="77777777" w:rsidR="00655E4C" w:rsidRPr="0007572B" w:rsidRDefault="00655E4C" w:rsidP="00EB27EB">
      <w:pPr>
        <w:pStyle w:val="ListParagraph"/>
        <w:numPr>
          <w:ilvl w:val="0"/>
          <w:numId w:val="18"/>
        </w:numPr>
        <w:spacing w:line="240" w:lineRule="auto"/>
        <w:ind w:left="993" w:hanging="426"/>
        <w:rPr>
          <w:rFonts w:ascii="Arial" w:hAnsi="Arial" w:cs="Arial"/>
          <w:bCs/>
          <w:sz w:val="24"/>
          <w:szCs w:val="24"/>
        </w:rPr>
      </w:pPr>
      <w:r w:rsidRPr="0007572B">
        <w:rPr>
          <w:rFonts w:ascii="Arial" w:hAnsi="Arial" w:cs="Arial"/>
          <w:bCs/>
          <w:sz w:val="24"/>
          <w:szCs w:val="24"/>
        </w:rPr>
        <w:t>Expenses relating to services received (including services provided by employees) are recorded as expenditure when the services are received rather than when payments are made;</w:t>
      </w:r>
    </w:p>
    <w:p w14:paraId="6A1ADC50" w14:textId="77777777" w:rsidR="00655E4C" w:rsidRPr="0007572B" w:rsidRDefault="00655E4C" w:rsidP="00EB27EB">
      <w:pPr>
        <w:pStyle w:val="ListParagraph"/>
        <w:numPr>
          <w:ilvl w:val="0"/>
          <w:numId w:val="18"/>
        </w:numPr>
        <w:spacing w:line="240" w:lineRule="auto"/>
        <w:ind w:left="993" w:hanging="426"/>
        <w:rPr>
          <w:rFonts w:ascii="Arial" w:hAnsi="Arial" w:cs="Arial"/>
          <w:bCs/>
          <w:sz w:val="24"/>
          <w:szCs w:val="24"/>
        </w:rPr>
      </w:pPr>
      <w:r w:rsidRPr="0007572B">
        <w:rPr>
          <w:rFonts w:ascii="Arial" w:hAnsi="Arial" w:cs="Arial"/>
          <w:bCs/>
          <w:sz w:val="24"/>
          <w:szCs w:val="24"/>
        </w:rPr>
        <w:lastRenderedPageBreak/>
        <w:t>Interest receivable on investments and payable on borrowings is accounted for respectively as income and expenditure on the basis of the effective interest rate for the relevant financial instrument rather than on the basis of the cash flows fixed or determined by the contract;</w:t>
      </w:r>
    </w:p>
    <w:p w14:paraId="2382DC9B" w14:textId="77777777" w:rsidR="00655E4C" w:rsidRDefault="00655E4C" w:rsidP="00EB27EB">
      <w:pPr>
        <w:pStyle w:val="ListParagraph"/>
        <w:numPr>
          <w:ilvl w:val="0"/>
          <w:numId w:val="18"/>
        </w:numPr>
        <w:spacing w:after="0" w:line="240" w:lineRule="auto"/>
        <w:ind w:left="992" w:hanging="425"/>
        <w:rPr>
          <w:rFonts w:ascii="Arial" w:hAnsi="Arial" w:cs="Arial"/>
          <w:bCs/>
          <w:sz w:val="24"/>
          <w:szCs w:val="24"/>
        </w:rPr>
      </w:pPr>
      <w:r w:rsidRPr="0007572B">
        <w:rPr>
          <w:rFonts w:ascii="Arial" w:hAnsi="Arial" w:cs="Arial"/>
          <w:bCs/>
          <w:sz w:val="24"/>
          <w:szCs w:val="24"/>
        </w:rPr>
        <w:t>Where revenue and expenditure have been recognised but cash has not been received or paid, a debtor or creditor for the relevant amount is recorded in the Balance sheet.</w:t>
      </w:r>
    </w:p>
    <w:p w14:paraId="6E55DD3B" w14:textId="77777777" w:rsidR="00655E4C" w:rsidRPr="0007572B" w:rsidRDefault="00655E4C" w:rsidP="00655E4C">
      <w:pPr>
        <w:pStyle w:val="ListParagraph"/>
        <w:spacing w:after="0" w:line="240" w:lineRule="auto"/>
        <w:ind w:left="992"/>
        <w:rPr>
          <w:rFonts w:ascii="Arial" w:hAnsi="Arial" w:cs="Arial"/>
          <w:bCs/>
          <w:sz w:val="24"/>
          <w:szCs w:val="24"/>
        </w:rPr>
      </w:pPr>
    </w:p>
    <w:p w14:paraId="6F14FFBD" w14:textId="77777777" w:rsidR="00655E4C" w:rsidRPr="0007572B" w:rsidRDefault="00655E4C" w:rsidP="00655E4C">
      <w:pPr>
        <w:pStyle w:val="Heading4bold"/>
        <w:rPr>
          <w:lang w:eastAsia="en-GB"/>
        </w:rPr>
      </w:pPr>
      <w:r w:rsidRPr="0007572B">
        <w:rPr>
          <w:lang w:eastAsia="en-GB"/>
        </w:rPr>
        <w:t>1.4. Cash and Cash Equivalents</w:t>
      </w:r>
    </w:p>
    <w:p w14:paraId="13A3F7AA" w14:textId="77777777" w:rsidR="00655E4C" w:rsidRPr="0007572B" w:rsidRDefault="00655E4C" w:rsidP="00655E4C">
      <w:pPr>
        <w:pStyle w:val="Normal0"/>
        <w:spacing w:line="240" w:lineRule="auto"/>
        <w:rPr>
          <w:rFonts w:ascii="Arial" w:hAnsi="Arial" w:cs="Arial"/>
          <w:bCs/>
          <w:sz w:val="24"/>
          <w:szCs w:val="24"/>
          <w:lang w:eastAsia="en-GB"/>
        </w:rPr>
      </w:pPr>
      <w:r w:rsidRPr="0007572B">
        <w:rPr>
          <w:rFonts w:ascii="Arial" w:hAnsi="Arial" w:cs="Arial"/>
          <w:bCs/>
          <w:sz w:val="24"/>
          <w:szCs w:val="24"/>
          <w:lang w:eastAsia="en-GB"/>
        </w:rPr>
        <w:t xml:space="preserve">Cash is represented by cash in hand and deposits with financial institutions and local authorities, repayable without penalty on notice of no more than 24 hours. </w:t>
      </w:r>
    </w:p>
    <w:p w14:paraId="1460EDEE" w14:textId="77777777" w:rsidR="00655E4C" w:rsidRPr="0007572B" w:rsidRDefault="00655E4C" w:rsidP="00655E4C">
      <w:pPr>
        <w:pStyle w:val="Normal0"/>
        <w:spacing w:line="240" w:lineRule="auto"/>
        <w:rPr>
          <w:rFonts w:ascii="Arial" w:hAnsi="Arial" w:cs="Arial"/>
          <w:bCs/>
          <w:sz w:val="24"/>
          <w:szCs w:val="24"/>
          <w:lang w:eastAsia="en-GB"/>
        </w:rPr>
      </w:pPr>
    </w:p>
    <w:p w14:paraId="65948DA3" w14:textId="77777777" w:rsidR="00655E4C" w:rsidRPr="0007572B" w:rsidRDefault="00655E4C" w:rsidP="00655E4C">
      <w:pPr>
        <w:pStyle w:val="Normal0"/>
        <w:spacing w:line="240" w:lineRule="auto"/>
        <w:rPr>
          <w:rFonts w:ascii="Arial" w:hAnsi="Arial" w:cs="Arial"/>
          <w:bCs/>
          <w:sz w:val="24"/>
          <w:szCs w:val="24"/>
          <w:lang w:eastAsia="en-GB"/>
        </w:rPr>
      </w:pPr>
      <w:r w:rsidRPr="0007572B">
        <w:rPr>
          <w:rFonts w:ascii="Arial" w:hAnsi="Arial" w:cs="Arial"/>
          <w:bCs/>
          <w:sz w:val="24"/>
          <w:szCs w:val="24"/>
          <w:lang w:eastAsia="en-GB"/>
        </w:rPr>
        <w:t>Cash equivalents are highly liquid investments that mature in no more than three months from the balance sheet date and that are readily convertible to known amounts of cash with insignificant risk of change in value.</w:t>
      </w:r>
    </w:p>
    <w:p w14:paraId="0F0A9FAD" w14:textId="77777777" w:rsidR="00655E4C" w:rsidRPr="0007572B" w:rsidRDefault="00655E4C" w:rsidP="00655E4C">
      <w:pPr>
        <w:pStyle w:val="Normal0"/>
        <w:spacing w:line="240" w:lineRule="auto"/>
        <w:rPr>
          <w:rFonts w:ascii="Arial" w:hAnsi="Arial" w:cs="Arial"/>
          <w:bCs/>
          <w:sz w:val="24"/>
          <w:szCs w:val="24"/>
          <w:lang w:eastAsia="en-GB"/>
        </w:rPr>
      </w:pPr>
    </w:p>
    <w:p w14:paraId="259C742F" w14:textId="77777777" w:rsidR="00655E4C" w:rsidRDefault="00655E4C" w:rsidP="00655E4C">
      <w:pPr>
        <w:rPr>
          <w:rFonts w:ascii="Arial" w:hAnsi="Arial" w:cs="Arial"/>
          <w:bCs/>
          <w:lang w:eastAsia="en-GB"/>
        </w:rPr>
      </w:pPr>
      <w:r w:rsidRPr="0007572B">
        <w:rPr>
          <w:rFonts w:ascii="Arial" w:hAnsi="Arial" w:cs="Arial"/>
          <w:bCs/>
          <w:lang w:eastAsia="en-GB"/>
        </w:rPr>
        <w:t>In the Cash Flow Statement, cash and cash equivalents are shown net of bank overdrafts that are repayable on demand and form an integral part of the Authority’s cash management.</w:t>
      </w:r>
    </w:p>
    <w:p w14:paraId="7E21FBB9" w14:textId="77777777" w:rsidR="00655E4C" w:rsidRPr="0007572B" w:rsidRDefault="00655E4C" w:rsidP="00655E4C">
      <w:pPr>
        <w:rPr>
          <w:rFonts w:ascii="Arial" w:hAnsi="Arial" w:cs="Arial"/>
          <w:bCs/>
          <w:color w:val="000000"/>
          <w:lang w:val="en-US" w:eastAsia="en-GB"/>
        </w:rPr>
      </w:pPr>
    </w:p>
    <w:p w14:paraId="78C2E170" w14:textId="77777777" w:rsidR="00655E4C" w:rsidRPr="0007572B" w:rsidRDefault="00655E4C" w:rsidP="00655E4C">
      <w:pPr>
        <w:pStyle w:val="Heading4bold"/>
        <w:rPr>
          <w:lang w:eastAsia="en-GB"/>
        </w:rPr>
      </w:pPr>
      <w:r w:rsidRPr="0007572B">
        <w:rPr>
          <w:lang w:eastAsia="en-GB"/>
        </w:rPr>
        <w:t>1.5. Prior Period Adjustments, Changes in Accounting Policies and Estimates and Errors</w:t>
      </w:r>
    </w:p>
    <w:p w14:paraId="674F81FE" w14:textId="77777777" w:rsidR="00655E4C" w:rsidRPr="0007572B" w:rsidRDefault="00655E4C" w:rsidP="00655E4C">
      <w:pPr>
        <w:pStyle w:val="Normal0"/>
        <w:spacing w:line="240" w:lineRule="auto"/>
        <w:rPr>
          <w:rFonts w:ascii="Arial" w:hAnsi="Arial" w:cs="Arial"/>
          <w:bCs/>
          <w:sz w:val="24"/>
          <w:szCs w:val="24"/>
          <w:lang w:eastAsia="en-GB"/>
        </w:rPr>
      </w:pPr>
      <w:r w:rsidRPr="0007572B">
        <w:rPr>
          <w:rFonts w:ascii="Arial" w:hAnsi="Arial" w:cs="Arial"/>
          <w:bCs/>
          <w:sz w:val="24"/>
          <w:szCs w:val="24"/>
          <w:lang w:eastAsia="en-GB"/>
        </w:rPr>
        <w:t>Prior period adjustments may arise as a result of a change in accounting policies, or to correct a material error. Changes in accounting estimates are accounted for prospectively, in other words, in the current and future years affected by the change and do not give rise to a prior period adjustment.</w:t>
      </w:r>
    </w:p>
    <w:p w14:paraId="703AD44C" w14:textId="77777777" w:rsidR="00655E4C" w:rsidRPr="0007572B" w:rsidRDefault="00655E4C" w:rsidP="00655E4C">
      <w:pPr>
        <w:pStyle w:val="Normal0"/>
        <w:spacing w:line="240" w:lineRule="auto"/>
        <w:rPr>
          <w:rFonts w:ascii="Arial" w:hAnsi="Arial" w:cs="Arial"/>
          <w:bCs/>
          <w:sz w:val="24"/>
          <w:szCs w:val="24"/>
          <w:lang w:eastAsia="en-GB"/>
        </w:rPr>
      </w:pPr>
    </w:p>
    <w:p w14:paraId="1BEF5E73" w14:textId="77777777" w:rsidR="00655E4C" w:rsidRPr="0007572B" w:rsidRDefault="00655E4C" w:rsidP="00655E4C">
      <w:pPr>
        <w:pStyle w:val="Normal0"/>
        <w:spacing w:line="240" w:lineRule="auto"/>
        <w:rPr>
          <w:rFonts w:ascii="Arial" w:hAnsi="Arial" w:cs="Arial"/>
          <w:bCs/>
          <w:sz w:val="24"/>
          <w:szCs w:val="24"/>
          <w:lang w:eastAsia="en-GB"/>
        </w:rPr>
      </w:pPr>
      <w:r w:rsidRPr="0007572B">
        <w:rPr>
          <w:rFonts w:ascii="Arial" w:hAnsi="Arial" w:cs="Arial"/>
          <w:bCs/>
          <w:sz w:val="24"/>
          <w:szCs w:val="24"/>
          <w:lang w:eastAsia="en-GB"/>
        </w:rPr>
        <w:t xml:space="preserve">Changes in accounting policies are only made when required by proper accounting practices or the change provides more reliable or relevant information about the effect of transactions, other events and conditions on the Authority’s financial position or financial performance. </w:t>
      </w:r>
    </w:p>
    <w:p w14:paraId="4907188D" w14:textId="77777777" w:rsidR="00655E4C" w:rsidRPr="0007572B" w:rsidRDefault="00655E4C" w:rsidP="00655E4C">
      <w:pPr>
        <w:pStyle w:val="Normal0"/>
        <w:spacing w:line="240" w:lineRule="auto"/>
        <w:rPr>
          <w:rFonts w:ascii="Arial" w:hAnsi="Arial" w:cs="Arial"/>
          <w:bCs/>
          <w:sz w:val="24"/>
          <w:szCs w:val="24"/>
          <w:lang w:eastAsia="en-GB"/>
        </w:rPr>
      </w:pPr>
    </w:p>
    <w:p w14:paraId="3045AA99" w14:textId="77777777" w:rsidR="00655E4C" w:rsidRPr="0007572B" w:rsidRDefault="00655E4C" w:rsidP="00655E4C">
      <w:pPr>
        <w:rPr>
          <w:rFonts w:ascii="Arial" w:hAnsi="Arial" w:cs="Arial"/>
          <w:bCs/>
          <w:color w:val="000000"/>
          <w:lang w:val="en-US" w:eastAsia="en-GB"/>
        </w:rPr>
      </w:pPr>
      <w:r w:rsidRPr="0007572B">
        <w:rPr>
          <w:rFonts w:ascii="Arial" w:hAnsi="Arial" w:cs="Arial"/>
          <w:bCs/>
          <w:lang w:eastAsia="en-GB"/>
        </w:rPr>
        <w:t>Where a change is made, it is applied retrospectively (unless stated otherwise) by adjusting opening balances and comparative amounts for the prior period as if the new policy had always been applied. If material errors are discovered in a prior period, figures are corrected retrospectively, by amending opening balances and comparative amounts for the prior period.</w:t>
      </w:r>
    </w:p>
    <w:p w14:paraId="7BAE6D18" w14:textId="77777777" w:rsidR="00655E4C" w:rsidRDefault="00655E4C" w:rsidP="00655E4C">
      <w:pPr>
        <w:pStyle w:val="Heading4bold"/>
        <w:rPr>
          <w:lang w:eastAsia="en-GB"/>
        </w:rPr>
      </w:pPr>
    </w:p>
    <w:p w14:paraId="6D9C36CA" w14:textId="77777777" w:rsidR="00655E4C" w:rsidRPr="0007572B" w:rsidRDefault="00655E4C" w:rsidP="00655E4C">
      <w:pPr>
        <w:pStyle w:val="Heading4bold"/>
        <w:rPr>
          <w:lang w:eastAsia="en-GB"/>
        </w:rPr>
      </w:pPr>
      <w:r w:rsidRPr="0007572B">
        <w:rPr>
          <w:lang w:eastAsia="en-GB"/>
        </w:rPr>
        <w:t>1.6. Charges to Revenue for Non-Current Assets</w:t>
      </w:r>
    </w:p>
    <w:p w14:paraId="1CEED401" w14:textId="77777777" w:rsidR="00655E4C" w:rsidRPr="0007572B" w:rsidRDefault="00655E4C" w:rsidP="00655E4C">
      <w:pPr>
        <w:pStyle w:val="Normal0"/>
        <w:spacing w:line="240" w:lineRule="auto"/>
        <w:rPr>
          <w:rFonts w:ascii="Arial" w:hAnsi="Arial" w:cs="Arial"/>
          <w:bCs/>
          <w:sz w:val="24"/>
          <w:szCs w:val="24"/>
          <w:lang w:eastAsia="en-GB"/>
        </w:rPr>
      </w:pPr>
      <w:r w:rsidRPr="0007572B">
        <w:rPr>
          <w:rFonts w:ascii="Arial" w:hAnsi="Arial" w:cs="Arial"/>
          <w:bCs/>
          <w:sz w:val="24"/>
          <w:szCs w:val="24"/>
          <w:lang w:eastAsia="en-GB"/>
        </w:rPr>
        <w:t>The Comprehensive Income and Expenditure Statement is debited with the following amounts to record the cost of holding non-current assets during the year:</w:t>
      </w:r>
    </w:p>
    <w:p w14:paraId="1147DE24" w14:textId="77777777" w:rsidR="00655E4C" w:rsidRPr="0007572B" w:rsidRDefault="00655E4C" w:rsidP="00655E4C">
      <w:pPr>
        <w:pStyle w:val="Normal0"/>
        <w:spacing w:line="240" w:lineRule="auto"/>
        <w:rPr>
          <w:rFonts w:ascii="Arial" w:hAnsi="Arial" w:cs="Arial"/>
          <w:bCs/>
          <w:sz w:val="24"/>
          <w:szCs w:val="24"/>
          <w:lang w:eastAsia="en-GB"/>
        </w:rPr>
      </w:pPr>
    </w:p>
    <w:p w14:paraId="0D21D243" w14:textId="77777777" w:rsidR="00655E4C" w:rsidRPr="0007572B" w:rsidRDefault="00655E4C" w:rsidP="00EB27EB">
      <w:pPr>
        <w:pStyle w:val="ListParagraph"/>
        <w:numPr>
          <w:ilvl w:val="0"/>
          <w:numId w:val="19"/>
        </w:numPr>
        <w:spacing w:line="240" w:lineRule="auto"/>
        <w:ind w:hanging="513"/>
        <w:rPr>
          <w:rFonts w:ascii="Arial" w:hAnsi="Arial" w:cs="Arial"/>
          <w:bCs/>
          <w:sz w:val="24"/>
          <w:szCs w:val="24"/>
        </w:rPr>
      </w:pPr>
      <w:r w:rsidRPr="0007572B">
        <w:rPr>
          <w:rFonts w:ascii="Arial" w:hAnsi="Arial" w:cs="Arial"/>
          <w:bCs/>
          <w:sz w:val="24"/>
          <w:szCs w:val="24"/>
        </w:rPr>
        <w:t>Depreciation attributable to the assets used by the relevant service;</w:t>
      </w:r>
    </w:p>
    <w:p w14:paraId="658C1D3E" w14:textId="77777777" w:rsidR="00655E4C" w:rsidRPr="0007572B" w:rsidRDefault="00655E4C" w:rsidP="00EB27EB">
      <w:pPr>
        <w:pStyle w:val="ListParagraph"/>
        <w:numPr>
          <w:ilvl w:val="0"/>
          <w:numId w:val="19"/>
        </w:numPr>
        <w:spacing w:line="240" w:lineRule="auto"/>
        <w:ind w:hanging="513"/>
        <w:rPr>
          <w:rFonts w:ascii="Arial" w:hAnsi="Arial" w:cs="Arial"/>
          <w:bCs/>
          <w:sz w:val="24"/>
          <w:szCs w:val="24"/>
        </w:rPr>
      </w:pPr>
      <w:r w:rsidRPr="0007572B">
        <w:rPr>
          <w:rFonts w:ascii="Arial" w:hAnsi="Arial" w:cs="Arial"/>
          <w:bCs/>
          <w:sz w:val="24"/>
          <w:szCs w:val="24"/>
        </w:rPr>
        <w:t>Revaluation and impairment losses on assets used by the service where there are no accumulated gains in the Revaluation Reserve against which the losses can be written off;</w:t>
      </w:r>
    </w:p>
    <w:p w14:paraId="4B4AC99C" w14:textId="77777777" w:rsidR="00655E4C" w:rsidRPr="0007572B" w:rsidRDefault="00655E4C" w:rsidP="00EB27EB">
      <w:pPr>
        <w:pStyle w:val="ListParagraph"/>
        <w:numPr>
          <w:ilvl w:val="0"/>
          <w:numId w:val="19"/>
        </w:numPr>
        <w:spacing w:line="240" w:lineRule="auto"/>
        <w:ind w:hanging="513"/>
        <w:rPr>
          <w:rFonts w:ascii="Arial" w:hAnsi="Arial" w:cs="Arial"/>
          <w:bCs/>
          <w:sz w:val="24"/>
          <w:szCs w:val="24"/>
        </w:rPr>
      </w:pPr>
      <w:r w:rsidRPr="0007572B">
        <w:rPr>
          <w:rFonts w:ascii="Arial" w:hAnsi="Arial" w:cs="Arial"/>
          <w:bCs/>
          <w:sz w:val="24"/>
          <w:szCs w:val="24"/>
        </w:rPr>
        <w:t>Amortisation of intangible non-current assets attributable to the service.</w:t>
      </w:r>
    </w:p>
    <w:p w14:paraId="0F2549B4" w14:textId="77777777" w:rsidR="00655E4C" w:rsidRPr="0007572B" w:rsidRDefault="00655E4C" w:rsidP="00655E4C">
      <w:pPr>
        <w:pStyle w:val="Normal0"/>
        <w:spacing w:line="240" w:lineRule="auto"/>
        <w:rPr>
          <w:rFonts w:ascii="Arial" w:hAnsi="Arial" w:cs="Arial"/>
          <w:bCs/>
          <w:sz w:val="24"/>
          <w:szCs w:val="24"/>
          <w:lang w:eastAsia="en-GB"/>
        </w:rPr>
      </w:pPr>
    </w:p>
    <w:p w14:paraId="248944AD" w14:textId="77777777" w:rsidR="00655E4C" w:rsidRPr="00042AAC" w:rsidRDefault="00655E4C" w:rsidP="00655E4C">
      <w:pPr>
        <w:pStyle w:val="Normal0"/>
        <w:spacing w:line="240" w:lineRule="auto"/>
        <w:rPr>
          <w:rFonts w:ascii="Arial" w:hAnsi="Arial" w:cs="Arial"/>
          <w:bCs/>
          <w:sz w:val="24"/>
          <w:szCs w:val="24"/>
          <w:lang w:eastAsia="en-GB"/>
        </w:rPr>
      </w:pPr>
      <w:r w:rsidRPr="0007572B">
        <w:rPr>
          <w:rFonts w:ascii="Arial" w:hAnsi="Arial" w:cs="Arial"/>
          <w:bCs/>
          <w:sz w:val="24"/>
          <w:szCs w:val="24"/>
          <w:lang w:eastAsia="en-GB"/>
        </w:rPr>
        <w:t xml:space="preserve">The Authority is not required to raise precepts, levies or GM authority contributions to fund depreciation, revaluation and impairment losses or amortisations. </w:t>
      </w:r>
      <w:r w:rsidRPr="00042AAC">
        <w:rPr>
          <w:rFonts w:ascii="Arial" w:hAnsi="Arial" w:cs="Arial"/>
          <w:bCs/>
          <w:sz w:val="24"/>
          <w:szCs w:val="24"/>
          <w:lang w:eastAsia="en-GB"/>
        </w:rPr>
        <w:t xml:space="preserve">However, it is required to make an annual contribution from revenue towards the reduction in its overall borrowing requirement equal to a minimum revenue provision (MRP) amount calculated on a prudent basis determined by the Authority in accordance with statutory guidance. </w:t>
      </w:r>
    </w:p>
    <w:p w14:paraId="411C62DC" w14:textId="77777777" w:rsidR="00655E4C" w:rsidRPr="00042AAC" w:rsidRDefault="00655E4C" w:rsidP="00655E4C">
      <w:pPr>
        <w:pStyle w:val="Normal0"/>
        <w:spacing w:line="240" w:lineRule="auto"/>
        <w:rPr>
          <w:rFonts w:ascii="Arial" w:hAnsi="Arial" w:cs="Arial"/>
          <w:bCs/>
          <w:sz w:val="24"/>
          <w:szCs w:val="24"/>
          <w:lang w:eastAsia="en-GB"/>
        </w:rPr>
      </w:pPr>
    </w:p>
    <w:p w14:paraId="79096CBB" w14:textId="77777777" w:rsidR="00655E4C" w:rsidRDefault="00655E4C" w:rsidP="00655E4C">
      <w:pPr>
        <w:rPr>
          <w:rFonts w:ascii="Arial" w:hAnsi="Arial" w:cs="Arial"/>
          <w:bCs/>
          <w:lang w:eastAsia="en-GB"/>
        </w:rPr>
      </w:pPr>
      <w:r w:rsidRPr="00042AAC">
        <w:rPr>
          <w:rFonts w:ascii="Arial" w:hAnsi="Arial" w:cs="Arial"/>
          <w:bCs/>
          <w:lang w:eastAsia="en-GB"/>
        </w:rPr>
        <w:t>Depreciation, revaluation and impairment losses and amortisations are therefore replaced by the MRP contribution in the General Fund Balance, by way of an adjusting transaction with the Capital Adjustment Account in the Movement in Reserves Statement for the difference between the two.</w:t>
      </w:r>
    </w:p>
    <w:p w14:paraId="799D47D4" w14:textId="77777777" w:rsidR="00655E4C" w:rsidRPr="0007572B" w:rsidRDefault="00655E4C" w:rsidP="00655E4C">
      <w:pPr>
        <w:rPr>
          <w:rFonts w:ascii="Arial" w:hAnsi="Arial" w:cs="Arial"/>
          <w:bCs/>
          <w:color w:val="000000"/>
          <w:lang w:val="en-US" w:eastAsia="en-GB"/>
        </w:rPr>
      </w:pPr>
    </w:p>
    <w:p w14:paraId="21D980A3" w14:textId="77777777" w:rsidR="00655E4C" w:rsidRPr="0007572B" w:rsidRDefault="00655E4C" w:rsidP="00655E4C">
      <w:pPr>
        <w:pStyle w:val="Heading4bold"/>
        <w:rPr>
          <w:lang w:eastAsia="en-GB"/>
        </w:rPr>
      </w:pPr>
      <w:r w:rsidRPr="0007572B">
        <w:rPr>
          <w:color w:val="000000"/>
          <w:lang w:eastAsia="en-GB"/>
        </w:rPr>
        <w:t>1.7. T</w:t>
      </w:r>
      <w:r w:rsidRPr="0007572B">
        <w:rPr>
          <w:lang w:eastAsia="en-GB"/>
        </w:rPr>
        <w:t>ermination Benefits</w:t>
      </w:r>
    </w:p>
    <w:p w14:paraId="3028A0FE" w14:textId="77777777" w:rsidR="00655E4C" w:rsidRPr="0007572B" w:rsidRDefault="00655E4C" w:rsidP="00655E4C">
      <w:pPr>
        <w:pStyle w:val="Normal0"/>
        <w:spacing w:line="240" w:lineRule="auto"/>
        <w:rPr>
          <w:rFonts w:ascii="Arial" w:hAnsi="Arial" w:cs="Arial"/>
          <w:bCs/>
          <w:sz w:val="24"/>
          <w:szCs w:val="24"/>
          <w:lang w:eastAsia="en-GB"/>
        </w:rPr>
      </w:pPr>
      <w:r w:rsidRPr="0007572B">
        <w:rPr>
          <w:rFonts w:ascii="Arial" w:hAnsi="Arial" w:cs="Arial"/>
          <w:bCs/>
          <w:sz w:val="24"/>
          <w:szCs w:val="24"/>
          <w:lang w:eastAsia="en-GB"/>
        </w:rPr>
        <w:t xml:space="preserve">Termination benefits are amounts payable, as a result of a decision by the Authority, to terminate an Officer’s employment or an Officer’s decision to accept voluntary redundancy in exchange for those benefits and are charged on an accruals basis to the appropriate service in the Comprehensive Income and Expenditure Statement when the Authority is demonstrably committed to the termination of the employment of an Officer or group of Officers or making an offer to encourage voluntary redundancy. </w:t>
      </w:r>
    </w:p>
    <w:p w14:paraId="21B4F775" w14:textId="77777777" w:rsidR="00655E4C" w:rsidRPr="0007572B" w:rsidRDefault="00655E4C" w:rsidP="00655E4C">
      <w:pPr>
        <w:pStyle w:val="Normal0"/>
        <w:spacing w:line="240" w:lineRule="auto"/>
        <w:rPr>
          <w:rFonts w:ascii="Arial" w:hAnsi="Arial" w:cs="Arial"/>
          <w:bCs/>
          <w:sz w:val="24"/>
          <w:szCs w:val="24"/>
          <w:lang w:eastAsia="en-GB"/>
        </w:rPr>
      </w:pPr>
    </w:p>
    <w:p w14:paraId="36860C69" w14:textId="77777777" w:rsidR="00655E4C" w:rsidRDefault="00655E4C" w:rsidP="00655E4C">
      <w:pPr>
        <w:rPr>
          <w:rFonts w:ascii="Arial" w:hAnsi="Arial" w:cs="Arial"/>
          <w:bCs/>
          <w:lang w:eastAsia="en-GB"/>
        </w:rPr>
      </w:pPr>
      <w:r w:rsidRPr="0007572B">
        <w:rPr>
          <w:rFonts w:ascii="Arial" w:hAnsi="Arial" w:cs="Arial"/>
          <w:bCs/>
          <w:lang w:eastAsia="en-GB"/>
        </w:rPr>
        <w:t>Where termination benefits involve the enhancement of pensions, statutory provisions require the General Fund Balance to be charged with the amount payable by the Authority to the pension fund or pensioner in the year, not the amount calculated according to the relevant accounting standards. In the Movement in Reserves Statement, appropriations are made to and from the Pensions Reserve to remove the notional debits and credits for pension enhancement termination benefits and replace them with debits for the cash paid to the pension fund and pensioners and any such amounts payable but unpaid at the year-end.</w:t>
      </w:r>
    </w:p>
    <w:p w14:paraId="4F96E7DE" w14:textId="77777777" w:rsidR="00655E4C" w:rsidRPr="0007572B" w:rsidRDefault="00655E4C" w:rsidP="00655E4C">
      <w:pPr>
        <w:rPr>
          <w:rFonts w:ascii="Arial" w:hAnsi="Arial" w:cs="Arial"/>
          <w:bCs/>
          <w:color w:val="000000"/>
          <w:lang w:val="en-US" w:eastAsia="en-GB"/>
        </w:rPr>
      </w:pPr>
    </w:p>
    <w:p w14:paraId="6B4A13AD" w14:textId="77777777" w:rsidR="00655E4C" w:rsidRPr="0007572B" w:rsidRDefault="00655E4C" w:rsidP="00655E4C">
      <w:pPr>
        <w:pStyle w:val="Heading4bold"/>
        <w:rPr>
          <w:lang w:eastAsia="en-GB"/>
        </w:rPr>
      </w:pPr>
      <w:r w:rsidRPr="0007572B">
        <w:rPr>
          <w:lang w:eastAsia="en-GB"/>
        </w:rPr>
        <w:t>1.8. Post-Employment Benefits – Pensions</w:t>
      </w:r>
    </w:p>
    <w:p w14:paraId="13E1C07F" w14:textId="77777777" w:rsidR="00655E4C" w:rsidRPr="0007572B" w:rsidRDefault="00655E4C" w:rsidP="00655E4C">
      <w:pPr>
        <w:pStyle w:val="Normal0"/>
        <w:spacing w:line="240" w:lineRule="auto"/>
        <w:rPr>
          <w:rFonts w:ascii="Arial" w:hAnsi="Arial" w:cs="Arial"/>
          <w:bCs/>
          <w:sz w:val="24"/>
          <w:szCs w:val="24"/>
          <w:lang w:eastAsia="en-GB"/>
        </w:rPr>
      </w:pPr>
      <w:r w:rsidRPr="0007572B">
        <w:rPr>
          <w:rFonts w:ascii="Arial" w:hAnsi="Arial" w:cs="Arial"/>
          <w:bCs/>
          <w:sz w:val="24"/>
          <w:szCs w:val="24"/>
          <w:lang w:eastAsia="en-GB"/>
        </w:rPr>
        <w:t>Employees of the Authority are divided between two separate pension schemes: The Firefighters’ Pension Scheme for its uniformed firefighters and the Local Government Pension Scheme for all other staff.</w:t>
      </w:r>
    </w:p>
    <w:p w14:paraId="56A28A4C" w14:textId="77777777" w:rsidR="00655E4C" w:rsidRPr="0007572B" w:rsidRDefault="00655E4C" w:rsidP="00655E4C">
      <w:pPr>
        <w:pStyle w:val="Normal0"/>
        <w:spacing w:line="240" w:lineRule="auto"/>
        <w:rPr>
          <w:rFonts w:ascii="Arial" w:hAnsi="Arial" w:cs="Arial"/>
          <w:bCs/>
          <w:sz w:val="24"/>
          <w:szCs w:val="24"/>
          <w:lang w:eastAsia="en-GB"/>
        </w:rPr>
      </w:pPr>
    </w:p>
    <w:p w14:paraId="34A06E5C" w14:textId="77777777" w:rsidR="00655E4C" w:rsidRDefault="00655E4C" w:rsidP="00655E4C">
      <w:pPr>
        <w:rPr>
          <w:rFonts w:ascii="Arial" w:hAnsi="Arial" w:cs="Arial"/>
          <w:bCs/>
          <w:lang w:eastAsia="en-GB"/>
        </w:rPr>
      </w:pPr>
      <w:r w:rsidRPr="0007572B">
        <w:rPr>
          <w:rFonts w:ascii="Arial" w:hAnsi="Arial" w:cs="Arial"/>
          <w:bCs/>
          <w:lang w:eastAsia="en-GB"/>
        </w:rPr>
        <w:t xml:space="preserve">In accordance with proper practices the Authority has fully complied with the International </w:t>
      </w:r>
      <w:r>
        <w:rPr>
          <w:rFonts w:ascii="Arial" w:hAnsi="Arial" w:cs="Arial"/>
          <w:bCs/>
          <w:lang w:eastAsia="en-GB"/>
        </w:rPr>
        <w:t>Accounting</w:t>
      </w:r>
      <w:r w:rsidRPr="0007572B">
        <w:rPr>
          <w:rFonts w:ascii="Arial" w:hAnsi="Arial" w:cs="Arial"/>
          <w:bCs/>
          <w:lang w:eastAsia="en-GB"/>
        </w:rPr>
        <w:t xml:space="preserve"> Standard IAS19 (Employee Benefits). All Pension schemes are classified as ‘defined benefit’ schemes under IAS19 and the accounting principles and their effect on the financial statements are explained below.</w:t>
      </w:r>
    </w:p>
    <w:p w14:paraId="09B696B8" w14:textId="77777777" w:rsidR="00655E4C" w:rsidRPr="0007572B" w:rsidRDefault="00655E4C" w:rsidP="00655E4C">
      <w:pPr>
        <w:rPr>
          <w:rFonts w:ascii="Arial" w:hAnsi="Arial" w:cs="Arial"/>
          <w:bCs/>
          <w:color w:val="000000"/>
          <w:lang w:val="en-US" w:eastAsia="en-GB"/>
        </w:rPr>
      </w:pPr>
    </w:p>
    <w:p w14:paraId="3CC0B569" w14:textId="77777777" w:rsidR="00655E4C" w:rsidRDefault="00655E4C" w:rsidP="00655E4C">
      <w:pPr>
        <w:pStyle w:val="Heading5"/>
        <w:rPr>
          <w:lang w:eastAsia="en-GB"/>
        </w:rPr>
      </w:pPr>
      <w:r w:rsidRPr="0007572B">
        <w:rPr>
          <w:lang w:eastAsia="en-GB"/>
        </w:rPr>
        <w:t>1.8.1. The Firefighters’ Pension Scheme</w:t>
      </w:r>
    </w:p>
    <w:p w14:paraId="47FC4932" w14:textId="77777777" w:rsidR="00655E4C" w:rsidRPr="004D2865" w:rsidRDefault="00655E4C" w:rsidP="00655E4C">
      <w:pPr>
        <w:rPr>
          <w:lang w:eastAsia="en-GB"/>
        </w:rPr>
      </w:pPr>
    </w:p>
    <w:p w14:paraId="3490EB04" w14:textId="77777777" w:rsidR="00655E4C" w:rsidRPr="0007572B" w:rsidRDefault="00655E4C" w:rsidP="00655E4C">
      <w:pPr>
        <w:spacing w:after="120"/>
        <w:rPr>
          <w:rFonts w:ascii="Arial" w:hAnsi="Arial" w:cs="Arial"/>
          <w:szCs w:val="28"/>
        </w:rPr>
      </w:pPr>
      <w:r w:rsidRPr="0007572B">
        <w:rPr>
          <w:rFonts w:ascii="Arial" w:hAnsi="Arial" w:cs="Arial"/>
          <w:szCs w:val="28"/>
        </w:rPr>
        <w:t>This is a defined benefit scheme, the rules of which are set out in the Firefighters’ Pension Regulations. The scheme is wholly unfunded. No investment assets have been built up to meet liabilities and cash ha</w:t>
      </w:r>
      <w:r>
        <w:rPr>
          <w:rFonts w:ascii="Arial" w:hAnsi="Arial" w:cs="Arial"/>
          <w:szCs w:val="28"/>
        </w:rPr>
        <w:t>s</w:t>
      </w:r>
      <w:r w:rsidRPr="0007572B">
        <w:rPr>
          <w:rFonts w:ascii="Arial" w:hAnsi="Arial" w:cs="Arial"/>
          <w:szCs w:val="28"/>
        </w:rPr>
        <w:t xml:space="preserve"> to be generated from employee and employer contributions to meet actual pension payments as they fall due.</w:t>
      </w:r>
    </w:p>
    <w:p w14:paraId="3694C8DA" w14:textId="77777777" w:rsidR="00655E4C" w:rsidRPr="0007572B" w:rsidRDefault="00655E4C" w:rsidP="00655E4C">
      <w:pPr>
        <w:spacing w:after="120"/>
        <w:rPr>
          <w:rFonts w:ascii="Arial" w:hAnsi="Arial" w:cs="Arial"/>
          <w:szCs w:val="28"/>
        </w:rPr>
      </w:pPr>
      <w:r w:rsidRPr="0007572B">
        <w:rPr>
          <w:rFonts w:ascii="Arial" w:hAnsi="Arial" w:cs="Arial"/>
          <w:szCs w:val="28"/>
        </w:rPr>
        <w:t>The Combined Authority as an employer, and firefighters as members, pay pension contribution</w:t>
      </w:r>
      <w:r>
        <w:rPr>
          <w:rFonts w:ascii="Arial" w:hAnsi="Arial" w:cs="Arial"/>
          <w:szCs w:val="28"/>
        </w:rPr>
        <w:t>s</w:t>
      </w:r>
      <w:r w:rsidRPr="0007572B">
        <w:rPr>
          <w:rFonts w:ascii="Arial" w:hAnsi="Arial" w:cs="Arial"/>
          <w:szCs w:val="28"/>
        </w:rPr>
        <w:t xml:space="preserve"> based on a percentage of pensionable pay into the Firefighters’ Pension Fund Account. Pension benefits are paid out of the Pension Fund Account.</w:t>
      </w:r>
    </w:p>
    <w:p w14:paraId="04EA2938" w14:textId="77777777" w:rsidR="00655E4C" w:rsidRPr="0007572B" w:rsidRDefault="00655E4C" w:rsidP="00655E4C">
      <w:pPr>
        <w:spacing w:after="120"/>
        <w:rPr>
          <w:rFonts w:ascii="Arial" w:hAnsi="Arial" w:cs="Arial"/>
          <w:szCs w:val="28"/>
        </w:rPr>
      </w:pPr>
      <w:r w:rsidRPr="0007572B">
        <w:rPr>
          <w:rFonts w:ascii="Arial" w:hAnsi="Arial" w:cs="Arial"/>
          <w:szCs w:val="28"/>
        </w:rPr>
        <w:lastRenderedPageBreak/>
        <w:t>The amounts payable into and out of the Pension Fund Account are specified by regulations. Any surplus or deficit on the Pension Fund Account must be transferred to or from the Authority and ultimately repaid to or received from the Home Office.</w:t>
      </w:r>
    </w:p>
    <w:p w14:paraId="263BEA8A" w14:textId="77777777" w:rsidR="00655E4C" w:rsidRPr="0007572B" w:rsidRDefault="00655E4C" w:rsidP="00655E4C">
      <w:pPr>
        <w:spacing w:after="120"/>
        <w:rPr>
          <w:rFonts w:ascii="Arial" w:hAnsi="Arial" w:cs="Arial"/>
        </w:rPr>
      </w:pPr>
      <w:r w:rsidRPr="0007572B">
        <w:rPr>
          <w:rFonts w:ascii="Arial" w:hAnsi="Arial" w:cs="Arial"/>
        </w:rPr>
        <w:t>Injury awards are not part of the pension scheme and are charged directly to the Comprehensive Income and Expenditure Statement. However, liabilities in respect of injury awards are disclosed as part of the overall pensions liability.</w:t>
      </w:r>
    </w:p>
    <w:p w14:paraId="63A17584" w14:textId="77777777" w:rsidR="00655E4C" w:rsidRDefault="00655E4C" w:rsidP="00655E4C">
      <w:pPr>
        <w:rPr>
          <w:rFonts w:ascii="Arial" w:hAnsi="Arial" w:cs="Arial"/>
        </w:rPr>
      </w:pPr>
      <w:r w:rsidRPr="0007572B">
        <w:rPr>
          <w:rFonts w:ascii="Arial" w:hAnsi="Arial" w:cs="Arial"/>
        </w:rPr>
        <w:t>Other than references to assets, these schemes are accounted for in the same way as the Local Government Pension Scheme set out below.</w:t>
      </w:r>
    </w:p>
    <w:p w14:paraId="44262A6F" w14:textId="77777777" w:rsidR="00655E4C" w:rsidRPr="0007572B" w:rsidRDefault="00655E4C" w:rsidP="00655E4C">
      <w:pPr>
        <w:rPr>
          <w:rFonts w:ascii="Arial" w:hAnsi="Arial" w:cs="Arial"/>
        </w:rPr>
      </w:pPr>
    </w:p>
    <w:p w14:paraId="0736CA3B" w14:textId="77777777" w:rsidR="00655E4C" w:rsidRDefault="00655E4C" w:rsidP="00655E4C">
      <w:pPr>
        <w:pStyle w:val="Heading5"/>
        <w:rPr>
          <w:lang w:eastAsia="en-GB"/>
        </w:rPr>
      </w:pPr>
      <w:r w:rsidRPr="0007572B">
        <w:rPr>
          <w:lang w:eastAsia="en-GB"/>
        </w:rPr>
        <w:t>1.8.2. Local Government Pension Scheme</w:t>
      </w:r>
    </w:p>
    <w:p w14:paraId="5BF8EE1B" w14:textId="77777777" w:rsidR="00655E4C" w:rsidRPr="004D2865" w:rsidRDefault="00655E4C" w:rsidP="00655E4C">
      <w:pPr>
        <w:rPr>
          <w:lang w:eastAsia="en-GB"/>
        </w:rPr>
      </w:pPr>
    </w:p>
    <w:p w14:paraId="77D3763E" w14:textId="77777777" w:rsidR="00655E4C" w:rsidRPr="0007572B" w:rsidRDefault="00655E4C" w:rsidP="00655E4C">
      <w:pPr>
        <w:rPr>
          <w:rFonts w:ascii="Arial" w:hAnsi="Arial" w:cs="Arial"/>
        </w:rPr>
      </w:pPr>
      <w:r w:rsidRPr="0007572B">
        <w:rPr>
          <w:rFonts w:ascii="Arial" w:hAnsi="Arial" w:cs="Arial"/>
        </w:rPr>
        <w:t>The Local Government Pension Scheme is accounted for as a defined benefits scheme. Both employer and employees pay pension contributions based on a percentage of pensionable pay into the scheme.</w:t>
      </w:r>
    </w:p>
    <w:p w14:paraId="066C3312" w14:textId="77777777" w:rsidR="00655E4C" w:rsidRPr="0007572B" w:rsidRDefault="00655E4C" w:rsidP="00655E4C">
      <w:pPr>
        <w:pStyle w:val="Default"/>
      </w:pPr>
    </w:p>
    <w:p w14:paraId="7FEFE777" w14:textId="77777777" w:rsidR="00655E4C" w:rsidRPr="0007572B" w:rsidRDefault="00655E4C" w:rsidP="00EB27EB">
      <w:pPr>
        <w:pStyle w:val="Default"/>
        <w:numPr>
          <w:ilvl w:val="0"/>
          <w:numId w:val="45"/>
        </w:numPr>
        <w:spacing w:after="86"/>
        <w:rPr>
          <w:color w:val="auto"/>
        </w:rPr>
      </w:pPr>
      <w:r w:rsidRPr="0007572B">
        <w:rPr>
          <w:color w:val="auto"/>
        </w:rPr>
        <w:t>The liabilities of the Greater Manchester Pension Fund attributable to the authority are included in the balance sheet on an actuarial basis using the projected unit credit method – i.e. an assessment of the future payments that will be made in relation to retirement benefits earned to date by employees, based on assumptions about mortality rates, employee turnover rates, etc. and projected earnings for current employees</w:t>
      </w:r>
    </w:p>
    <w:p w14:paraId="318FCDB2" w14:textId="77777777" w:rsidR="00655E4C" w:rsidRPr="0007572B" w:rsidRDefault="00655E4C" w:rsidP="00EB27EB">
      <w:pPr>
        <w:pStyle w:val="Default"/>
        <w:numPr>
          <w:ilvl w:val="0"/>
          <w:numId w:val="45"/>
        </w:numPr>
        <w:spacing w:after="86"/>
        <w:rPr>
          <w:color w:val="auto"/>
        </w:rPr>
      </w:pPr>
      <w:r w:rsidRPr="0007572B">
        <w:rPr>
          <w:color w:val="auto"/>
        </w:rPr>
        <w:t>Liabilities are discounted to their value at current prices, using a discount rate based on the rate of return on high quality corporate bonds constructed on the constituents of the iBoxx AA corporate bond index. The discount rate reflects the weighted average duration of the benefit obligation</w:t>
      </w:r>
    </w:p>
    <w:p w14:paraId="74D2FD1A" w14:textId="77777777" w:rsidR="00655E4C" w:rsidRPr="0007572B" w:rsidRDefault="00655E4C" w:rsidP="00EB27EB">
      <w:pPr>
        <w:pStyle w:val="Default"/>
        <w:numPr>
          <w:ilvl w:val="0"/>
          <w:numId w:val="45"/>
        </w:numPr>
        <w:spacing w:after="86"/>
        <w:rPr>
          <w:color w:val="auto"/>
        </w:rPr>
      </w:pPr>
      <w:r w:rsidRPr="0007572B">
        <w:rPr>
          <w:color w:val="auto"/>
        </w:rPr>
        <w:t xml:space="preserve">The assets of Greater Manchester Pension Fund attributable to the authority are included in the balance sheet at their fair value: </w:t>
      </w:r>
    </w:p>
    <w:p w14:paraId="5D44CDAC" w14:textId="77777777" w:rsidR="00655E4C" w:rsidRPr="0007572B" w:rsidRDefault="00655E4C" w:rsidP="00EB27EB">
      <w:pPr>
        <w:pStyle w:val="Default"/>
        <w:numPr>
          <w:ilvl w:val="0"/>
          <w:numId w:val="46"/>
        </w:numPr>
        <w:spacing w:after="86"/>
        <w:rPr>
          <w:color w:val="auto"/>
        </w:rPr>
      </w:pPr>
      <w:r w:rsidRPr="0007572B">
        <w:rPr>
          <w:color w:val="auto"/>
        </w:rPr>
        <w:t xml:space="preserve">quoted securities – current bid price </w:t>
      </w:r>
    </w:p>
    <w:p w14:paraId="339329CF" w14:textId="77777777" w:rsidR="00655E4C" w:rsidRPr="0007572B" w:rsidRDefault="00655E4C" w:rsidP="00EB27EB">
      <w:pPr>
        <w:pStyle w:val="Default"/>
        <w:numPr>
          <w:ilvl w:val="0"/>
          <w:numId w:val="46"/>
        </w:numPr>
        <w:spacing w:after="86"/>
        <w:rPr>
          <w:color w:val="auto"/>
        </w:rPr>
      </w:pPr>
      <w:r w:rsidRPr="0007572B">
        <w:rPr>
          <w:color w:val="auto"/>
        </w:rPr>
        <w:t xml:space="preserve">unquoted securities – professional estimate </w:t>
      </w:r>
    </w:p>
    <w:p w14:paraId="2FB7BA60" w14:textId="77777777" w:rsidR="00655E4C" w:rsidRPr="0007572B" w:rsidRDefault="00655E4C" w:rsidP="00EB27EB">
      <w:pPr>
        <w:pStyle w:val="Default"/>
        <w:numPr>
          <w:ilvl w:val="0"/>
          <w:numId w:val="46"/>
        </w:numPr>
        <w:spacing w:after="86"/>
        <w:rPr>
          <w:color w:val="auto"/>
        </w:rPr>
      </w:pPr>
      <w:r w:rsidRPr="0007572B">
        <w:rPr>
          <w:color w:val="auto"/>
        </w:rPr>
        <w:t xml:space="preserve">unitised securities – current bid price </w:t>
      </w:r>
    </w:p>
    <w:p w14:paraId="3675B5FD" w14:textId="77777777" w:rsidR="00655E4C" w:rsidRDefault="00655E4C" w:rsidP="00EB27EB">
      <w:pPr>
        <w:pStyle w:val="Default"/>
        <w:numPr>
          <w:ilvl w:val="0"/>
          <w:numId w:val="46"/>
        </w:numPr>
        <w:spacing w:after="86"/>
        <w:rPr>
          <w:color w:val="auto"/>
        </w:rPr>
      </w:pPr>
      <w:r w:rsidRPr="0007572B">
        <w:rPr>
          <w:color w:val="auto"/>
        </w:rPr>
        <w:t xml:space="preserve">property – market value. </w:t>
      </w:r>
    </w:p>
    <w:p w14:paraId="5CD37ED4" w14:textId="77777777" w:rsidR="00655E4C" w:rsidRPr="0007572B" w:rsidRDefault="00655E4C" w:rsidP="00655E4C">
      <w:pPr>
        <w:pStyle w:val="Default"/>
        <w:spacing w:after="86"/>
        <w:ind w:left="1080"/>
        <w:rPr>
          <w:color w:val="auto"/>
        </w:rPr>
      </w:pPr>
    </w:p>
    <w:p w14:paraId="38B575A4" w14:textId="77777777" w:rsidR="00655E4C" w:rsidRDefault="00655E4C" w:rsidP="00655E4C">
      <w:pPr>
        <w:pStyle w:val="Heading5"/>
      </w:pPr>
      <w:r w:rsidRPr="0007572B">
        <w:t>1.8.3. Net Pensions Liability</w:t>
      </w:r>
    </w:p>
    <w:p w14:paraId="246EDA43" w14:textId="77777777" w:rsidR="00655E4C" w:rsidRPr="004D2865" w:rsidRDefault="00655E4C" w:rsidP="00655E4C"/>
    <w:p w14:paraId="4BB81355" w14:textId="77777777" w:rsidR="00655E4C" w:rsidRPr="0007572B" w:rsidRDefault="00655E4C" w:rsidP="00655E4C">
      <w:pPr>
        <w:rPr>
          <w:rFonts w:ascii="Arial" w:hAnsi="Arial" w:cs="Arial"/>
        </w:rPr>
      </w:pPr>
      <w:r w:rsidRPr="0007572B">
        <w:rPr>
          <w:rFonts w:ascii="Arial" w:hAnsi="Arial" w:cs="Arial"/>
        </w:rPr>
        <w:t>The change in the net pensions liability is analysed into the following components:</w:t>
      </w:r>
    </w:p>
    <w:p w14:paraId="6FCA794B" w14:textId="77777777" w:rsidR="00655E4C" w:rsidRPr="0007572B" w:rsidRDefault="00655E4C" w:rsidP="00655E4C">
      <w:pPr>
        <w:rPr>
          <w:rFonts w:ascii="Arial" w:hAnsi="Arial" w:cs="Arial"/>
        </w:rPr>
      </w:pPr>
    </w:p>
    <w:p w14:paraId="459C3525" w14:textId="77777777" w:rsidR="00655E4C" w:rsidRDefault="00655E4C" w:rsidP="00655E4C">
      <w:pPr>
        <w:pStyle w:val="Heading6"/>
      </w:pPr>
      <w:r w:rsidRPr="00924E51">
        <w:t>1.8.3.1. Service cost comprising:</w:t>
      </w:r>
    </w:p>
    <w:p w14:paraId="14AFB2DF" w14:textId="77777777" w:rsidR="00655E4C" w:rsidRPr="004D2865" w:rsidRDefault="00655E4C" w:rsidP="00655E4C"/>
    <w:p w14:paraId="336DD41A" w14:textId="77777777" w:rsidR="00655E4C" w:rsidRPr="0007572B" w:rsidRDefault="00655E4C" w:rsidP="00EB27EB">
      <w:pPr>
        <w:pStyle w:val="Default"/>
        <w:numPr>
          <w:ilvl w:val="0"/>
          <w:numId w:val="45"/>
        </w:numPr>
        <w:spacing w:after="86"/>
        <w:ind w:left="567" w:hanging="207"/>
      </w:pPr>
      <w:r w:rsidRPr="0007572B">
        <w:t xml:space="preserve">Current service cost – the increase in liabilities as a result of years of service earned this year, allocated in the comprehensive income and expenditure statement to the services for which the employees worked; </w:t>
      </w:r>
    </w:p>
    <w:p w14:paraId="176EC10A" w14:textId="77777777" w:rsidR="00655E4C" w:rsidRPr="0007572B" w:rsidRDefault="00655E4C" w:rsidP="00EB27EB">
      <w:pPr>
        <w:pStyle w:val="Default"/>
        <w:numPr>
          <w:ilvl w:val="0"/>
          <w:numId w:val="45"/>
        </w:numPr>
        <w:spacing w:after="86"/>
        <w:ind w:left="567" w:hanging="207"/>
      </w:pPr>
      <w:r w:rsidRPr="0007572B">
        <w:t xml:space="preserve">Past service cost – the increase in liabilities as a result of a scheme amendment or curtailment whose effect relates to years of service earned in earlier years, debited to the surplus or deficit on the provision of services in the comprehensive income and expenditure statement; and </w:t>
      </w:r>
    </w:p>
    <w:p w14:paraId="0EF05D13" w14:textId="77777777" w:rsidR="00655E4C" w:rsidRPr="0007572B" w:rsidRDefault="00655E4C" w:rsidP="00EB27EB">
      <w:pPr>
        <w:pStyle w:val="Default"/>
        <w:numPr>
          <w:ilvl w:val="0"/>
          <w:numId w:val="45"/>
        </w:numPr>
        <w:spacing w:after="86"/>
        <w:ind w:left="567" w:hanging="207"/>
      </w:pPr>
      <w:r w:rsidRPr="0007572B">
        <w:lastRenderedPageBreak/>
        <w:t xml:space="preserve">Net interest on the net defined benefit liability, i.e. net interest expense for the authority, – the change during the period in the net defined benefit liability that arises from the passage of time charged to the financing and investment income and expenditure line of the comprehensive income and expenditure statement – this is calculated by applying the discount rate used to measure the defined benefit obligation at the beginning of the period to the net defined benefit liability at the beginning of the period – taking into account any changes in the net defined benefit liability during the period as a result of contribution and benefit payments. </w:t>
      </w:r>
    </w:p>
    <w:p w14:paraId="362F5D79" w14:textId="77777777" w:rsidR="00655E4C" w:rsidRPr="0007572B" w:rsidRDefault="00655E4C" w:rsidP="00655E4C">
      <w:pPr>
        <w:autoSpaceDE w:val="0"/>
        <w:autoSpaceDN w:val="0"/>
        <w:adjustRightInd w:val="0"/>
        <w:rPr>
          <w:rFonts w:ascii="Arial" w:hAnsi="Arial" w:cs="Arial"/>
          <w:color w:val="000000"/>
        </w:rPr>
      </w:pPr>
    </w:p>
    <w:p w14:paraId="5221ADF1" w14:textId="77777777" w:rsidR="00655E4C" w:rsidRDefault="00655E4C" w:rsidP="00655E4C">
      <w:pPr>
        <w:pStyle w:val="Heading6"/>
      </w:pPr>
      <w:r w:rsidRPr="0007572B">
        <w:t>1.8.3.2. Remeasurements comprising:</w:t>
      </w:r>
    </w:p>
    <w:p w14:paraId="711ADF39" w14:textId="77777777" w:rsidR="00655E4C" w:rsidRPr="004D2865" w:rsidRDefault="00655E4C" w:rsidP="00655E4C"/>
    <w:p w14:paraId="2EF28465" w14:textId="77777777" w:rsidR="00655E4C" w:rsidRPr="0007572B" w:rsidRDefault="00655E4C" w:rsidP="00EB27EB">
      <w:pPr>
        <w:pStyle w:val="Default"/>
        <w:numPr>
          <w:ilvl w:val="0"/>
          <w:numId w:val="45"/>
        </w:numPr>
        <w:spacing w:after="86"/>
        <w:ind w:left="567" w:hanging="207"/>
      </w:pPr>
      <w:r w:rsidRPr="0007572B">
        <w:t xml:space="preserve">Return on plan assets – excluding amounts included in net interest on the net defined benefit liability – charged to the pensions reserve as other comprehensive income and expenditure; </w:t>
      </w:r>
    </w:p>
    <w:p w14:paraId="28CDE5BE" w14:textId="77777777" w:rsidR="00655E4C" w:rsidRPr="0007572B" w:rsidRDefault="00655E4C" w:rsidP="00EB27EB">
      <w:pPr>
        <w:pStyle w:val="Default"/>
        <w:numPr>
          <w:ilvl w:val="0"/>
          <w:numId w:val="45"/>
        </w:numPr>
        <w:spacing w:after="86"/>
        <w:ind w:left="567" w:hanging="207"/>
      </w:pPr>
      <w:r w:rsidRPr="0007572B">
        <w:t>Actuarial gains and losses – changes in the net pensions liability that arise because events have not coincided with assumptions made at the last actuarial valuation or because the actuaries have updated their assumptions – charged to the pensions reserve as other comprehensive income and expenditure; and</w:t>
      </w:r>
    </w:p>
    <w:p w14:paraId="7DF375B3" w14:textId="77777777" w:rsidR="00655E4C" w:rsidRPr="0007572B" w:rsidRDefault="00655E4C" w:rsidP="00EB27EB">
      <w:pPr>
        <w:pStyle w:val="Default"/>
        <w:numPr>
          <w:ilvl w:val="0"/>
          <w:numId w:val="45"/>
        </w:numPr>
        <w:spacing w:after="86"/>
        <w:ind w:left="567" w:hanging="207"/>
      </w:pPr>
      <w:r w:rsidRPr="0007572B">
        <w:t xml:space="preserve">Contributions paid to the Greater Manchester Pension Fund – cash paid as employer’s contributions to the pension fund in settlement of liabilities; not accounted for as an expense. </w:t>
      </w:r>
    </w:p>
    <w:p w14:paraId="7FF73F65" w14:textId="77777777" w:rsidR="00655E4C" w:rsidRPr="0007572B" w:rsidRDefault="00655E4C" w:rsidP="00655E4C">
      <w:pPr>
        <w:autoSpaceDE w:val="0"/>
        <w:autoSpaceDN w:val="0"/>
        <w:adjustRightInd w:val="0"/>
        <w:rPr>
          <w:rFonts w:ascii="Arial" w:hAnsi="Arial" w:cs="Arial"/>
          <w:color w:val="000000"/>
        </w:rPr>
      </w:pPr>
    </w:p>
    <w:p w14:paraId="4B481122" w14:textId="77777777" w:rsidR="00655E4C" w:rsidRPr="0007572B" w:rsidRDefault="00655E4C" w:rsidP="00655E4C">
      <w:pPr>
        <w:autoSpaceDE w:val="0"/>
        <w:autoSpaceDN w:val="0"/>
        <w:adjustRightInd w:val="0"/>
        <w:rPr>
          <w:rFonts w:ascii="Arial" w:hAnsi="Arial" w:cs="Arial"/>
          <w:color w:val="000000"/>
        </w:rPr>
      </w:pPr>
      <w:r w:rsidRPr="0007572B">
        <w:rPr>
          <w:rFonts w:ascii="Arial" w:hAnsi="Arial" w:cs="Arial"/>
          <w:color w:val="000000"/>
        </w:rPr>
        <w:t xml:space="preserve">In relation to retirement benefits, statutory provisions require the general fund balance to be charged with the amount payable by the </w:t>
      </w:r>
      <w:r>
        <w:rPr>
          <w:rFonts w:ascii="Arial" w:hAnsi="Arial" w:cs="Arial"/>
          <w:color w:val="000000"/>
        </w:rPr>
        <w:t>Authority</w:t>
      </w:r>
      <w:r w:rsidRPr="0007572B">
        <w:rPr>
          <w:rFonts w:ascii="Arial" w:hAnsi="Arial" w:cs="Arial"/>
          <w:color w:val="000000"/>
        </w:rPr>
        <w:t xml:space="preserve"> to the pension fund or directly to pensioners in the year, not the amount calculated according to the relevant accounting standards. In the movement in reserves statement, this means that there are transfers to and from the pensions reserve to remove the notional debits and credits for retirement benefits and replace them with debits for the cash paid to the pension fund and pensioners and any such amounts payable but unpaid at the year-end. The negative balance that arises on the pensions reserve thereby measures the beneficial impact to the general fund of being required to account for retirement benefits on the basis of cash flows rather than as benefits are earned by employees. </w:t>
      </w:r>
    </w:p>
    <w:p w14:paraId="26C6208B" w14:textId="77777777" w:rsidR="00655E4C" w:rsidRPr="0007572B" w:rsidRDefault="00655E4C" w:rsidP="00655E4C">
      <w:pPr>
        <w:autoSpaceDE w:val="0"/>
        <w:autoSpaceDN w:val="0"/>
        <w:adjustRightInd w:val="0"/>
        <w:rPr>
          <w:rFonts w:ascii="Arial" w:hAnsi="Arial" w:cs="Arial"/>
          <w:color w:val="000000"/>
        </w:rPr>
      </w:pPr>
    </w:p>
    <w:p w14:paraId="19DB2A26" w14:textId="77777777" w:rsidR="00655E4C" w:rsidRPr="0007572B" w:rsidRDefault="00655E4C" w:rsidP="00655E4C">
      <w:pPr>
        <w:pStyle w:val="Heading5"/>
      </w:pPr>
      <w:r w:rsidRPr="0007572B">
        <w:t xml:space="preserve">1.8.4. Discretionary benefits </w:t>
      </w:r>
    </w:p>
    <w:p w14:paraId="07ECA962" w14:textId="77777777" w:rsidR="00655E4C" w:rsidRPr="0007572B" w:rsidRDefault="00655E4C" w:rsidP="00655E4C">
      <w:pPr>
        <w:autoSpaceDE w:val="0"/>
        <w:autoSpaceDN w:val="0"/>
        <w:adjustRightInd w:val="0"/>
        <w:rPr>
          <w:rFonts w:ascii="Arial" w:hAnsi="Arial" w:cs="Arial"/>
          <w:b/>
          <w:color w:val="000000"/>
        </w:rPr>
      </w:pPr>
    </w:p>
    <w:p w14:paraId="1D2AC336" w14:textId="77777777" w:rsidR="00655E4C" w:rsidRPr="0007572B" w:rsidRDefault="00655E4C" w:rsidP="00655E4C">
      <w:pPr>
        <w:pStyle w:val="Normal0"/>
        <w:spacing w:line="240" w:lineRule="auto"/>
        <w:rPr>
          <w:rFonts w:ascii="Arial" w:hAnsi="Arial" w:cs="Arial"/>
          <w:color w:val="000000"/>
          <w:sz w:val="24"/>
          <w:szCs w:val="24"/>
        </w:rPr>
      </w:pPr>
      <w:r w:rsidRPr="0007572B">
        <w:rPr>
          <w:rFonts w:ascii="Arial" w:hAnsi="Arial" w:cs="Arial"/>
          <w:color w:val="000000"/>
          <w:sz w:val="24"/>
          <w:szCs w:val="24"/>
        </w:rPr>
        <w:t>The authority also has restricted powers to make discretionary awards of retirement benefits in the event of early retirements. Any liabilities estimated to arise as a result of an award to any member of staff are accrued in the year of the decision to make the award and accounted for using the same policies as are applied to the Local Government Pension Scheme.</w:t>
      </w:r>
    </w:p>
    <w:p w14:paraId="0C8FA159" w14:textId="77777777" w:rsidR="00655E4C" w:rsidRPr="0007572B" w:rsidRDefault="00655E4C" w:rsidP="00655E4C">
      <w:pPr>
        <w:pStyle w:val="Normal0"/>
        <w:spacing w:line="240" w:lineRule="auto"/>
        <w:rPr>
          <w:rFonts w:ascii="Arial" w:hAnsi="Arial" w:cs="Arial"/>
          <w:b/>
          <w:bCs/>
          <w:sz w:val="24"/>
          <w:szCs w:val="24"/>
          <w:lang w:eastAsia="en-GB"/>
        </w:rPr>
      </w:pPr>
    </w:p>
    <w:p w14:paraId="7D2D85AE" w14:textId="77777777" w:rsidR="00655E4C" w:rsidRPr="0097099A" w:rsidRDefault="00655E4C" w:rsidP="00655E4C">
      <w:pPr>
        <w:pStyle w:val="Heading4bold"/>
        <w:rPr>
          <w:lang w:eastAsia="en-GB"/>
        </w:rPr>
      </w:pPr>
      <w:r w:rsidRPr="0097099A">
        <w:rPr>
          <w:lang w:eastAsia="en-GB"/>
        </w:rPr>
        <w:t>1.9. Property, Plant and Equipment and Assets under Construction</w:t>
      </w:r>
    </w:p>
    <w:p w14:paraId="566E66CF" w14:textId="77777777" w:rsidR="00655E4C" w:rsidRPr="0097099A" w:rsidRDefault="00655E4C" w:rsidP="00655E4C">
      <w:pPr>
        <w:pStyle w:val="Normal0"/>
        <w:spacing w:line="240" w:lineRule="auto"/>
        <w:rPr>
          <w:rFonts w:ascii="Arial" w:hAnsi="Arial" w:cs="Arial"/>
          <w:b/>
          <w:bCs/>
          <w:sz w:val="24"/>
          <w:szCs w:val="24"/>
          <w:lang w:eastAsia="en-GB"/>
        </w:rPr>
      </w:pPr>
    </w:p>
    <w:p w14:paraId="646B041D" w14:textId="77777777" w:rsidR="00655E4C" w:rsidRPr="0097099A" w:rsidRDefault="00655E4C" w:rsidP="00655E4C">
      <w:pPr>
        <w:pStyle w:val="Normal0"/>
        <w:spacing w:line="240" w:lineRule="auto"/>
        <w:rPr>
          <w:rFonts w:ascii="Arial" w:hAnsi="Arial" w:cs="Arial"/>
          <w:bCs/>
          <w:sz w:val="24"/>
          <w:szCs w:val="24"/>
          <w:lang w:eastAsia="en-GB"/>
        </w:rPr>
      </w:pPr>
      <w:r w:rsidRPr="0097099A">
        <w:rPr>
          <w:rFonts w:ascii="Arial" w:hAnsi="Arial" w:cs="Arial"/>
          <w:bCs/>
          <w:sz w:val="24"/>
          <w:szCs w:val="24"/>
          <w:lang w:eastAsia="en-GB"/>
        </w:rPr>
        <w:t>Assets that have physical substance and are held for use in the production or supply of goods or services, for rental to others, or for administrative purposes and that are expected to be used during more than one financial year are classified as property, plant and equipment.</w:t>
      </w:r>
    </w:p>
    <w:p w14:paraId="7889C278" w14:textId="77777777" w:rsidR="00655E4C" w:rsidRPr="0097099A" w:rsidRDefault="00655E4C" w:rsidP="00655E4C">
      <w:pPr>
        <w:pStyle w:val="Normal0"/>
        <w:spacing w:line="240" w:lineRule="auto"/>
        <w:rPr>
          <w:rFonts w:ascii="Arial" w:hAnsi="Arial" w:cs="Arial"/>
          <w:bCs/>
          <w:sz w:val="24"/>
          <w:szCs w:val="24"/>
          <w:lang w:eastAsia="en-GB"/>
        </w:rPr>
      </w:pPr>
    </w:p>
    <w:p w14:paraId="57F6720C" w14:textId="77777777" w:rsidR="00655E4C" w:rsidRPr="0097099A" w:rsidRDefault="00655E4C" w:rsidP="00655E4C">
      <w:pPr>
        <w:pStyle w:val="Heading5"/>
        <w:rPr>
          <w:lang w:eastAsia="en-GB"/>
        </w:rPr>
      </w:pPr>
      <w:r w:rsidRPr="0097099A">
        <w:rPr>
          <w:lang w:eastAsia="en-GB"/>
        </w:rPr>
        <w:lastRenderedPageBreak/>
        <w:t>1.9.1. Recognition</w:t>
      </w:r>
    </w:p>
    <w:p w14:paraId="24822B53" w14:textId="77777777" w:rsidR="00655E4C" w:rsidRPr="0097099A" w:rsidRDefault="00655E4C" w:rsidP="00655E4C">
      <w:pPr>
        <w:pStyle w:val="Normal0"/>
        <w:spacing w:line="240" w:lineRule="auto"/>
        <w:rPr>
          <w:rFonts w:ascii="Arial" w:hAnsi="Arial" w:cs="Arial"/>
          <w:b/>
          <w:bCs/>
          <w:sz w:val="24"/>
          <w:szCs w:val="24"/>
          <w:lang w:eastAsia="en-GB"/>
        </w:rPr>
      </w:pPr>
    </w:p>
    <w:p w14:paraId="30C4D762" w14:textId="77777777" w:rsidR="00655E4C" w:rsidRPr="0097099A" w:rsidRDefault="00655E4C" w:rsidP="00655E4C">
      <w:pPr>
        <w:pStyle w:val="Normal0"/>
        <w:spacing w:line="240" w:lineRule="auto"/>
        <w:rPr>
          <w:rFonts w:ascii="Arial" w:hAnsi="Arial" w:cs="Arial"/>
          <w:bCs/>
          <w:sz w:val="24"/>
          <w:szCs w:val="24"/>
          <w:lang w:eastAsia="en-GB"/>
        </w:rPr>
      </w:pPr>
      <w:r w:rsidRPr="0097099A">
        <w:rPr>
          <w:rFonts w:ascii="Arial" w:hAnsi="Arial" w:cs="Arial"/>
          <w:bCs/>
          <w:sz w:val="24"/>
          <w:szCs w:val="24"/>
          <w:lang w:eastAsia="en-GB"/>
        </w:rPr>
        <w:t>Expenditure on the acquisition, creation or enhancement of property, plant and equipment is capitalised on an accruals basis, provided that it is probable that the future economic benefits or service potential associated with the item will flow to the authority and the cost of the item can be measured reliably. The authority has a £20,000 de minimis level for the recognition of property, plant and equipment. Exceptions to this are</w:t>
      </w:r>
      <w:r>
        <w:rPr>
          <w:rFonts w:ascii="Arial" w:hAnsi="Arial" w:cs="Arial"/>
          <w:bCs/>
          <w:sz w:val="24"/>
          <w:szCs w:val="24"/>
          <w:lang w:eastAsia="en-GB"/>
        </w:rPr>
        <w:t xml:space="preserve"> </w:t>
      </w:r>
      <w:r w:rsidRPr="0097099A">
        <w:rPr>
          <w:rFonts w:ascii="Arial" w:hAnsi="Arial" w:cs="Arial"/>
          <w:bCs/>
          <w:sz w:val="24"/>
          <w:szCs w:val="24"/>
          <w:lang w:eastAsia="en-GB"/>
        </w:rPr>
        <w:t>traffic signals and vehicles, which are capitalised with no minimum level.</w:t>
      </w:r>
    </w:p>
    <w:p w14:paraId="0A87A857" w14:textId="77777777" w:rsidR="00655E4C" w:rsidRPr="0097099A" w:rsidRDefault="00655E4C" w:rsidP="00655E4C">
      <w:pPr>
        <w:pStyle w:val="Normal0"/>
        <w:spacing w:line="240" w:lineRule="auto"/>
        <w:rPr>
          <w:rFonts w:ascii="Arial" w:hAnsi="Arial" w:cs="Arial"/>
          <w:bCs/>
          <w:sz w:val="24"/>
          <w:szCs w:val="24"/>
          <w:lang w:eastAsia="en-GB"/>
        </w:rPr>
      </w:pPr>
    </w:p>
    <w:p w14:paraId="1151CE00" w14:textId="77777777" w:rsidR="00655E4C" w:rsidRPr="0097099A" w:rsidRDefault="00655E4C" w:rsidP="00655E4C">
      <w:pPr>
        <w:pStyle w:val="Normal0"/>
        <w:spacing w:line="240" w:lineRule="auto"/>
        <w:rPr>
          <w:rFonts w:ascii="Arial" w:hAnsi="Arial" w:cs="Arial"/>
          <w:bCs/>
          <w:sz w:val="24"/>
          <w:szCs w:val="24"/>
          <w:lang w:eastAsia="en-GB"/>
        </w:rPr>
      </w:pPr>
      <w:r w:rsidRPr="0097099A">
        <w:rPr>
          <w:rFonts w:ascii="Arial" w:hAnsi="Arial" w:cs="Arial"/>
          <w:bCs/>
          <w:sz w:val="24"/>
          <w:szCs w:val="24"/>
          <w:lang w:eastAsia="en-GB"/>
        </w:rPr>
        <w:t>Expenditure that maintains but does not add to an asset’s potential to deliver future economic benefits or service potential (i.e. repairs and maintenance) is charged as an expense when it is incurred.</w:t>
      </w:r>
    </w:p>
    <w:p w14:paraId="0A5898EA" w14:textId="77777777" w:rsidR="00655E4C" w:rsidRPr="0097099A" w:rsidRDefault="00655E4C" w:rsidP="00655E4C">
      <w:pPr>
        <w:pStyle w:val="Normal0"/>
        <w:spacing w:line="240" w:lineRule="auto"/>
        <w:rPr>
          <w:rFonts w:ascii="Arial" w:hAnsi="Arial" w:cs="Arial"/>
          <w:bCs/>
          <w:sz w:val="24"/>
          <w:szCs w:val="24"/>
          <w:lang w:eastAsia="en-GB"/>
        </w:rPr>
      </w:pPr>
    </w:p>
    <w:p w14:paraId="03EF045B" w14:textId="77777777" w:rsidR="00655E4C" w:rsidRPr="0097099A" w:rsidRDefault="00655E4C" w:rsidP="00655E4C">
      <w:pPr>
        <w:pStyle w:val="Heading5"/>
        <w:rPr>
          <w:lang w:eastAsia="en-GB"/>
        </w:rPr>
      </w:pPr>
      <w:r w:rsidRPr="0097099A">
        <w:rPr>
          <w:lang w:eastAsia="en-GB"/>
        </w:rPr>
        <w:t xml:space="preserve">1.9.2. Measurement </w:t>
      </w:r>
    </w:p>
    <w:p w14:paraId="0386C525" w14:textId="77777777" w:rsidR="00655E4C" w:rsidRPr="0097099A" w:rsidRDefault="00655E4C" w:rsidP="00655E4C">
      <w:pPr>
        <w:pStyle w:val="Normal0"/>
        <w:spacing w:line="240" w:lineRule="auto"/>
        <w:rPr>
          <w:rFonts w:ascii="Arial" w:hAnsi="Arial" w:cs="Arial"/>
          <w:b/>
          <w:bCs/>
          <w:sz w:val="24"/>
          <w:szCs w:val="24"/>
          <w:lang w:eastAsia="en-GB"/>
        </w:rPr>
      </w:pPr>
    </w:p>
    <w:p w14:paraId="6445C4C0" w14:textId="77777777" w:rsidR="00655E4C" w:rsidRPr="0097099A" w:rsidRDefault="00655E4C" w:rsidP="00655E4C">
      <w:pPr>
        <w:pStyle w:val="Normal0"/>
        <w:spacing w:line="240" w:lineRule="auto"/>
        <w:rPr>
          <w:rFonts w:ascii="Arial" w:hAnsi="Arial" w:cs="Arial"/>
          <w:bCs/>
          <w:sz w:val="24"/>
          <w:szCs w:val="24"/>
          <w:lang w:eastAsia="en-GB"/>
        </w:rPr>
      </w:pPr>
      <w:r w:rsidRPr="0097099A">
        <w:rPr>
          <w:rFonts w:ascii="Arial" w:hAnsi="Arial" w:cs="Arial"/>
          <w:bCs/>
          <w:sz w:val="24"/>
          <w:szCs w:val="24"/>
          <w:lang w:eastAsia="en-GB"/>
        </w:rPr>
        <w:t>Assets are initially measured at cost, comprising:</w:t>
      </w:r>
    </w:p>
    <w:p w14:paraId="6399EF50" w14:textId="77777777" w:rsidR="00655E4C" w:rsidRPr="0097099A" w:rsidRDefault="00655E4C" w:rsidP="00655E4C">
      <w:pPr>
        <w:pStyle w:val="Normal0"/>
        <w:spacing w:line="240" w:lineRule="auto"/>
        <w:rPr>
          <w:rFonts w:ascii="Arial" w:hAnsi="Arial" w:cs="Arial"/>
          <w:bCs/>
          <w:sz w:val="24"/>
          <w:szCs w:val="24"/>
          <w:lang w:eastAsia="en-GB"/>
        </w:rPr>
      </w:pPr>
    </w:p>
    <w:p w14:paraId="237EA9AE" w14:textId="77777777" w:rsidR="00655E4C" w:rsidRPr="0097099A" w:rsidRDefault="00655E4C" w:rsidP="00EB27EB">
      <w:pPr>
        <w:pStyle w:val="Default"/>
        <w:numPr>
          <w:ilvl w:val="0"/>
          <w:numId w:val="45"/>
        </w:numPr>
        <w:spacing w:after="86"/>
        <w:ind w:left="567" w:hanging="207"/>
      </w:pPr>
      <w:r w:rsidRPr="0097099A">
        <w:rPr>
          <w:bCs/>
        </w:rPr>
        <w:t xml:space="preserve">the </w:t>
      </w:r>
      <w:r w:rsidRPr="0097099A">
        <w:t>purchase price;</w:t>
      </w:r>
    </w:p>
    <w:p w14:paraId="4D4034FA" w14:textId="77777777" w:rsidR="00655E4C" w:rsidRPr="0097099A" w:rsidRDefault="00655E4C" w:rsidP="00EB27EB">
      <w:pPr>
        <w:pStyle w:val="Default"/>
        <w:numPr>
          <w:ilvl w:val="0"/>
          <w:numId w:val="45"/>
        </w:numPr>
        <w:spacing w:after="86"/>
        <w:ind w:left="567" w:hanging="207"/>
      </w:pPr>
      <w:r w:rsidRPr="0097099A">
        <w:t>any costs attributable to bringing the asset to the location and condition necessary for it to be capable of operating in the manner intended by management; and</w:t>
      </w:r>
    </w:p>
    <w:p w14:paraId="333D4093" w14:textId="77777777" w:rsidR="00655E4C" w:rsidRPr="0097099A" w:rsidRDefault="00655E4C" w:rsidP="00EB27EB">
      <w:pPr>
        <w:pStyle w:val="Default"/>
        <w:numPr>
          <w:ilvl w:val="0"/>
          <w:numId w:val="45"/>
        </w:numPr>
        <w:spacing w:after="86"/>
        <w:ind w:left="567" w:hanging="207"/>
        <w:rPr>
          <w:bCs/>
        </w:rPr>
      </w:pPr>
      <w:r w:rsidRPr="0097099A">
        <w:t>the initial estimate of the costs of dismantling and removing the item and restoring the</w:t>
      </w:r>
      <w:r w:rsidRPr="0097099A">
        <w:rPr>
          <w:bCs/>
        </w:rPr>
        <w:t xml:space="preserve"> site on which it is located.</w:t>
      </w:r>
    </w:p>
    <w:p w14:paraId="4FE31481" w14:textId="77777777" w:rsidR="00655E4C" w:rsidRPr="0097099A" w:rsidRDefault="00655E4C" w:rsidP="00655E4C">
      <w:pPr>
        <w:pStyle w:val="Normal0"/>
        <w:spacing w:line="240" w:lineRule="auto"/>
        <w:rPr>
          <w:rFonts w:ascii="Arial" w:hAnsi="Arial" w:cs="Arial"/>
          <w:bCs/>
          <w:sz w:val="24"/>
          <w:szCs w:val="24"/>
          <w:lang w:eastAsia="en-GB"/>
        </w:rPr>
      </w:pPr>
      <w:r w:rsidRPr="0097099A">
        <w:rPr>
          <w:rFonts w:ascii="Arial" w:hAnsi="Arial" w:cs="Arial"/>
          <w:bCs/>
          <w:sz w:val="24"/>
          <w:szCs w:val="24"/>
          <w:lang w:eastAsia="en-GB"/>
        </w:rPr>
        <w:t>The authority does not capitalise borrowing costs incurred while assets are under construction.</w:t>
      </w:r>
    </w:p>
    <w:p w14:paraId="55966F2E" w14:textId="77777777" w:rsidR="00655E4C" w:rsidRPr="0097099A" w:rsidRDefault="00655E4C" w:rsidP="00655E4C">
      <w:pPr>
        <w:pStyle w:val="Normal0"/>
        <w:spacing w:line="240" w:lineRule="auto"/>
        <w:rPr>
          <w:rFonts w:ascii="Arial" w:hAnsi="Arial" w:cs="Arial"/>
          <w:bCs/>
          <w:sz w:val="24"/>
          <w:szCs w:val="24"/>
          <w:lang w:eastAsia="en-GB"/>
        </w:rPr>
      </w:pPr>
    </w:p>
    <w:p w14:paraId="07341B25" w14:textId="77777777" w:rsidR="00655E4C" w:rsidRPr="0097099A" w:rsidRDefault="00655E4C" w:rsidP="00655E4C">
      <w:pPr>
        <w:pStyle w:val="Normal0"/>
        <w:spacing w:line="240" w:lineRule="auto"/>
        <w:rPr>
          <w:rFonts w:ascii="Arial" w:hAnsi="Arial" w:cs="Arial"/>
          <w:bCs/>
          <w:sz w:val="24"/>
          <w:szCs w:val="24"/>
          <w:lang w:eastAsia="en-GB"/>
        </w:rPr>
      </w:pPr>
      <w:r w:rsidRPr="0097099A">
        <w:rPr>
          <w:rFonts w:ascii="Arial" w:hAnsi="Arial" w:cs="Arial"/>
          <w:bCs/>
          <w:sz w:val="24"/>
          <w:szCs w:val="24"/>
          <w:lang w:eastAsia="en-GB"/>
        </w:rPr>
        <w:t xml:space="preserve">The cost of assets acquired other than by purchase is deemed to be its fair value, unless the acquisition does not have commercial substance (i.e. it will not lead to a variation in the cash flows of the authority). In the latter case, where an asset is acquired via an exchange, the cost of the acquisition is the carrying amount of the asset given up by the authority. </w:t>
      </w:r>
    </w:p>
    <w:p w14:paraId="75020F56" w14:textId="77777777" w:rsidR="00655E4C" w:rsidRPr="0097099A" w:rsidRDefault="00655E4C" w:rsidP="00655E4C">
      <w:pPr>
        <w:pStyle w:val="Normal0"/>
        <w:spacing w:line="240" w:lineRule="auto"/>
        <w:rPr>
          <w:rFonts w:ascii="Arial" w:hAnsi="Arial" w:cs="Arial"/>
          <w:bCs/>
          <w:sz w:val="24"/>
          <w:szCs w:val="24"/>
          <w:lang w:eastAsia="en-GB"/>
        </w:rPr>
      </w:pPr>
    </w:p>
    <w:p w14:paraId="6B135F95" w14:textId="05AA5F18" w:rsidR="00655E4C" w:rsidRPr="0097099A" w:rsidRDefault="00655E4C" w:rsidP="00655E4C">
      <w:pPr>
        <w:pStyle w:val="Normal0"/>
        <w:spacing w:line="240" w:lineRule="auto"/>
        <w:rPr>
          <w:rFonts w:ascii="Arial" w:hAnsi="Arial" w:cs="Arial"/>
          <w:bCs/>
          <w:sz w:val="24"/>
          <w:szCs w:val="24"/>
          <w:lang w:eastAsia="en-GB"/>
        </w:rPr>
      </w:pPr>
      <w:r w:rsidRPr="0097099A">
        <w:rPr>
          <w:rFonts w:ascii="Arial" w:hAnsi="Arial" w:cs="Arial"/>
          <w:bCs/>
          <w:sz w:val="24"/>
          <w:szCs w:val="24"/>
          <w:lang w:eastAsia="en-GB"/>
        </w:rPr>
        <w:t xml:space="preserve">Donated assets are measured initially at fair value. The difference between fair value and any consideration paid is credited to the taxation and non-specific grant income line of the comprehensive income and expenditure </w:t>
      </w:r>
      <w:r w:rsidR="009D6FD6" w:rsidRPr="0097099A">
        <w:rPr>
          <w:rFonts w:ascii="Arial" w:hAnsi="Arial" w:cs="Arial"/>
          <w:bCs/>
          <w:sz w:val="24"/>
          <w:szCs w:val="24"/>
          <w:lang w:eastAsia="en-GB"/>
        </w:rPr>
        <w:t>statement unless</w:t>
      </w:r>
      <w:r w:rsidRPr="0097099A">
        <w:rPr>
          <w:rFonts w:ascii="Arial" w:hAnsi="Arial" w:cs="Arial"/>
          <w:bCs/>
          <w:sz w:val="24"/>
          <w:szCs w:val="24"/>
          <w:lang w:eastAsia="en-GB"/>
        </w:rPr>
        <w:t xml:space="preserve"> the donation has been made conditionally. Until conditions are satisfied, the gain is held in the donated assets account. Where gains are credited to the comprehensive income and expenditure statement, they are reversed out of the general fund balance to the capital adjustment account in the movement in reserves statement</w:t>
      </w:r>
    </w:p>
    <w:p w14:paraId="6146D562" w14:textId="77777777" w:rsidR="00655E4C" w:rsidRPr="0097099A" w:rsidRDefault="00655E4C" w:rsidP="00655E4C">
      <w:pPr>
        <w:pStyle w:val="Normal0"/>
        <w:spacing w:line="240" w:lineRule="auto"/>
        <w:rPr>
          <w:rFonts w:ascii="Arial" w:hAnsi="Arial" w:cs="Arial"/>
          <w:bCs/>
          <w:sz w:val="24"/>
          <w:szCs w:val="24"/>
          <w:lang w:eastAsia="en-GB"/>
        </w:rPr>
      </w:pPr>
    </w:p>
    <w:p w14:paraId="7574ECFC" w14:textId="77777777" w:rsidR="00655E4C" w:rsidRPr="0097099A" w:rsidRDefault="00655E4C" w:rsidP="00655E4C">
      <w:pPr>
        <w:pStyle w:val="Normal0"/>
        <w:spacing w:line="240" w:lineRule="auto"/>
        <w:rPr>
          <w:rFonts w:ascii="Arial" w:hAnsi="Arial" w:cs="Arial"/>
          <w:bCs/>
          <w:sz w:val="24"/>
          <w:szCs w:val="24"/>
          <w:lang w:eastAsia="en-GB"/>
        </w:rPr>
      </w:pPr>
      <w:r w:rsidRPr="0097099A">
        <w:rPr>
          <w:rFonts w:ascii="Arial" w:hAnsi="Arial" w:cs="Arial"/>
          <w:bCs/>
          <w:sz w:val="24"/>
          <w:szCs w:val="24"/>
          <w:lang w:eastAsia="en-GB"/>
        </w:rPr>
        <w:t>Assets are then carried in the balance sheet using the following measurement bases:</w:t>
      </w:r>
    </w:p>
    <w:p w14:paraId="21B47E54" w14:textId="77777777" w:rsidR="00655E4C" w:rsidRPr="0097099A" w:rsidRDefault="00655E4C" w:rsidP="00655E4C">
      <w:pPr>
        <w:pStyle w:val="Normal0"/>
        <w:spacing w:line="240" w:lineRule="auto"/>
        <w:rPr>
          <w:rFonts w:ascii="Arial" w:hAnsi="Arial" w:cs="Arial"/>
          <w:bCs/>
          <w:sz w:val="24"/>
          <w:szCs w:val="24"/>
          <w:lang w:eastAsia="en-GB"/>
        </w:rPr>
      </w:pPr>
    </w:p>
    <w:p w14:paraId="245F1CE2" w14:textId="77777777" w:rsidR="00655E4C" w:rsidRPr="0097099A" w:rsidRDefault="00655E4C" w:rsidP="00EB27EB">
      <w:pPr>
        <w:pStyle w:val="ListParagraph"/>
        <w:numPr>
          <w:ilvl w:val="0"/>
          <w:numId w:val="21"/>
        </w:numPr>
        <w:spacing w:line="240" w:lineRule="auto"/>
        <w:rPr>
          <w:rFonts w:ascii="Arial" w:hAnsi="Arial" w:cs="Arial"/>
          <w:bCs/>
          <w:sz w:val="24"/>
          <w:szCs w:val="24"/>
        </w:rPr>
      </w:pPr>
      <w:r w:rsidRPr="0097099A">
        <w:rPr>
          <w:rFonts w:ascii="Arial" w:hAnsi="Arial" w:cs="Arial"/>
          <w:bCs/>
          <w:sz w:val="24"/>
          <w:szCs w:val="24"/>
        </w:rPr>
        <w:t>assets under construction and infrastructure assets – depreciated historical cost;</w:t>
      </w:r>
    </w:p>
    <w:p w14:paraId="6FE3BEB3" w14:textId="77777777" w:rsidR="00655E4C" w:rsidRPr="0097099A" w:rsidRDefault="00655E4C" w:rsidP="00655E4C">
      <w:pPr>
        <w:pStyle w:val="ListParagraph"/>
        <w:spacing w:line="240" w:lineRule="auto"/>
        <w:rPr>
          <w:rFonts w:ascii="Arial" w:hAnsi="Arial" w:cs="Arial"/>
          <w:bCs/>
          <w:sz w:val="24"/>
          <w:szCs w:val="24"/>
        </w:rPr>
      </w:pPr>
    </w:p>
    <w:p w14:paraId="0F17C680" w14:textId="77777777" w:rsidR="00655E4C" w:rsidRPr="0097099A" w:rsidRDefault="00655E4C" w:rsidP="00EB27EB">
      <w:pPr>
        <w:pStyle w:val="ListParagraph"/>
        <w:numPr>
          <w:ilvl w:val="0"/>
          <w:numId w:val="21"/>
        </w:numPr>
        <w:spacing w:line="240" w:lineRule="auto"/>
        <w:rPr>
          <w:rFonts w:ascii="Arial" w:hAnsi="Arial" w:cs="Arial"/>
          <w:bCs/>
          <w:sz w:val="24"/>
          <w:szCs w:val="24"/>
        </w:rPr>
      </w:pPr>
      <w:r w:rsidRPr="0097099A">
        <w:rPr>
          <w:rFonts w:ascii="Arial" w:hAnsi="Arial" w:cs="Arial"/>
          <w:bCs/>
          <w:sz w:val="24"/>
          <w:szCs w:val="24"/>
        </w:rPr>
        <w:t>surplus assets – fair value, estimated at highest and best use from a market participants perspective; and</w:t>
      </w:r>
    </w:p>
    <w:p w14:paraId="1E26DE84" w14:textId="77777777" w:rsidR="00655E4C" w:rsidRPr="0097099A" w:rsidRDefault="00655E4C" w:rsidP="00655E4C">
      <w:pPr>
        <w:pStyle w:val="ListParagraph"/>
        <w:spacing w:line="240" w:lineRule="auto"/>
        <w:rPr>
          <w:rFonts w:ascii="Arial" w:hAnsi="Arial" w:cs="Arial"/>
          <w:bCs/>
          <w:sz w:val="24"/>
          <w:szCs w:val="24"/>
        </w:rPr>
      </w:pPr>
    </w:p>
    <w:p w14:paraId="54332267" w14:textId="77777777" w:rsidR="00655E4C" w:rsidRPr="0097099A" w:rsidRDefault="00655E4C" w:rsidP="00EB27EB">
      <w:pPr>
        <w:pStyle w:val="ListParagraph"/>
        <w:numPr>
          <w:ilvl w:val="0"/>
          <w:numId w:val="21"/>
        </w:numPr>
        <w:spacing w:line="240" w:lineRule="auto"/>
        <w:rPr>
          <w:rFonts w:ascii="Arial" w:hAnsi="Arial" w:cs="Arial"/>
          <w:bCs/>
          <w:sz w:val="24"/>
          <w:szCs w:val="24"/>
        </w:rPr>
      </w:pPr>
      <w:r w:rsidRPr="0097099A">
        <w:rPr>
          <w:rFonts w:ascii="Arial" w:hAnsi="Arial" w:cs="Arial"/>
          <w:bCs/>
          <w:sz w:val="24"/>
          <w:szCs w:val="24"/>
        </w:rPr>
        <w:t>all other assets – current value, determined as the amount that would be paid for the asset in its existing use (existing use value – EUV).</w:t>
      </w:r>
    </w:p>
    <w:p w14:paraId="48BBA8F4" w14:textId="77777777" w:rsidR="00655E4C" w:rsidRPr="0097099A" w:rsidRDefault="00655E4C" w:rsidP="00655E4C">
      <w:pPr>
        <w:pStyle w:val="Normal0"/>
        <w:spacing w:line="240" w:lineRule="auto"/>
        <w:rPr>
          <w:rFonts w:ascii="Arial" w:hAnsi="Arial" w:cs="Arial"/>
          <w:bCs/>
          <w:sz w:val="24"/>
          <w:szCs w:val="24"/>
          <w:lang w:eastAsia="en-GB"/>
        </w:rPr>
      </w:pPr>
      <w:r w:rsidRPr="0097099A">
        <w:rPr>
          <w:rFonts w:ascii="Arial" w:hAnsi="Arial" w:cs="Arial"/>
          <w:bCs/>
          <w:sz w:val="24"/>
          <w:szCs w:val="24"/>
          <w:lang w:eastAsia="en-GB"/>
        </w:rPr>
        <w:lastRenderedPageBreak/>
        <w:t xml:space="preserve">Where there is no market-based evidence of current value because of the specialist nature of an asset, depreciated replacement cost (DRC) is used as an estimate of current value. </w:t>
      </w:r>
    </w:p>
    <w:p w14:paraId="624D62D1" w14:textId="77777777" w:rsidR="00655E4C" w:rsidRPr="0097099A" w:rsidRDefault="00655E4C" w:rsidP="00655E4C">
      <w:pPr>
        <w:pStyle w:val="Normal0"/>
        <w:spacing w:line="240" w:lineRule="auto"/>
        <w:rPr>
          <w:rFonts w:ascii="Arial" w:hAnsi="Arial" w:cs="Arial"/>
          <w:bCs/>
          <w:sz w:val="24"/>
          <w:szCs w:val="24"/>
          <w:lang w:eastAsia="en-GB"/>
        </w:rPr>
      </w:pPr>
    </w:p>
    <w:p w14:paraId="4DD4E562" w14:textId="77777777" w:rsidR="00655E4C" w:rsidRPr="0097099A" w:rsidRDefault="00655E4C" w:rsidP="00655E4C">
      <w:pPr>
        <w:pStyle w:val="Normal0"/>
        <w:spacing w:line="240" w:lineRule="auto"/>
        <w:rPr>
          <w:rFonts w:ascii="Arial" w:hAnsi="Arial" w:cs="Arial"/>
          <w:bCs/>
          <w:sz w:val="24"/>
          <w:szCs w:val="24"/>
          <w:lang w:eastAsia="en-GB"/>
        </w:rPr>
      </w:pPr>
      <w:r w:rsidRPr="0097099A">
        <w:rPr>
          <w:rFonts w:ascii="Arial" w:hAnsi="Arial" w:cs="Arial"/>
          <w:bCs/>
          <w:sz w:val="24"/>
          <w:szCs w:val="24"/>
          <w:lang w:eastAsia="en-GB"/>
        </w:rPr>
        <w:t>Where non-property assets have short useful lives or low values (or both), the depreciated historical cost basis is used as a proxy for current value.</w:t>
      </w:r>
    </w:p>
    <w:p w14:paraId="7B70CB4C" w14:textId="77777777" w:rsidR="00655E4C" w:rsidRPr="0097099A" w:rsidRDefault="00655E4C" w:rsidP="00655E4C">
      <w:pPr>
        <w:pStyle w:val="Normal0"/>
        <w:spacing w:line="240" w:lineRule="auto"/>
        <w:rPr>
          <w:rFonts w:ascii="Arial" w:hAnsi="Arial" w:cs="Arial"/>
          <w:bCs/>
          <w:sz w:val="24"/>
          <w:szCs w:val="24"/>
          <w:lang w:eastAsia="en-GB"/>
        </w:rPr>
      </w:pPr>
    </w:p>
    <w:p w14:paraId="313415A0" w14:textId="77777777" w:rsidR="00655E4C" w:rsidRPr="0097099A" w:rsidRDefault="00655E4C" w:rsidP="00655E4C">
      <w:pPr>
        <w:pStyle w:val="Normal0"/>
        <w:spacing w:line="240" w:lineRule="auto"/>
        <w:rPr>
          <w:rFonts w:ascii="Arial" w:hAnsi="Arial" w:cs="Arial"/>
          <w:bCs/>
          <w:sz w:val="24"/>
          <w:szCs w:val="24"/>
          <w:lang w:eastAsia="en-GB"/>
        </w:rPr>
      </w:pPr>
      <w:r w:rsidRPr="0097099A">
        <w:rPr>
          <w:rFonts w:ascii="Arial" w:hAnsi="Arial" w:cs="Arial"/>
          <w:bCs/>
          <w:sz w:val="24"/>
          <w:szCs w:val="24"/>
          <w:lang w:eastAsia="en-GB"/>
        </w:rPr>
        <w:t>Assets included in the balance sheet at current value are revalued sufficiently regularly, as a minimum every five years, to ensure that their carrying amount is not materially different from their current value at the year-end. Increases in valuations are matched by credits to the revaluation reserve to recognise unrealised gains. Exceptionally, gains might be credited to the surplus or deficit on the provision of services where they arise from the reversal of a loss previously charged to a service.</w:t>
      </w:r>
    </w:p>
    <w:p w14:paraId="362E6E12" w14:textId="77777777" w:rsidR="00655E4C" w:rsidRPr="0097099A" w:rsidRDefault="00655E4C" w:rsidP="00655E4C">
      <w:pPr>
        <w:pStyle w:val="Normal0"/>
        <w:spacing w:line="240" w:lineRule="auto"/>
        <w:rPr>
          <w:rFonts w:ascii="Arial" w:hAnsi="Arial" w:cs="Arial"/>
          <w:bCs/>
          <w:sz w:val="24"/>
          <w:szCs w:val="24"/>
          <w:lang w:eastAsia="en-GB"/>
        </w:rPr>
      </w:pPr>
    </w:p>
    <w:p w14:paraId="2E41854D" w14:textId="77777777" w:rsidR="00655E4C" w:rsidRPr="0097099A" w:rsidRDefault="00655E4C" w:rsidP="00655E4C">
      <w:pPr>
        <w:pStyle w:val="Normal0"/>
        <w:spacing w:line="240" w:lineRule="auto"/>
        <w:rPr>
          <w:rFonts w:ascii="Arial" w:hAnsi="Arial" w:cs="Arial"/>
          <w:bCs/>
          <w:sz w:val="24"/>
          <w:szCs w:val="24"/>
          <w:lang w:eastAsia="en-GB"/>
        </w:rPr>
      </w:pPr>
      <w:r w:rsidRPr="0097099A">
        <w:rPr>
          <w:rFonts w:ascii="Arial" w:hAnsi="Arial" w:cs="Arial"/>
          <w:bCs/>
          <w:sz w:val="24"/>
          <w:szCs w:val="24"/>
          <w:lang w:eastAsia="en-GB"/>
        </w:rPr>
        <w:t xml:space="preserve">Where decreases in value are identified, they are accounted for as follows: </w:t>
      </w:r>
    </w:p>
    <w:p w14:paraId="22A3AFDE" w14:textId="77777777" w:rsidR="00655E4C" w:rsidRPr="0097099A" w:rsidRDefault="00655E4C" w:rsidP="00655E4C">
      <w:pPr>
        <w:pStyle w:val="Normal0"/>
        <w:spacing w:line="240" w:lineRule="auto"/>
        <w:rPr>
          <w:rFonts w:ascii="Arial" w:hAnsi="Arial" w:cs="Arial"/>
          <w:bCs/>
          <w:sz w:val="24"/>
          <w:szCs w:val="24"/>
          <w:lang w:eastAsia="en-GB"/>
        </w:rPr>
      </w:pPr>
    </w:p>
    <w:p w14:paraId="7C9EA9C4" w14:textId="77777777" w:rsidR="00655E4C" w:rsidRPr="0097099A" w:rsidRDefault="00655E4C" w:rsidP="00EB27EB">
      <w:pPr>
        <w:pStyle w:val="Normal0"/>
        <w:numPr>
          <w:ilvl w:val="0"/>
          <w:numId w:val="21"/>
        </w:numPr>
        <w:spacing w:line="240" w:lineRule="auto"/>
        <w:rPr>
          <w:rFonts w:ascii="Arial" w:eastAsia="Times New Roman" w:hAnsi="Arial" w:cs="Arial"/>
          <w:bCs/>
          <w:sz w:val="24"/>
          <w:szCs w:val="24"/>
          <w:lang w:val="en-GB" w:eastAsia="en-GB"/>
        </w:rPr>
      </w:pPr>
      <w:r w:rsidRPr="0097099A">
        <w:rPr>
          <w:rFonts w:ascii="Arial" w:eastAsia="Times New Roman" w:hAnsi="Arial" w:cs="Arial"/>
          <w:bCs/>
          <w:sz w:val="24"/>
          <w:szCs w:val="24"/>
          <w:lang w:val="en-GB" w:eastAsia="en-GB"/>
        </w:rPr>
        <w:t xml:space="preserve">where there is a balance of revaluation gains for the asset in the revaluation reserve, the carrying amount of the asset is written down against that balance (up to the amount of the accumulated gains); </w:t>
      </w:r>
    </w:p>
    <w:p w14:paraId="6DE3C766" w14:textId="77777777" w:rsidR="00655E4C" w:rsidRPr="0097099A" w:rsidRDefault="00655E4C" w:rsidP="00655E4C">
      <w:pPr>
        <w:pStyle w:val="Normal0"/>
        <w:spacing w:line="240" w:lineRule="auto"/>
        <w:ind w:left="426"/>
        <w:rPr>
          <w:rFonts w:ascii="Arial" w:eastAsia="Times New Roman" w:hAnsi="Arial" w:cs="Arial"/>
          <w:bCs/>
          <w:sz w:val="24"/>
          <w:szCs w:val="24"/>
          <w:lang w:val="en-GB" w:eastAsia="en-GB"/>
        </w:rPr>
      </w:pPr>
    </w:p>
    <w:p w14:paraId="5665965B" w14:textId="77777777" w:rsidR="00655E4C" w:rsidRPr="0097099A" w:rsidRDefault="00655E4C" w:rsidP="00EB27EB">
      <w:pPr>
        <w:pStyle w:val="Normal0"/>
        <w:numPr>
          <w:ilvl w:val="0"/>
          <w:numId w:val="21"/>
        </w:numPr>
        <w:spacing w:line="240" w:lineRule="auto"/>
        <w:rPr>
          <w:rFonts w:ascii="Arial" w:hAnsi="Arial" w:cs="Arial"/>
          <w:bCs/>
          <w:sz w:val="24"/>
          <w:szCs w:val="24"/>
          <w:lang w:eastAsia="en-GB"/>
        </w:rPr>
      </w:pPr>
      <w:r w:rsidRPr="0097099A">
        <w:rPr>
          <w:rFonts w:ascii="Arial" w:hAnsi="Arial" w:cs="Arial"/>
          <w:bCs/>
          <w:sz w:val="24"/>
          <w:szCs w:val="24"/>
          <w:lang w:eastAsia="en-GB"/>
        </w:rPr>
        <w:t>where there is no balance in the revaluation reserve or an insufficient balance, the carrying amount of the asset is written down against the relevant service line(s) in the comprehensive income and expenditure statement.</w:t>
      </w:r>
    </w:p>
    <w:p w14:paraId="1245F61B" w14:textId="77777777" w:rsidR="00655E4C" w:rsidRPr="0097099A" w:rsidRDefault="00655E4C" w:rsidP="00655E4C">
      <w:pPr>
        <w:pStyle w:val="Normal0"/>
        <w:spacing w:line="240" w:lineRule="auto"/>
        <w:ind w:left="720"/>
        <w:rPr>
          <w:rFonts w:ascii="Arial" w:hAnsi="Arial" w:cs="Arial"/>
          <w:bCs/>
          <w:sz w:val="24"/>
          <w:szCs w:val="24"/>
          <w:lang w:eastAsia="en-GB"/>
        </w:rPr>
      </w:pPr>
    </w:p>
    <w:p w14:paraId="20FF2381" w14:textId="77777777" w:rsidR="00655E4C" w:rsidRPr="0097099A" w:rsidRDefault="00655E4C" w:rsidP="00655E4C">
      <w:pPr>
        <w:pStyle w:val="Normal0"/>
        <w:spacing w:line="240" w:lineRule="auto"/>
        <w:rPr>
          <w:rFonts w:ascii="Arial" w:hAnsi="Arial" w:cs="Arial"/>
          <w:bCs/>
          <w:sz w:val="24"/>
          <w:szCs w:val="24"/>
          <w:lang w:eastAsia="en-GB"/>
        </w:rPr>
      </w:pPr>
      <w:r w:rsidRPr="0097099A">
        <w:rPr>
          <w:rFonts w:ascii="Arial" w:hAnsi="Arial" w:cs="Arial"/>
          <w:bCs/>
          <w:sz w:val="24"/>
          <w:szCs w:val="24"/>
          <w:lang w:eastAsia="en-GB"/>
        </w:rPr>
        <w:t>The revaluation reserve contains revaluation gains recognised since 1 April 2007 only, the date of its formal implementation. Gains arising before that date have been consolidated into the capital adjustment account.</w:t>
      </w:r>
    </w:p>
    <w:p w14:paraId="7701E074" w14:textId="77777777" w:rsidR="00655E4C" w:rsidRPr="00EE5700" w:rsidRDefault="00655E4C" w:rsidP="00655E4C">
      <w:pPr>
        <w:pStyle w:val="Normal0"/>
        <w:spacing w:line="240" w:lineRule="auto"/>
        <w:rPr>
          <w:rFonts w:ascii="Arial" w:hAnsi="Arial" w:cs="Arial"/>
          <w:bCs/>
          <w:sz w:val="24"/>
          <w:szCs w:val="24"/>
          <w:highlight w:val="cyan"/>
          <w:lang w:eastAsia="en-GB"/>
        </w:rPr>
      </w:pPr>
    </w:p>
    <w:p w14:paraId="1E0CC51E" w14:textId="77777777" w:rsidR="00655E4C" w:rsidRPr="0097099A" w:rsidRDefault="00655E4C" w:rsidP="00655E4C">
      <w:pPr>
        <w:pStyle w:val="Heading5"/>
        <w:rPr>
          <w:lang w:eastAsia="en-GB"/>
        </w:rPr>
      </w:pPr>
      <w:r w:rsidRPr="0097099A">
        <w:rPr>
          <w:lang w:eastAsia="en-GB"/>
        </w:rPr>
        <w:t>1.9.3. Impairment</w:t>
      </w:r>
    </w:p>
    <w:p w14:paraId="6AF2D6DA" w14:textId="77777777" w:rsidR="00655E4C" w:rsidRPr="0097099A" w:rsidRDefault="00655E4C" w:rsidP="00655E4C">
      <w:pPr>
        <w:pStyle w:val="Normal0"/>
        <w:spacing w:line="240" w:lineRule="auto"/>
        <w:rPr>
          <w:rFonts w:ascii="Arial" w:hAnsi="Arial" w:cs="Arial"/>
          <w:b/>
          <w:bCs/>
          <w:sz w:val="24"/>
          <w:szCs w:val="24"/>
          <w:lang w:eastAsia="en-GB"/>
        </w:rPr>
      </w:pPr>
    </w:p>
    <w:p w14:paraId="012969ED" w14:textId="77777777" w:rsidR="00655E4C" w:rsidRPr="0097099A" w:rsidRDefault="00655E4C" w:rsidP="00655E4C">
      <w:pPr>
        <w:pStyle w:val="Normal0"/>
        <w:spacing w:line="240" w:lineRule="auto"/>
        <w:rPr>
          <w:rFonts w:ascii="Arial" w:hAnsi="Arial" w:cs="Arial"/>
          <w:bCs/>
          <w:sz w:val="24"/>
          <w:szCs w:val="24"/>
          <w:lang w:eastAsia="en-GB"/>
        </w:rPr>
      </w:pPr>
      <w:r w:rsidRPr="0097099A">
        <w:rPr>
          <w:rFonts w:ascii="Arial" w:hAnsi="Arial" w:cs="Arial"/>
          <w:bCs/>
          <w:sz w:val="24"/>
          <w:szCs w:val="24"/>
          <w:lang w:eastAsia="en-GB"/>
        </w:rPr>
        <w:t>Assets are assessed at each year-end as to whether there are indications that an asset may be impaired. Where reliable indications exist and differences are estimated to be material, the recoverable amount of the asset is estimated and, where this is less than the carrying amount of the asset, an impairment loss is recognised for the shortfall. Where impairment losses are identified, they are accounted for as follows:</w:t>
      </w:r>
    </w:p>
    <w:p w14:paraId="2CD15EF9" w14:textId="77777777" w:rsidR="00655E4C" w:rsidRPr="0097099A" w:rsidRDefault="00655E4C" w:rsidP="00655E4C">
      <w:pPr>
        <w:pStyle w:val="Normal0"/>
        <w:spacing w:line="240" w:lineRule="auto"/>
        <w:rPr>
          <w:rFonts w:ascii="Arial" w:hAnsi="Arial" w:cs="Arial"/>
          <w:bCs/>
          <w:sz w:val="24"/>
          <w:szCs w:val="24"/>
          <w:lang w:eastAsia="en-GB"/>
        </w:rPr>
      </w:pPr>
    </w:p>
    <w:p w14:paraId="773540EF" w14:textId="77777777" w:rsidR="00655E4C" w:rsidRPr="0097099A" w:rsidRDefault="00655E4C" w:rsidP="00EB27EB">
      <w:pPr>
        <w:pStyle w:val="ListParagraph"/>
        <w:numPr>
          <w:ilvl w:val="1"/>
          <w:numId w:val="20"/>
        </w:numPr>
        <w:spacing w:line="240" w:lineRule="auto"/>
        <w:ind w:left="851" w:hanging="567"/>
        <w:rPr>
          <w:rFonts w:ascii="Arial" w:hAnsi="Arial" w:cs="Arial"/>
          <w:bCs/>
          <w:sz w:val="24"/>
          <w:szCs w:val="24"/>
        </w:rPr>
      </w:pPr>
      <w:r w:rsidRPr="0097099A">
        <w:rPr>
          <w:rFonts w:ascii="Arial" w:hAnsi="Arial" w:cs="Arial"/>
          <w:bCs/>
          <w:sz w:val="24"/>
          <w:szCs w:val="24"/>
        </w:rPr>
        <w:t>where there is a balance of revaluation gains for the asset in the revaluation reserve, the carrying amount of the asset is written down against that balance (up to the amount of the accumulated gains);</w:t>
      </w:r>
    </w:p>
    <w:p w14:paraId="51090B4B" w14:textId="77777777" w:rsidR="00655E4C" w:rsidRPr="0097099A" w:rsidRDefault="00655E4C" w:rsidP="00655E4C">
      <w:pPr>
        <w:pStyle w:val="ListParagraph"/>
        <w:spacing w:line="240" w:lineRule="auto"/>
        <w:ind w:left="851"/>
        <w:rPr>
          <w:rFonts w:ascii="Arial" w:hAnsi="Arial" w:cs="Arial"/>
          <w:bCs/>
          <w:sz w:val="24"/>
          <w:szCs w:val="24"/>
        </w:rPr>
      </w:pPr>
    </w:p>
    <w:p w14:paraId="63032538" w14:textId="77777777" w:rsidR="00655E4C" w:rsidRPr="0097099A" w:rsidRDefault="00655E4C" w:rsidP="00EB27EB">
      <w:pPr>
        <w:pStyle w:val="ListParagraph"/>
        <w:numPr>
          <w:ilvl w:val="1"/>
          <w:numId w:val="20"/>
        </w:numPr>
        <w:spacing w:line="240" w:lineRule="auto"/>
        <w:ind w:left="851" w:hanging="567"/>
        <w:rPr>
          <w:rFonts w:ascii="Arial" w:hAnsi="Arial" w:cs="Arial"/>
          <w:bCs/>
          <w:sz w:val="24"/>
          <w:szCs w:val="24"/>
        </w:rPr>
      </w:pPr>
      <w:r w:rsidRPr="0097099A">
        <w:rPr>
          <w:rFonts w:ascii="Arial" w:hAnsi="Arial" w:cs="Arial"/>
          <w:bCs/>
          <w:sz w:val="24"/>
          <w:szCs w:val="24"/>
        </w:rPr>
        <w:t>where there is no balance in the revaluation reserve or an insufficient balance, the carrying amount of the asset is written down against the relevant service line(s) in the comprehensive income and expenditure statement.</w:t>
      </w:r>
    </w:p>
    <w:p w14:paraId="0AB7C18B" w14:textId="77777777" w:rsidR="00655E4C" w:rsidRPr="0097099A" w:rsidRDefault="00655E4C" w:rsidP="00655E4C">
      <w:pPr>
        <w:pStyle w:val="Normal0"/>
        <w:spacing w:line="240" w:lineRule="auto"/>
        <w:rPr>
          <w:rFonts w:ascii="Arial" w:hAnsi="Arial" w:cs="Arial"/>
          <w:bCs/>
          <w:sz w:val="24"/>
          <w:szCs w:val="24"/>
          <w:lang w:eastAsia="en-GB"/>
        </w:rPr>
      </w:pPr>
      <w:r w:rsidRPr="0097099A">
        <w:rPr>
          <w:rFonts w:ascii="Arial" w:hAnsi="Arial" w:cs="Arial"/>
          <w:bCs/>
          <w:sz w:val="24"/>
          <w:szCs w:val="24"/>
          <w:lang w:eastAsia="en-GB"/>
        </w:rPr>
        <w:t>Where an impairment loss is reversed subsequently, the reversal is credited to the relevant service line(s) in the comprehensive income and expenditure statement, up to the amount of the original loss, adjusted for depreciation that would have been charged if the loss had not been recognised.</w:t>
      </w:r>
    </w:p>
    <w:p w14:paraId="4688B010" w14:textId="77777777" w:rsidR="00655E4C" w:rsidRPr="0097099A" w:rsidRDefault="00655E4C" w:rsidP="00655E4C">
      <w:pPr>
        <w:rPr>
          <w:rFonts w:ascii="Arial" w:eastAsiaTheme="minorHAnsi" w:hAnsi="Arial" w:cs="Arial"/>
          <w:b/>
          <w:bCs/>
          <w:lang w:val="en-US" w:eastAsia="en-GB"/>
        </w:rPr>
      </w:pPr>
    </w:p>
    <w:p w14:paraId="04D722FE" w14:textId="77777777" w:rsidR="00655E4C" w:rsidRPr="0097099A" w:rsidRDefault="00655E4C" w:rsidP="00655E4C">
      <w:pPr>
        <w:pStyle w:val="Heading5"/>
        <w:rPr>
          <w:lang w:eastAsia="en-GB"/>
        </w:rPr>
      </w:pPr>
      <w:r w:rsidRPr="0097099A">
        <w:rPr>
          <w:lang w:eastAsia="en-GB"/>
        </w:rPr>
        <w:lastRenderedPageBreak/>
        <w:t>1.9.4. Depreciation</w:t>
      </w:r>
    </w:p>
    <w:p w14:paraId="4C662132" w14:textId="77777777" w:rsidR="00655E4C" w:rsidRPr="0097099A" w:rsidRDefault="00655E4C" w:rsidP="00655E4C">
      <w:pPr>
        <w:pStyle w:val="Normal0"/>
        <w:spacing w:line="240" w:lineRule="auto"/>
        <w:rPr>
          <w:rFonts w:ascii="Arial" w:hAnsi="Arial" w:cs="Arial"/>
          <w:b/>
          <w:bCs/>
          <w:sz w:val="24"/>
          <w:szCs w:val="24"/>
          <w:lang w:eastAsia="en-GB"/>
        </w:rPr>
      </w:pPr>
    </w:p>
    <w:p w14:paraId="05145A7A" w14:textId="77777777" w:rsidR="00655E4C" w:rsidRPr="0097099A" w:rsidRDefault="00655E4C" w:rsidP="00655E4C">
      <w:pPr>
        <w:pStyle w:val="Normal0"/>
        <w:spacing w:line="240" w:lineRule="auto"/>
        <w:rPr>
          <w:rFonts w:ascii="Arial" w:hAnsi="Arial" w:cs="Arial"/>
          <w:bCs/>
          <w:sz w:val="24"/>
          <w:szCs w:val="24"/>
          <w:lang w:eastAsia="en-GB"/>
        </w:rPr>
      </w:pPr>
      <w:r w:rsidRPr="0097099A">
        <w:rPr>
          <w:rFonts w:ascii="Arial" w:hAnsi="Arial" w:cs="Arial"/>
          <w:bCs/>
          <w:sz w:val="24"/>
          <w:szCs w:val="24"/>
          <w:lang w:eastAsia="en-GB"/>
        </w:rPr>
        <w:t>Depreciation is provided for on all property, plant and equipment assets by the systematic allocation of their depreciable amounts over their useful lives. An exception is made for assets without a determinable finite useful life (i.e. freehold land) and assets that are not yet available for use (i.e. assets under construction).</w:t>
      </w:r>
    </w:p>
    <w:p w14:paraId="78DFAF97" w14:textId="77777777" w:rsidR="00655E4C" w:rsidRPr="0097099A" w:rsidRDefault="00655E4C" w:rsidP="00655E4C">
      <w:pPr>
        <w:pStyle w:val="Normal0"/>
        <w:spacing w:line="240" w:lineRule="auto"/>
        <w:rPr>
          <w:rFonts w:ascii="Arial" w:hAnsi="Arial" w:cs="Arial"/>
          <w:bCs/>
          <w:sz w:val="24"/>
          <w:szCs w:val="24"/>
          <w:lang w:eastAsia="en-GB"/>
        </w:rPr>
      </w:pPr>
    </w:p>
    <w:p w14:paraId="386039AE" w14:textId="77777777" w:rsidR="00655E4C" w:rsidRPr="0097099A" w:rsidRDefault="00655E4C" w:rsidP="00655E4C">
      <w:pPr>
        <w:pStyle w:val="Normal0"/>
        <w:spacing w:line="240" w:lineRule="auto"/>
        <w:rPr>
          <w:rFonts w:ascii="Arial" w:hAnsi="Arial" w:cs="Arial"/>
          <w:bCs/>
          <w:sz w:val="24"/>
          <w:szCs w:val="24"/>
          <w:lang w:eastAsia="en-GB"/>
        </w:rPr>
      </w:pPr>
      <w:r w:rsidRPr="0097099A">
        <w:rPr>
          <w:rFonts w:ascii="Arial" w:hAnsi="Arial" w:cs="Arial"/>
          <w:bCs/>
          <w:sz w:val="24"/>
          <w:szCs w:val="24"/>
          <w:lang w:eastAsia="en-GB"/>
        </w:rPr>
        <w:t>Depreciation is calculated on the following bases:</w:t>
      </w:r>
    </w:p>
    <w:p w14:paraId="5E918B92" w14:textId="77777777" w:rsidR="00655E4C" w:rsidRPr="0097099A" w:rsidRDefault="00655E4C" w:rsidP="00655E4C">
      <w:pPr>
        <w:pStyle w:val="Normal0"/>
        <w:spacing w:line="240" w:lineRule="auto"/>
        <w:rPr>
          <w:rFonts w:ascii="Arial" w:hAnsi="Arial" w:cs="Arial"/>
          <w:bCs/>
          <w:sz w:val="24"/>
          <w:szCs w:val="24"/>
          <w:lang w:eastAsia="en-GB"/>
        </w:rPr>
      </w:pPr>
    </w:p>
    <w:p w14:paraId="10A44532" w14:textId="77777777" w:rsidR="00655E4C" w:rsidRPr="0097099A" w:rsidRDefault="00655E4C" w:rsidP="00EB27EB">
      <w:pPr>
        <w:pStyle w:val="ListParagraph"/>
        <w:numPr>
          <w:ilvl w:val="0"/>
          <w:numId w:val="22"/>
        </w:numPr>
        <w:spacing w:after="0" w:line="240" w:lineRule="auto"/>
        <w:ind w:left="714" w:hanging="357"/>
        <w:rPr>
          <w:rFonts w:ascii="Arial" w:hAnsi="Arial" w:cs="Arial"/>
          <w:bCs/>
          <w:sz w:val="24"/>
          <w:szCs w:val="24"/>
        </w:rPr>
      </w:pPr>
      <w:r w:rsidRPr="0097099A">
        <w:rPr>
          <w:rFonts w:ascii="Arial" w:hAnsi="Arial" w:cs="Arial"/>
          <w:bCs/>
          <w:sz w:val="24"/>
          <w:szCs w:val="24"/>
        </w:rPr>
        <w:t xml:space="preserve">infrastructure assets – straight-line allocation over the useful life of the assets </w:t>
      </w:r>
    </w:p>
    <w:p w14:paraId="08FF4AE3" w14:textId="77777777" w:rsidR="00655E4C" w:rsidRPr="0097099A" w:rsidRDefault="00655E4C" w:rsidP="00655E4C">
      <w:pPr>
        <w:ind w:left="720"/>
        <w:rPr>
          <w:rFonts w:ascii="Arial" w:hAnsi="Arial" w:cs="Arial"/>
          <w:bCs/>
          <w:lang w:eastAsia="en-GB"/>
        </w:rPr>
      </w:pPr>
      <w:r w:rsidRPr="0097099A">
        <w:rPr>
          <w:rFonts w:ascii="Arial" w:hAnsi="Arial" w:cs="Arial"/>
          <w:bCs/>
        </w:rPr>
        <w:t>(11 years) as estimated by Transport for Greater Manchester;</w:t>
      </w:r>
    </w:p>
    <w:p w14:paraId="44E89106" w14:textId="77777777" w:rsidR="00655E4C" w:rsidRPr="0097099A" w:rsidRDefault="00655E4C" w:rsidP="00655E4C">
      <w:pPr>
        <w:pStyle w:val="ListParagraph"/>
        <w:spacing w:line="240" w:lineRule="auto"/>
        <w:rPr>
          <w:rFonts w:ascii="Arial" w:hAnsi="Arial" w:cs="Arial"/>
          <w:bCs/>
          <w:sz w:val="24"/>
          <w:szCs w:val="24"/>
        </w:rPr>
      </w:pPr>
    </w:p>
    <w:p w14:paraId="2910739D" w14:textId="77777777" w:rsidR="00655E4C" w:rsidRPr="0097099A" w:rsidRDefault="00655E4C" w:rsidP="00EB27EB">
      <w:pPr>
        <w:pStyle w:val="ListParagraph"/>
        <w:numPr>
          <w:ilvl w:val="0"/>
          <w:numId w:val="22"/>
        </w:numPr>
        <w:spacing w:line="240" w:lineRule="auto"/>
        <w:rPr>
          <w:rFonts w:ascii="Arial" w:hAnsi="Arial" w:cs="Arial"/>
          <w:bCs/>
          <w:sz w:val="24"/>
          <w:szCs w:val="24"/>
        </w:rPr>
      </w:pPr>
      <w:r w:rsidRPr="0097099A">
        <w:rPr>
          <w:rFonts w:ascii="Arial" w:hAnsi="Arial" w:cs="Arial"/>
          <w:bCs/>
          <w:sz w:val="24"/>
          <w:szCs w:val="24"/>
        </w:rPr>
        <w:t>buildings – straight-line allocation over the useful life of the property (5 to 100 years) as estimated by the valuer; and</w:t>
      </w:r>
    </w:p>
    <w:p w14:paraId="77301F1B" w14:textId="77777777" w:rsidR="00655E4C" w:rsidRPr="0097099A" w:rsidRDefault="00655E4C" w:rsidP="00655E4C">
      <w:pPr>
        <w:pStyle w:val="ListParagraph"/>
        <w:spacing w:line="240" w:lineRule="auto"/>
        <w:rPr>
          <w:rFonts w:ascii="Arial" w:hAnsi="Arial" w:cs="Arial"/>
          <w:bCs/>
          <w:sz w:val="24"/>
          <w:szCs w:val="24"/>
        </w:rPr>
      </w:pPr>
    </w:p>
    <w:p w14:paraId="0C263D2E" w14:textId="77777777" w:rsidR="00655E4C" w:rsidRPr="0097099A" w:rsidRDefault="00655E4C" w:rsidP="00EB27EB">
      <w:pPr>
        <w:pStyle w:val="ListParagraph"/>
        <w:numPr>
          <w:ilvl w:val="0"/>
          <w:numId w:val="22"/>
        </w:numPr>
        <w:spacing w:line="240" w:lineRule="auto"/>
        <w:rPr>
          <w:rFonts w:ascii="Arial" w:hAnsi="Arial" w:cs="Arial"/>
          <w:bCs/>
          <w:sz w:val="24"/>
          <w:szCs w:val="24"/>
        </w:rPr>
      </w:pPr>
      <w:r w:rsidRPr="0097099A">
        <w:rPr>
          <w:rFonts w:ascii="Arial" w:hAnsi="Arial" w:cs="Arial"/>
          <w:bCs/>
          <w:sz w:val="24"/>
          <w:szCs w:val="24"/>
        </w:rPr>
        <w:t>vehicles, plant and equipment – straight-line allocation over the useful life of the asset (5 to 30 years) as advised by a suitably qualified officer.</w:t>
      </w:r>
    </w:p>
    <w:p w14:paraId="3205D69E" w14:textId="77777777" w:rsidR="00655E4C" w:rsidRPr="0097099A" w:rsidRDefault="00655E4C" w:rsidP="00655E4C">
      <w:pPr>
        <w:pStyle w:val="Normal0"/>
        <w:tabs>
          <w:tab w:val="left" w:pos="9195"/>
        </w:tabs>
        <w:spacing w:line="240" w:lineRule="auto"/>
        <w:rPr>
          <w:rFonts w:ascii="Arial" w:hAnsi="Arial" w:cs="Arial"/>
          <w:bCs/>
          <w:sz w:val="24"/>
          <w:szCs w:val="24"/>
          <w:lang w:eastAsia="en-GB"/>
        </w:rPr>
      </w:pPr>
      <w:r w:rsidRPr="0097099A">
        <w:rPr>
          <w:rFonts w:ascii="Arial" w:hAnsi="Arial" w:cs="Arial"/>
          <w:bCs/>
          <w:sz w:val="24"/>
          <w:szCs w:val="24"/>
          <w:lang w:eastAsia="en-GB"/>
        </w:rPr>
        <w:t>Where an item of property, plant and equipment asset has major components whose cost is significant in relation to the total cost of the item, the components are depreciated separately. Where there is more than one significant part of the same asset that has the same useful life and depreciation method, such parts may be grouped in determining the depreciation charge. In practice, this can be achieved by only separately accounting for significant components that have different useful lives. The requirement for componentisation for depreciation purposes is applicable to enhancement and acquisition expenditure incurred and revaluations carried out from 1 April 2010.</w:t>
      </w:r>
    </w:p>
    <w:p w14:paraId="25073B20" w14:textId="77777777" w:rsidR="00655E4C" w:rsidRPr="0097099A" w:rsidRDefault="00655E4C" w:rsidP="00655E4C">
      <w:pPr>
        <w:pStyle w:val="Normal0"/>
        <w:tabs>
          <w:tab w:val="left" w:pos="9195"/>
        </w:tabs>
        <w:spacing w:line="240" w:lineRule="auto"/>
        <w:rPr>
          <w:rFonts w:ascii="Arial" w:hAnsi="Arial" w:cs="Arial"/>
          <w:bCs/>
          <w:sz w:val="24"/>
          <w:szCs w:val="24"/>
          <w:lang w:eastAsia="en-GB"/>
        </w:rPr>
      </w:pPr>
    </w:p>
    <w:p w14:paraId="2173F84B" w14:textId="77777777" w:rsidR="00655E4C" w:rsidRPr="0097099A" w:rsidRDefault="00655E4C" w:rsidP="00655E4C">
      <w:pPr>
        <w:pStyle w:val="Normal0"/>
        <w:spacing w:line="240" w:lineRule="auto"/>
        <w:rPr>
          <w:rFonts w:ascii="Arial" w:hAnsi="Arial" w:cs="Arial"/>
          <w:bCs/>
          <w:sz w:val="24"/>
          <w:szCs w:val="24"/>
          <w:lang w:eastAsia="en-GB"/>
        </w:rPr>
      </w:pPr>
      <w:r w:rsidRPr="0097099A">
        <w:rPr>
          <w:rFonts w:ascii="Arial" w:hAnsi="Arial" w:cs="Arial"/>
          <w:bCs/>
          <w:sz w:val="24"/>
          <w:szCs w:val="24"/>
          <w:lang w:eastAsia="en-GB"/>
        </w:rPr>
        <w:t>Revaluation gains are also depreciated, with an amount equal to the difference between current value depreciation charged on assets and the depreciation that would have been chargeable based on their historical cost being transferred each year from the revaluation reserve to the capital adjustment account.</w:t>
      </w:r>
    </w:p>
    <w:p w14:paraId="79091B87" w14:textId="77777777" w:rsidR="00655E4C" w:rsidRPr="0097099A" w:rsidRDefault="00655E4C" w:rsidP="00655E4C">
      <w:pPr>
        <w:pStyle w:val="Normal0"/>
        <w:spacing w:line="240" w:lineRule="auto"/>
        <w:rPr>
          <w:rFonts w:ascii="Arial" w:hAnsi="Arial" w:cs="Arial"/>
          <w:bCs/>
          <w:sz w:val="24"/>
          <w:szCs w:val="24"/>
          <w:lang w:eastAsia="en-GB"/>
        </w:rPr>
      </w:pPr>
    </w:p>
    <w:p w14:paraId="6D71F26A" w14:textId="77777777" w:rsidR="00655E4C" w:rsidRPr="0097099A" w:rsidRDefault="00655E4C" w:rsidP="00655E4C">
      <w:pPr>
        <w:pStyle w:val="Heading5"/>
        <w:rPr>
          <w:lang w:eastAsia="en-GB"/>
        </w:rPr>
      </w:pPr>
      <w:r w:rsidRPr="0097099A">
        <w:rPr>
          <w:lang w:eastAsia="en-GB"/>
        </w:rPr>
        <w:t>1.9.5. Non-current assets held for sale</w:t>
      </w:r>
    </w:p>
    <w:p w14:paraId="476DCDC2" w14:textId="77777777" w:rsidR="00655E4C" w:rsidRPr="0097099A" w:rsidRDefault="00655E4C" w:rsidP="00655E4C">
      <w:pPr>
        <w:pStyle w:val="Normal0"/>
        <w:spacing w:line="240" w:lineRule="auto"/>
        <w:rPr>
          <w:rFonts w:ascii="Arial" w:hAnsi="Arial" w:cs="Arial"/>
          <w:b/>
          <w:bCs/>
          <w:sz w:val="24"/>
          <w:szCs w:val="24"/>
          <w:lang w:eastAsia="en-GB"/>
        </w:rPr>
      </w:pPr>
    </w:p>
    <w:p w14:paraId="5A7B720D" w14:textId="77777777" w:rsidR="00655E4C" w:rsidRPr="0097099A" w:rsidRDefault="00655E4C" w:rsidP="00655E4C">
      <w:pPr>
        <w:pStyle w:val="Normal0"/>
        <w:spacing w:line="240" w:lineRule="auto"/>
        <w:rPr>
          <w:rFonts w:ascii="Arial" w:hAnsi="Arial" w:cs="Arial"/>
          <w:bCs/>
          <w:sz w:val="24"/>
          <w:szCs w:val="24"/>
          <w:lang w:eastAsia="en-GB"/>
        </w:rPr>
      </w:pPr>
      <w:r w:rsidRPr="0097099A">
        <w:rPr>
          <w:rFonts w:ascii="Arial" w:hAnsi="Arial" w:cs="Arial"/>
          <w:bCs/>
          <w:sz w:val="24"/>
          <w:szCs w:val="24"/>
          <w:lang w:eastAsia="en-GB"/>
        </w:rPr>
        <w:t xml:space="preserve">When it becomes probable that the carrying amount of an asset will be recovered principally through a sale transaction rather than through its continuing use, it is reclassified as an asset held for sale. The asset is re-valued immediately before reclassification and then carried at the lower of this amount and fair value less costs to sell. Where there is a subsequent decrease to fair value less costs to sell, the loss is posted to the other operating expenditure line in the comprehensive income and expenditure statement. Gains in fair value are recognised only up to the amount of any previously recognised losses in the surplus or deficit on provision of services. Depreciation is not charged on assets held for sale. </w:t>
      </w:r>
    </w:p>
    <w:p w14:paraId="4CD3501D" w14:textId="77777777" w:rsidR="00655E4C" w:rsidRPr="0097099A" w:rsidRDefault="00655E4C" w:rsidP="00655E4C">
      <w:pPr>
        <w:pStyle w:val="Normal0"/>
        <w:spacing w:line="240" w:lineRule="auto"/>
        <w:rPr>
          <w:rFonts w:ascii="Arial" w:hAnsi="Arial" w:cs="Arial"/>
          <w:bCs/>
          <w:sz w:val="24"/>
          <w:szCs w:val="24"/>
          <w:lang w:eastAsia="en-GB"/>
        </w:rPr>
      </w:pPr>
    </w:p>
    <w:p w14:paraId="61B537E2" w14:textId="77777777" w:rsidR="00655E4C" w:rsidRPr="0097099A" w:rsidRDefault="00655E4C" w:rsidP="00655E4C">
      <w:pPr>
        <w:pStyle w:val="Normal0"/>
        <w:spacing w:line="240" w:lineRule="auto"/>
        <w:rPr>
          <w:rFonts w:ascii="Arial" w:hAnsi="Arial" w:cs="Arial"/>
          <w:bCs/>
          <w:sz w:val="24"/>
          <w:szCs w:val="24"/>
          <w:lang w:eastAsia="en-GB"/>
        </w:rPr>
      </w:pPr>
      <w:r w:rsidRPr="0097099A">
        <w:rPr>
          <w:rFonts w:ascii="Arial" w:hAnsi="Arial" w:cs="Arial"/>
          <w:bCs/>
          <w:sz w:val="24"/>
          <w:szCs w:val="24"/>
          <w:lang w:eastAsia="en-GB"/>
        </w:rPr>
        <w:t xml:space="preserve">If assets no longer meet the criteria to be classified as assets held for sale, they are reclassified back to non-current assets and valued at the lower of their carrying amount before they were classified as held for sale; adjusted for depreciation, amortisation or revaluations that would have been recognised had they not been classified as held for sale, and their recoverable amount at the date of the decision not to sell. </w:t>
      </w:r>
    </w:p>
    <w:p w14:paraId="002DC0A8" w14:textId="77777777" w:rsidR="00655E4C" w:rsidRPr="0097099A" w:rsidRDefault="00655E4C" w:rsidP="00655E4C">
      <w:pPr>
        <w:pStyle w:val="Normal0"/>
        <w:spacing w:line="240" w:lineRule="auto"/>
        <w:rPr>
          <w:rFonts w:ascii="Arial" w:hAnsi="Arial" w:cs="Arial"/>
          <w:bCs/>
          <w:sz w:val="24"/>
          <w:szCs w:val="24"/>
          <w:lang w:eastAsia="en-GB"/>
        </w:rPr>
      </w:pPr>
    </w:p>
    <w:p w14:paraId="7644A18E" w14:textId="77777777" w:rsidR="00655E4C" w:rsidRPr="0097099A" w:rsidRDefault="00655E4C" w:rsidP="00655E4C">
      <w:pPr>
        <w:pStyle w:val="Normal0"/>
        <w:spacing w:line="240" w:lineRule="auto"/>
        <w:rPr>
          <w:rFonts w:ascii="Arial" w:hAnsi="Arial" w:cs="Arial"/>
          <w:bCs/>
          <w:sz w:val="24"/>
          <w:szCs w:val="24"/>
          <w:lang w:eastAsia="en-GB"/>
        </w:rPr>
      </w:pPr>
      <w:r w:rsidRPr="0097099A">
        <w:rPr>
          <w:rFonts w:ascii="Arial" w:hAnsi="Arial" w:cs="Arial"/>
          <w:bCs/>
          <w:sz w:val="24"/>
          <w:szCs w:val="24"/>
          <w:lang w:eastAsia="en-GB"/>
        </w:rPr>
        <w:lastRenderedPageBreak/>
        <w:t xml:space="preserve">Assets that are to be abandoned or scrapped are not reclassified as assets held for sale. </w:t>
      </w:r>
    </w:p>
    <w:p w14:paraId="41F6AB17" w14:textId="77777777" w:rsidR="00655E4C" w:rsidRPr="0097099A" w:rsidRDefault="00655E4C" w:rsidP="00655E4C">
      <w:pPr>
        <w:pStyle w:val="Normal0"/>
        <w:spacing w:line="240" w:lineRule="auto"/>
        <w:rPr>
          <w:rFonts w:ascii="Arial" w:hAnsi="Arial" w:cs="Arial"/>
          <w:b/>
          <w:bCs/>
          <w:sz w:val="24"/>
          <w:szCs w:val="24"/>
          <w:lang w:eastAsia="en-GB"/>
        </w:rPr>
      </w:pPr>
    </w:p>
    <w:p w14:paraId="2F0E65CD" w14:textId="77777777" w:rsidR="00655E4C" w:rsidRPr="0097099A" w:rsidRDefault="00655E4C" w:rsidP="00655E4C">
      <w:pPr>
        <w:pStyle w:val="Heading5"/>
        <w:rPr>
          <w:lang w:eastAsia="en-GB"/>
        </w:rPr>
      </w:pPr>
      <w:r w:rsidRPr="0097099A">
        <w:rPr>
          <w:lang w:eastAsia="en-GB"/>
        </w:rPr>
        <w:t xml:space="preserve">1.9.6. Disposals </w:t>
      </w:r>
    </w:p>
    <w:p w14:paraId="56643825" w14:textId="77777777" w:rsidR="00655E4C" w:rsidRPr="0097099A" w:rsidRDefault="00655E4C" w:rsidP="00655E4C">
      <w:pPr>
        <w:pStyle w:val="Normal0"/>
        <w:spacing w:line="240" w:lineRule="auto"/>
        <w:rPr>
          <w:rFonts w:ascii="Arial" w:hAnsi="Arial" w:cs="Arial"/>
          <w:b/>
          <w:bCs/>
          <w:sz w:val="24"/>
          <w:szCs w:val="24"/>
          <w:lang w:eastAsia="en-GB"/>
        </w:rPr>
      </w:pPr>
    </w:p>
    <w:p w14:paraId="5DCAD901" w14:textId="77777777" w:rsidR="00655E4C" w:rsidRPr="0097099A" w:rsidRDefault="00655E4C" w:rsidP="00655E4C">
      <w:pPr>
        <w:pStyle w:val="Normal0"/>
        <w:spacing w:line="240" w:lineRule="auto"/>
        <w:rPr>
          <w:rFonts w:ascii="Arial" w:hAnsi="Arial" w:cs="Arial"/>
          <w:bCs/>
          <w:sz w:val="24"/>
          <w:szCs w:val="24"/>
          <w:lang w:eastAsia="en-GB"/>
        </w:rPr>
      </w:pPr>
      <w:r w:rsidRPr="0097099A">
        <w:rPr>
          <w:rFonts w:ascii="Arial" w:hAnsi="Arial" w:cs="Arial"/>
          <w:bCs/>
          <w:sz w:val="24"/>
          <w:szCs w:val="24"/>
          <w:lang w:eastAsia="en-GB"/>
        </w:rPr>
        <w:t>When an asset is disposed of or decommissioned, the carrying amount of the asset in the balance sheet (whether property, plant and equipment or assets held for sale) is written off to the other operating expenditure line in the comprehensive income and expenditure statement as part of the gain or loss on disposal. Receipts from disposals (if any) are credited to the same line in the comprehensive income and expenditure statement also as part of the gain or loss on disposal (i.e. netted off against the carrying value of the asset at the time of disposal). Any revaluation gains accumulated for the asset in the revaluation reserve are transferred to the capital adjustment account.</w:t>
      </w:r>
    </w:p>
    <w:p w14:paraId="49F3D4FA" w14:textId="77777777" w:rsidR="00655E4C" w:rsidRPr="0097099A" w:rsidRDefault="00655E4C" w:rsidP="00655E4C">
      <w:pPr>
        <w:pStyle w:val="Normal0"/>
        <w:spacing w:line="240" w:lineRule="auto"/>
        <w:rPr>
          <w:rFonts w:ascii="Arial" w:hAnsi="Arial" w:cs="Arial"/>
          <w:bCs/>
          <w:sz w:val="24"/>
          <w:szCs w:val="24"/>
          <w:lang w:eastAsia="en-GB"/>
        </w:rPr>
      </w:pPr>
    </w:p>
    <w:p w14:paraId="2A3E5DF4" w14:textId="77777777" w:rsidR="00655E4C" w:rsidRPr="0097099A" w:rsidRDefault="00655E4C" w:rsidP="00655E4C">
      <w:pPr>
        <w:pStyle w:val="Normal0"/>
        <w:spacing w:line="240" w:lineRule="auto"/>
        <w:rPr>
          <w:rFonts w:ascii="Arial" w:hAnsi="Arial" w:cs="Arial"/>
          <w:bCs/>
          <w:sz w:val="24"/>
          <w:szCs w:val="24"/>
          <w:lang w:eastAsia="en-GB"/>
        </w:rPr>
      </w:pPr>
      <w:r w:rsidRPr="0097099A">
        <w:rPr>
          <w:rFonts w:ascii="Arial" w:hAnsi="Arial" w:cs="Arial"/>
          <w:bCs/>
          <w:sz w:val="24"/>
          <w:szCs w:val="24"/>
          <w:lang w:eastAsia="en-GB"/>
        </w:rPr>
        <w:t>Amounts received for a disposal of £10,000 or more are categorised as capital receipts and credited to the Capital Receipts Reserve (CRR). They can then only be used for new capital investment or set aside to reduce the Authority's underlying need to borrow (the capital financing requirement). Receipts are appropriated to the Mayoral or GMCA CRR from the relevant Mayoral or GMCA balances in the movement in reserves statement.</w:t>
      </w:r>
    </w:p>
    <w:p w14:paraId="35A71908" w14:textId="77777777" w:rsidR="00655E4C" w:rsidRPr="0097099A" w:rsidRDefault="00655E4C" w:rsidP="00655E4C">
      <w:pPr>
        <w:pStyle w:val="Normal0"/>
        <w:spacing w:line="240" w:lineRule="auto"/>
        <w:rPr>
          <w:rFonts w:ascii="Arial" w:hAnsi="Arial" w:cs="Arial"/>
          <w:bCs/>
          <w:sz w:val="24"/>
          <w:szCs w:val="24"/>
          <w:lang w:eastAsia="en-GB"/>
        </w:rPr>
      </w:pPr>
    </w:p>
    <w:p w14:paraId="66781501" w14:textId="77777777" w:rsidR="00655E4C" w:rsidRPr="0097099A" w:rsidRDefault="00655E4C" w:rsidP="00655E4C">
      <w:pPr>
        <w:pStyle w:val="Normal0"/>
        <w:spacing w:line="240" w:lineRule="auto"/>
        <w:rPr>
          <w:rFonts w:ascii="Arial" w:hAnsi="Arial" w:cs="Arial"/>
          <w:bCs/>
          <w:sz w:val="24"/>
          <w:szCs w:val="24"/>
          <w:lang w:eastAsia="en-GB"/>
        </w:rPr>
      </w:pPr>
      <w:r w:rsidRPr="0097099A">
        <w:rPr>
          <w:rFonts w:ascii="Arial" w:hAnsi="Arial" w:cs="Arial"/>
          <w:bCs/>
          <w:sz w:val="24"/>
          <w:szCs w:val="24"/>
          <w:lang w:eastAsia="en-GB"/>
        </w:rPr>
        <w:t>The written-off value of disposals is not a charge against statutory funding, as the cost of non-current assets is fully provided for under separate arrangements for capital financing. Amounts are appropriated to the capital adjustment account from the relevant general fund balance in the movement in reserves statement.</w:t>
      </w:r>
    </w:p>
    <w:p w14:paraId="27CAC40C" w14:textId="77777777" w:rsidR="00655E4C" w:rsidRPr="00EE5700" w:rsidRDefault="00655E4C" w:rsidP="00655E4C">
      <w:pPr>
        <w:pStyle w:val="Normal0"/>
        <w:tabs>
          <w:tab w:val="left" w:pos="9195"/>
        </w:tabs>
        <w:spacing w:line="240" w:lineRule="auto"/>
        <w:rPr>
          <w:rFonts w:ascii="Arial" w:hAnsi="Arial" w:cs="Arial"/>
          <w:bCs/>
          <w:sz w:val="24"/>
          <w:szCs w:val="24"/>
          <w:highlight w:val="cyan"/>
          <w:lang w:eastAsia="en-GB"/>
        </w:rPr>
      </w:pPr>
    </w:p>
    <w:p w14:paraId="28CFBD6D" w14:textId="77777777" w:rsidR="00655E4C" w:rsidRPr="0097099A" w:rsidRDefault="00655E4C" w:rsidP="00655E4C">
      <w:pPr>
        <w:pStyle w:val="Heading4bold"/>
      </w:pPr>
      <w:r w:rsidRPr="0097099A">
        <w:t>1.10. Intangible Assets</w:t>
      </w:r>
    </w:p>
    <w:p w14:paraId="44A2D9DC" w14:textId="77777777" w:rsidR="00655E4C" w:rsidRPr="0097099A" w:rsidRDefault="00655E4C" w:rsidP="00655E4C">
      <w:pPr>
        <w:pStyle w:val="Standard"/>
      </w:pPr>
      <w:r w:rsidRPr="0097099A">
        <w:t>Expenditure on non-monetary assets that do not have physical substance but are controlled by the Authority as a result of past events (e.g. software licences) is capitalised when it is expected that future economic benefits or service potential will flow from the intangible asset to the Authority.</w:t>
      </w:r>
    </w:p>
    <w:p w14:paraId="368CAFE7" w14:textId="77777777" w:rsidR="00655E4C" w:rsidRPr="0097099A" w:rsidRDefault="00655E4C" w:rsidP="00655E4C">
      <w:pPr>
        <w:pStyle w:val="Standard"/>
      </w:pPr>
    </w:p>
    <w:p w14:paraId="4E4508BC" w14:textId="77777777" w:rsidR="00655E4C" w:rsidRPr="0097099A" w:rsidRDefault="00655E4C" w:rsidP="00655E4C">
      <w:pPr>
        <w:pStyle w:val="Standard"/>
      </w:pPr>
      <w:r w:rsidRPr="0097099A">
        <w:t>Internally generated assets are capitalised where it is demonstrable that the project is technically feasible and is intended to be completed (with adequate resources being available) and the Authority will be able to generate future economic benefits or deliver service potential by being able to sell or use the asset. Expenditure is capitalised where it can be measured reliably as attributable to the asset and is restricted to that incurred during the development phase (research expenditure cannot be capitalised). Expenditure on the development of websites is not capitalised if the website is solely or primarily intended to promote or advertise the Authority’s goods or services.</w:t>
      </w:r>
    </w:p>
    <w:p w14:paraId="496CE9A4" w14:textId="77777777" w:rsidR="00655E4C" w:rsidRPr="0097099A" w:rsidRDefault="00655E4C" w:rsidP="00655E4C">
      <w:pPr>
        <w:pStyle w:val="Standard"/>
      </w:pPr>
    </w:p>
    <w:p w14:paraId="724C0E25" w14:textId="77777777" w:rsidR="00655E4C" w:rsidRPr="0097099A" w:rsidRDefault="00655E4C" w:rsidP="00655E4C">
      <w:pPr>
        <w:pStyle w:val="Standard"/>
      </w:pPr>
      <w:r w:rsidRPr="0097099A">
        <w:t xml:space="preserve">Intangible assets are measured initially at cost. Amounts are only revalued where the fair value of the assets held by the Authority can be determined by reference to an active market. In practice, no intangible asset held by the Authority meets this criterion, and they are therefore carried at amortised cost. The depreciable amount of an intangible asset is amortised over its useful life to the relevant area in the Comprehensive Income and Expenditure Statement. An asset is tested for impairment whenever there is an indication that the asset might be impaired – any losses recognised are posted to the relevant area in the Comprehensive Income and Expenditure Statement. Any gain or </w:t>
      </w:r>
      <w:r w:rsidRPr="0097099A">
        <w:lastRenderedPageBreak/>
        <w:t>loss arising on the disposal or abandonment of an intangible asset is posted to the Other Operating Expenditure line in the Comprehensive Income and Expenditure Statement.</w:t>
      </w:r>
    </w:p>
    <w:p w14:paraId="6AC78BEA" w14:textId="77777777" w:rsidR="00655E4C" w:rsidRPr="0097099A" w:rsidRDefault="00655E4C" w:rsidP="00655E4C">
      <w:pPr>
        <w:pStyle w:val="Standard"/>
      </w:pPr>
    </w:p>
    <w:p w14:paraId="044F6E32" w14:textId="77777777" w:rsidR="00655E4C" w:rsidRPr="0007572B" w:rsidRDefault="00655E4C" w:rsidP="00655E4C">
      <w:pPr>
        <w:pStyle w:val="Standard"/>
      </w:pPr>
      <w:r w:rsidRPr="0097099A">
        <w:t>Where expenditure on intangible assets qualifies as capital expenditure for statutory purposes, amortisation, impairment losses and disposal gains and losses are not permitted to have an impact on the General Fund Balance. The gains and losses are therefore reversed out of the General Fund Balance in the Movement in Reserves Statement and posted to the Capital Adjustment Account and (for any sale proceeds greater than £10,000) the Capital Receipts Reserve.</w:t>
      </w:r>
    </w:p>
    <w:p w14:paraId="76433413" w14:textId="77777777" w:rsidR="00655E4C" w:rsidRPr="0007572B" w:rsidRDefault="00655E4C" w:rsidP="00655E4C">
      <w:pPr>
        <w:rPr>
          <w:rFonts w:ascii="Arial" w:eastAsiaTheme="minorHAnsi" w:hAnsi="Arial" w:cs="Arial"/>
          <w:b/>
          <w:bCs/>
          <w:lang w:val="en-US" w:eastAsia="en-GB"/>
        </w:rPr>
      </w:pPr>
    </w:p>
    <w:p w14:paraId="0B31BAC9" w14:textId="77777777" w:rsidR="00655E4C" w:rsidRPr="00EB1AAB" w:rsidRDefault="00655E4C" w:rsidP="00655E4C">
      <w:pPr>
        <w:pStyle w:val="Heading4bold"/>
        <w:rPr>
          <w:lang w:eastAsia="en-GB"/>
        </w:rPr>
      </w:pPr>
      <w:r w:rsidRPr="00EB1AAB">
        <w:rPr>
          <w:lang w:eastAsia="en-GB"/>
        </w:rPr>
        <w:t>1.11. Fair Value</w:t>
      </w:r>
    </w:p>
    <w:p w14:paraId="0DD76A7E" w14:textId="77777777" w:rsidR="00655E4C" w:rsidRPr="00EB1AAB" w:rsidRDefault="00655E4C" w:rsidP="00655E4C">
      <w:pPr>
        <w:tabs>
          <w:tab w:val="left" w:pos="9195"/>
        </w:tabs>
        <w:rPr>
          <w:rFonts w:ascii="Arial" w:eastAsia="Calibri" w:hAnsi="Arial" w:cs="Arial"/>
          <w:bCs/>
          <w:lang w:val="en-US" w:eastAsia="en-GB"/>
        </w:rPr>
      </w:pPr>
      <w:r w:rsidRPr="00EB1AAB">
        <w:rPr>
          <w:rFonts w:ascii="Arial" w:eastAsia="Calibri" w:hAnsi="Arial" w:cs="Arial"/>
          <w:bCs/>
          <w:lang w:val="en-US" w:eastAsia="en-GB"/>
        </w:rPr>
        <w:t>The Authority measures some of its non-financial assets, such as Investment Properties and Surplus Assets, and some of its financial instruments at fair value at each reporting date, if material. Fair value is the price that would be received to sell an asset or paid to transfer a liability in an orderly transaction between market participants at the measurement date. The fair value measurement assumes that the transaction to sell the asset or transfer the liability takes place either:</w:t>
      </w:r>
    </w:p>
    <w:p w14:paraId="1C1D2377" w14:textId="77777777" w:rsidR="00655E4C" w:rsidRPr="00EB1AAB" w:rsidRDefault="00655E4C" w:rsidP="00655E4C">
      <w:pPr>
        <w:tabs>
          <w:tab w:val="left" w:pos="9195"/>
        </w:tabs>
        <w:rPr>
          <w:rFonts w:ascii="Arial" w:eastAsia="Calibri" w:hAnsi="Arial" w:cs="Arial"/>
          <w:bCs/>
          <w:lang w:val="en-US" w:eastAsia="en-GB"/>
        </w:rPr>
      </w:pPr>
    </w:p>
    <w:p w14:paraId="24E64ED8" w14:textId="77777777" w:rsidR="00655E4C" w:rsidRPr="00EB1AAB" w:rsidRDefault="00655E4C" w:rsidP="00EB27EB">
      <w:pPr>
        <w:numPr>
          <w:ilvl w:val="0"/>
          <w:numId w:val="23"/>
        </w:numPr>
        <w:tabs>
          <w:tab w:val="left" w:pos="9195"/>
        </w:tabs>
        <w:spacing w:after="200"/>
        <w:contextualSpacing/>
        <w:rPr>
          <w:rFonts w:ascii="Arial" w:hAnsi="Arial" w:cs="Arial"/>
          <w:bCs/>
          <w:lang w:eastAsia="en-GB"/>
        </w:rPr>
      </w:pPr>
      <w:r w:rsidRPr="00EB1AAB">
        <w:rPr>
          <w:rFonts w:ascii="Arial" w:hAnsi="Arial" w:cs="Arial"/>
          <w:bCs/>
          <w:lang w:eastAsia="en-GB"/>
        </w:rPr>
        <w:t>In the principal market for the asset; or</w:t>
      </w:r>
    </w:p>
    <w:p w14:paraId="326B7A4E" w14:textId="77777777" w:rsidR="00655E4C" w:rsidRPr="00EB1AAB" w:rsidRDefault="00655E4C" w:rsidP="00EB27EB">
      <w:pPr>
        <w:numPr>
          <w:ilvl w:val="0"/>
          <w:numId w:val="23"/>
        </w:numPr>
        <w:tabs>
          <w:tab w:val="left" w:pos="9195"/>
        </w:tabs>
        <w:spacing w:after="200"/>
        <w:contextualSpacing/>
        <w:rPr>
          <w:rFonts w:ascii="Arial" w:hAnsi="Arial" w:cs="Arial"/>
          <w:bCs/>
          <w:lang w:eastAsia="en-GB"/>
        </w:rPr>
      </w:pPr>
      <w:r w:rsidRPr="00EB1AAB">
        <w:rPr>
          <w:rFonts w:ascii="Arial" w:hAnsi="Arial" w:cs="Arial"/>
          <w:bCs/>
          <w:lang w:eastAsia="en-GB"/>
        </w:rPr>
        <w:t>In the absence of a principal market, in the most advantageous market for the asset.</w:t>
      </w:r>
    </w:p>
    <w:p w14:paraId="603FC0E6" w14:textId="77777777" w:rsidR="00655E4C" w:rsidRPr="00EB1AAB" w:rsidRDefault="00655E4C" w:rsidP="00655E4C">
      <w:pPr>
        <w:tabs>
          <w:tab w:val="left" w:pos="9195"/>
        </w:tabs>
        <w:spacing w:after="200"/>
        <w:ind w:left="780"/>
        <w:contextualSpacing/>
        <w:rPr>
          <w:rFonts w:ascii="Arial" w:hAnsi="Arial" w:cs="Arial"/>
          <w:bCs/>
          <w:lang w:eastAsia="en-GB"/>
        </w:rPr>
      </w:pPr>
    </w:p>
    <w:p w14:paraId="08D82B19" w14:textId="77777777" w:rsidR="00655E4C" w:rsidRPr="00EB1AAB" w:rsidRDefault="00655E4C" w:rsidP="00655E4C">
      <w:pPr>
        <w:tabs>
          <w:tab w:val="left" w:pos="9195"/>
        </w:tabs>
        <w:rPr>
          <w:rFonts w:ascii="Arial" w:eastAsia="Calibri" w:hAnsi="Arial" w:cs="Arial"/>
          <w:bCs/>
          <w:lang w:val="en-US" w:eastAsia="en-GB"/>
        </w:rPr>
      </w:pPr>
      <w:r w:rsidRPr="00EB1AAB">
        <w:rPr>
          <w:rFonts w:ascii="Arial" w:eastAsia="Calibri" w:hAnsi="Arial" w:cs="Arial"/>
          <w:bCs/>
          <w:lang w:val="en-US" w:eastAsia="en-GB"/>
        </w:rPr>
        <w:t>The Authority uses valuers to provide a valuation of its assets and liabilities in line with the highest and best use definition within the accounting standard. The highest and best use of the asset or liability being valued is considered from the perspective of a market participant in terms of pricing (assuming those market participants were acting in their economic best interest).</w:t>
      </w:r>
    </w:p>
    <w:p w14:paraId="67FA1501" w14:textId="77777777" w:rsidR="00655E4C" w:rsidRPr="00EB1AAB" w:rsidRDefault="00655E4C" w:rsidP="00655E4C">
      <w:pPr>
        <w:tabs>
          <w:tab w:val="left" w:pos="9195"/>
        </w:tabs>
        <w:rPr>
          <w:rFonts w:ascii="Arial" w:eastAsia="Calibri" w:hAnsi="Arial" w:cs="Arial"/>
          <w:bCs/>
          <w:lang w:val="en-US" w:eastAsia="en-GB"/>
        </w:rPr>
      </w:pPr>
    </w:p>
    <w:p w14:paraId="0004A6AD" w14:textId="77777777" w:rsidR="00655E4C" w:rsidRPr="00EB1AAB" w:rsidRDefault="00655E4C" w:rsidP="00655E4C">
      <w:pPr>
        <w:tabs>
          <w:tab w:val="left" w:pos="9195"/>
        </w:tabs>
        <w:rPr>
          <w:rFonts w:ascii="Arial" w:eastAsia="Calibri" w:hAnsi="Arial" w:cs="Arial"/>
          <w:bCs/>
          <w:lang w:val="en-US" w:eastAsia="en-GB"/>
        </w:rPr>
      </w:pPr>
      <w:r w:rsidRPr="00EB1AAB">
        <w:rPr>
          <w:rFonts w:ascii="Arial" w:eastAsia="Calibri" w:hAnsi="Arial" w:cs="Arial"/>
          <w:bCs/>
          <w:lang w:val="en-US" w:eastAsia="en-GB"/>
        </w:rPr>
        <w:t>When measuring the fair value of a non-financial asset, the Authority takes into account a market participant’s ability to generate economic benefits by using the asset in its highest and best use or by selling it to another market participant that would use the asset in its highest and best use.</w:t>
      </w:r>
    </w:p>
    <w:p w14:paraId="4D7AF01F" w14:textId="77777777" w:rsidR="00655E4C" w:rsidRPr="00EB1AAB" w:rsidRDefault="00655E4C" w:rsidP="00655E4C">
      <w:pPr>
        <w:tabs>
          <w:tab w:val="left" w:pos="9195"/>
        </w:tabs>
        <w:rPr>
          <w:rFonts w:ascii="Arial" w:eastAsia="Calibri" w:hAnsi="Arial" w:cs="Arial"/>
          <w:bCs/>
          <w:lang w:val="en-US" w:eastAsia="en-GB"/>
        </w:rPr>
      </w:pPr>
    </w:p>
    <w:p w14:paraId="005AB4BA" w14:textId="77777777" w:rsidR="00655E4C" w:rsidRPr="00EB1AAB" w:rsidRDefault="00655E4C" w:rsidP="00655E4C">
      <w:pPr>
        <w:tabs>
          <w:tab w:val="left" w:pos="9195"/>
        </w:tabs>
        <w:rPr>
          <w:rFonts w:ascii="Arial" w:eastAsia="Calibri" w:hAnsi="Arial" w:cs="Arial"/>
          <w:bCs/>
          <w:lang w:val="en-US" w:eastAsia="en-GB"/>
        </w:rPr>
      </w:pPr>
      <w:r w:rsidRPr="00EB1AAB">
        <w:rPr>
          <w:rFonts w:ascii="Arial" w:eastAsia="Calibri" w:hAnsi="Arial" w:cs="Arial"/>
          <w:bCs/>
          <w:lang w:val="en-US" w:eastAsia="en-GB"/>
        </w:rPr>
        <w:t>Unquoted Equity Investments are recognised on the trade date, i.e. the date the Authority becomes committed to the purchase and would not be able to avoid acquiring it without breaking the contract, rather than the date the settlement takes place, if this is a later date.</w:t>
      </w:r>
    </w:p>
    <w:p w14:paraId="32D3EE48" w14:textId="77777777" w:rsidR="00655E4C" w:rsidRPr="00EB1AAB" w:rsidRDefault="00655E4C" w:rsidP="00655E4C">
      <w:pPr>
        <w:tabs>
          <w:tab w:val="left" w:pos="9195"/>
        </w:tabs>
        <w:rPr>
          <w:rFonts w:ascii="Arial" w:eastAsia="Calibri" w:hAnsi="Arial" w:cs="Arial"/>
          <w:bCs/>
          <w:lang w:val="en-US" w:eastAsia="en-GB"/>
        </w:rPr>
      </w:pPr>
    </w:p>
    <w:p w14:paraId="0769082B" w14:textId="77777777" w:rsidR="00655E4C" w:rsidRPr="00EB1AAB" w:rsidRDefault="00655E4C" w:rsidP="00655E4C">
      <w:pPr>
        <w:tabs>
          <w:tab w:val="left" w:pos="9195"/>
        </w:tabs>
        <w:rPr>
          <w:rFonts w:ascii="Arial" w:eastAsia="Calibri" w:hAnsi="Arial" w:cs="Arial"/>
          <w:bCs/>
          <w:lang w:val="en-US" w:eastAsia="en-GB"/>
        </w:rPr>
      </w:pPr>
      <w:r w:rsidRPr="00EB1AAB">
        <w:rPr>
          <w:rFonts w:ascii="Arial" w:eastAsia="Calibri" w:hAnsi="Arial" w:cs="Arial"/>
          <w:bCs/>
          <w:lang w:val="en-US" w:eastAsia="en-GB"/>
        </w:rPr>
        <w:t xml:space="preserve">If there is no quoted market price for the asset, then a reliable valuation technique should be applied. This could be a discounted cash flow analysis of dividends received or a valuation of the Authority’s share of the company. </w:t>
      </w:r>
    </w:p>
    <w:p w14:paraId="636B0A79" w14:textId="77777777" w:rsidR="00655E4C" w:rsidRPr="00EB1AAB" w:rsidRDefault="00655E4C" w:rsidP="00655E4C">
      <w:pPr>
        <w:tabs>
          <w:tab w:val="left" w:pos="9195"/>
        </w:tabs>
        <w:rPr>
          <w:rFonts w:ascii="Arial" w:eastAsia="Calibri" w:hAnsi="Arial" w:cs="Arial"/>
          <w:bCs/>
          <w:lang w:val="en-US" w:eastAsia="en-GB"/>
        </w:rPr>
      </w:pPr>
    </w:p>
    <w:p w14:paraId="1C7DAE48" w14:textId="77777777" w:rsidR="00655E4C" w:rsidRPr="00EB1AAB" w:rsidRDefault="00655E4C" w:rsidP="00655E4C">
      <w:pPr>
        <w:tabs>
          <w:tab w:val="left" w:pos="9195"/>
        </w:tabs>
        <w:rPr>
          <w:rFonts w:ascii="Arial" w:eastAsia="Calibri" w:hAnsi="Arial" w:cs="Arial"/>
          <w:bCs/>
          <w:lang w:val="en-US" w:eastAsia="en-GB"/>
        </w:rPr>
      </w:pPr>
      <w:r w:rsidRPr="00EB1AAB">
        <w:rPr>
          <w:rFonts w:ascii="Arial" w:eastAsia="Calibri" w:hAnsi="Arial" w:cs="Arial"/>
          <w:bCs/>
          <w:lang w:val="en-US" w:eastAsia="en-GB"/>
        </w:rPr>
        <w:t>Where financial liabilities and financial assets are carried in the balance sheet at amortised cost, they are shown below. Their fair value can be assessed by calculating the present value of the cash flows that will take place over the remaining term of the instruments, using the following assumptions:</w:t>
      </w:r>
    </w:p>
    <w:p w14:paraId="1C93D055" w14:textId="77777777" w:rsidR="00655E4C" w:rsidRPr="00EB1AAB" w:rsidRDefault="00655E4C" w:rsidP="00655E4C">
      <w:pPr>
        <w:tabs>
          <w:tab w:val="left" w:pos="9195"/>
        </w:tabs>
        <w:rPr>
          <w:rFonts w:ascii="Arial" w:eastAsia="Calibri" w:hAnsi="Arial" w:cs="Arial"/>
          <w:bCs/>
          <w:lang w:val="en-US" w:eastAsia="en-GB"/>
        </w:rPr>
      </w:pPr>
    </w:p>
    <w:p w14:paraId="6DAC0DFD" w14:textId="77777777" w:rsidR="00655E4C" w:rsidRPr="00EB1AAB" w:rsidRDefault="00655E4C" w:rsidP="00EB27EB">
      <w:pPr>
        <w:numPr>
          <w:ilvl w:val="0"/>
          <w:numId w:val="24"/>
        </w:numPr>
        <w:tabs>
          <w:tab w:val="left" w:pos="9195"/>
        </w:tabs>
        <w:spacing w:after="200"/>
        <w:contextualSpacing/>
        <w:rPr>
          <w:rFonts w:ascii="Arial" w:hAnsi="Arial" w:cs="Arial"/>
          <w:bCs/>
          <w:lang w:eastAsia="en-GB"/>
        </w:rPr>
      </w:pPr>
      <w:r w:rsidRPr="00EB1AAB">
        <w:rPr>
          <w:rFonts w:ascii="Arial" w:hAnsi="Arial" w:cs="Arial"/>
          <w:bCs/>
          <w:lang w:eastAsia="en-GB"/>
        </w:rPr>
        <w:t>For loans from the PWLB, new borrowing rates from the PWLB have been applied to provide the fair value;</w:t>
      </w:r>
    </w:p>
    <w:p w14:paraId="7CA19D31" w14:textId="77777777" w:rsidR="00655E4C" w:rsidRPr="00EB1AAB" w:rsidRDefault="00655E4C" w:rsidP="00EB27EB">
      <w:pPr>
        <w:numPr>
          <w:ilvl w:val="0"/>
          <w:numId w:val="24"/>
        </w:numPr>
        <w:tabs>
          <w:tab w:val="left" w:pos="9195"/>
        </w:tabs>
        <w:spacing w:after="200"/>
        <w:contextualSpacing/>
        <w:rPr>
          <w:rFonts w:ascii="Arial" w:hAnsi="Arial" w:cs="Arial"/>
          <w:bCs/>
          <w:lang w:eastAsia="en-GB"/>
        </w:rPr>
      </w:pPr>
      <w:r w:rsidRPr="00EB1AAB">
        <w:rPr>
          <w:rFonts w:ascii="Arial" w:hAnsi="Arial" w:cs="Arial"/>
          <w:bCs/>
          <w:lang w:eastAsia="en-GB"/>
        </w:rPr>
        <w:lastRenderedPageBreak/>
        <w:t>For non-PWLB loans payable, prevailing market rates have been applied to provide the fair value;</w:t>
      </w:r>
    </w:p>
    <w:p w14:paraId="5F184B6C" w14:textId="77777777" w:rsidR="00655E4C" w:rsidRPr="00EB1AAB" w:rsidRDefault="00655E4C" w:rsidP="00EB27EB">
      <w:pPr>
        <w:numPr>
          <w:ilvl w:val="0"/>
          <w:numId w:val="24"/>
        </w:numPr>
        <w:tabs>
          <w:tab w:val="left" w:pos="9195"/>
        </w:tabs>
        <w:spacing w:after="200"/>
        <w:contextualSpacing/>
        <w:rPr>
          <w:rFonts w:ascii="Arial" w:hAnsi="Arial" w:cs="Arial"/>
          <w:bCs/>
          <w:lang w:eastAsia="en-GB"/>
        </w:rPr>
      </w:pPr>
      <w:r w:rsidRPr="00EB1AAB">
        <w:rPr>
          <w:rFonts w:ascii="Arial" w:hAnsi="Arial" w:cs="Arial"/>
          <w:bCs/>
          <w:lang w:eastAsia="en-GB"/>
        </w:rPr>
        <w:t>The fair value of trade and other receivables and creditors is taken to be the invoiced or billed amount;</w:t>
      </w:r>
    </w:p>
    <w:p w14:paraId="42125A5B" w14:textId="77777777" w:rsidR="00655E4C" w:rsidRPr="00EB1AAB" w:rsidRDefault="00655E4C" w:rsidP="00655E4C">
      <w:pPr>
        <w:tabs>
          <w:tab w:val="left" w:pos="9195"/>
        </w:tabs>
        <w:ind w:left="495"/>
        <w:rPr>
          <w:rFonts w:ascii="Arial" w:eastAsia="Calibri" w:hAnsi="Arial" w:cs="Arial"/>
          <w:bCs/>
          <w:lang w:val="en-US" w:eastAsia="en-GB"/>
        </w:rPr>
      </w:pPr>
    </w:p>
    <w:p w14:paraId="55213305" w14:textId="77777777" w:rsidR="00655E4C" w:rsidRPr="00EB1AAB" w:rsidRDefault="00655E4C" w:rsidP="00655E4C">
      <w:pPr>
        <w:tabs>
          <w:tab w:val="left" w:pos="9195"/>
        </w:tabs>
        <w:rPr>
          <w:rFonts w:ascii="Arial" w:eastAsia="Calibri" w:hAnsi="Arial" w:cs="Arial"/>
          <w:bCs/>
          <w:lang w:val="en-US" w:eastAsia="en-GB"/>
        </w:rPr>
      </w:pPr>
      <w:r w:rsidRPr="00EB1AAB">
        <w:rPr>
          <w:rFonts w:ascii="Arial" w:eastAsia="Calibri" w:hAnsi="Arial" w:cs="Arial"/>
          <w:bCs/>
          <w:lang w:val="en-US" w:eastAsia="en-GB"/>
        </w:rPr>
        <w:t>The Authority uses appropriate valuation techniques for each circumstance, maximising the use of relevant known data and minimising the use of estimates or unknowns. This takes into account the three levels of categories for inputs to valuations for fair value assets:</w:t>
      </w:r>
    </w:p>
    <w:p w14:paraId="75AF181C" w14:textId="77777777" w:rsidR="00655E4C" w:rsidRPr="00EB1AAB" w:rsidRDefault="00655E4C" w:rsidP="00655E4C">
      <w:pPr>
        <w:tabs>
          <w:tab w:val="left" w:pos="9195"/>
        </w:tabs>
        <w:rPr>
          <w:rFonts w:ascii="Arial" w:eastAsia="Calibri" w:hAnsi="Arial" w:cs="Arial"/>
          <w:bCs/>
          <w:lang w:val="en-US" w:eastAsia="en-GB"/>
        </w:rPr>
      </w:pPr>
    </w:p>
    <w:p w14:paraId="593CED72" w14:textId="77777777" w:rsidR="00655E4C" w:rsidRPr="00EB1AAB" w:rsidRDefault="00655E4C" w:rsidP="00EB27EB">
      <w:pPr>
        <w:numPr>
          <w:ilvl w:val="0"/>
          <w:numId w:val="25"/>
        </w:numPr>
        <w:tabs>
          <w:tab w:val="left" w:pos="9195"/>
        </w:tabs>
        <w:spacing w:after="200"/>
        <w:ind w:left="851" w:hanging="284"/>
        <w:contextualSpacing/>
        <w:rPr>
          <w:rFonts w:ascii="Arial" w:hAnsi="Arial" w:cs="Arial"/>
          <w:bCs/>
          <w:lang w:eastAsia="en-GB"/>
        </w:rPr>
      </w:pPr>
      <w:r w:rsidRPr="00EB1AAB">
        <w:rPr>
          <w:rFonts w:ascii="Arial" w:hAnsi="Arial" w:cs="Arial"/>
          <w:bCs/>
          <w:lang w:eastAsia="en-GB"/>
        </w:rPr>
        <w:t>Level 1 inputs – quoted prices in active markets for identical assets that the Authority can access at the measurement date;</w:t>
      </w:r>
    </w:p>
    <w:p w14:paraId="116E113F" w14:textId="77777777" w:rsidR="00655E4C" w:rsidRPr="00EB1AAB" w:rsidRDefault="00655E4C" w:rsidP="00EB27EB">
      <w:pPr>
        <w:numPr>
          <w:ilvl w:val="0"/>
          <w:numId w:val="25"/>
        </w:numPr>
        <w:tabs>
          <w:tab w:val="left" w:pos="9195"/>
        </w:tabs>
        <w:spacing w:after="200"/>
        <w:ind w:left="851" w:hanging="284"/>
        <w:contextualSpacing/>
        <w:rPr>
          <w:rFonts w:ascii="Arial" w:hAnsi="Arial" w:cs="Arial"/>
          <w:bCs/>
          <w:lang w:eastAsia="en-GB"/>
        </w:rPr>
      </w:pPr>
      <w:r w:rsidRPr="00EB1AAB">
        <w:rPr>
          <w:rFonts w:ascii="Arial" w:hAnsi="Arial" w:cs="Arial"/>
          <w:bCs/>
          <w:lang w:eastAsia="en-GB"/>
        </w:rPr>
        <w:t>Level 2 inputs – inputs other than quoted prices included within Level 1 that are observable for the asset or liability, either directly or indirectly;</w:t>
      </w:r>
    </w:p>
    <w:p w14:paraId="469867C4" w14:textId="77777777" w:rsidR="00655E4C" w:rsidRPr="00EB1AAB" w:rsidRDefault="00655E4C" w:rsidP="00EB27EB">
      <w:pPr>
        <w:numPr>
          <w:ilvl w:val="0"/>
          <w:numId w:val="25"/>
        </w:numPr>
        <w:tabs>
          <w:tab w:val="left" w:pos="9195"/>
        </w:tabs>
        <w:spacing w:after="200"/>
        <w:ind w:left="851" w:hanging="284"/>
        <w:contextualSpacing/>
        <w:rPr>
          <w:rFonts w:ascii="Arial" w:hAnsi="Arial" w:cs="Arial"/>
          <w:bCs/>
          <w:lang w:eastAsia="en-GB"/>
        </w:rPr>
      </w:pPr>
      <w:r w:rsidRPr="00EB1AAB">
        <w:rPr>
          <w:rFonts w:ascii="Arial" w:hAnsi="Arial" w:cs="Arial"/>
          <w:bCs/>
          <w:lang w:eastAsia="en-GB"/>
        </w:rPr>
        <w:t>Level 3 inputs – unobservable inputs for the asset or liability where market data is not available.</w:t>
      </w:r>
    </w:p>
    <w:p w14:paraId="5FD1A7C9" w14:textId="77777777" w:rsidR="00655E4C" w:rsidRPr="0007572B" w:rsidRDefault="00655E4C" w:rsidP="00655E4C">
      <w:pPr>
        <w:pStyle w:val="Normal0"/>
        <w:spacing w:line="240" w:lineRule="auto"/>
        <w:rPr>
          <w:rFonts w:ascii="Arial" w:hAnsi="Arial" w:cs="Arial"/>
          <w:b/>
          <w:bCs/>
          <w:sz w:val="24"/>
          <w:szCs w:val="24"/>
          <w:lang w:eastAsia="en-GB"/>
        </w:rPr>
      </w:pPr>
    </w:p>
    <w:p w14:paraId="091EC535" w14:textId="77777777" w:rsidR="00655E4C" w:rsidRPr="0007572B" w:rsidRDefault="00655E4C" w:rsidP="00655E4C">
      <w:pPr>
        <w:pStyle w:val="Heading4bold"/>
        <w:rPr>
          <w:lang w:eastAsia="en-GB"/>
        </w:rPr>
      </w:pPr>
      <w:r w:rsidRPr="0007572B">
        <w:rPr>
          <w:lang w:eastAsia="en-GB"/>
        </w:rPr>
        <w:t>1.12. Revenue Expenditure Funded by Capital Under Statute</w:t>
      </w:r>
    </w:p>
    <w:p w14:paraId="7C80270A" w14:textId="77777777" w:rsidR="00655E4C" w:rsidRPr="0007572B" w:rsidRDefault="00655E4C" w:rsidP="00655E4C">
      <w:pPr>
        <w:pStyle w:val="Normal0"/>
        <w:spacing w:line="240" w:lineRule="auto"/>
        <w:rPr>
          <w:rFonts w:ascii="Arial" w:hAnsi="Arial" w:cs="Arial"/>
          <w:bCs/>
          <w:sz w:val="24"/>
          <w:szCs w:val="24"/>
          <w:lang w:eastAsia="en-GB"/>
        </w:rPr>
      </w:pPr>
      <w:r w:rsidRPr="0007572B">
        <w:rPr>
          <w:rFonts w:ascii="Arial" w:hAnsi="Arial" w:cs="Arial"/>
          <w:bCs/>
          <w:sz w:val="24"/>
          <w:szCs w:val="24"/>
          <w:lang w:eastAsia="en-GB"/>
        </w:rPr>
        <w:t>Revenue Expenditure Funded by Capital under Statute (REFCUS) is expenditure of a capital nature that does not result in the creation of a non-current asset on the Balance Sheet. Expenditure is charged to the Deficit / (Surplus) on the Provision of Services as the expenditure is incurred. This is reversed out through the Movement in Reserves Statement and a transfer made to the Capital Adjustment Account.</w:t>
      </w:r>
    </w:p>
    <w:p w14:paraId="5B66B1F4" w14:textId="77777777" w:rsidR="00655E4C" w:rsidRPr="0007572B" w:rsidRDefault="00655E4C" w:rsidP="00655E4C">
      <w:pPr>
        <w:pStyle w:val="Normal0"/>
        <w:spacing w:line="240" w:lineRule="auto"/>
        <w:rPr>
          <w:rFonts w:ascii="Arial" w:hAnsi="Arial" w:cs="Arial"/>
          <w:b/>
          <w:bCs/>
          <w:sz w:val="24"/>
          <w:szCs w:val="24"/>
          <w:lang w:eastAsia="en-GB"/>
        </w:rPr>
      </w:pPr>
    </w:p>
    <w:p w14:paraId="0DC5B948" w14:textId="77777777" w:rsidR="00655E4C" w:rsidRPr="0080779E" w:rsidRDefault="00655E4C" w:rsidP="00655E4C">
      <w:pPr>
        <w:pStyle w:val="Heading4bold"/>
        <w:rPr>
          <w:lang w:eastAsia="en-GB"/>
        </w:rPr>
      </w:pPr>
      <w:r w:rsidRPr="0080779E">
        <w:rPr>
          <w:lang w:eastAsia="en-GB"/>
        </w:rPr>
        <w:t>1.13. Minimum Revenue Provision</w:t>
      </w:r>
    </w:p>
    <w:p w14:paraId="7561B840" w14:textId="77777777" w:rsidR="00655E4C" w:rsidRPr="0080779E" w:rsidRDefault="00655E4C" w:rsidP="00655E4C">
      <w:pPr>
        <w:pStyle w:val="Normal0"/>
        <w:spacing w:line="240" w:lineRule="auto"/>
        <w:rPr>
          <w:rFonts w:ascii="Arial" w:hAnsi="Arial" w:cs="Arial"/>
          <w:bCs/>
          <w:sz w:val="24"/>
          <w:szCs w:val="24"/>
          <w:lang w:eastAsia="en-GB"/>
        </w:rPr>
      </w:pPr>
      <w:r w:rsidRPr="0080779E">
        <w:rPr>
          <w:rFonts w:ascii="Arial" w:hAnsi="Arial" w:cs="Arial"/>
          <w:bCs/>
          <w:sz w:val="24"/>
          <w:szCs w:val="24"/>
          <w:lang w:eastAsia="en-GB"/>
        </w:rPr>
        <w:t>The Authority is required to make a provision for the repayment of an element of the accumulated capital expenditure each year, financed by borrowing, through a revenue charge, in accordance with the Minimum Revenue Provision (MRP) requirements. Regulations have replaced the detailed formula for calculating MRP with a requirement to be prudent. The MRP policy is included within the annual Treasury Management Strategy agreed by the Authority, which details the guidance and options for the basis of the provision. The GMCA has adopted the following policy:</w:t>
      </w:r>
    </w:p>
    <w:p w14:paraId="40E658D3" w14:textId="77777777" w:rsidR="00655E4C" w:rsidRPr="0080779E" w:rsidRDefault="00655E4C" w:rsidP="00655E4C">
      <w:pPr>
        <w:pStyle w:val="Normal0"/>
        <w:spacing w:line="240" w:lineRule="auto"/>
        <w:rPr>
          <w:rFonts w:ascii="Arial" w:hAnsi="Arial" w:cs="Arial"/>
          <w:bCs/>
          <w:sz w:val="24"/>
          <w:szCs w:val="24"/>
          <w:lang w:eastAsia="en-GB"/>
        </w:rPr>
      </w:pPr>
    </w:p>
    <w:p w14:paraId="5FEA6DF1" w14:textId="77777777" w:rsidR="00655E4C" w:rsidRPr="0080779E" w:rsidRDefault="00655E4C" w:rsidP="00EB27EB">
      <w:pPr>
        <w:numPr>
          <w:ilvl w:val="0"/>
          <w:numId w:val="40"/>
        </w:numPr>
        <w:tabs>
          <w:tab w:val="clear" w:pos="1512"/>
          <w:tab w:val="num" w:pos="720"/>
          <w:tab w:val="right" w:pos="9498"/>
        </w:tabs>
        <w:overflowPunct w:val="0"/>
        <w:autoSpaceDE w:val="0"/>
        <w:autoSpaceDN w:val="0"/>
        <w:adjustRightInd w:val="0"/>
        <w:spacing w:before="120" w:after="120"/>
        <w:ind w:left="720" w:hanging="720"/>
        <w:textAlignment w:val="baseline"/>
        <w:rPr>
          <w:rFonts w:ascii="Arial" w:hAnsi="Arial" w:cs="Arial"/>
        </w:rPr>
      </w:pPr>
      <w:r w:rsidRPr="0080779E">
        <w:rPr>
          <w:rFonts w:ascii="Arial" w:hAnsi="Arial" w:cs="Arial"/>
        </w:rPr>
        <w:t>For capital expenditure incurred before 1 April 2008 or which in the future will be Supported Capital Expenditure, MRP will be calculated using an Asset Life annuity basis over 50 years.</w:t>
      </w:r>
    </w:p>
    <w:p w14:paraId="3F88A7D8" w14:textId="77777777" w:rsidR="00655E4C" w:rsidRPr="0080779E" w:rsidRDefault="00655E4C" w:rsidP="00EB27EB">
      <w:pPr>
        <w:numPr>
          <w:ilvl w:val="0"/>
          <w:numId w:val="40"/>
        </w:numPr>
        <w:tabs>
          <w:tab w:val="clear" w:pos="1512"/>
          <w:tab w:val="num" w:pos="720"/>
          <w:tab w:val="right" w:pos="9498"/>
        </w:tabs>
        <w:overflowPunct w:val="0"/>
        <w:autoSpaceDE w:val="0"/>
        <w:autoSpaceDN w:val="0"/>
        <w:adjustRightInd w:val="0"/>
        <w:spacing w:before="120" w:after="120"/>
        <w:ind w:left="720" w:hanging="720"/>
        <w:textAlignment w:val="baseline"/>
        <w:rPr>
          <w:rFonts w:ascii="Arial" w:hAnsi="Arial" w:cs="Arial"/>
        </w:rPr>
      </w:pPr>
      <w:r w:rsidRPr="0080779E">
        <w:rPr>
          <w:rFonts w:ascii="Arial" w:hAnsi="Arial" w:cs="Arial"/>
        </w:rPr>
        <w:t>For capital expenditure incurred from 1 April 2008 for all unsupported borrowing (including PFI and finance leases), MRP will be calculated on an Asset Life annuity basis.  The interest rate applied will be linked to PWLB interest rates and the useful life of the asset.</w:t>
      </w:r>
    </w:p>
    <w:p w14:paraId="789BD585" w14:textId="77777777" w:rsidR="00655E4C" w:rsidRPr="0080779E" w:rsidRDefault="00655E4C" w:rsidP="00EB27EB">
      <w:pPr>
        <w:numPr>
          <w:ilvl w:val="0"/>
          <w:numId w:val="40"/>
        </w:numPr>
        <w:tabs>
          <w:tab w:val="clear" w:pos="1512"/>
          <w:tab w:val="num" w:pos="720"/>
          <w:tab w:val="right" w:pos="9498"/>
        </w:tabs>
        <w:overflowPunct w:val="0"/>
        <w:autoSpaceDE w:val="0"/>
        <w:autoSpaceDN w:val="0"/>
        <w:adjustRightInd w:val="0"/>
        <w:spacing w:before="120" w:after="120"/>
        <w:ind w:left="720" w:hanging="720"/>
        <w:textAlignment w:val="baseline"/>
        <w:rPr>
          <w:rFonts w:ascii="Arial" w:hAnsi="Arial" w:cs="Arial"/>
        </w:rPr>
      </w:pPr>
      <w:r w:rsidRPr="0080779E">
        <w:rPr>
          <w:rFonts w:ascii="Arial" w:hAnsi="Arial" w:cs="Arial"/>
        </w:rPr>
        <w:t>MRP will generally commence in the financial year following the one in which the expenditure was incurred. However, for long life assets, the Authority will postpone the commencement of MRP until the financial year following the one in which the asset becomes operational.</w:t>
      </w:r>
    </w:p>
    <w:p w14:paraId="0D5B372C" w14:textId="77777777" w:rsidR="00655E4C" w:rsidRDefault="00655E4C" w:rsidP="00655E4C">
      <w:pPr>
        <w:rPr>
          <w:rFonts w:ascii="Arial" w:hAnsi="Arial" w:cs="Arial"/>
          <w:b/>
          <w:bCs/>
          <w:lang w:eastAsia="en-GB"/>
        </w:rPr>
      </w:pPr>
    </w:p>
    <w:p w14:paraId="7F603D2A" w14:textId="77777777" w:rsidR="00655E4C" w:rsidRPr="0007572B" w:rsidRDefault="00655E4C" w:rsidP="00655E4C">
      <w:pPr>
        <w:pStyle w:val="Heading4bold"/>
        <w:rPr>
          <w:lang w:eastAsia="en-GB"/>
        </w:rPr>
      </w:pPr>
      <w:r w:rsidRPr="0007572B">
        <w:rPr>
          <w:lang w:eastAsia="en-GB"/>
        </w:rPr>
        <w:lastRenderedPageBreak/>
        <w:t>1.14. Capital and Revenue Grants and Contributions</w:t>
      </w:r>
    </w:p>
    <w:p w14:paraId="2A177E94" w14:textId="77777777" w:rsidR="00655E4C" w:rsidRPr="0007572B" w:rsidRDefault="00655E4C" w:rsidP="00655E4C">
      <w:pPr>
        <w:pStyle w:val="Normal0"/>
        <w:spacing w:line="240" w:lineRule="auto"/>
        <w:rPr>
          <w:rFonts w:ascii="Arial" w:hAnsi="Arial" w:cs="Arial"/>
          <w:b/>
          <w:bCs/>
          <w:sz w:val="24"/>
          <w:szCs w:val="24"/>
          <w:lang w:eastAsia="en-GB"/>
        </w:rPr>
      </w:pPr>
    </w:p>
    <w:p w14:paraId="625FB33A" w14:textId="77777777" w:rsidR="00655E4C" w:rsidRPr="0007572B" w:rsidRDefault="00655E4C" w:rsidP="00655E4C">
      <w:pPr>
        <w:pStyle w:val="Heading5"/>
        <w:rPr>
          <w:lang w:eastAsia="en-GB"/>
        </w:rPr>
      </w:pPr>
      <w:r w:rsidRPr="0007572B">
        <w:rPr>
          <w:lang w:eastAsia="en-GB"/>
        </w:rPr>
        <w:t>1.14.1. Revenue Grants and Contributions</w:t>
      </w:r>
    </w:p>
    <w:p w14:paraId="0C6BB282" w14:textId="77777777" w:rsidR="00655E4C" w:rsidRPr="0007572B" w:rsidRDefault="00655E4C" w:rsidP="00655E4C">
      <w:pPr>
        <w:pStyle w:val="Normal0"/>
        <w:spacing w:line="240" w:lineRule="auto"/>
        <w:rPr>
          <w:rFonts w:ascii="Arial" w:hAnsi="Arial" w:cs="Arial"/>
          <w:bCs/>
          <w:sz w:val="24"/>
          <w:szCs w:val="24"/>
          <w:u w:val="single"/>
          <w:lang w:eastAsia="en-GB"/>
        </w:rPr>
      </w:pPr>
    </w:p>
    <w:p w14:paraId="1AABD110" w14:textId="77777777" w:rsidR="00655E4C" w:rsidRPr="0007572B" w:rsidRDefault="00655E4C" w:rsidP="00655E4C">
      <w:pPr>
        <w:pStyle w:val="Normal0"/>
        <w:spacing w:line="240" w:lineRule="auto"/>
        <w:rPr>
          <w:rFonts w:ascii="Arial" w:hAnsi="Arial" w:cs="Arial"/>
          <w:bCs/>
          <w:sz w:val="24"/>
          <w:szCs w:val="24"/>
          <w:lang w:eastAsia="en-GB"/>
        </w:rPr>
      </w:pPr>
      <w:r w:rsidRPr="0007572B">
        <w:rPr>
          <w:rFonts w:ascii="Arial" w:hAnsi="Arial" w:cs="Arial"/>
          <w:bCs/>
          <w:sz w:val="24"/>
          <w:szCs w:val="24"/>
          <w:lang w:eastAsia="en-GB"/>
        </w:rPr>
        <w:t xml:space="preserve">Revenue grants and contributions received by the Authority can either be classified as non-specific for general purposes or specific for use in relation to a service and/or function. Where conditions have been met, specific revenue grants and contributions are credited to the relevant service line within Cost of Services; non-specific grants are credited to Taxation and Non-Specific Grant Income. </w:t>
      </w:r>
    </w:p>
    <w:p w14:paraId="4C801041" w14:textId="77777777" w:rsidR="00655E4C" w:rsidRPr="0007572B" w:rsidRDefault="00655E4C" w:rsidP="00655E4C">
      <w:pPr>
        <w:pStyle w:val="Normal0"/>
        <w:spacing w:line="240" w:lineRule="auto"/>
        <w:rPr>
          <w:rFonts w:ascii="Arial" w:hAnsi="Arial" w:cs="Arial"/>
          <w:bCs/>
          <w:sz w:val="24"/>
          <w:szCs w:val="24"/>
          <w:lang w:eastAsia="en-GB"/>
        </w:rPr>
      </w:pPr>
    </w:p>
    <w:p w14:paraId="67FC655A" w14:textId="77777777" w:rsidR="00655E4C" w:rsidRPr="0007572B" w:rsidRDefault="00655E4C" w:rsidP="00655E4C">
      <w:pPr>
        <w:pStyle w:val="Normal0"/>
        <w:spacing w:line="240" w:lineRule="auto"/>
        <w:rPr>
          <w:rFonts w:ascii="Arial" w:hAnsi="Arial" w:cs="Arial"/>
          <w:bCs/>
          <w:sz w:val="24"/>
          <w:szCs w:val="24"/>
          <w:lang w:eastAsia="en-GB"/>
        </w:rPr>
      </w:pPr>
      <w:r w:rsidRPr="0007572B">
        <w:rPr>
          <w:rFonts w:ascii="Arial" w:hAnsi="Arial" w:cs="Arial"/>
          <w:bCs/>
          <w:sz w:val="24"/>
          <w:szCs w:val="24"/>
          <w:lang w:eastAsia="en-GB"/>
        </w:rPr>
        <w:t>When the expenditure relating to specific grants has not been incurred, the Authority has elected to make a contribution equivalent to the unspent amount of grant to an earmarked reserve. This reserve will be released in future financial years when the expenditure to which the grant relates is incurred.</w:t>
      </w:r>
    </w:p>
    <w:p w14:paraId="58C9226F" w14:textId="77777777" w:rsidR="00655E4C" w:rsidRPr="0007572B" w:rsidRDefault="00655E4C" w:rsidP="00655E4C">
      <w:pPr>
        <w:pStyle w:val="Normal0"/>
        <w:spacing w:line="240" w:lineRule="auto"/>
        <w:rPr>
          <w:rFonts w:ascii="Arial" w:hAnsi="Arial" w:cs="Arial"/>
          <w:bCs/>
          <w:sz w:val="24"/>
          <w:szCs w:val="24"/>
          <w:lang w:eastAsia="en-GB"/>
        </w:rPr>
      </w:pPr>
    </w:p>
    <w:p w14:paraId="373AD604" w14:textId="77777777" w:rsidR="00655E4C" w:rsidRPr="0007572B" w:rsidRDefault="00655E4C" w:rsidP="00655E4C">
      <w:pPr>
        <w:pStyle w:val="Normal0"/>
        <w:spacing w:line="240" w:lineRule="auto"/>
        <w:rPr>
          <w:rFonts w:ascii="Arial" w:hAnsi="Arial" w:cs="Arial"/>
          <w:bCs/>
          <w:sz w:val="24"/>
          <w:szCs w:val="24"/>
          <w:lang w:eastAsia="en-GB"/>
        </w:rPr>
      </w:pPr>
      <w:r w:rsidRPr="0007572B">
        <w:rPr>
          <w:rFonts w:ascii="Arial" w:hAnsi="Arial" w:cs="Arial"/>
          <w:bCs/>
          <w:sz w:val="24"/>
          <w:szCs w:val="24"/>
          <w:lang w:eastAsia="en-GB"/>
        </w:rPr>
        <w:t>Monies advanced as grants and contributions for which conditions have not been satisfied are carried in the Balance Sheet as receipts in advance. When conditions are satisfied, the grant or contribution is credited to the relevant service line (attributable revenue grants and contributions) or Taxation and Non-Specific Grant Income (non-ringfenced revenue grants and all capital grants) in the Comprehensive Income and Expenditure Statement.</w:t>
      </w:r>
    </w:p>
    <w:p w14:paraId="67311B30" w14:textId="77777777" w:rsidR="00655E4C" w:rsidRPr="0007572B" w:rsidRDefault="00655E4C" w:rsidP="00655E4C">
      <w:pPr>
        <w:pStyle w:val="Normal0"/>
        <w:spacing w:line="240" w:lineRule="auto"/>
        <w:rPr>
          <w:rFonts w:ascii="Arial" w:hAnsi="Arial" w:cs="Arial"/>
          <w:bCs/>
          <w:sz w:val="24"/>
          <w:szCs w:val="24"/>
          <w:lang w:eastAsia="en-GB"/>
        </w:rPr>
      </w:pPr>
    </w:p>
    <w:p w14:paraId="61ECE211" w14:textId="77777777" w:rsidR="00655E4C" w:rsidRPr="00636E1B" w:rsidRDefault="00655E4C" w:rsidP="00655E4C">
      <w:pPr>
        <w:pStyle w:val="Heading5"/>
        <w:rPr>
          <w:lang w:eastAsia="en-GB"/>
        </w:rPr>
      </w:pPr>
      <w:r w:rsidRPr="00636E1B">
        <w:rPr>
          <w:lang w:eastAsia="en-GB"/>
        </w:rPr>
        <w:t>1.14.2. Capital Grants and Contributions</w:t>
      </w:r>
    </w:p>
    <w:p w14:paraId="57A99A04" w14:textId="77777777" w:rsidR="00655E4C" w:rsidRPr="00636E1B" w:rsidRDefault="00655E4C" w:rsidP="00655E4C">
      <w:pPr>
        <w:pStyle w:val="Normal0"/>
        <w:spacing w:line="240" w:lineRule="auto"/>
        <w:rPr>
          <w:rFonts w:ascii="Arial" w:hAnsi="Arial" w:cs="Arial"/>
          <w:b/>
          <w:bCs/>
          <w:sz w:val="24"/>
          <w:szCs w:val="24"/>
          <w:lang w:eastAsia="en-GB"/>
        </w:rPr>
      </w:pPr>
    </w:p>
    <w:p w14:paraId="20865E40" w14:textId="77777777" w:rsidR="00655E4C" w:rsidRPr="00636E1B" w:rsidRDefault="00655E4C" w:rsidP="00655E4C">
      <w:pPr>
        <w:pStyle w:val="Normal0"/>
        <w:spacing w:line="240" w:lineRule="auto"/>
        <w:rPr>
          <w:rFonts w:ascii="Arial" w:hAnsi="Arial" w:cs="Arial"/>
          <w:bCs/>
          <w:sz w:val="24"/>
          <w:szCs w:val="24"/>
          <w:lang w:eastAsia="en-GB"/>
        </w:rPr>
      </w:pPr>
      <w:r w:rsidRPr="00636E1B">
        <w:rPr>
          <w:rFonts w:ascii="Arial" w:hAnsi="Arial" w:cs="Arial"/>
          <w:bCs/>
          <w:sz w:val="24"/>
          <w:szCs w:val="24"/>
          <w:lang w:eastAsia="en-GB"/>
        </w:rPr>
        <w:t>Where conditions have been met, capital grants and contributions are credited to Taxation and Non-Specific Grant Income in the Comprehensive Income and Expenditure Statement. The balance of the grant or contribution that has not been used to finance expenditure is transferred to the Capital Grants Unapplied Account via the Movement in Reserves Statement. The amount of grant or contribution that has been used to finance expenditure is transferred to the Capital Adjustment Account via the Movement in Reserves Statement. Amounts in the Capital Grants Unapplied Account are transferred to the Capital Adjustment Account when they have been applied to fund capital expenditure.</w:t>
      </w:r>
    </w:p>
    <w:p w14:paraId="5DDA8C13" w14:textId="77777777" w:rsidR="00655E4C" w:rsidRPr="00EE5700" w:rsidRDefault="00655E4C" w:rsidP="00655E4C">
      <w:pPr>
        <w:pStyle w:val="Normal0"/>
        <w:spacing w:line="240" w:lineRule="auto"/>
        <w:rPr>
          <w:rFonts w:ascii="Arial" w:hAnsi="Arial" w:cs="Arial"/>
          <w:bCs/>
          <w:sz w:val="24"/>
          <w:szCs w:val="24"/>
          <w:highlight w:val="yellow"/>
          <w:lang w:eastAsia="en-GB"/>
        </w:rPr>
      </w:pPr>
    </w:p>
    <w:p w14:paraId="243C920A" w14:textId="77777777" w:rsidR="00655E4C" w:rsidRPr="0080779E" w:rsidRDefault="00655E4C" w:rsidP="00655E4C">
      <w:pPr>
        <w:pStyle w:val="Heading5"/>
        <w:rPr>
          <w:lang w:eastAsia="en-GB"/>
        </w:rPr>
      </w:pPr>
      <w:r w:rsidRPr="0080779E">
        <w:rPr>
          <w:lang w:eastAsia="en-GB"/>
        </w:rPr>
        <w:t>1.14.3. Grants and Contributions relating to Revenue Expenditure funded by Capital under Statute (REFCUS)</w:t>
      </w:r>
    </w:p>
    <w:p w14:paraId="42BB5B01" w14:textId="77777777" w:rsidR="00655E4C" w:rsidRPr="0080779E" w:rsidRDefault="00655E4C" w:rsidP="00655E4C">
      <w:pPr>
        <w:pStyle w:val="Normal0"/>
        <w:spacing w:line="240" w:lineRule="auto"/>
        <w:rPr>
          <w:rFonts w:ascii="Arial" w:hAnsi="Arial" w:cs="Arial"/>
          <w:b/>
          <w:bCs/>
          <w:sz w:val="24"/>
          <w:szCs w:val="24"/>
          <w:lang w:eastAsia="en-GB"/>
        </w:rPr>
      </w:pPr>
    </w:p>
    <w:p w14:paraId="289F193F" w14:textId="6A46EBA1" w:rsidR="00655E4C" w:rsidRPr="0080779E" w:rsidRDefault="00655E4C" w:rsidP="00655E4C">
      <w:pPr>
        <w:pStyle w:val="Normal0"/>
        <w:spacing w:line="240" w:lineRule="auto"/>
        <w:rPr>
          <w:rFonts w:ascii="Arial" w:hAnsi="Arial" w:cs="Arial"/>
          <w:bCs/>
          <w:sz w:val="24"/>
          <w:szCs w:val="24"/>
          <w:lang w:eastAsia="en-GB"/>
        </w:rPr>
      </w:pPr>
      <w:r w:rsidRPr="0080779E">
        <w:rPr>
          <w:rFonts w:ascii="Arial" w:hAnsi="Arial" w:cs="Arial"/>
          <w:bCs/>
          <w:sz w:val="24"/>
          <w:szCs w:val="24"/>
          <w:lang w:eastAsia="en-GB"/>
        </w:rPr>
        <w:t xml:space="preserve">Where conditions have been met, grants and contributions to fund expenditure not attributable to assets owned by the Authority (Revenue Expenditure Funded by Capital Under Statute) are credited to the non-specific income line within the Cost of Services. They are then transferred to the Capital Adjustment Account when the related expenditure has been incurred via the Movement in Reserves Statement. If the grant is not </w:t>
      </w:r>
      <w:r w:rsidR="00203B09" w:rsidRPr="0080779E">
        <w:rPr>
          <w:rFonts w:ascii="Arial" w:hAnsi="Arial" w:cs="Arial"/>
          <w:bCs/>
          <w:sz w:val="24"/>
          <w:szCs w:val="24"/>
          <w:lang w:eastAsia="en-GB"/>
        </w:rPr>
        <w:t>spent,</w:t>
      </w:r>
      <w:r w:rsidRPr="0080779E">
        <w:rPr>
          <w:rFonts w:ascii="Arial" w:hAnsi="Arial" w:cs="Arial"/>
          <w:bCs/>
          <w:sz w:val="24"/>
          <w:szCs w:val="24"/>
          <w:lang w:eastAsia="en-GB"/>
        </w:rPr>
        <w:t xml:space="preserve"> it goes to the Capital Grants Unapplied Reserve via the Movement in Reserves Statement. When spent, it is transferred from the Capital Grants Unapplied Reserve to the Capital Adjustment Account.</w:t>
      </w:r>
    </w:p>
    <w:p w14:paraId="7A983E3B" w14:textId="77777777" w:rsidR="00655E4C" w:rsidRPr="0007572B" w:rsidRDefault="00655E4C" w:rsidP="00655E4C">
      <w:pPr>
        <w:rPr>
          <w:rFonts w:ascii="Arial" w:hAnsi="Arial" w:cs="Arial"/>
          <w:bCs/>
          <w:color w:val="000000"/>
          <w:lang w:val="en-US" w:eastAsia="en-GB"/>
        </w:rPr>
      </w:pPr>
    </w:p>
    <w:p w14:paraId="3D984E0D" w14:textId="77777777" w:rsidR="00655E4C" w:rsidRPr="0007572B" w:rsidRDefault="00655E4C" w:rsidP="00655E4C">
      <w:pPr>
        <w:pStyle w:val="Heading4bold"/>
        <w:rPr>
          <w:lang w:eastAsia="en-GB"/>
        </w:rPr>
      </w:pPr>
      <w:r w:rsidRPr="0007572B">
        <w:rPr>
          <w:lang w:eastAsia="en-GB"/>
        </w:rPr>
        <w:t>1.15. Local Taxation</w:t>
      </w:r>
    </w:p>
    <w:p w14:paraId="16F722DD" w14:textId="77777777" w:rsidR="00655E4C" w:rsidRPr="0007572B" w:rsidRDefault="00655E4C" w:rsidP="00655E4C">
      <w:pPr>
        <w:pStyle w:val="Heading5"/>
        <w:rPr>
          <w:lang w:eastAsia="en-GB"/>
        </w:rPr>
      </w:pPr>
      <w:r w:rsidRPr="0007572B">
        <w:rPr>
          <w:lang w:eastAsia="en-GB"/>
        </w:rPr>
        <w:t>1.15.1. Council Tax</w:t>
      </w:r>
    </w:p>
    <w:p w14:paraId="22013F78" w14:textId="77777777" w:rsidR="00655E4C" w:rsidRPr="0007572B" w:rsidRDefault="00655E4C" w:rsidP="00655E4C">
      <w:pPr>
        <w:pStyle w:val="Normal0"/>
        <w:spacing w:line="240" w:lineRule="auto"/>
        <w:rPr>
          <w:rFonts w:ascii="Arial" w:hAnsi="Arial" w:cs="Arial"/>
          <w:b/>
          <w:bCs/>
          <w:sz w:val="24"/>
          <w:szCs w:val="24"/>
          <w:lang w:eastAsia="en-GB"/>
        </w:rPr>
      </w:pPr>
    </w:p>
    <w:p w14:paraId="24ECA780" w14:textId="77777777" w:rsidR="00655E4C" w:rsidRPr="0007572B" w:rsidRDefault="00655E4C" w:rsidP="00655E4C">
      <w:pPr>
        <w:pStyle w:val="Normal0"/>
        <w:spacing w:line="240" w:lineRule="auto"/>
        <w:rPr>
          <w:rFonts w:ascii="Arial" w:hAnsi="Arial" w:cs="Arial"/>
          <w:bCs/>
          <w:sz w:val="24"/>
          <w:szCs w:val="24"/>
          <w:lang w:eastAsia="en-GB"/>
        </w:rPr>
      </w:pPr>
      <w:r w:rsidRPr="0007572B">
        <w:rPr>
          <w:rFonts w:ascii="Arial" w:hAnsi="Arial" w:cs="Arial"/>
          <w:bCs/>
          <w:sz w:val="24"/>
          <w:szCs w:val="24"/>
          <w:lang w:eastAsia="en-GB"/>
        </w:rPr>
        <w:lastRenderedPageBreak/>
        <w:t>Following the abolishment of GM Fire and Rescue Authority and GM Office for the Police and Crime Commissioner, the Mayor now collects funds via the Mayoral General Fund and the Mayoral Police Fund respectively.</w:t>
      </w:r>
    </w:p>
    <w:p w14:paraId="25E2A93A" w14:textId="77777777" w:rsidR="00655E4C" w:rsidRPr="0007572B" w:rsidRDefault="00655E4C" w:rsidP="00655E4C">
      <w:pPr>
        <w:pStyle w:val="Normal0"/>
        <w:spacing w:line="240" w:lineRule="auto"/>
        <w:rPr>
          <w:rFonts w:ascii="Arial" w:hAnsi="Arial" w:cs="Arial"/>
          <w:bCs/>
          <w:sz w:val="24"/>
          <w:szCs w:val="24"/>
          <w:lang w:eastAsia="en-GB"/>
        </w:rPr>
      </w:pPr>
    </w:p>
    <w:p w14:paraId="0382D3BE" w14:textId="77777777" w:rsidR="00655E4C" w:rsidRPr="0007572B" w:rsidRDefault="00655E4C" w:rsidP="00655E4C">
      <w:pPr>
        <w:pStyle w:val="Normal0"/>
        <w:spacing w:line="240" w:lineRule="auto"/>
        <w:rPr>
          <w:rFonts w:ascii="Arial" w:hAnsi="Arial" w:cs="Arial"/>
          <w:bCs/>
          <w:sz w:val="24"/>
          <w:szCs w:val="24"/>
          <w:lang w:eastAsia="en-GB"/>
        </w:rPr>
      </w:pPr>
      <w:r w:rsidRPr="0007572B">
        <w:rPr>
          <w:rFonts w:ascii="Arial" w:hAnsi="Arial" w:cs="Arial"/>
          <w:bCs/>
          <w:sz w:val="24"/>
          <w:szCs w:val="24"/>
          <w:lang w:eastAsia="en-GB"/>
        </w:rPr>
        <w:t xml:space="preserve">In their capacity as billing authorities the 10 GM Authorities act as agents: they collect and distribute council tax income on behalf of the major preceptors and themselves. The cash collected by the billing authorities from council tax debtors belongs proportionately to the billing authorities and the major preceptors. There will therefore be a debtor/creditor position between the billing authorities and GMCA to be recognised since the net cash paid to GMCA in the year will not be its share of cash collected from council taxpayers. </w:t>
      </w:r>
    </w:p>
    <w:p w14:paraId="4D01BFF1" w14:textId="77777777" w:rsidR="00655E4C" w:rsidRPr="0007572B" w:rsidRDefault="00655E4C" w:rsidP="00655E4C">
      <w:pPr>
        <w:pStyle w:val="Normal0"/>
        <w:spacing w:line="240" w:lineRule="auto"/>
        <w:rPr>
          <w:rFonts w:ascii="Arial" w:hAnsi="Arial" w:cs="Arial"/>
          <w:bCs/>
          <w:sz w:val="24"/>
          <w:szCs w:val="24"/>
          <w:lang w:eastAsia="en-GB"/>
        </w:rPr>
      </w:pPr>
    </w:p>
    <w:p w14:paraId="572D68ED" w14:textId="77777777" w:rsidR="00655E4C" w:rsidRPr="0007572B" w:rsidRDefault="00655E4C" w:rsidP="00655E4C">
      <w:pPr>
        <w:pStyle w:val="Heading5"/>
        <w:rPr>
          <w:lang w:eastAsia="en-GB"/>
        </w:rPr>
      </w:pPr>
      <w:r w:rsidRPr="0007572B">
        <w:rPr>
          <w:lang w:eastAsia="en-GB"/>
        </w:rPr>
        <w:t xml:space="preserve">1.15.2. </w:t>
      </w:r>
      <w:r>
        <w:rPr>
          <w:lang w:eastAsia="en-GB"/>
        </w:rPr>
        <w:t>Business Rates</w:t>
      </w:r>
    </w:p>
    <w:p w14:paraId="041F26EA" w14:textId="77777777" w:rsidR="00655E4C" w:rsidRPr="0007572B" w:rsidRDefault="00655E4C" w:rsidP="00655E4C">
      <w:pPr>
        <w:pStyle w:val="Normal0"/>
        <w:spacing w:line="240" w:lineRule="auto"/>
        <w:rPr>
          <w:rFonts w:ascii="Arial" w:hAnsi="Arial" w:cs="Arial"/>
          <w:b/>
          <w:bCs/>
          <w:sz w:val="24"/>
          <w:szCs w:val="24"/>
          <w:lang w:eastAsia="en-GB"/>
        </w:rPr>
      </w:pPr>
    </w:p>
    <w:p w14:paraId="3A24982E" w14:textId="77777777" w:rsidR="00655E4C" w:rsidRPr="0007572B" w:rsidRDefault="00655E4C" w:rsidP="00655E4C">
      <w:pPr>
        <w:pStyle w:val="Normal0"/>
        <w:spacing w:line="240" w:lineRule="auto"/>
        <w:rPr>
          <w:rFonts w:ascii="Arial" w:hAnsi="Arial" w:cs="Arial"/>
          <w:bCs/>
          <w:sz w:val="24"/>
          <w:szCs w:val="24"/>
          <w:lang w:eastAsia="en-GB"/>
        </w:rPr>
      </w:pPr>
      <w:r w:rsidRPr="0007572B">
        <w:rPr>
          <w:rFonts w:ascii="Arial" w:hAnsi="Arial" w:cs="Arial"/>
          <w:bCs/>
          <w:sz w:val="24"/>
          <w:szCs w:val="24"/>
          <w:lang w:eastAsia="en-GB"/>
        </w:rPr>
        <w:t xml:space="preserve">From 1 April 2013 the 10 GM Authorities as billing authorities of Greater Manchester have acted as agents; they have collected </w:t>
      </w:r>
      <w:r>
        <w:rPr>
          <w:rFonts w:ascii="Arial" w:hAnsi="Arial" w:cs="Arial"/>
          <w:bCs/>
          <w:sz w:val="24"/>
          <w:szCs w:val="24"/>
          <w:lang w:eastAsia="en-GB"/>
        </w:rPr>
        <w:t>business rates</w:t>
      </w:r>
      <w:r w:rsidRPr="0007572B">
        <w:rPr>
          <w:rFonts w:ascii="Arial" w:hAnsi="Arial" w:cs="Arial"/>
          <w:bCs/>
          <w:sz w:val="24"/>
          <w:szCs w:val="24"/>
          <w:lang w:eastAsia="en-GB"/>
        </w:rPr>
        <w:t xml:space="preserve"> income on behalf of Central Government, the GMCA and themselves.</w:t>
      </w:r>
    </w:p>
    <w:p w14:paraId="28EEE6E4" w14:textId="77777777" w:rsidR="00655E4C" w:rsidRPr="0007572B" w:rsidRDefault="00655E4C" w:rsidP="00655E4C">
      <w:pPr>
        <w:pStyle w:val="Normal0"/>
        <w:spacing w:line="240" w:lineRule="auto"/>
        <w:rPr>
          <w:rFonts w:ascii="Arial" w:hAnsi="Arial" w:cs="Arial"/>
          <w:bCs/>
          <w:sz w:val="24"/>
          <w:szCs w:val="24"/>
          <w:lang w:eastAsia="en-GB"/>
        </w:rPr>
      </w:pPr>
    </w:p>
    <w:p w14:paraId="701C8BEC" w14:textId="77777777" w:rsidR="00655E4C" w:rsidRPr="0007572B" w:rsidRDefault="00655E4C" w:rsidP="00655E4C">
      <w:pPr>
        <w:pStyle w:val="Normal0"/>
        <w:spacing w:line="240" w:lineRule="auto"/>
        <w:rPr>
          <w:rFonts w:ascii="Arial" w:hAnsi="Arial" w:cs="Arial"/>
          <w:bCs/>
          <w:sz w:val="24"/>
          <w:szCs w:val="24"/>
          <w:lang w:eastAsia="en-GB"/>
        </w:rPr>
      </w:pPr>
      <w:r w:rsidRPr="0007572B">
        <w:rPr>
          <w:rFonts w:ascii="Arial" w:hAnsi="Arial" w:cs="Arial"/>
          <w:bCs/>
          <w:sz w:val="24"/>
          <w:szCs w:val="24"/>
          <w:lang w:eastAsia="en-GB"/>
        </w:rPr>
        <w:t xml:space="preserve">The </w:t>
      </w:r>
      <w:r>
        <w:rPr>
          <w:rFonts w:ascii="Arial" w:hAnsi="Arial" w:cs="Arial"/>
          <w:bCs/>
          <w:sz w:val="24"/>
          <w:szCs w:val="24"/>
          <w:lang w:eastAsia="en-GB"/>
        </w:rPr>
        <w:t>business rates</w:t>
      </w:r>
      <w:r w:rsidRPr="0007572B">
        <w:rPr>
          <w:rFonts w:ascii="Arial" w:hAnsi="Arial" w:cs="Arial"/>
          <w:bCs/>
          <w:sz w:val="24"/>
          <w:szCs w:val="24"/>
          <w:lang w:eastAsia="en-GB"/>
        </w:rPr>
        <w:t xml:space="preserve"> income distributed to each of the parties is the amount after deducting an allowance for the GM Authorities’ cost of collection. The </w:t>
      </w:r>
      <w:r>
        <w:rPr>
          <w:rFonts w:ascii="Arial" w:hAnsi="Arial" w:cs="Arial"/>
          <w:bCs/>
          <w:sz w:val="24"/>
          <w:szCs w:val="24"/>
          <w:lang w:eastAsia="en-GB"/>
        </w:rPr>
        <w:t>business rates</w:t>
      </w:r>
      <w:r w:rsidRPr="0007572B">
        <w:rPr>
          <w:rFonts w:ascii="Arial" w:hAnsi="Arial" w:cs="Arial"/>
          <w:bCs/>
          <w:sz w:val="24"/>
          <w:szCs w:val="24"/>
          <w:lang w:eastAsia="en-GB"/>
        </w:rPr>
        <w:t xml:space="preserve"> cash collected by the billing authorities through the national scheme belongs proportionately to Central Government, the GM Authorities and GMCA; there will therefore be a debtor/creditor position between these parties to be recognised since the net cash paid in the year to each party will not be their share of the cash collected from business ratepayers.</w:t>
      </w:r>
    </w:p>
    <w:p w14:paraId="1230C76F" w14:textId="77777777" w:rsidR="00655E4C" w:rsidRPr="0007572B" w:rsidRDefault="00655E4C" w:rsidP="00655E4C">
      <w:pPr>
        <w:pStyle w:val="Normal0"/>
        <w:spacing w:line="240" w:lineRule="auto"/>
        <w:rPr>
          <w:rFonts w:ascii="Arial" w:hAnsi="Arial" w:cs="Arial"/>
          <w:bCs/>
          <w:sz w:val="24"/>
          <w:szCs w:val="24"/>
          <w:lang w:eastAsia="en-GB"/>
        </w:rPr>
      </w:pPr>
    </w:p>
    <w:p w14:paraId="745FB9F9" w14:textId="77777777" w:rsidR="00655E4C" w:rsidRPr="0007572B" w:rsidRDefault="00655E4C" w:rsidP="00655E4C">
      <w:pPr>
        <w:pStyle w:val="Normal0"/>
        <w:spacing w:line="240" w:lineRule="auto"/>
        <w:rPr>
          <w:rFonts w:ascii="Arial" w:hAnsi="Arial" w:cs="Arial"/>
          <w:bCs/>
          <w:sz w:val="24"/>
          <w:szCs w:val="24"/>
          <w:lang w:eastAsia="en-GB"/>
        </w:rPr>
      </w:pPr>
      <w:r w:rsidRPr="00817AA9">
        <w:rPr>
          <w:rFonts w:ascii="Arial" w:hAnsi="Arial" w:cs="Arial"/>
          <w:bCs/>
          <w:sz w:val="24"/>
          <w:szCs w:val="24"/>
          <w:lang w:eastAsia="en-GB"/>
        </w:rPr>
        <w:t>In 2021/22 Greater Manchester continues to be a pilot area for the 100% Business Rates Retention Scheme and the relevant shares of business rates income for 2021/22 are Central Government (0%), GM Authorities (99%) and GMCA (1%).</w:t>
      </w:r>
    </w:p>
    <w:p w14:paraId="176E7EB2" w14:textId="77777777" w:rsidR="00655E4C" w:rsidRPr="0007572B" w:rsidRDefault="00655E4C" w:rsidP="00655E4C">
      <w:pPr>
        <w:pStyle w:val="Normal0"/>
        <w:spacing w:line="240" w:lineRule="auto"/>
        <w:rPr>
          <w:rFonts w:ascii="Arial" w:hAnsi="Arial" w:cs="Arial"/>
          <w:bCs/>
          <w:sz w:val="24"/>
          <w:szCs w:val="24"/>
          <w:lang w:eastAsia="en-GB"/>
        </w:rPr>
      </w:pPr>
    </w:p>
    <w:p w14:paraId="04FF223F" w14:textId="77777777" w:rsidR="00655E4C" w:rsidRPr="0007572B" w:rsidRDefault="00655E4C" w:rsidP="00655E4C">
      <w:pPr>
        <w:pStyle w:val="Normal0"/>
        <w:spacing w:line="240" w:lineRule="auto"/>
        <w:rPr>
          <w:rFonts w:ascii="Arial" w:hAnsi="Arial" w:cs="Arial"/>
          <w:bCs/>
          <w:sz w:val="24"/>
          <w:szCs w:val="24"/>
          <w:lang w:eastAsia="en-GB"/>
        </w:rPr>
      </w:pPr>
      <w:r w:rsidRPr="0007572B">
        <w:rPr>
          <w:rFonts w:ascii="Arial" w:hAnsi="Arial" w:cs="Arial"/>
          <w:bCs/>
          <w:sz w:val="24"/>
          <w:szCs w:val="24"/>
          <w:lang w:eastAsia="en-GB"/>
        </w:rPr>
        <w:t xml:space="preserve">For both council tax and </w:t>
      </w:r>
      <w:r>
        <w:rPr>
          <w:rFonts w:ascii="Arial" w:hAnsi="Arial" w:cs="Arial"/>
          <w:bCs/>
          <w:sz w:val="24"/>
          <w:szCs w:val="24"/>
          <w:lang w:eastAsia="en-GB"/>
        </w:rPr>
        <w:t>business rates</w:t>
      </w:r>
      <w:r w:rsidRPr="0007572B">
        <w:rPr>
          <w:rFonts w:ascii="Arial" w:hAnsi="Arial" w:cs="Arial"/>
          <w:bCs/>
          <w:sz w:val="24"/>
          <w:szCs w:val="24"/>
          <w:lang w:eastAsia="en-GB"/>
        </w:rPr>
        <w:t xml:space="preserve">, the income reflected in the CIES in </w:t>
      </w:r>
      <w:r>
        <w:rPr>
          <w:rFonts w:ascii="Arial" w:hAnsi="Arial" w:cs="Arial"/>
          <w:bCs/>
          <w:sz w:val="24"/>
          <w:szCs w:val="24"/>
          <w:lang w:eastAsia="en-GB"/>
        </w:rPr>
        <w:t>2021/22</w:t>
      </w:r>
      <w:r w:rsidRPr="0007572B">
        <w:rPr>
          <w:rFonts w:ascii="Arial" w:hAnsi="Arial" w:cs="Arial"/>
          <w:bCs/>
          <w:sz w:val="24"/>
          <w:szCs w:val="24"/>
          <w:lang w:eastAsia="en-GB"/>
        </w:rPr>
        <w:t xml:space="preserve"> is the GMCA’s share of the income relating to that year. However, the amount of council tax / </w:t>
      </w:r>
      <w:r>
        <w:rPr>
          <w:rFonts w:ascii="Arial" w:hAnsi="Arial" w:cs="Arial"/>
          <w:bCs/>
          <w:sz w:val="24"/>
          <w:szCs w:val="24"/>
          <w:lang w:eastAsia="en-GB"/>
        </w:rPr>
        <w:t>business rates</w:t>
      </w:r>
      <w:r w:rsidRPr="0007572B">
        <w:rPr>
          <w:rFonts w:ascii="Arial" w:hAnsi="Arial" w:cs="Arial"/>
          <w:bCs/>
          <w:sz w:val="24"/>
          <w:szCs w:val="24"/>
          <w:lang w:eastAsia="en-GB"/>
        </w:rPr>
        <w:t xml:space="preserve"> income that can be credited to the General Fund for the year is determined by statute and may be different from the accrued income position shown in the CIES. An adjustment is made via the Movement in Reserves Statement for the difference between the income due under proper accounting practice and the income per statute.</w:t>
      </w:r>
    </w:p>
    <w:p w14:paraId="4AD18B79" w14:textId="77777777" w:rsidR="00655E4C" w:rsidRPr="0007572B" w:rsidRDefault="00655E4C" w:rsidP="00655E4C">
      <w:pPr>
        <w:pStyle w:val="Normal0"/>
        <w:spacing w:line="240" w:lineRule="auto"/>
        <w:rPr>
          <w:rFonts w:ascii="Arial" w:hAnsi="Arial" w:cs="Arial"/>
          <w:b/>
          <w:bCs/>
          <w:sz w:val="24"/>
          <w:szCs w:val="24"/>
          <w:lang w:eastAsia="en-GB"/>
        </w:rPr>
      </w:pPr>
    </w:p>
    <w:p w14:paraId="63E090D3" w14:textId="77777777" w:rsidR="00655E4C" w:rsidRPr="00EB1AAB" w:rsidRDefault="00655E4C" w:rsidP="00655E4C">
      <w:pPr>
        <w:pStyle w:val="Heading4bold"/>
        <w:rPr>
          <w:lang w:eastAsia="en-GB"/>
        </w:rPr>
      </w:pPr>
      <w:r w:rsidRPr="00EB1AAB">
        <w:rPr>
          <w:lang w:eastAsia="en-GB"/>
        </w:rPr>
        <w:t>1.16. Financial Assets</w:t>
      </w:r>
    </w:p>
    <w:p w14:paraId="3920CFC3" w14:textId="77777777" w:rsidR="00655E4C" w:rsidRPr="00EB1AAB" w:rsidRDefault="00655E4C" w:rsidP="00655E4C">
      <w:pPr>
        <w:ind w:right="54"/>
        <w:rPr>
          <w:rFonts w:ascii="Arial" w:eastAsia="Arial" w:hAnsi="Arial" w:cs="Arial"/>
        </w:rPr>
      </w:pPr>
      <w:r w:rsidRPr="00EB1AAB">
        <w:rPr>
          <w:rFonts w:ascii="Arial" w:eastAsia="Arial" w:hAnsi="Arial" w:cs="Arial"/>
          <w:spacing w:val="-1"/>
        </w:rPr>
        <w:t>F</w:t>
      </w:r>
      <w:r w:rsidRPr="00EB1AAB">
        <w:rPr>
          <w:rFonts w:ascii="Arial" w:eastAsia="Arial" w:hAnsi="Arial" w:cs="Arial"/>
          <w:spacing w:val="3"/>
        </w:rPr>
        <w:t>i</w:t>
      </w:r>
      <w:r w:rsidRPr="00EB1AAB">
        <w:rPr>
          <w:rFonts w:ascii="Arial" w:eastAsia="Arial" w:hAnsi="Arial" w:cs="Arial"/>
          <w:spacing w:val="-3"/>
        </w:rPr>
        <w:t>n</w:t>
      </w:r>
      <w:r w:rsidRPr="00EB1AAB">
        <w:rPr>
          <w:rFonts w:ascii="Arial" w:eastAsia="Arial" w:hAnsi="Arial" w:cs="Arial"/>
        </w:rPr>
        <w:t>a</w:t>
      </w:r>
      <w:r w:rsidRPr="00EB1AAB">
        <w:rPr>
          <w:rFonts w:ascii="Arial" w:eastAsia="Arial" w:hAnsi="Arial" w:cs="Arial"/>
          <w:spacing w:val="-3"/>
        </w:rPr>
        <w:t>n</w:t>
      </w:r>
      <w:r w:rsidRPr="00EB1AAB">
        <w:rPr>
          <w:rFonts w:ascii="Arial" w:eastAsia="Arial" w:hAnsi="Arial" w:cs="Arial"/>
          <w:spacing w:val="1"/>
        </w:rPr>
        <w:t>ci</w:t>
      </w:r>
      <w:r w:rsidRPr="00EB1AAB">
        <w:rPr>
          <w:rFonts w:ascii="Arial" w:eastAsia="Arial" w:hAnsi="Arial" w:cs="Arial"/>
        </w:rPr>
        <w:t>al</w:t>
      </w:r>
      <w:r w:rsidRPr="00EB1AAB">
        <w:rPr>
          <w:rFonts w:ascii="Arial" w:eastAsia="Arial" w:hAnsi="Arial" w:cs="Arial"/>
          <w:spacing w:val="13"/>
        </w:rPr>
        <w:t xml:space="preserve"> </w:t>
      </w:r>
      <w:r w:rsidRPr="00EB1AAB">
        <w:rPr>
          <w:rFonts w:ascii="Arial" w:eastAsia="Arial" w:hAnsi="Arial" w:cs="Arial"/>
        </w:rPr>
        <w:t>A</w:t>
      </w:r>
      <w:r w:rsidRPr="00EB1AAB">
        <w:rPr>
          <w:rFonts w:ascii="Arial" w:eastAsia="Arial" w:hAnsi="Arial" w:cs="Arial"/>
          <w:spacing w:val="-2"/>
        </w:rPr>
        <w:t>s</w:t>
      </w:r>
      <w:r w:rsidRPr="00EB1AAB">
        <w:rPr>
          <w:rFonts w:ascii="Arial" w:eastAsia="Arial" w:hAnsi="Arial" w:cs="Arial"/>
          <w:spacing w:val="1"/>
        </w:rPr>
        <w:t>s</w:t>
      </w:r>
      <w:r w:rsidRPr="00EB1AAB">
        <w:rPr>
          <w:rFonts w:ascii="Arial" w:eastAsia="Arial" w:hAnsi="Arial" w:cs="Arial"/>
        </w:rPr>
        <w:t>ets</w:t>
      </w:r>
      <w:r w:rsidRPr="00EB1AAB">
        <w:rPr>
          <w:rFonts w:ascii="Arial" w:eastAsia="Arial" w:hAnsi="Arial" w:cs="Arial"/>
          <w:spacing w:val="9"/>
        </w:rPr>
        <w:t xml:space="preserve"> </w:t>
      </w:r>
      <w:r w:rsidRPr="00EB1AAB">
        <w:rPr>
          <w:rFonts w:ascii="Arial" w:eastAsia="Arial" w:hAnsi="Arial" w:cs="Arial"/>
          <w:spacing w:val="-2"/>
        </w:rPr>
        <w:t>such as</w:t>
      </w:r>
      <w:r w:rsidRPr="00EB1AAB">
        <w:rPr>
          <w:rFonts w:ascii="Arial" w:eastAsia="Arial" w:hAnsi="Arial" w:cs="Arial"/>
          <w:spacing w:val="7"/>
        </w:rPr>
        <w:t xml:space="preserve"> </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2"/>
        </w:rPr>
        <w:t>v</w:t>
      </w:r>
      <w:r w:rsidRPr="00EB1AAB">
        <w:rPr>
          <w:rFonts w:ascii="Arial" w:eastAsia="Arial" w:hAnsi="Arial" w:cs="Arial"/>
        </w:rPr>
        <w:t>e</w:t>
      </w:r>
      <w:r w:rsidRPr="00EB1AAB">
        <w:rPr>
          <w:rFonts w:ascii="Arial" w:eastAsia="Arial" w:hAnsi="Arial" w:cs="Arial"/>
          <w:spacing w:val="-2"/>
        </w:rPr>
        <w:t>s</w:t>
      </w:r>
      <w:r w:rsidRPr="00EB1AAB">
        <w:rPr>
          <w:rFonts w:ascii="Arial" w:eastAsia="Arial" w:hAnsi="Arial" w:cs="Arial"/>
          <w:spacing w:val="2"/>
        </w:rPr>
        <w:t>t</w:t>
      </w:r>
      <w:r w:rsidRPr="00EB1AAB">
        <w:rPr>
          <w:rFonts w:ascii="Arial" w:eastAsia="Arial" w:hAnsi="Arial" w:cs="Arial"/>
        </w:rPr>
        <w:t>m</w:t>
      </w:r>
      <w:r w:rsidRPr="00EB1AAB">
        <w:rPr>
          <w:rFonts w:ascii="Arial" w:eastAsia="Arial" w:hAnsi="Arial" w:cs="Arial"/>
          <w:spacing w:val="2"/>
        </w:rPr>
        <w:t>e</w:t>
      </w:r>
      <w:r w:rsidRPr="00EB1AAB">
        <w:rPr>
          <w:rFonts w:ascii="Arial" w:eastAsia="Arial" w:hAnsi="Arial" w:cs="Arial"/>
        </w:rPr>
        <w:t>nts</w:t>
      </w:r>
      <w:r w:rsidRPr="00EB1AAB">
        <w:rPr>
          <w:rFonts w:ascii="Arial" w:eastAsia="Arial" w:hAnsi="Arial" w:cs="Arial"/>
          <w:spacing w:val="14"/>
        </w:rPr>
        <w:t xml:space="preserve"> </w:t>
      </w:r>
      <w:r w:rsidRPr="00EB1AAB">
        <w:rPr>
          <w:rFonts w:ascii="Arial" w:eastAsia="Arial" w:hAnsi="Arial" w:cs="Arial"/>
          <w:spacing w:val="-1"/>
        </w:rPr>
        <w:t>(</w:t>
      </w:r>
      <w:r w:rsidRPr="00EB1AAB">
        <w:rPr>
          <w:rFonts w:ascii="Arial" w:eastAsia="Arial" w:hAnsi="Arial" w:cs="Arial"/>
          <w:spacing w:val="-2"/>
        </w:rPr>
        <w:t>e</w:t>
      </w:r>
      <w:r w:rsidRPr="00EB1AAB">
        <w:rPr>
          <w:rFonts w:ascii="Arial" w:eastAsia="Arial" w:hAnsi="Arial" w:cs="Arial"/>
          <w:spacing w:val="1"/>
        </w:rPr>
        <w:t>xcl</w:t>
      </w:r>
      <w:r w:rsidRPr="00EB1AAB">
        <w:rPr>
          <w:rFonts w:ascii="Arial" w:eastAsia="Arial" w:hAnsi="Arial" w:cs="Arial"/>
          <w:spacing w:val="2"/>
        </w:rPr>
        <w:t>u</w:t>
      </w:r>
      <w:r w:rsidRPr="00EB1AAB">
        <w:rPr>
          <w:rFonts w:ascii="Arial" w:eastAsia="Arial" w:hAnsi="Arial" w:cs="Arial"/>
          <w:spacing w:val="-3"/>
        </w:rPr>
        <w:t>d</w:t>
      </w:r>
      <w:r w:rsidRPr="00EB1AAB">
        <w:rPr>
          <w:rFonts w:ascii="Arial" w:eastAsia="Arial" w:hAnsi="Arial" w:cs="Arial"/>
          <w:spacing w:val="3"/>
        </w:rPr>
        <w:t>i</w:t>
      </w:r>
      <w:r w:rsidRPr="00EB1AAB">
        <w:rPr>
          <w:rFonts w:ascii="Arial" w:eastAsia="Arial" w:hAnsi="Arial" w:cs="Arial"/>
          <w:spacing w:val="-3"/>
        </w:rPr>
        <w:t>n</w:t>
      </w:r>
      <w:r w:rsidRPr="00EB1AAB">
        <w:rPr>
          <w:rFonts w:ascii="Arial" w:eastAsia="Arial" w:hAnsi="Arial" w:cs="Arial"/>
        </w:rPr>
        <w:t>g</w:t>
      </w:r>
      <w:r w:rsidRPr="00EB1AAB">
        <w:rPr>
          <w:rFonts w:ascii="Arial" w:eastAsia="Arial" w:hAnsi="Arial" w:cs="Arial"/>
          <w:spacing w:val="13"/>
        </w:rPr>
        <w:t xml:space="preserve"> </w:t>
      </w:r>
      <w:r w:rsidRPr="00EB1AAB">
        <w:rPr>
          <w:rFonts w:ascii="Arial" w:eastAsia="Arial" w:hAnsi="Arial" w:cs="Arial"/>
        </w:rPr>
        <w:t>th</w:t>
      </w:r>
      <w:r w:rsidRPr="00EB1AAB">
        <w:rPr>
          <w:rFonts w:ascii="Arial" w:eastAsia="Arial" w:hAnsi="Arial" w:cs="Arial"/>
          <w:spacing w:val="-3"/>
        </w:rPr>
        <w:t>o</w:t>
      </w:r>
      <w:r w:rsidRPr="00EB1AAB">
        <w:rPr>
          <w:rFonts w:ascii="Arial" w:eastAsia="Arial" w:hAnsi="Arial" w:cs="Arial"/>
          <w:spacing w:val="3"/>
        </w:rPr>
        <w:t>s</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3"/>
        </w:rPr>
        <w:t xml:space="preserve"> </w:t>
      </w:r>
      <w:r w:rsidRPr="00EB1AAB">
        <w:rPr>
          <w:rFonts w:ascii="Arial" w:eastAsia="Arial" w:hAnsi="Arial" w:cs="Arial"/>
          <w:spacing w:val="-1"/>
        </w:rPr>
        <w:t>c</w:t>
      </w:r>
      <w:r w:rsidRPr="00EB1AAB">
        <w:rPr>
          <w:rFonts w:ascii="Arial" w:eastAsia="Arial" w:hAnsi="Arial" w:cs="Arial"/>
        </w:rPr>
        <w:t>o</w:t>
      </w:r>
      <w:r w:rsidRPr="00EB1AAB">
        <w:rPr>
          <w:rFonts w:ascii="Arial" w:eastAsia="Arial" w:hAnsi="Arial" w:cs="Arial"/>
          <w:spacing w:val="2"/>
        </w:rPr>
        <w:t>m</w:t>
      </w:r>
      <w:r w:rsidRPr="00EB1AAB">
        <w:rPr>
          <w:rFonts w:ascii="Arial" w:eastAsia="Arial" w:hAnsi="Arial" w:cs="Arial"/>
          <w:spacing w:val="-3"/>
        </w:rPr>
        <w:t>p</w:t>
      </w:r>
      <w:r w:rsidRPr="00EB1AAB">
        <w:rPr>
          <w:rFonts w:ascii="Arial" w:eastAsia="Arial" w:hAnsi="Arial" w:cs="Arial"/>
          <w:spacing w:val="2"/>
        </w:rPr>
        <w:t>a</w:t>
      </w:r>
      <w:r w:rsidRPr="00EB1AAB">
        <w:rPr>
          <w:rFonts w:ascii="Arial" w:eastAsia="Arial" w:hAnsi="Arial" w:cs="Arial"/>
          <w:spacing w:val="-3"/>
        </w:rPr>
        <w:t>n</w:t>
      </w:r>
      <w:r w:rsidRPr="00EB1AAB">
        <w:rPr>
          <w:rFonts w:ascii="Arial" w:eastAsia="Arial" w:hAnsi="Arial" w:cs="Arial"/>
          <w:spacing w:val="3"/>
        </w:rPr>
        <w:t>i</w:t>
      </w:r>
      <w:r w:rsidRPr="00EB1AAB">
        <w:rPr>
          <w:rFonts w:ascii="Arial" w:eastAsia="Arial" w:hAnsi="Arial" w:cs="Arial"/>
          <w:spacing w:val="-2"/>
        </w:rPr>
        <w:t>e</w:t>
      </w:r>
      <w:r w:rsidRPr="00EB1AAB">
        <w:rPr>
          <w:rFonts w:ascii="Arial" w:eastAsia="Arial" w:hAnsi="Arial" w:cs="Arial"/>
        </w:rPr>
        <w:t>s</w:t>
      </w:r>
      <w:r w:rsidRPr="00EB1AAB">
        <w:rPr>
          <w:rFonts w:ascii="Arial" w:eastAsia="Arial" w:hAnsi="Arial" w:cs="Arial"/>
          <w:spacing w:val="13"/>
        </w:rPr>
        <w:t xml:space="preserve"> </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1"/>
        </w:rPr>
        <w:t>cl</w:t>
      </w:r>
      <w:r w:rsidRPr="00EB1AAB">
        <w:rPr>
          <w:rFonts w:ascii="Arial" w:eastAsia="Arial" w:hAnsi="Arial" w:cs="Arial"/>
        </w:rPr>
        <w:t>u</w:t>
      </w:r>
      <w:r w:rsidRPr="00EB1AAB">
        <w:rPr>
          <w:rFonts w:ascii="Arial" w:eastAsia="Arial" w:hAnsi="Arial" w:cs="Arial"/>
          <w:spacing w:val="-3"/>
        </w:rPr>
        <w:t>d</w:t>
      </w:r>
      <w:r w:rsidRPr="00EB1AAB">
        <w:rPr>
          <w:rFonts w:ascii="Arial" w:eastAsia="Arial" w:hAnsi="Arial" w:cs="Arial"/>
          <w:spacing w:val="2"/>
        </w:rPr>
        <w:t>e</w:t>
      </w:r>
      <w:r w:rsidRPr="00EB1AAB">
        <w:rPr>
          <w:rFonts w:ascii="Arial" w:eastAsia="Arial" w:hAnsi="Arial" w:cs="Arial"/>
        </w:rPr>
        <w:t>d</w:t>
      </w:r>
      <w:r w:rsidRPr="00EB1AAB">
        <w:rPr>
          <w:rFonts w:ascii="Arial" w:eastAsia="Arial" w:hAnsi="Arial" w:cs="Arial"/>
          <w:spacing w:val="7"/>
        </w:rPr>
        <w:t xml:space="preserve"> </w:t>
      </w:r>
      <w:r w:rsidRPr="00EB1AAB">
        <w:rPr>
          <w:rFonts w:ascii="Arial" w:eastAsia="Arial" w:hAnsi="Arial" w:cs="Arial"/>
          <w:spacing w:val="4"/>
        </w:rPr>
        <w:t>i</w:t>
      </w:r>
      <w:r w:rsidRPr="00EB1AAB">
        <w:rPr>
          <w:rFonts w:ascii="Arial" w:eastAsia="Arial" w:hAnsi="Arial" w:cs="Arial"/>
        </w:rPr>
        <w:t>n</w:t>
      </w:r>
      <w:r w:rsidRPr="00EB1AAB">
        <w:rPr>
          <w:rFonts w:ascii="Arial" w:eastAsia="Arial" w:hAnsi="Arial" w:cs="Arial"/>
          <w:spacing w:val="3"/>
        </w:rPr>
        <w:t xml:space="preserve"> </w:t>
      </w:r>
      <w:r w:rsidRPr="00EB1AAB">
        <w:rPr>
          <w:rFonts w:ascii="Arial" w:eastAsia="Arial" w:hAnsi="Arial" w:cs="Arial"/>
          <w:w w:val="101"/>
        </w:rPr>
        <w:t>t</w:t>
      </w:r>
      <w:r w:rsidRPr="00EB1AAB">
        <w:rPr>
          <w:rFonts w:ascii="Arial" w:eastAsia="Arial" w:hAnsi="Arial" w:cs="Arial"/>
          <w:spacing w:val="-2"/>
          <w:w w:val="101"/>
        </w:rPr>
        <w:t>h</w:t>
      </w:r>
      <w:r w:rsidRPr="00EB1AAB">
        <w:rPr>
          <w:rFonts w:ascii="Arial" w:eastAsia="Arial" w:hAnsi="Arial" w:cs="Arial"/>
          <w:w w:val="101"/>
        </w:rPr>
        <w:t xml:space="preserve">e </w:t>
      </w:r>
      <w:r w:rsidRPr="00EB1AAB">
        <w:rPr>
          <w:rFonts w:ascii="Arial" w:eastAsia="Arial" w:hAnsi="Arial" w:cs="Arial"/>
        </w:rPr>
        <w:t>Authority</w:t>
      </w:r>
      <w:r w:rsidRPr="00EB1AAB">
        <w:rPr>
          <w:rFonts w:ascii="Arial" w:eastAsia="Arial" w:hAnsi="Arial" w:cs="Arial"/>
          <w:spacing w:val="3"/>
        </w:rPr>
        <w:t>’</w:t>
      </w:r>
      <w:r w:rsidRPr="00EB1AAB">
        <w:rPr>
          <w:rFonts w:ascii="Arial" w:eastAsia="Arial" w:hAnsi="Arial" w:cs="Arial"/>
        </w:rPr>
        <w:t>s</w:t>
      </w:r>
      <w:r w:rsidRPr="00EB1AAB">
        <w:rPr>
          <w:rFonts w:ascii="Arial" w:eastAsia="Arial" w:hAnsi="Arial" w:cs="Arial"/>
          <w:spacing w:val="9"/>
        </w:rPr>
        <w:t xml:space="preserve"> </w:t>
      </w:r>
      <w:r w:rsidRPr="00EB1AAB">
        <w:rPr>
          <w:rFonts w:ascii="Arial" w:eastAsia="Arial" w:hAnsi="Arial" w:cs="Arial"/>
        </w:rPr>
        <w:t>g</w:t>
      </w:r>
      <w:r w:rsidRPr="00EB1AAB">
        <w:rPr>
          <w:rFonts w:ascii="Arial" w:eastAsia="Arial" w:hAnsi="Arial" w:cs="Arial"/>
          <w:spacing w:val="-1"/>
        </w:rPr>
        <w:t>r</w:t>
      </w:r>
      <w:r w:rsidRPr="00EB1AAB">
        <w:rPr>
          <w:rFonts w:ascii="Arial" w:eastAsia="Arial" w:hAnsi="Arial" w:cs="Arial"/>
        </w:rPr>
        <w:t>o</w:t>
      </w:r>
      <w:r w:rsidRPr="00EB1AAB">
        <w:rPr>
          <w:rFonts w:ascii="Arial" w:eastAsia="Arial" w:hAnsi="Arial" w:cs="Arial"/>
          <w:spacing w:val="-3"/>
        </w:rPr>
        <w:t>u</w:t>
      </w:r>
      <w:r w:rsidRPr="00EB1AAB">
        <w:rPr>
          <w:rFonts w:ascii="Arial" w:eastAsia="Arial" w:hAnsi="Arial" w:cs="Arial"/>
        </w:rPr>
        <w:t>p</w:t>
      </w:r>
      <w:r w:rsidRPr="00EB1AAB">
        <w:rPr>
          <w:rFonts w:ascii="Arial" w:eastAsia="Arial" w:hAnsi="Arial" w:cs="Arial"/>
          <w:spacing w:val="9"/>
        </w:rPr>
        <w:t xml:space="preserve"> </w:t>
      </w:r>
      <w:r w:rsidRPr="00EB1AAB">
        <w:rPr>
          <w:rFonts w:ascii="Arial" w:eastAsia="Arial" w:hAnsi="Arial" w:cs="Arial"/>
          <w:spacing w:val="-3"/>
        </w:rPr>
        <w:t>a</w:t>
      </w:r>
      <w:r w:rsidRPr="00EB1AAB">
        <w:rPr>
          <w:rFonts w:ascii="Arial" w:eastAsia="Arial" w:hAnsi="Arial" w:cs="Arial"/>
          <w:spacing w:val="1"/>
        </w:rPr>
        <w:t>cc</w:t>
      </w:r>
      <w:r w:rsidRPr="00EB1AAB">
        <w:rPr>
          <w:rFonts w:ascii="Arial" w:eastAsia="Arial" w:hAnsi="Arial" w:cs="Arial"/>
        </w:rPr>
        <w:t>o</w:t>
      </w:r>
      <w:r w:rsidRPr="00EB1AAB">
        <w:rPr>
          <w:rFonts w:ascii="Arial" w:eastAsia="Arial" w:hAnsi="Arial" w:cs="Arial"/>
          <w:spacing w:val="2"/>
        </w:rPr>
        <w:t>u</w:t>
      </w:r>
      <w:r w:rsidRPr="00EB1AAB">
        <w:rPr>
          <w:rFonts w:ascii="Arial" w:eastAsia="Arial" w:hAnsi="Arial" w:cs="Arial"/>
          <w:spacing w:val="-3"/>
        </w:rPr>
        <w:t>n</w:t>
      </w:r>
      <w:r w:rsidRPr="00EB1AAB">
        <w:rPr>
          <w:rFonts w:ascii="Arial" w:eastAsia="Arial" w:hAnsi="Arial" w:cs="Arial"/>
          <w:spacing w:val="2"/>
        </w:rPr>
        <w:t>t</w:t>
      </w:r>
      <w:r w:rsidRPr="00EB1AAB">
        <w:rPr>
          <w:rFonts w:ascii="Arial" w:eastAsia="Arial" w:hAnsi="Arial" w:cs="Arial"/>
          <w:spacing w:val="-2"/>
        </w:rPr>
        <w:t>s</w:t>
      </w:r>
      <w:r w:rsidRPr="00EB1AAB">
        <w:rPr>
          <w:rFonts w:ascii="Arial" w:eastAsia="Arial" w:hAnsi="Arial" w:cs="Arial"/>
        </w:rPr>
        <w:t>)</w:t>
      </w:r>
      <w:r w:rsidRPr="00EB1AAB">
        <w:rPr>
          <w:rFonts w:ascii="Arial" w:eastAsia="Arial" w:hAnsi="Arial" w:cs="Arial"/>
          <w:spacing w:val="13"/>
        </w:rPr>
        <w:t xml:space="preserve"> </w:t>
      </w:r>
      <w:r w:rsidRPr="00EB1AAB">
        <w:rPr>
          <w:rFonts w:ascii="Arial" w:eastAsia="Arial" w:hAnsi="Arial" w:cs="Arial"/>
        </w:rPr>
        <w:t>and</w:t>
      </w:r>
      <w:r w:rsidRPr="00EB1AAB">
        <w:rPr>
          <w:rFonts w:ascii="Arial" w:eastAsia="Arial" w:hAnsi="Arial" w:cs="Arial"/>
          <w:spacing w:val="5"/>
        </w:rPr>
        <w:t xml:space="preserve"> </w:t>
      </w:r>
      <w:r w:rsidRPr="00EB1AAB">
        <w:rPr>
          <w:rFonts w:ascii="Arial" w:eastAsia="Arial" w:hAnsi="Arial" w:cs="Arial"/>
        </w:rPr>
        <w:t>debt</w:t>
      </w:r>
      <w:r w:rsidRPr="00EB1AAB">
        <w:rPr>
          <w:rFonts w:ascii="Arial" w:eastAsia="Arial" w:hAnsi="Arial" w:cs="Arial"/>
          <w:spacing w:val="2"/>
        </w:rPr>
        <w:t>o</w:t>
      </w:r>
      <w:r w:rsidRPr="00EB1AAB">
        <w:rPr>
          <w:rFonts w:ascii="Arial" w:eastAsia="Arial" w:hAnsi="Arial" w:cs="Arial"/>
          <w:spacing w:val="-1"/>
        </w:rPr>
        <w:t>r</w:t>
      </w:r>
      <w:r w:rsidRPr="00EB1AAB">
        <w:rPr>
          <w:rFonts w:ascii="Arial" w:eastAsia="Arial" w:hAnsi="Arial" w:cs="Arial"/>
        </w:rPr>
        <w:t>s</w:t>
      </w:r>
      <w:r w:rsidRPr="00EB1AAB">
        <w:rPr>
          <w:rFonts w:ascii="Arial" w:eastAsia="Arial" w:hAnsi="Arial" w:cs="Arial"/>
          <w:spacing w:val="10"/>
        </w:rPr>
        <w:t xml:space="preserve"> </w:t>
      </w:r>
      <w:r w:rsidRPr="00EB1AAB">
        <w:rPr>
          <w:rFonts w:ascii="Arial" w:eastAsia="Arial" w:hAnsi="Arial" w:cs="Arial"/>
          <w:spacing w:val="-3"/>
        </w:rPr>
        <w:t>a</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spacing w:val="1"/>
        </w:rPr>
        <w:t>cl</w:t>
      </w:r>
      <w:r w:rsidRPr="00EB1AAB">
        <w:rPr>
          <w:rFonts w:ascii="Arial" w:eastAsia="Arial" w:hAnsi="Arial" w:cs="Arial"/>
        </w:rPr>
        <w:t>a</w:t>
      </w:r>
      <w:r w:rsidRPr="00EB1AAB">
        <w:rPr>
          <w:rFonts w:ascii="Arial" w:eastAsia="Arial" w:hAnsi="Arial" w:cs="Arial"/>
          <w:spacing w:val="-2"/>
        </w:rPr>
        <w:t>s</w:t>
      </w:r>
      <w:r w:rsidRPr="00EB1AAB">
        <w:rPr>
          <w:rFonts w:ascii="Arial" w:eastAsia="Arial" w:hAnsi="Arial" w:cs="Arial"/>
          <w:spacing w:val="1"/>
        </w:rPr>
        <w:t>s</w:t>
      </w:r>
      <w:r w:rsidRPr="00EB1AAB">
        <w:rPr>
          <w:rFonts w:ascii="Arial" w:eastAsia="Arial" w:hAnsi="Arial" w:cs="Arial"/>
          <w:spacing w:val="3"/>
        </w:rPr>
        <w:t>i</w:t>
      </w:r>
      <w:r w:rsidRPr="00EB1AAB">
        <w:rPr>
          <w:rFonts w:ascii="Arial" w:eastAsia="Arial" w:hAnsi="Arial" w:cs="Arial"/>
        </w:rPr>
        <w:t>f</w:t>
      </w:r>
      <w:r w:rsidRPr="00EB1AAB">
        <w:rPr>
          <w:rFonts w:ascii="Arial" w:eastAsia="Arial" w:hAnsi="Arial" w:cs="Arial"/>
          <w:spacing w:val="1"/>
        </w:rPr>
        <w:t>i</w:t>
      </w:r>
      <w:r w:rsidRPr="00EB1AAB">
        <w:rPr>
          <w:rFonts w:ascii="Arial" w:eastAsia="Arial" w:hAnsi="Arial" w:cs="Arial"/>
        </w:rPr>
        <w:t>ed</w:t>
      </w:r>
      <w:r w:rsidRPr="00EB1AAB">
        <w:rPr>
          <w:rFonts w:ascii="Arial" w:eastAsia="Arial" w:hAnsi="Arial" w:cs="Arial"/>
          <w:spacing w:val="7"/>
        </w:rPr>
        <w:t xml:space="preserve"> </w:t>
      </w:r>
      <w:r w:rsidRPr="00EB1AAB">
        <w:rPr>
          <w:rFonts w:ascii="Arial" w:eastAsia="Arial" w:hAnsi="Arial" w:cs="Arial"/>
          <w:spacing w:val="4"/>
        </w:rPr>
        <w:t>i</w:t>
      </w:r>
      <w:r w:rsidRPr="00EB1AAB">
        <w:rPr>
          <w:rFonts w:ascii="Arial" w:eastAsia="Arial" w:hAnsi="Arial" w:cs="Arial"/>
          <w:spacing w:val="-3"/>
        </w:rPr>
        <w:t>n</w:t>
      </w:r>
      <w:r w:rsidRPr="00EB1AAB">
        <w:rPr>
          <w:rFonts w:ascii="Arial" w:eastAsia="Arial" w:hAnsi="Arial" w:cs="Arial"/>
          <w:spacing w:val="2"/>
        </w:rPr>
        <w:t>t</w:t>
      </w:r>
      <w:r w:rsidRPr="00EB1AAB">
        <w:rPr>
          <w:rFonts w:ascii="Arial" w:eastAsia="Arial" w:hAnsi="Arial" w:cs="Arial"/>
        </w:rPr>
        <w:t>o</w:t>
      </w:r>
      <w:r w:rsidRPr="00EB1AAB">
        <w:rPr>
          <w:rFonts w:ascii="Arial" w:eastAsia="Arial" w:hAnsi="Arial" w:cs="Arial"/>
          <w:spacing w:val="3"/>
        </w:rPr>
        <w:t xml:space="preserve"> </w:t>
      </w:r>
      <w:r w:rsidRPr="00EB1AAB">
        <w:rPr>
          <w:rFonts w:ascii="Arial" w:eastAsia="Arial" w:hAnsi="Arial" w:cs="Arial"/>
          <w:spacing w:val="2"/>
        </w:rPr>
        <w:t>t</w:t>
      </w:r>
      <w:r w:rsidRPr="00EB1AAB">
        <w:rPr>
          <w:rFonts w:ascii="Arial" w:eastAsia="Arial" w:hAnsi="Arial" w:cs="Arial"/>
          <w:spacing w:val="-3"/>
        </w:rPr>
        <w:t>h</w:t>
      </w:r>
      <w:r w:rsidRPr="00EB1AAB">
        <w:rPr>
          <w:rFonts w:ascii="Arial" w:eastAsia="Arial" w:hAnsi="Arial" w:cs="Arial"/>
          <w:spacing w:val="-1"/>
        </w:rPr>
        <w:t>r</w:t>
      </w:r>
      <w:r w:rsidRPr="00EB1AAB">
        <w:rPr>
          <w:rFonts w:ascii="Arial" w:eastAsia="Arial" w:hAnsi="Arial" w:cs="Arial"/>
          <w:spacing w:val="2"/>
        </w:rPr>
        <w:t>e</w:t>
      </w:r>
      <w:r w:rsidRPr="00EB1AAB">
        <w:rPr>
          <w:rFonts w:ascii="Arial" w:eastAsia="Arial" w:hAnsi="Arial" w:cs="Arial"/>
        </w:rPr>
        <w:t>e</w:t>
      </w:r>
      <w:r w:rsidRPr="00EB1AAB">
        <w:rPr>
          <w:rFonts w:ascii="Arial" w:eastAsia="Arial" w:hAnsi="Arial" w:cs="Arial"/>
          <w:spacing w:val="6"/>
        </w:rPr>
        <w:t xml:space="preserve"> </w:t>
      </w:r>
      <w:r w:rsidRPr="00EB1AAB">
        <w:rPr>
          <w:rFonts w:ascii="Arial" w:eastAsia="Arial" w:hAnsi="Arial" w:cs="Arial"/>
          <w:spacing w:val="2"/>
        </w:rPr>
        <w:t>t</w:t>
      </w:r>
      <w:r w:rsidRPr="00EB1AAB">
        <w:rPr>
          <w:rFonts w:ascii="Arial" w:eastAsia="Arial" w:hAnsi="Arial" w:cs="Arial"/>
          <w:spacing w:val="-1"/>
        </w:rPr>
        <w:t>y</w:t>
      </w:r>
      <w:r w:rsidRPr="00EB1AAB">
        <w:rPr>
          <w:rFonts w:ascii="Arial" w:eastAsia="Arial" w:hAnsi="Arial" w:cs="Arial"/>
        </w:rPr>
        <w:t>p</w:t>
      </w:r>
      <w:r w:rsidRPr="00EB1AAB">
        <w:rPr>
          <w:rFonts w:ascii="Arial" w:eastAsia="Arial" w:hAnsi="Arial" w:cs="Arial"/>
          <w:spacing w:val="2"/>
        </w:rPr>
        <w:t>e</w:t>
      </w:r>
      <w:r w:rsidRPr="00EB1AAB">
        <w:rPr>
          <w:rFonts w:ascii="Arial" w:eastAsia="Arial" w:hAnsi="Arial" w:cs="Arial"/>
        </w:rPr>
        <w:t>s</w:t>
      </w:r>
      <w:r w:rsidRPr="00EB1AAB">
        <w:rPr>
          <w:rFonts w:ascii="Arial" w:eastAsia="Arial" w:hAnsi="Arial" w:cs="Arial"/>
          <w:spacing w:val="5"/>
        </w:rPr>
        <w:t xml:space="preserve">; </w:t>
      </w:r>
      <w:r w:rsidRPr="00EB1AAB">
        <w:rPr>
          <w:rFonts w:ascii="Arial" w:eastAsia="Arial" w:hAnsi="Arial" w:cs="Arial"/>
        </w:rPr>
        <w:t>a</w:t>
      </w:r>
      <w:r w:rsidRPr="00EB1AAB">
        <w:rPr>
          <w:rFonts w:ascii="Arial" w:eastAsia="Arial" w:hAnsi="Arial" w:cs="Arial"/>
          <w:spacing w:val="2"/>
        </w:rPr>
        <w:t>m</w:t>
      </w:r>
      <w:r w:rsidRPr="00EB1AAB">
        <w:rPr>
          <w:rFonts w:ascii="Arial" w:eastAsia="Arial" w:hAnsi="Arial" w:cs="Arial"/>
          <w:spacing w:val="-2"/>
        </w:rPr>
        <w:t>o</w:t>
      </w:r>
      <w:r w:rsidRPr="00EB1AAB">
        <w:rPr>
          <w:rFonts w:ascii="Arial" w:eastAsia="Arial" w:hAnsi="Arial" w:cs="Arial"/>
          <w:spacing w:val="-1"/>
        </w:rPr>
        <w:t>r</w:t>
      </w:r>
      <w:r w:rsidRPr="00EB1AAB">
        <w:rPr>
          <w:rFonts w:ascii="Arial" w:eastAsia="Arial" w:hAnsi="Arial" w:cs="Arial"/>
        </w:rPr>
        <w:t>t</w:t>
      </w:r>
      <w:r w:rsidRPr="00EB1AAB">
        <w:rPr>
          <w:rFonts w:ascii="Arial" w:eastAsia="Arial" w:hAnsi="Arial" w:cs="Arial"/>
          <w:spacing w:val="4"/>
        </w:rPr>
        <w:t>i</w:t>
      </w:r>
      <w:r w:rsidRPr="00EB1AAB">
        <w:rPr>
          <w:rFonts w:ascii="Arial" w:eastAsia="Arial" w:hAnsi="Arial" w:cs="Arial"/>
          <w:spacing w:val="1"/>
        </w:rPr>
        <w:t>s</w:t>
      </w:r>
      <w:r w:rsidRPr="00EB1AAB">
        <w:rPr>
          <w:rFonts w:ascii="Arial" w:eastAsia="Arial" w:hAnsi="Arial" w:cs="Arial"/>
          <w:spacing w:val="-3"/>
        </w:rPr>
        <w:t>e</w:t>
      </w:r>
      <w:r w:rsidRPr="00EB1AAB">
        <w:rPr>
          <w:rFonts w:ascii="Arial" w:eastAsia="Arial" w:hAnsi="Arial" w:cs="Arial"/>
        </w:rPr>
        <w:t>d</w:t>
      </w:r>
      <w:r w:rsidRPr="00EB1AAB">
        <w:rPr>
          <w:rFonts w:ascii="Arial" w:eastAsia="Arial" w:hAnsi="Arial" w:cs="Arial"/>
          <w:spacing w:val="11"/>
        </w:rPr>
        <w:t xml:space="preserve"> </w:t>
      </w:r>
      <w:r w:rsidRPr="00EB1AAB">
        <w:rPr>
          <w:rFonts w:ascii="Arial" w:eastAsia="Arial" w:hAnsi="Arial" w:cs="Arial"/>
          <w:spacing w:val="1"/>
          <w:w w:val="101"/>
        </w:rPr>
        <w:t>c</w:t>
      </w:r>
      <w:r w:rsidRPr="00EB1AAB">
        <w:rPr>
          <w:rFonts w:ascii="Arial" w:eastAsia="Arial" w:hAnsi="Arial" w:cs="Arial"/>
          <w:w w:val="101"/>
        </w:rPr>
        <w:t>o</w:t>
      </w:r>
      <w:r w:rsidRPr="00EB1AAB">
        <w:rPr>
          <w:rFonts w:ascii="Arial" w:eastAsia="Arial" w:hAnsi="Arial" w:cs="Arial"/>
          <w:spacing w:val="1"/>
          <w:w w:val="101"/>
        </w:rPr>
        <w:t>s</w:t>
      </w:r>
      <w:r w:rsidRPr="00EB1AAB">
        <w:rPr>
          <w:rFonts w:ascii="Arial" w:eastAsia="Arial" w:hAnsi="Arial" w:cs="Arial"/>
          <w:w w:val="101"/>
        </w:rPr>
        <w:t xml:space="preserve">t, </w:t>
      </w:r>
      <w:r w:rsidRPr="00EB1AAB">
        <w:rPr>
          <w:rFonts w:ascii="Arial" w:eastAsia="Arial" w:hAnsi="Arial" w:cs="Arial"/>
          <w:spacing w:val="2"/>
        </w:rPr>
        <w:t>f</w:t>
      </w:r>
      <w:r w:rsidRPr="00EB1AAB">
        <w:rPr>
          <w:rFonts w:ascii="Arial" w:eastAsia="Arial" w:hAnsi="Arial" w:cs="Arial"/>
        </w:rPr>
        <w:t>air</w:t>
      </w:r>
      <w:r w:rsidRPr="00EB1AAB">
        <w:rPr>
          <w:rFonts w:ascii="Arial" w:eastAsia="Arial" w:hAnsi="Arial" w:cs="Arial"/>
          <w:spacing w:val="6"/>
        </w:rPr>
        <w:t xml:space="preserve"> </w:t>
      </w:r>
      <w:r w:rsidRPr="00EB1AAB">
        <w:rPr>
          <w:rFonts w:ascii="Arial" w:eastAsia="Arial" w:hAnsi="Arial" w:cs="Arial"/>
          <w:spacing w:val="-2"/>
        </w:rPr>
        <w:t>v</w:t>
      </w:r>
      <w:r w:rsidRPr="00EB1AAB">
        <w:rPr>
          <w:rFonts w:ascii="Arial" w:eastAsia="Arial" w:hAnsi="Arial" w:cs="Arial"/>
        </w:rPr>
        <w:t>a</w:t>
      </w:r>
      <w:r w:rsidRPr="00EB1AAB">
        <w:rPr>
          <w:rFonts w:ascii="Arial" w:eastAsia="Arial" w:hAnsi="Arial" w:cs="Arial"/>
          <w:spacing w:val="1"/>
        </w:rPr>
        <w:t>l</w:t>
      </w:r>
      <w:r w:rsidRPr="00EB1AAB">
        <w:rPr>
          <w:rFonts w:ascii="Arial" w:eastAsia="Arial" w:hAnsi="Arial" w:cs="Arial"/>
        </w:rPr>
        <w:t>ue</w:t>
      </w:r>
      <w:r w:rsidRPr="00EB1AAB">
        <w:rPr>
          <w:rFonts w:ascii="Arial" w:eastAsia="Arial" w:hAnsi="Arial" w:cs="Arial"/>
          <w:spacing w:val="3"/>
        </w:rPr>
        <w:t xml:space="preserve"> </w:t>
      </w:r>
      <w:r w:rsidRPr="00EB1AAB">
        <w:rPr>
          <w:rFonts w:ascii="Arial" w:eastAsia="Arial" w:hAnsi="Arial" w:cs="Arial"/>
          <w:spacing w:val="2"/>
        </w:rPr>
        <w:t>t</w:t>
      </w:r>
      <w:r w:rsidRPr="00EB1AAB">
        <w:rPr>
          <w:rFonts w:ascii="Arial" w:eastAsia="Arial" w:hAnsi="Arial" w:cs="Arial"/>
          <w:spacing w:val="-2"/>
        </w:rPr>
        <w:t>h</w:t>
      </w:r>
      <w:r w:rsidRPr="00EB1AAB">
        <w:rPr>
          <w:rFonts w:ascii="Arial" w:eastAsia="Arial" w:hAnsi="Arial" w:cs="Arial"/>
          <w:spacing w:val="-1"/>
        </w:rPr>
        <w:t>r</w:t>
      </w:r>
      <w:r w:rsidRPr="00EB1AAB">
        <w:rPr>
          <w:rFonts w:ascii="Arial" w:eastAsia="Arial" w:hAnsi="Arial" w:cs="Arial"/>
          <w:spacing w:val="2"/>
        </w:rPr>
        <w:t>o</w:t>
      </w:r>
      <w:r w:rsidRPr="00EB1AAB">
        <w:rPr>
          <w:rFonts w:ascii="Arial" w:eastAsia="Arial" w:hAnsi="Arial" w:cs="Arial"/>
          <w:spacing w:val="-3"/>
        </w:rPr>
        <w:t>u</w:t>
      </w:r>
      <w:r w:rsidRPr="00EB1AAB">
        <w:rPr>
          <w:rFonts w:ascii="Arial" w:eastAsia="Arial" w:hAnsi="Arial" w:cs="Arial"/>
          <w:spacing w:val="2"/>
        </w:rPr>
        <w:t>g</w:t>
      </w:r>
      <w:r w:rsidRPr="00EB1AAB">
        <w:rPr>
          <w:rFonts w:ascii="Arial" w:eastAsia="Arial" w:hAnsi="Arial" w:cs="Arial"/>
        </w:rPr>
        <w:t>h</w:t>
      </w:r>
      <w:r w:rsidRPr="00EB1AAB">
        <w:rPr>
          <w:rFonts w:ascii="Arial" w:eastAsia="Arial" w:hAnsi="Arial" w:cs="Arial"/>
          <w:spacing w:val="9"/>
        </w:rPr>
        <w:t xml:space="preserve"> </w:t>
      </w:r>
      <w:r w:rsidRPr="00EB1AAB">
        <w:rPr>
          <w:rFonts w:ascii="Arial" w:eastAsia="Arial" w:hAnsi="Arial" w:cs="Arial"/>
          <w:spacing w:val="-2"/>
        </w:rPr>
        <w:t>o</w:t>
      </w:r>
      <w:r w:rsidRPr="00EB1AAB">
        <w:rPr>
          <w:rFonts w:ascii="Arial" w:eastAsia="Arial" w:hAnsi="Arial" w:cs="Arial"/>
          <w:spacing w:val="2"/>
        </w:rPr>
        <w:t>t</w:t>
      </w:r>
      <w:r w:rsidRPr="00EB1AAB">
        <w:rPr>
          <w:rFonts w:ascii="Arial" w:eastAsia="Arial" w:hAnsi="Arial" w:cs="Arial"/>
        </w:rPr>
        <w:t>h</w:t>
      </w:r>
      <w:r w:rsidRPr="00EB1AAB">
        <w:rPr>
          <w:rFonts w:ascii="Arial" w:eastAsia="Arial" w:hAnsi="Arial" w:cs="Arial"/>
          <w:spacing w:val="-1"/>
        </w:rPr>
        <w:t>e</w:t>
      </w:r>
      <w:r w:rsidRPr="00EB1AAB">
        <w:rPr>
          <w:rFonts w:ascii="Arial" w:eastAsia="Arial" w:hAnsi="Arial" w:cs="Arial"/>
        </w:rPr>
        <w:t>r</w:t>
      </w:r>
      <w:r w:rsidRPr="00EB1AAB">
        <w:rPr>
          <w:rFonts w:ascii="Arial" w:eastAsia="Arial" w:hAnsi="Arial" w:cs="Arial"/>
          <w:spacing w:val="8"/>
        </w:rPr>
        <w:t xml:space="preserve"> </w:t>
      </w:r>
      <w:r w:rsidRPr="00EB1AAB">
        <w:rPr>
          <w:rFonts w:ascii="Arial" w:eastAsia="Arial" w:hAnsi="Arial" w:cs="Arial"/>
          <w:spacing w:val="1"/>
        </w:rPr>
        <w:t>c</w:t>
      </w:r>
      <w:r w:rsidRPr="00EB1AAB">
        <w:rPr>
          <w:rFonts w:ascii="Arial" w:eastAsia="Arial" w:hAnsi="Arial" w:cs="Arial"/>
          <w:spacing w:val="-3"/>
        </w:rPr>
        <w:t>o</w:t>
      </w:r>
      <w:r w:rsidRPr="00EB1AAB">
        <w:rPr>
          <w:rFonts w:ascii="Arial" w:eastAsia="Arial" w:hAnsi="Arial" w:cs="Arial"/>
          <w:spacing w:val="2"/>
        </w:rPr>
        <w:t>m</w:t>
      </w:r>
      <w:r w:rsidRPr="00EB1AAB">
        <w:rPr>
          <w:rFonts w:ascii="Arial" w:eastAsia="Arial" w:hAnsi="Arial" w:cs="Arial"/>
          <w:spacing w:val="-3"/>
        </w:rPr>
        <w:t>p</w:t>
      </w:r>
      <w:r w:rsidRPr="00EB1AAB">
        <w:rPr>
          <w:rFonts w:ascii="Arial" w:eastAsia="Arial" w:hAnsi="Arial" w:cs="Arial"/>
          <w:spacing w:val="1"/>
        </w:rPr>
        <w:t>r</w:t>
      </w:r>
      <w:r w:rsidRPr="00EB1AAB">
        <w:rPr>
          <w:rFonts w:ascii="Arial" w:eastAsia="Arial" w:hAnsi="Arial" w:cs="Arial"/>
        </w:rPr>
        <w:t>ehen</w:t>
      </w:r>
      <w:r w:rsidRPr="00EB1AAB">
        <w:rPr>
          <w:rFonts w:ascii="Arial" w:eastAsia="Arial" w:hAnsi="Arial" w:cs="Arial"/>
          <w:spacing w:val="-2"/>
        </w:rPr>
        <w:t>s</w:t>
      </w:r>
      <w:r w:rsidRPr="00EB1AAB">
        <w:rPr>
          <w:rFonts w:ascii="Arial" w:eastAsia="Arial" w:hAnsi="Arial" w:cs="Arial"/>
          <w:spacing w:val="4"/>
        </w:rPr>
        <w:t>i</w:t>
      </w:r>
      <w:r w:rsidRPr="00EB1AAB">
        <w:rPr>
          <w:rFonts w:ascii="Arial" w:eastAsia="Arial" w:hAnsi="Arial" w:cs="Arial"/>
          <w:spacing w:val="-2"/>
        </w:rPr>
        <w:t>v</w:t>
      </w:r>
      <w:r w:rsidRPr="00EB1AAB">
        <w:rPr>
          <w:rFonts w:ascii="Arial" w:eastAsia="Arial" w:hAnsi="Arial" w:cs="Arial"/>
        </w:rPr>
        <w:t>e</w:t>
      </w:r>
      <w:r w:rsidRPr="00EB1AAB">
        <w:rPr>
          <w:rFonts w:ascii="Arial" w:eastAsia="Arial" w:hAnsi="Arial" w:cs="Arial"/>
          <w:spacing w:val="17"/>
        </w:rPr>
        <w:t xml:space="preserve"> </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3"/>
        </w:rPr>
        <w:t>c</w:t>
      </w:r>
      <w:r w:rsidRPr="00EB1AAB">
        <w:rPr>
          <w:rFonts w:ascii="Arial" w:eastAsia="Arial" w:hAnsi="Arial" w:cs="Arial"/>
        </w:rPr>
        <w:t>o</w:t>
      </w:r>
      <w:r w:rsidRPr="00EB1AAB">
        <w:rPr>
          <w:rFonts w:ascii="Arial" w:eastAsia="Arial" w:hAnsi="Arial" w:cs="Arial"/>
          <w:spacing w:val="2"/>
        </w:rPr>
        <w:t>m</w:t>
      </w:r>
      <w:r w:rsidRPr="00EB1AAB">
        <w:rPr>
          <w:rFonts w:ascii="Arial" w:eastAsia="Arial" w:hAnsi="Arial" w:cs="Arial"/>
        </w:rPr>
        <w:t>e</w:t>
      </w:r>
      <w:r w:rsidRPr="00EB1AAB">
        <w:rPr>
          <w:rFonts w:ascii="Arial" w:eastAsia="Arial" w:hAnsi="Arial" w:cs="Arial"/>
          <w:spacing w:val="8"/>
        </w:rPr>
        <w:t xml:space="preserve"> </w:t>
      </w:r>
      <w:r w:rsidRPr="00EB1AAB">
        <w:rPr>
          <w:rFonts w:ascii="Arial" w:eastAsia="Arial" w:hAnsi="Arial" w:cs="Arial"/>
          <w:spacing w:val="-1"/>
        </w:rPr>
        <w:t>(F</w:t>
      </w:r>
      <w:r w:rsidRPr="00EB1AAB">
        <w:rPr>
          <w:rFonts w:ascii="Arial" w:eastAsia="Arial" w:hAnsi="Arial" w:cs="Arial"/>
        </w:rPr>
        <w:t>V</w:t>
      </w:r>
      <w:r w:rsidRPr="00EB1AAB">
        <w:rPr>
          <w:rFonts w:ascii="Arial" w:eastAsia="Arial" w:hAnsi="Arial" w:cs="Arial"/>
          <w:spacing w:val="-2"/>
        </w:rPr>
        <w:t>O</w:t>
      </w:r>
      <w:r w:rsidRPr="00EB1AAB">
        <w:rPr>
          <w:rFonts w:ascii="Arial" w:eastAsia="Arial" w:hAnsi="Arial" w:cs="Arial"/>
          <w:spacing w:val="-1"/>
        </w:rPr>
        <w:t>C</w:t>
      </w:r>
      <w:r w:rsidRPr="00EB1AAB">
        <w:rPr>
          <w:rFonts w:ascii="Arial" w:eastAsia="Arial" w:hAnsi="Arial" w:cs="Arial"/>
          <w:spacing w:val="2"/>
        </w:rPr>
        <w:t>I</w:t>
      </w:r>
      <w:r w:rsidRPr="00EB1AAB">
        <w:rPr>
          <w:rFonts w:ascii="Arial" w:eastAsia="Arial" w:hAnsi="Arial" w:cs="Arial"/>
        </w:rPr>
        <w:t>)</w:t>
      </w:r>
      <w:r w:rsidRPr="00EB1AAB">
        <w:rPr>
          <w:rFonts w:ascii="Arial" w:eastAsia="Arial" w:hAnsi="Arial" w:cs="Arial"/>
          <w:spacing w:val="9"/>
        </w:rPr>
        <w:t xml:space="preserve"> </w:t>
      </w:r>
      <w:r w:rsidRPr="00EB1AAB">
        <w:rPr>
          <w:rFonts w:ascii="Arial" w:eastAsia="Arial" w:hAnsi="Arial" w:cs="Arial"/>
          <w:spacing w:val="2"/>
        </w:rPr>
        <w:t>a</w:t>
      </w:r>
      <w:r w:rsidRPr="00EB1AAB">
        <w:rPr>
          <w:rFonts w:ascii="Arial" w:eastAsia="Arial" w:hAnsi="Arial" w:cs="Arial"/>
        </w:rPr>
        <w:t>nd</w:t>
      </w:r>
      <w:r w:rsidRPr="00EB1AAB">
        <w:rPr>
          <w:rFonts w:ascii="Arial" w:eastAsia="Arial" w:hAnsi="Arial" w:cs="Arial"/>
          <w:spacing w:val="5"/>
        </w:rPr>
        <w:t xml:space="preserve"> </w:t>
      </w:r>
      <w:r w:rsidRPr="00EB1AAB">
        <w:rPr>
          <w:rFonts w:ascii="Arial" w:eastAsia="Arial" w:hAnsi="Arial" w:cs="Arial"/>
          <w:spacing w:val="2"/>
        </w:rPr>
        <w:t>f</w:t>
      </w:r>
      <w:r w:rsidRPr="00EB1AAB">
        <w:rPr>
          <w:rFonts w:ascii="Arial" w:eastAsia="Arial" w:hAnsi="Arial" w:cs="Arial"/>
        </w:rPr>
        <w:t>a</w:t>
      </w:r>
      <w:r w:rsidRPr="00EB1AAB">
        <w:rPr>
          <w:rFonts w:ascii="Arial" w:eastAsia="Arial" w:hAnsi="Arial" w:cs="Arial"/>
          <w:spacing w:val="1"/>
        </w:rPr>
        <w:t>i</w:t>
      </w:r>
      <w:r w:rsidRPr="00EB1AAB">
        <w:rPr>
          <w:rFonts w:ascii="Arial" w:eastAsia="Arial" w:hAnsi="Arial" w:cs="Arial"/>
        </w:rPr>
        <w:t>r</w:t>
      </w:r>
      <w:r w:rsidRPr="00EB1AAB">
        <w:rPr>
          <w:rFonts w:ascii="Arial" w:eastAsia="Arial" w:hAnsi="Arial" w:cs="Arial"/>
          <w:spacing w:val="3"/>
        </w:rPr>
        <w:t xml:space="preserve"> </w:t>
      </w:r>
      <w:r w:rsidRPr="00EB1AAB">
        <w:rPr>
          <w:rFonts w:ascii="Arial" w:eastAsia="Arial" w:hAnsi="Arial" w:cs="Arial"/>
          <w:spacing w:val="-1"/>
        </w:rPr>
        <w:t>v</w:t>
      </w:r>
      <w:r w:rsidRPr="00EB1AAB">
        <w:rPr>
          <w:rFonts w:ascii="Arial" w:eastAsia="Arial" w:hAnsi="Arial" w:cs="Arial"/>
        </w:rPr>
        <w:t>a</w:t>
      </w:r>
      <w:r w:rsidRPr="00EB1AAB">
        <w:rPr>
          <w:rFonts w:ascii="Arial" w:eastAsia="Arial" w:hAnsi="Arial" w:cs="Arial"/>
          <w:spacing w:val="1"/>
        </w:rPr>
        <w:t>l</w:t>
      </w:r>
      <w:r w:rsidRPr="00EB1AAB">
        <w:rPr>
          <w:rFonts w:ascii="Arial" w:eastAsia="Arial" w:hAnsi="Arial" w:cs="Arial"/>
        </w:rPr>
        <w:t>ue</w:t>
      </w:r>
      <w:r w:rsidRPr="00EB1AAB">
        <w:rPr>
          <w:rFonts w:ascii="Arial" w:eastAsia="Arial" w:hAnsi="Arial" w:cs="Arial"/>
          <w:spacing w:val="3"/>
        </w:rPr>
        <w:t xml:space="preserve"> </w:t>
      </w:r>
      <w:r w:rsidRPr="00EB1AAB">
        <w:rPr>
          <w:rFonts w:ascii="Arial" w:eastAsia="Arial" w:hAnsi="Arial" w:cs="Arial"/>
          <w:spacing w:val="2"/>
        </w:rPr>
        <w:t>t</w:t>
      </w:r>
      <w:r w:rsidRPr="00EB1AAB">
        <w:rPr>
          <w:rFonts w:ascii="Arial" w:eastAsia="Arial" w:hAnsi="Arial" w:cs="Arial"/>
        </w:rPr>
        <w:t>h</w:t>
      </w:r>
      <w:r w:rsidRPr="00EB1AAB">
        <w:rPr>
          <w:rFonts w:ascii="Arial" w:eastAsia="Arial" w:hAnsi="Arial" w:cs="Arial"/>
          <w:spacing w:val="-1"/>
        </w:rPr>
        <w:t>r</w:t>
      </w:r>
      <w:r w:rsidRPr="00EB1AAB">
        <w:rPr>
          <w:rFonts w:ascii="Arial" w:eastAsia="Arial" w:hAnsi="Arial" w:cs="Arial"/>
          <w:spacing w:val="2"/>
        </w:rPr>
        <w:t>o</w:t>
      </w:r>
      <w:r w:rsidRPr="00EB1AAB">
        <w:rPr>
          <w:rFonts w:ascii="Arial" w:eastAsia="Arial" w:hAnsi="Arial" w:cs="Arial"/>
          <w:spacing w:val="-2"/>
        </w:rPr>
        <w:t>u</w:t>
      </w:r>
      <w:r w:rsidRPr="00EB1AAB">
        <w:rPr>
          <w:rFonts w:ascii="Arial" w:eastAsia="Arial" w:hAnsi="Arial" w:cs="Arial"/>
          <w:spacing w:val="2"/>
        </w:rPr>
        <w:t>g</w:t>
      </w:r>
      <w:r w:rsidRPr="00EB1AAB">
        <w:rPr>
          <w:rFonts w:ascii="Arial" w:eastAsia="Arial" w:hAnsi="Arial" w:cs="Arial"/>
        </w:rPr>
        <w:t>h</w:t>
      </w:r>
      <w:r w:rsidRPr="00EB1AAB">
        <w:rPr>
          <w:rFonts w:ascii="Arial" w:eastAsia="Arial" w:hAnsi="Arial" w:cs="Arial"/>
          <w:spacing w:val="9"/>
        </w:rPr>
        <w:t xml:space="preserve"> </w:t>
      </w:r>
      <w:r w:rsidRPr="00EB1AAB">
        <w:rPr>
          <w:rFonts w:ascii="Arial" w:eastAsia="Arial" w:hAnsi="Arial" w:cs="Arial"/>
        </w:rPr>
        <w:t>p</w:t>
      </w:r>
      <w:r w:rsidRPr="00EB1AAB">
        <w:rPr>
          <w:rFonts w:ascii="Arial" w:eastAsia="Arial" w:hAnsi="Arial" w:cs="Arial"/>
          <w:spacing w:val="-1"/>
        </w:rPr>
        <w:t>r</w:t>
      </w:r>
      <w:r w:rsidRPr="00EB1AAB">
        <w:rPr>
          <w:rFonts w:ascii="Arial" w:eastAsia="Arial" w:hAnsi="Arial" w:cs="Arial"/>
        </w:rPr>
        <w:t>o</w:t>
      </w:r>
      <w:r w:rsidRPr="00EB1AAB">
        <w:rPr>
          <w:rFonts w:ascii="Arial" w:eastAsia="Arial" w:hAnsi="Arial" w:cs="Arial"/>
          <w:spacing w:val="2"/>
        </w:rPr>
        <w:t>f</w:t>
      </w:r>
      <w:r w:rsidRPr="00EB1AAB">
        <w:rPr>
          <w:rFonts w:ascii="Arial" w:eastAsia="Arial" w:hAnsi="Arial" w:cs="Arial"/>
          <w:spacing w:val="1"/>
        </w:rPr>
        <w:t>i</w:t>
      </w:r>
      <w:r w:rsidRPr="00EB1AAB">
        <w:rPr>
          <w:rFonts w:ascii="Arial" w:eastAsia="Arial" w:hAnsi="Arial" w:cs="Arial"/>
        </w:rPr>
        <w:t>t</w:t>
      </w:r>
      <w:r w:rsidRPr="00EB1AAB">
        <w:rPr>
          <w:rFonts w:ascii="Arial" w:eastAsia="Arial" w:hAnsi="Arial" w:cs="Arial"/>
          <w:spacing w:val="9"/>
        </w:rPr>
        <w:t xml:space="preserve"> </w:t>
      </w:r>
      <w:r w:rsidRPr="00EB1AAB">
        <w:rPr>
          <w:rFonts w:ascii="Arial" w:eastAsia="Arial" w:hAnsi="Arial" w:cs="Arial"/>
          <w:spacing w:val="-3"/>
          <w:w w:val="101"/>
        </w:rPr>
        <w:t>o</w:t>
      </w:r>
      <w:r w:rsidRPr="00EB1AAB">
        <w:rPr>
          <w:rFonts w:ascii="Arial" w:eastAsia="Arial" w:hAnsi="Arial" w:cs="Arial"/>
          <w:w w:val="101"/>
        </w:rPr>
        <w:t xml:space="preserve">r </w:t>
      </w:r>
      <w:r w:rsidRPr="00EB1AAB">
        <w:rPr>
          <w:rFonts w:ascii="Arial" w:eastAsia="Arial" w:hAnsi="Arial" w:cs="Arial"/>
          <w:spacing w:val="1"/>
        </w:rPr>
        <w:t>l</w:t>
      </w:r>
      <w:r w:rsidRPr="00EB1AAB">
        <w:rPr>
          <w:rFonts w:ascii="Arial" w:eastAsia="Arial" w:hAnsi="Arial" w:cs="Arial"/>
        </w:rPr>
        <w:t>o</w:t>
      </w:r>
      <w:r w:rsidRPr="00EB1AAB">
        <w:rPr>
          <w:rFonts w:ascii="Arial" w:eastAsia="Arial" w:hAnsi="Arial" w:cs="Arial"/>
          <w:spacing w:val="1"/>
        </w:rPr>
        <w:t>s</w:t>
      </w:r>
      <w:r w:rsidRPr="00EB1AAB">
        <w:rPr>
          <w:rFonts w:ascii="Arial" w:eastAsia="Arial" w:hAnsi="Arial" w:cs="Arial"/>
        </w:rPr>
        <w:t>s</w:t>
      </w:r>
      <w:r w:rsidRPr="00EB1AAB">
        <w:rPr>
          <w:rFonts w:ascii="Arial" w:eastAsia="Arial" w:hAnsi="Arial" w:cs="Arial"/>
          <w:spacing w:val="6"/>
        </w:rPr>
        <w:t xml:space="preserve"> </w:t>
      </w:r>
      <w:r w:rsidRPr="00EB1AAB">
        <w:rPr>
          <w:rFonts w:ascii="Arial" w:eastAsia="Arial" w:hAnsi="Arial" w:cs="Arial"/>
          <w:spacing w:val="-1"/>
          <w:w w:val="101"/>
        </w:rPr>
        <w:t>(F</w:t>
      </w:r>
      <w:r w:rsidRPr="00EB1AAB">
        <w:rPr>
          <w:rFonts w:ascii="Arial" w:eastAsia="Arial" w:hAnsi="Arial" w:cs="Arial"/>
          <w:w w:val="101"/>
        </w:rPr>
        <w:t>VPL</w:t>
      </w:r>
      <w:r w:rsidRPr="00EB1AAB">
        <w:rPr>
          <w:rFonts w:ascii="Arial" w:eastAsia="Arial" w:hAnsi="Arial" w:cs="Arial"/>
          <w:spacing w:val="-1"/>
          <w:w w:val="101"/>
        </w:rPr>
        <w:t>)</w:t>
      </w:r>
      <w:r w:rsidRPr="00EB1AAB">
        <w:rPr>
          <w:rFonts w:ascii="Arial" w:eastAsia="Arial" w:hAnsi="Arial" w:cs="Arial"/>
          <w:w w:val="101"/>
        </w:rPr>
        <w:t>.</w:t>
      </w:r>
    </w:p>
    <w:p w14:paraId="3ACF2EE7" w14:textId="77777777" w:rsidR="00655E4C" w:rsidRPr="00EB1AAB" w:rsidRDefault="00655E4C" w:rsidP="00655E4C">
      <w:pPr>
        <w:spacing w:before="6"/>
        <w:rPr>
          <w:rFonts w:ascii="Arial" w:hAnsi="Arial" w:cs="Arial"/>
        </w:rPr>
      </w:pPr>
    </w:p>
    <w:p w14:paraId="39471D33" w14:textId="77777777" w:rsidR="00655E4C" w:rsidRPr="00EB1AAB" w:rsidRDefault="00655E4C" w:rsidP="00655E4C">
      <w:pPr>
        <w:ind w:right="-88"/>
        <w:rPr>
          <w:rFonts w:ascii="Arial" w:eastAsia="Arial" w:hAnsi="Arial" w:cs="Arial"/>
        </w:rPr>
      </w:pPr>
      <w:r w:rsidRPr="00EB1AAB">
        <w:rPr>
          <w:rFonts w:ascii="Arial" w:eastAsia="Arial" w:hAnsi="Arial" w:cs="Arial"/>
          <w:spacing w:val="-1"/>
        </w:rPr>
        <w:t>T</w:t>
      </w:r>
      <w:r w:rsidRPr="00EB1AAB">
        <w:rPr>
          <w:rFonts w:ascii="Arial" w:eastAsia="Arial" w:hAnsi="Arial" w:cs="Arial"/>
        </w:rPr>
        <w:t>he</w:t>
      </w:r>
      <w:r w:rsidRPr="00EB1AAB">
        <w:rPr>
          <w:rFonts w:ascii="Arial" w:eastAsia="Arial" w:hAnsi="Arial" w:cs="Arial"/>
          <w:spacing w:val="4"/>
        </w:rPr>
        <w:t xml:space="preserve"> </w:t>
      </w:r>
      <w:r w:rsidRPr="00EB1AAB">
        <w:rPr>
          <w:rFonts w:ascii="Arial" w:eastAsia="Arial" w:hAnsi="Arial" w:cs="Arial"/>
          <w:spacing w:val="1"/>
        </w:rPr>
        <w:t>c</w:t>
      </w:r>
      <w:r w:rsidRPr="00EB1AAB">
        <w:rPr>
          <w:rFonts w:ascii="Arial" w:eastAsia="Arial" w:hAnsi="Arial" w:cs="Arial"/>
        </w:rPr>
        <w:t>at</w:t>
      </w:r>
      <w:r w:rsidRPr="00EB1AAB">
        <w:rPr>
          <w:rFonts w:ascii="Arial" w:eastAsia="Arial" w:hAnsi="Arial" w:cs="Arial"/>
          <w:spacing w:val="2"/>
        </w:rPr>
        <w:t>e</w:t>
      </w:r>
      <w:r w:rsidRPr="00EB1AAB">
        <w:rPr>
          <w:rFonts w:ascii="Arial" w:eastAsia="Arial" w:hAnsi="Arial" w:cs="Arial"/>
          <w:spacing w:val="-2"/>
        </w:rPr>
        <w:t>g</w:t>
      </w:r>
      <w:r w:rsidRPr="00EB1AAB">
        <w:rPr>
          <w:rFonts w:ascii="Arial" w:eastAsia="Arial" w:hAnsi="Arial" w:cs="Arial"/>
          <w:spacing w:val="2"/>
        </w:rPr>
        <w:t>o</w:t>
      </w:r>
      <w:r w:rsidRPr="00EB1AAB">
        <w:rPr>
          <w:rFonts w:ascii="Arial" w:eastAsia="Arial" w:hAnsi="Arial" w:cs="Arial"/>
          <w:spacing w:val="-1"/>
        </w:rPr>
        <w:t>r</w:t>
      </w:r>
      <w:r w:rsidRPr="00EB1AAB">
        <w:rPr>
          <w:rFonts w:ascii="Arial" w:eastAsia="Arial" w:hAnsi="Arial" w:cs="Arial"/>
          <w:spacing w:val="1"/>
        </w:rPr>
        <w:t>is</w:t>
      </w:r>
      <w:r w:rsidRPr="00EB1AAB">
        <w:rPr>
          <w:rFonts w:ascii="Arial" w:eastAsia="Arial" w:hAnsi="Arial" w:cs="Arial"/>
          <w:spacing w:val="-3"/>
        </w:rPr>
        <w:t>a</w:t>
      </w:r>
      <w:r w:rsidRPr="00EB1AAB">
        <w:rPr>
          <w:rFonts w:ascii="Arial" w:eastAsia="Arial" w:hAnsi="Arial" w:cs="Arial"/>
          <w:spacing w:val="2"/>
        </w:rPr>
        <w:t>t</w:t>
      </w:r>
      <w:r w:rsidRPr="00EB1AAB">
        <w:rPr>
          <w:rFonts w:ascii="Arial" w:eastAsia="Arial" w:hAnsi="Arial" w:cs="Arial"/>
          <w:spacing w:val="1"/>
        </w:rPr>
        <w:t>i</w:t>
      </w:r>
      <w:r w:rsidRPr="00EB1AAB">
        <w:rPr>
          <w:rFonts w:ascii="Arial" w:eastAsia="Arial" w:hAnsi="Arial" w:cs="Arial"/>
        </w:rPr>
        <w:t>on</w:t>
      </w:r>
      <w:r w:rsidRPr="00EB1AAB">
        <w:rPr>
          <w:rFonts w:ascii="Arial" w:eastAsia="Arial" w:hAnsi="Arial" w:cs="Arial"/>
          <w:spacing w:val="12"/>
        </w:rPr>
        <w:t xml:space="preserve"> </w:t>
      </w:r>
      <w:r w:rsidRPr="00EB1AAB">
        <w:rPr>
          <w:rFonts w:ascii="Arial" w:eastAsia="Arial" w:hAnsi="Arial" w:cs="Arial"/>
        </w:rPr>
        <w:t>of</w:t>
      </w:r>
      <w:r w:rsidRPr="00EB1AAB">
        <w:rPr>
          <w:rFonts w:ascii="Arial" w:eastAsia="Arial" w:hAnsi="Arial" w:cs="Arial"/>
          <w:spacing w:val="5"/>
        </w:rPr>
        <w:t xml:space="preserve"> </w:t>
      </w:r>
      <w:r w:rsidRPr="00EB1AAB">
        <w:rPr>
          <w:rFonts w:ascii="Arial" w:eastAsia="Arial" w:hAnsi="Arial" w:cs="Arial"/>
          <w:spacing w:val="3"/>
        </w:rPr>
        <w:t>f</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1"/>
        </w:rPr>
        <w:t>a</w:t>
      </w:r>
      <w:r w:rsidRPr="00EB1AAB">
        <w:rPr>
          <w:rFonts w:ascii="Arial" w:eastAsia="Arial" w:hAnsi="Arial" w:cs="Arial"/>
        </w:rPr>
        <w:t>n</w:t>
      </w:r>
      <w:r w:rsidRPr="00EB1AAB">
        <w:rPr>
          <w:rFonts w:ascii="Arial" w:eastAsia="Arial" w:hAnsi="Arial" w:cs="Arial"/>
          <w:spacing w:val="-2"/>
        </w:rPr>
        <w:t>c</w:t>
      </w:r>
      <w:r w:rsidRPr="00EB1AAB">
        <w:rPr>
          <w:rFonts w:ascii="Arial" w:eastAsia="Arial" w:hAnsi="Arial" w:cs="Arial"/>
          <w:spacing w:val="3"/>
        </w:rPr>
        <w:t>i</w:t>
      </w:r>
      <w:r w:rsidRPr="00EB1AAB">
        <w:rPr>
          <w:rFonts w:ascii="Arial" w:eastAsia="Arial" w:hAnsi="Arial" w:cs="Arial"/>
          <w:spacing w:val="-2"/>
        </w:rPr>
        <w:t>a</w:t>
      </w:r>
      <w:r w:rsidRPr="00EB1AAB">
        <w:rPr>
          <w:rFonts w:ascii="Arial" w:eastAsia="Arial" w:hAnsi="Arial" w:cs="Arial"/>
        </w:rPr>
        <w:t>l</w:t>
      </w:r>
      <w:r w:rsidRPr="00EB1AAB">
        <w:rPr>
          <w:rFonts w:ascii="Arial" w:eastAsia="Arial" w:hAnsi="Arial" w:cs="Arial"/>
          <w:spacing w:val="12"/>
        </w:rPr>
        <w:t xml:space="preserve"> </w:t>
      </w:r>
      <w:r w:rsidRPr="00EB1AAB">
        <w:rPr>
          <w:rFonts w:ascii="Arial" w:eastAsia="Arial" w:hAnsi="Arial" w:cs="Arial"/>
          <w:spacing w:val="-3"/>
        </w:rPr>
        <w:t>a</w:t>
      </w:r>
      <w:r w:rsidRPr="00EB1AAB">
        <w:rPr>
          <w:rFonts w:ascii="Arial" w:eastAsia="Arial" w:hAnsi="Arial" w:cs="Arial"/>
          <w:spacing w:val="1"/>
        </w:rPr>
        <w:t>ss</w:t>
      </w:r>
      <w:r w:rsidRPr="00EB1AAB">
        <w:rPr>
          <w:rFonts w:ascii="Arial" w:eastAsia="Arial" w:hAnsi="Arial" w:cs="Arial"/>
          <w:spacing w:val="-3"/>
        </w:rPr>
        <w:t>e</w:t>
      </w:r>
      <w:r w:rsidRPr="00EB1AAB">
        <w:rPr>
          <w:rFonts w:ascii="Arial" w:eastAsia="Arial" w:hAnsi="Arial" w:cs="Arial"/>
          <w:spacing w:val="2"/>
        </w:rPr>
        <w:t>t</w:t>
      </w:r>
      <w:r w:rsidRPr="00EB1AAB">
        <w:rPr>
          <w:rFonts w:ascii="Arial" w:eastAsia="Arial" w:hAnsi="Arial" w:cs="Arial"/>
        </w:rPr>
        <w:t>s</w:t>
      </w:r>
      <w:r w:rsidRPr="00EB1AAB">
        <w:rPr>
          <w:rFonts w:ascii="Arial" w:eastAsia="Arial" w:hAnsi="Arial" w:cs="Arial"/>
          <w:spacing w:val="7"/>
        </w:rPr>
        <w:t xml:space="preserve"> </w:t>
      </w:r>
      <w:r w:rsidRPr="00EB1AAB">
        <w:rPr>
          <w:rFonts w:ascii="Arial" w:eastAsia="Arial" w:hAnsi="Arial" w:cs="Arial"/>
          <w:spacing w:val="3"/>
        </w:rPr>
        <w:t>i</w:t>
      </w:r>
      <w:r w:rsidRPr="00EB1AAB">
        <w:rPr>
          <w:rFonts w:ascii="Arial" w:eastAsia="Arial" w:hAnsi="Arial" w:cs="Arial"/>
          <w:spacing w:val="-3"/>
        </w:rPr>
        <w:t>n</w:t>
      </w:r>
      <w:r w:rsidRPr="00EB1AAB">
        <w:rPr>
          <w:rFonts w:ascii="Arial" w:eastAsia="Arial" w:hAnsi="Arial" w:cs="Arial"/>
          <w:spacing w:val="2"/>
        </w:rPr>
        <w:t>t</w:t>
      </w:r>
      <w:r w:rsidRPr="00EB1AAB">
        <w:rPr>
          <w:rFonts w:ascii="Arial" w:eastAsia="Arial" w:hAnsi="Arial" w:cs="Arial"/>
        </w:rPr>
        <w:t>o</w:t>
      </w:r>
      <w:r w:rsidRPr="00EB1AAB">
        <w:rPr>
          <w:rFonts w:ascii="Arial" w:eastAsia="Arial" w:hAnsi="Arial" w:cs="Arial"/>
          <w:spacing w:val="2"/>
        </w:rPr>
        <w:t xml:space="preserve"> t</w:t>
      </w:r>
      <w:r w:rsidRPr="00EB1AAB">
        <w:rPr>
          <w:rFonts w:ascii="Arial" w:eastAsia="Arial" w:hAnsi="Arial" w:cs="Arial"/>
        </w:rPr>
        <w:t>h</w:t>
      </w:r>
      <w:r w:rsidRPr="00EB1AAB">
        <w:rPr>
          <w:rFonts w:ascii="Arial" w:eastAsia="Arial" w:hAnsi="Arial" w:cs="Arial"/>
          <w:spacing w:val="2"/>
        </w:rPr>
        <w:t>e</w:t>
      </w:r>
      <w:r w:rsidRPr="00EB1AAB">
        <w:rPr>
          <w:rFonts w:ascii="Arial" w:eastAsia="Arial" w:hAnsi="Arial" w:cs="Arial"/>
          <w:spacing w:val="-2"/>
        </w:rPr>
        <w:t>s</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spacing w:val="2"/>
        </w:rPr>
        <w:t>t</w:t>
      </w:r>
      <w:r w:rsidRPr="00EB1AAB">
        <w:rPr>
          <w:rFonts w:ascii="Arial" w:eastAsia="Arial" w:hAnsi="Arial" w:cs="Arial"/>
          <w:spacing w:val="-2"/>
        </w:rPr>
        <w:t>y</w:t>
      </w:r>
      <w:r w:rsidRPr="00EB1AAB">
        <w:rPr>
          <w:rFonts w:ascii="Arial" w:eastAsia="Arial" w:hAnsi="Arial" w:cs="Arial"/>
        </w:rPr>
        <w:t>p</w:t>
      </w:r>
      <w:r w:rsidRPr="00EB1AAB">
        <w:rPr>
          <w:rFonts w:ascii="Arial" w:eastAsia="Arial" w:hAnsi="Arial" w:cs="Arial"/>
          <w:spacing w:val="-3"/>
        </w:rPr>
        <w:t>e</w:t>
      </w:r>
      <w:r w:rsidRPr="00EB1AAB">
        <w:rPr>
          <w:rFonts w:ascii="Arial" w:eastAsia="Arial" w:hAnsi="Arial" w:cs="Arial"/>
        </w:rPr>
        <w:t>s</w:t>
      </w:r>
      <w:r w:rsidRPr="00EB1AAB">
        <w:rPr>
          <w:rFonts w:ascii="Arial" w:eastAsia="Arial" w:hAnsi="Arial" w:cs="Arial"/>
          <w:spacing w:val="7"/>
        </w:rPr>
        <w:t xml:space="preserve"> </w:t>
      </w:r>
      <w:r w:rsidRPr="00EB1AAB">
        <w:rPr>
          <w:rFonts w:ascii="Arial" w:eastAsia="Arial" w:hAnsi="Arial" w:cs="Arial"/>
          <w:spacing w:val="1"/>
        </w:rPr>
        <w:t>i</w:t>
      </w:r>
      <w:r w:rsidRPr="00EB1AAB">
        <w:rPr>
          <w:rFonts w:ascii="Arial" w:eastAsia="Arial" w:hAnsi="Arial" w:cs="Arial"/>
        </w:rPr>
        <w:t>s</w:t>
      </w:r>
      <w:r w:rsidRPr="00EB1AAB">
        <w:rPr>
          <w:rFonts w:ascii="Arial" w:eastAsia="Arial" w:hAnsi="Arial" w:cs="Arial"/>
          <w:spacing w:val="4"/>
        </w:rPr>
        <w:t xml:space="preserve"> </w:t>
      </w:r>
      <w:r w:rsidRPr="00EB1AAB">
        <w:rPr>
          <w:rFonts w:ascii="Arial" w:eastAsia="Arial" w:hAnsi="Arial" w:cs="Arial"/>
        </w:rPr>
        <w:t>d</w:t>
      </w:r>
      <w:r w:rsidRPr="00EB1AAB">
        <w:rPr>
          <w:rFonts w:ascii="Arial" w:eastAsia="Arial" w:hAnsi="Arial" w:cs="Arial"/>
          <w:spacing w:val="-1"/>
        </w:rPr>
        <w:t>e</w:t>
      </w:r>
      <w:r w:rsidRPr="00EB1AAB">
        <w:rPr>
          <w:rFonts w:ascii="Arial" w:eastAsia="Arial" w:hAnsi="Arial" w:cs="Arial"/>
          <w:spacing w:val="2"/>
        </w:rPr>
        <w:t>p</w:t>
      </w:r>
      <w:r w:rsidRPr="00EB1AAB">
        <w:rPr>
          <w:rFonts w:ascii="Arial" w:eastAsia="Arial" w:hAnsi="Arial" w:cs="Arial"/>
          <w:spacing w:val="-3"/>
        </w:rPr>
        <w:t>e</w:t>
      </w:r>
      <w:r w:rsidRPr="00EB1AAB">
        <w:rPr>
          <w:rFonts w:ascii="Arial" w:eastAsia="Arial" w:hAnsi="Arial" w:cs="Arial"/>
          <w:spacing w:val="2"/>
        </w:rPr>
        <w:t>n</w:t>
      </w:r>
      <w:r w:rsidRPr="00EB1AAB">
        <w:rPr>
          <w:rFonts w:ascii="Arial" w:eastAsia="Arial" w:hAnsi="Arial" w:cs="Arial"/>
        </w:rPr>
        <w:t>de</w:t>
      </w:r>
      <w:r w:rsidRPr="00EB1AAB">
        <w:rPr>
          <w:rFonts w:ascii="Arial" w:eastAsia="Arial" w:hAnsi="Arial" w:cs="Arial"/>
          <w:spacing w:val="-3"/>
        </w:rPr>
        <w:t>n</w:t>
      </w:r>
      <w:r w:rsidRPr="00EB1AAB">
        <w:rPr>
          <w:rFonts w:ascii="Arial" w:eastAsia="Arial" w:hAnsi="Arial" w:cs="Arial"/>
        </w:rPr>
        <w:t>t</w:t>
      </w:r>
      <w:r w:rsidRPr="00EB1AAB">
        <w:rPr>
          <w:rFonts w:ascii="Arial" w:eastAsia="Arial" w:hAnsi="Arial" w:cs="Arial"/>
          <w:spacing w:val="17"/>
        </w:rPr>
        <w:t xml:space="preserve"> </w:t>
      </w:r>
      <w:r w:rsidRPr="00EB1AAB">
        <w:rPr>
          <w:rFonts w:ascii="Arial" w:eastAsia="Arial" w:hAnsi="Arial" w:cs="Arial"/>
        </w:rPr>
        <w:t>on</w:t>
      </w:r>
      <w:r w:rsidRPr="00EB1AAB">
        <w:rPr>
          <w:rFonts w:ascii="Arial" w:eastAsia="Arial" w:hAnsi="Arial" w:cs="Arial"/>
          <w:spacing w:val="2"/>
        </w:rPr>
        <w:t xml:space="preserve"> t</w:t>
      </w:r>
      <w:r w:rsidRPr="00EB1AAB">
        <w:rPr>
          <w:rFonts w:ascii="Arial" w:eastAsia="Arial" w:hAnsi="Arial" w:cs="Arial"/>
        </w:rPr>
        <w:t>he</w:t>
      </w:r>
      <w:r w:rsidRPr="00EB1AAB">
        <w:rPr>
          <w:rFonts w:ascii="Arial" w:eastAsia="Arial" w:hAnsi="Arial" w:cs="Arial"/>
          <w:spacing w:val="3"/>
        </w:rPr>
        <w:t xml:space="preserve"> </w:t>
      </w:r>
      <w:r w:rsidRPr="00EB1AAB">
        <w:rPr>
          <w:rFonts w:ascii="Arial" w:eastAsia="Arial" w:hAnsi="Arial" w:cs="Arial"/>
          <w:spacing w:val="1"/>
        </w:rPr>
        <w:t>r</w:t>
      </w:r>
      <w:r w:rsidRPr="00EB1AAB">
        <w:rPr>
          <w:rFonts w:ascii="Arial" w:eastAsia="Arial" w:hAnsi="Arial" w:cs="Arial"/>
          <w:spacing w:val="-3"/>
        </w:rPr>
        <w:t>e</w:t>
      </w:r>
      <w:r w:rsidRPr="00EB1AAB">
        <w:rPr>
          <w:rFonts w:ascii="Arial" w:eastAsia="Arial" w:hAnsi="Arial" w:cs="Arial"/>
        </w:rPr>
        <w:t>a</w:t>
      </w:r>
      <w:r w:rsidRPr="00EB1AAB">
        <w:rPr>
          <w:rFonts w:ascii="Arial" w:eastAsia="Arial" w:hAnsi="Arial" w:cs="Arial"/>
          <w:spacing w:val="3"/>
        </w:rPr>
        <w:t>s</w:t>
      </w:r>
      <w:r w:rsidRPr="00EB1AAB">
        <w:rPr>
          <w:rFonts w:ascii="Arial" w:eastAsia="Arial" w:hAnsi="Arial" w:cs="Arial"/>
        </w:rPr>
        <w:t>on</w:t>
      </w:r>
      <w:r w:rsidRPr="00EB1AAB">
        <w:rPr>
          <w:rFonts w:ascii="Arial" w:eastAsia="Arial" w:hAnsi="Arial" w:cs="Arial"/>
          <w:spacing w:val="7"/>
        </w:rPr>
        <w:t xml:space="preserve"> </w:t>
      </w:r>
      <w:r w:rsidRPr="00EB1AAB">
        <w:rPr>
          <w:rFonts w:ascii="Arial" w:eastAsia="Arial" w:hAnsi="Arial" w:cs="Arial"/>
          <w:spacing w:val="2"/>
          <w:w w:val="101"/>
        </w:rPr>
        <w:t>f</w:t>
      </w:r>
      <w:r w:rsidRPr="00EB1AAB">
        <w:rPr>
          <w:rFonts w:ascii="Arial" w:eastAsia="Arial" w:hAnsi="Arial" w:cs="Arial"/>
          <w:w w:val="101"/>
        </w:rPr>
        <w:t xml:space="preserve">or </w:t>
      </w:r>
      <w:r w:rsidRPr="00EB1AAB">
        <w:rPr>
          <w:rFonts w:ascii="Arial" w:eastAsia="Arial" w:hAnsi="Arial" w:cs="Arial"/>
        </w:rPr>
        <w:t>h</w:t>
      </w:r>
      <w:r w:rsidRPr="00EB1AAB">
        <w:rPr>
          <w:rFonts w:ascii="Arial" w:eastAsia="Arial" w:hAnsi="Arial" w:cs="Arial"/>
          <w:spacing w:val="-3"/>
        </w:rPr>
        <w:t>o</w:t>
      </w:r>
      <w:r w:rsidRPr="00EB1AAB">
        <w:rPr>
          <w:rFonts w:ascii="Arial" w:eastAsia="Arial" w:hAnsi="Arial" w:cs="Arial"/>
          <w:spacing w:val="1"/>
        </w:rPr>
        <w:t>l</w:t>
      </w:r>
      <w:r w:rsidRPr="00EB1AAB">
        <w:rPr>
          <w:rFonts w:ascii="Arial" w:eastAsia="Arial" w:hAnsi="Arial" w:cs="Arial"/>
        </w:rPr>
        <w:t>d</w:t>
      </w:r>
      <w:r w:rsidRPr="00EB1AAB">
        <w:rPr>
          <w:rFonts w:ascii="Arial" w:eastAsia="Arial" w:hAnsi="Arial" w:cs="Arial"/>
          <w:spacing w:val="1"/>
        </w:rPr>
        <w:t>i</w:t>
      </w:r>
      <w:r w:rsidRPr="00EB1AAB">
        <w:rPr>
          <w:rFonts w:ascii="Arial" w:eastAsia="Arial" w:hAnsi="Arial" w:cs="Arial"/>
          <w:spacing w:val="2"/>
        </w:rPr>
        <w:t>n</w:t>
      </w:r>
      <w:r w:rsidRPr="00EB1AAB">
        <w:rPr>
          <w:rFonts w:ascii="Arial" w:eastAsia="Arial" w:hAnsi="Arial" w:cs="Arial"/>
        </w:rPr>
        <w:t>g</w:t>
      </w:r>
      <w:r w:rsidRPr="00EB1AAB">
        <w:rPr>
          <w:rFonts w:ascii="Arial" w:eastAsia="Arial" w:hAnsi="Arial" w:cs="Arial"/>
          <w:spacing w:val="8"/>
        </w:rPr>
        <w:t xml:space="preserve"> </w:t>
      </w:r>
      <w:r w:rsidRPr="00EB1AAB">
        <w:rPr>
          <w:rFonts w:ascii="Arial" w:eastAsia="Arial" w:hAnsi="Arial" w:cs="Arial"/>
        </w:rPr>
        <w:t>t</w:t>
      </w:r>
      <w:r w:rsidRPr="00EB1AAB">
        <w:rPr>
          <w:rFonts w:ascii="Arial" w:eastAsia="Arial" w:hAnsi="Arial" w:cs="Arial"/>
          <w:spacing w:val="-2"/>
        </w:rPr>
        <w:t>h</w:t>
      </w:r>
      <w:r w:rsidRPr="00EB1AAB">
        <w:rPr>
          <w:rFonts w:ascii="Arial" w:eastAsia="Arial" w:hAnsi="Arial" w:cs="Arial"/>
        </w:rPr>
        <w:t>e</w:t>
      </w:r>
      <w:r w:rsidRPr="00EB1AAB">
        <w:rPr>
          <w:rFonts w:ascii="Arial" w:eastAsia="Arial" w:hAnsi="Arial" w:cs="Arial"/>
          <w:spacing w:val="5"/>
        </w:rPr>
        <w:t xml:space="preserve"> </w:t>
      </w:r>
      <w:r w:rsidRPr="00EB1AAB">
        <w:rPr>
          <w:rFonts w:ascii="Arial" w:eastAsia="Arial" w:hAnsi="Arial" w:cs="Arial"/>
        </w:rPr>
        <w:t>a</w:t>
      </w:r>
      <w:r w:rsidRPr="00EB1AAB">
        <w:rPr>
          <w:rFonts w:ascii="Arial" w:eastAsia="Arial" w:hAnsi="Arial" w:cs="Arial"/>
          <w:spacing w:val="1"/>
        </w:rPr>
        <w:t>ss</w:t>
      </w:r>
      <w:r w:rsidRPr="00EB1AAB">
        <w:rPr>
          <w:rFonts w:ascii="Arial" w:eastAsia="Arial" w:hAnsi="Arial" w:cs="Arial"/>
        </w:rPr>
        <w:t>ets</w:t>
      </w:r>
      <w:r w:rsidRPr="00EB1AAB">
        <w:rPr>
          <w:rFonts w:ascii="Arial" w:eastAsia="Arial" w:hAnsi="Arial" w:cs="Arial"/>
          <w:spacing w:val="9"/>
        </w:rPr>
        <w:t>, which</w:t>
      </w:r>
      <w:r w:rsidRPr="00EB1AAB">
        <w:rPr>
          <w:rFonts w:ascii="Arial" w:eastAsia="Arial" w:hAnsi="Arial" w:cs="Arial"/>
          <w:spacing w:val="-1"/>
        </w:rPr>
        <w:t xml:space="preserve"> can be </w:t>
      </w:r>
      <w:r w:rsidRPr="00EB1AAB">
        <w:rPr>
          <w:rFonts w:ascii="Arial" w:eastAsia="Arial" w:hAnsi="Arial" w:cs="Arial"/>
          <w:spacing w:val="2"/>
        </w:rPr>
        <w:t>t</w:t>
      </w:r>
      <w:r w:rsidRPr="00EB1AAB">
        <w:rPr>
          <w:rFonts w:ascii="Arial" w:eastAsia="Arial" w:hAnsi="Arial" w:cs="Arial"/>
        </w:rPr>
        <w:t>o</w:t>
      </w:r>
      <w:r w:rsidRPr="00EB1AAB">
        <w:rPr>
          <w:rFonts w:ascii="Arial" w:eastAsia="Arial" w:hAnsi="Arial" w:cs="Arial"/>
          <w:spacing w:val="4"/>
        </w:rPr>
        <w:t xml:space="preserve"> </w:t>
      </w:r>
      <w:r w:rsidRPr="00EB1AAB">
        <w:rPr>
          <w:rFonts w:ascii="Arial" w:eastAsia="Arial" w:hAnsi="Arial" w:cs="Arial"/>
          <w:spacing w:val="1"/>
        </w:rPr>
        <w:t>c</w:t>
      </w:r>
      <w:r w:rsidRPr="00EB1AAB">
        <w:rPr>
          <w:rFonts w:ascii="Arial" w:eastAsia="Arial" w:hAnsi="Arial" w:cs="Arial"/>
          <w:spacing w:val="-2"/>
        </w:rPr>
        <w:t>o</w:t>
      </w:r>
      <w:r w:rsidRPr="00EB1AAB">
        <w:rPr>
          <w:rFonts w:ascii="Arial" w:eastAsia="Arial" w:hAnsi="Arial" w:cs="Arial"/>
          <w:spacing w:val="3"/>
        </w:rPr>
        <w:t>l</w:t>
      </w:r>
      <w:r w:rsidRPr="00EB1AAB">
        <w:rPr>
          <w:rFonts w:ascii="Arial" w:eastAsia="Arial" w:hAnsi="Arial" w:cs="Arial"/>
          <w:spacing w:val="1"/>
        </w:rPr>
        <w:t>l</w:t>
      </w:r>
      <w:r w:rsidRPr="00EB1AAB">
        <w:rPr>
          <w:rFonts w:ascii="Arial" w:eastAsia="Arial" w:hAnsi="Arial" w:cs="Arial"/>
        </w:rPr>
        <w:t>e</w:t>
      </w:r>
      <w:r w:rsidRPr="00EB1AAB">
        <w:rPr>
          <w:rFonts w:ascii="Arial" w:eastAsia="Arial" w:hAnsi="Arial" w:cs="Arial"/>
          <w:spacing w:val="-2"/>
        </w:rPr>
        <w:t>c</w:t>
      </w:r>
      <w:r w:rsidRPr="00EB1AAB">
        <w:rPr>
          <w:rFonts w:ascii="Arial" w:eastAsia="Arial" w:hAnsi="Arial" w:cs="Arial"/>
        </w:rPr>
        <w:t>t</w:t>
      </w:r>
      <w:r w:rsidRPr="00EB1AAB">
        <w:rPr>
          <w:rFonts w:ascii="Arial" w:eastAsia="Arial" w:hAnsi="Arial" w:cs="Arial"/>
          <w:spacing w:val="10"/>
        </w:rPr>
        <w:t xml:space="preserve"> </w:t>
      </w:r>
      <w:r w:rsidRPr="00EB1AAB">
        <w:rPr>
          <w:rFonts w:ascii="Arial" w:eastAsia="Arial" w:hAnsi="Arial" w:cs="Arial"/>
          <w:spacing w:val="-1"/>
        </w:rPr>
        <w:t>c</w:t>
      </w:r>
      <w:r w:rsidRPr="00EB1AAB">
        <w:rPr>
          <w:rFonts w:ascii="Arial" w:eastAsia="Arial" w:hAnsi="Arial" w:cs="Arial"/>
        </w:rPr>
        <w:t>a</w:t>
      </w:r>
      <w:r w:rsidRPr="00EB1AAB">
        <w:rPr>
          <w:rFonts w:ascii="Arial" w:eastAsia="Arial" w:hAnsi="Arial" w:cs="Arial"/>
          <w:spacing w:val="1"/>
        </w:rPr>
        <w:t>s</w:t>
      </w:r>
      <w:r w:rsidRPr="00EB1AAB">
        <w:rPr>
          <w:rFonts w:ascii="Arial" w:eastAsia="Arial" w:hAnsi="Arial" w:cs="Arial"/>
        </w:rPr>
        <w:t>h</w:t>
      </w:r>
      <w:r w:rsidRPr="00EB1AAB">
        <w:rPr>
          <w:rFonts w:ascii="Arial" w:eastAsia="Arial" w:hAnsi="Arial" w:cs="Arial"/>
          <w:spacing w:val="3"/>
        </w:rPr>
        <w:t xml:space="preserve"> </w:t>
      </w:r>
      <w:r w:rsidRPr="00EB1AAB">
        <w:rPr>
          <w:rFonts w:ascii="Arial" w:eastAsia="Arial" w:hAnsi="Arial" w:cs="Arial"/>
          <w:spacing w:val="5"/>
        </w:rPr>
        <w:t>f</w:t>
      </w:r>
      <w:r w:rsidRPr="00EB1AAB">
        <w:rPr>
          <w:rFonts w:ascii="Arial" w:eastAsia="Arial" w:hAnsi="Arial" w:cs="Arial"/>
          <w:spacing w:val="1"/>
        </w:rPr>
        <w:t>l</w:t>
      </w:r>
      <w:r w:rsidRPr="00EB1AAB">
        <w:rPr>
          <w:rFonts w:ascii="Arial" w:eastAsia="Arial" w:hAnsi="Arial" w:cs="Arial"/>
        </w:rPr>
        <w:t>o</w:t>
      </w:r>
      <w:r w:rsidRPr="00EB1AAB">
        <w:rPr>
          <w:rFonts w:ascii="Arial" w:eastAsia="Arial" w:hAnsi="Arial" w:cs="Arial"/>
          <w:spacing w:val="-3"/>
        </w:rPr>
        <w:t>w</w:t>
      </w:r>
      <w:r w:rsidRPr="00EB1AAB">
        <w:rPr>
          <w:rFonts w:ascii="Arial" w:eastAsia="Arial" w:hAnsi="Arial" w:cs="Arial"/>
          <w:spacing w:val="-2"/>
        </w:rPr>
        <w:t>s</w:t>
      </w:r>
      <w:r w:rsidRPr="00EB1AAB">
        <w:rPr>
          <w:rFonts w:ascii="Arial" w:eastAsia="Arial" w:hAnsi="Arial" w:cs="Arial"/>
        </w:rPr>
        <w:t>,</w:t>
      </w:r>
      <w:r w:rsidRPr="00EB1AAB">
        <w:rPr>
          <w:rFonts w:ascii="Arial" w:eastAsia="Arial" w:hAnsi="Arial" w:cs="Arial"/>
          <w:spacing w:val="10"/>
        </w:rPr>
        <w:t xml:space="preserve"> </w:t>
      </w:r>
      <w:r w:rsidRPr="00EB1AAB">
        <w:rPr>
          <w:rFonts w:ascii="Arial" w:eastAsia="Arial" w:hAnsi="Arial" w:cs="Arial"/>
        </w:rPr>
        <w:t>to</w:t>
      </w:r>
      <w:r w:rsidRPr="00EB1AAB">
        <w:rPr>
          <w:rFonts w:ascii="Arial" w:eastAsia="Arial" w:hAnsi="Arial" w:cs="Arial"/>
          <w:spacing w:val="5"/>
        </w:rPr>
        <w:t xml:space="preserve"> </w:t>
      </w:r>
      <w:r w:rsidRPr="00EB1AAB">
        <w:rPr>
          <w:rFonts w:ascii="Arial" w:eastAsia="Arial" w:hAnsi="Arial" w:cs="Arial"/>
          <w:spacing w:val="1"/>
        </w:rPr>
        <w:t>s</w:t>
      </w:r>
      <w:r w:rsidRPr="00EB1AAB">
        <w:rPr>
          <w:rFonts w:ascii="Arial" w:eastAsia="Arial" w:hAnsi="Arial" w:cs="Arial"/>
          <w:spacing w:val="-2"/>
        </w:rPr>
        <w:t>e</w:t>
      </w:r>
      <w:r w:rsidRPr="00EB1AAB">
        <w:rPr>
          <w:rFonts w:ascii="Arial" w:eastAsia="Arial" w:hAnsi="Arial" w:cs="Arial"/>
          <w:spacing w:val="1"/>
        </w:rPr>
        <w:t>l</w:t>
      </w:r>
      <w:r w:rsidRPr="00EB1AAB">
        <w:rPr>
          <w:rFonts w:ascii="Arial" w:eastAsia="Arial" w:hAnsi="Arial" w:cs="Arial"/>
        </w:rPr>
        <w:t>l</w:t>
      </w:r>
      <w:r w:rsidRPr="00EB1AAB">
        <w:rPr>
          <w:rFonts w:ascii="Arial" w:eastAsia="Arial" w:hAnsi="Arial" w:cs="Arial"/>
          <w:spacing w:val="7"/>
        </w:rPr>
        <w:t xml:space="preserve"> </w:t>
      </w:r>
      <w:r w:rsidRPr="00EB1AAB">
        <w:rPr>
          <w:rFonts w:ascii="Arial" w:eastAsia="Arial" w:hAnsi="Arial" w:cs="Arial"/>
        </w:rPr>
        <w:t>a</w:t>
      </w:r>
      <w:r w:rsidRPr="00EB1AAB">
        <w:rPr>
          <w:rFonts w:ascii="Arial" w:eastAsia="Arial" w:hAnsi="Arial" w:cs="Arial"/>
          <w:spacing w:val="-2"/>
        </w:rPr>
        <w:t>s</w:t>
      </w:r>
      <w:r w:rsidRPr="00EB1AAB">
        <w:rPr>
          <w:rFonts w:ascii="Arial" w:eastAsia="Arial" w:hAnsi="Arial" w:cs="Arial"/>
          <w:spacing w:val="1"/>
        </w:rPr>
        <w:t>s</w:t>
      </w:r>
      <w:r w:rsidRPr="00EB1AAB">
        <w:rPr>
          <w:rFonts w:ascii="Arial" w:eastAsia="Arial" w:hAnsi="Arial" w:cs="Arial"/>
        </w:rPr>
        <w:t>ets</w:t>
      </w:r>
      <w:r w:rsidRPr="00EB1AAB">
        <w:rPr>
          <w:rFonts w:ascii="Arial" w:eastAsia="Arial" w:hAnsi="Arial" w:cs="Arial"/>
          <w:spacing w:val="9"/>
        </w:rPr>
        <w:t xml:space="preserve"> </w:t>
      </w:r>
      <w:r w:rsidRPr="00EB1AAB">
        <w:rPr>
          <w:rFonts w:ascii="Arial" w:eastAsia="Arial" w:hAnsi="Arial" w:cs="Arial"/>
          <w:spacing w:val="-3"/>
        </w:rPr>
        <w:t>o</w:t>
      </w:r>
      <w:r w:rsidRPr="00EB1AAB">
        <w:rPr>
          <w:rFonts w:ascii="Arial" w:eastAsia="Arial" w:hAnsi="Arial" w:cs="Arial"/>
        </w:rPr>
        <w:t>r</w:t>
      </w:r>
      <w:r w:rsidRPr="00EB1AAB">
        <w:rPr>
          <w:rFonts w:ascii="Arial" w:eastAsia="Arial" w:hAnsi="Arial" w:cs="Arial"/>
          <w:spacing w:val="5"/>
        </w:rPr>
        <w:t xml:space="preserve"> </w:t>
      </w:r>
      <w:r w:rsidRPr="00EB1AAB">
        <w:rPr>
          <w:rFonts w:ascii="Arial" w:eastAsia="Arial" w:hAnsi="Arial" w:cs="Arial"/>
          <w:spacing w:val="-3"/>
        </w:rPr>
        <w:t>a</w:t>
      </w:r>
      <w:r w:rsidRPr="00EB1AAB">
        <w:rPr>
          <w:rFonts w:ascii="Arial" w:eastAsia="Arial" w:hAnsi="Arial" w:cs="Arial"/>
          <w:spacing w:val="1"/>
        </w:rPr>
        <w:t>c</w:t>
      </w:r>
      <w:r w:rsidRPr="00EB1AAB">
        <w:rPr>
          <w:rFonts w:ascii="Arial" w:eastAsia="Arial" w:hAnsi="Arial" w:cs="Arial"/>
          <w:spacing w:val="-3"/>
        </w:rPr>
        <w:t>h</w:t>
      </w:r>
      <w:r w:rsidRPr="00EB1AAB">
        <w:rPr>
          <w:rFonts w:ascii="Arial" w:eastAsia="Arial" w:hAnsi="Arial" w:cs="Arial"/>
          <w:spacing w:val="4"/>
        </w:rPr>
        <w:t>i</w:t>
      </w:r>
      <w:r w:rsidRPr="00EB1AAB">
        <w:rPr>
          <w:rFonts w:ascii="Arial" w:eastAsia="Arial" w:hAnsi="Arial" w:cs="Arial"/>
          <w:spacing w:val="-3"/>
        </w:rPr>
        <w:t>e</w:t>
      </w:r>
      <w:r w:rsidRPr="00EB1AAB">
        <w:rPr>
          <w:rFonts w:ascii="Arial" w:eastAsia="Arial" w:hAnsi="Arial" w:cs="Arial"/>
          <w:spacing w:val="3"/>
        </w:rPr>
        <w:t>v</w:t>
      </w:r>
      <w:r w:rsidRPr="00EB1AAB">
        <w:rPr>
          <w:rFonts w:ascii="Arial" w:eastAsia="Arial" w:hAnsi="Arial" w:cs="Arial"/>
        </w:rPr>
        <w:t>e</w:t>
      </w:r>
      <w:r w:rsidRPr="00EB1AAB">
        <w:rPr>
          <w:rFonts w:ascii="Arial" w:eastAsia="Arial" w:hAnsi="Arial" w:cs="Arial"/>
          <w:spacing w:val="11"/>
        </w:rPr>
        <w:t xml:space="preserve"> </w:t>
      </w:r>
      <w:r w:rsidRPr="00EB1AAB">
        <w:rPr>
          <w:rFonts w:ascii="Arial" w:eastAsia="Arial" w:hAnsi="Arial" w:cs="Arial"/>
          <w:spacing w:val="-3"/>
        </w:rPr>
        <w:t>o</w:t>
      </w:r>
      <w:r w:rsidRPr="00EB1AAB">
        <w:rPr>
          <w:rFonts w:ascii="Arial" w:eastAsia="Arial" w:hAnsi="Arial" w:cs="Arial"/>
        </w:rPr>
        <w:t>b</w:t>
      </w:r>
      <w:r w:rsidRPr="00EB1AAB">
        <w:rPr>
          <w:rFonts w:ascii="Arial" w:eastAsia="Arial" w:hAnsi="Arial" w:cs="Arial"/>
          <w:spacing w:val="1"/>
        </w:rPr>
        <w:t>j</w:t>
      </w:r>
      <w:r w:rsidRPr="00EB1AAB">
        <w:rPr>
          <w:rFonts w:ascii="Arial" w:eastAsia="Arial" w:hAnsi="Arial" w:cs="Arial"/>
        </w:rPr>
        <w:t>e</w:t>
      </w:r>
      <w:r w:rsidRPr="00EB1AAB">
        <w:rPr>
          <w:rFonts w:ascii="Arial" w:eastAsia="Arial" w:hAnsi="Arial" w:cs="Arial"/>
          <w:spacing w:val="-2"/>
        </w:rPr>
        <w:t>c</w:t>
      </w:r>
      <w:r w:rsidRPr="00EB1AAB">
        <w:rPr>
          <w:rFonts w:ascii="Arial" w:eastAsia="Arial" w:hAnsi="Arial" w:cs="Arial"/>
          <w:spacing w:val="2"/>
        </w:rPr>
        <w:t>t</w:t>
      </w:r>
      <w:r w:rsidRPr="00EB1AAB">
        <w:rPr>
          <w:rFonts w:ascii="Arial" w:eastAsia="Arial" w:hAnsi="Arial" w:cs="Arial"/>
          <w:spacing w:val="1"/>
        </w:rPr>
        <w:t>iv</w:t>
      </w:r>
      <w:r w:rsidRPr="00EB1AAB">
        <w:rPr>
          <w:rFonts w:ascii="Arial" w:eastAsia="Arial" w:hAnsi="Arial" w:cs="Arial"/>
          <w:spacing w:val="-3"/>
        </w:rPr>
        <w:t>e</w:t>
      </w:r>
      <w:r w:rsidRPr="00EB1AAB">
        <w:rPr>
          <w:rFonts w:ascii="Arial" w:eastAsia="Arial" w:hAnsi="Arial" w:cs="Arial"/>
        </w:rPr>
        <w:t>s</w:t>
      </w:r>
      <w:r w:rsidRPr="00EB1AAB">
        <w:rPr>
          <w:rFonts w:ascii="Arial" w:eastAsia="Arial" w:hAnsi="Arial" w:cs="Arial"/>
          <w:spacing w:val="12"/>
        </w:rPr>
        <w:t xml:space="preserve"> </w:t>
      </w:r>
      <w:r w:rsidRPr="00EB1AAB">
        <w:rPr>
          <w:rFonts w:ascii="Arial" w:eastAsia="Arial" w:hAnsi="Arial" w:cs="Arial"/>
          <w:spacing w:val="2"/>
        </w:rPr>
        <w:t>b</w:t>
      </w:r>
      <w:r w:rsidRPr="00EB1AAB">
        <w:rPr>
          <w:rFonts w:ascii="Arial" w:eastAsia="Arial" w:hAnsi="Arial" w:cs="Arial"/>
        </w:rPr>
        <w:t>y</w:t>
      </w:r>
      <w:r w:rsidRPr="00EB1AAB">
        <w:rPr>
          <w:rFonts w:ascii="Arial" w:eastAsia="Arial" w:hAnsi="Arial" w:cs="Arial"/>
          <w:spacing w:val="2"/>
        </w:rPr>
        <w:t xml:space="preserve"> </w:t>
      </w:r>
      <w:r w:rsidRPr="00EB1AAB">
        <w:rPr>
          <w:rFonts w:ascii="Arial" w:eastAsia="Arial" w:hAnsi="Arial" w:cs="Arial"/>
          <w:w w:val="101"/>
        </w:rPr>
        <w:t>ot</w:t>
      </w:r>
      <w:r w:rsidRPr="00EB1AAB">
        <w:rPr>
          <w:rFonts w:ascii="Arial" w:eastAsia="Arial" w:hAnsi="Arial" w:cs="Arial"/>
          <w:spacing w:val="2"/>
          <w:w w:val="101"/>
        </w:rPr>
        <w:t>h</w:t>
      </w:r>
      <w:r w:rsidRPr="00EB1AAB">
        <w:rPr>
          <w:rFonts w:ascii="Arial" w:eastAsia="Arial" w:hAnsi="Arial" w:cs="Arial"/>
          <w:spacing w:val="-3"/>
          <w:w w:val="101"/>
        </w:rPr>
        <w:t>e</w:t>
      </w:r>
      <w:r w:rsidRPr="00EB1AAB">
        <w:rPr>
          <w:rFonts w:ascii="Arial" w:eastAsia="Arial" w:hAnsi="Arial" w:cs="Arial"/>
          <w:w w:val="101"/>
        </w:rPr>
        <w:t xml:space="preserve">r </w:t>
      </w:r>
      <w:r w:rsidRPr="00EB1AAB">
        <w:rPr>
          <w:rFonts w:ascii="Arial" w:eastAsia="Arial" w:hAnsi="Arial" w:cs="Arial"/>
          <w:spacing w:val="3"/>
          <w:w w:val="101"/>
        </w:rPr>
        <w:t>m</w:t>
      </w:r>
      <w:r w:rsidRPr="00EB1AAB">
        <w:rPr>
          <w:rFonts w:ascii="Arial" w:eastAsia="Arial" w:hAnsi="Arial" w:cs="Arial"/>
          <w:spacing w:val="-3"/>
          <w:w w:val="101"/>
        </w:rPr>
        <w:t>e</w:t>
      </w:r>
      <w:r w:rsidRPr="00EB1AAB">
        <w:rPr>
          <w:rFonts w:ascii="Arial" w:eastAsia="Arial" w:hAnsi="Arial" w:cs="Arial"/>
          <w:w w:val="101"/>
        </w:rPr>
        <w:t>a</w:t>
      </w:r>
      <w:r w:rsidRPr="00EB1AAB">
        <w:rPr>
          <w:rFonts w:ascii="Arial" w:eastAsia="Arial" w:hAnsi="Arial" w:cs="Arial"/>
          <w:spacing w:val="-3"/>
          <w:w w:val="101"/>
        </w:rPr>
        <w:t>n</w:t>
      </w:r>
      <w:r w:rsidRPr="00EB1AAB">
        <w:rPr>
          <w:rFonts w:ascii="Arial" w:eastAsia="Arial" w:hAnsi="Arial" w:cs="Arial"/>
          <w:spacing w:val="1"/>
          <w:w w:val="101"/>
        </w:rPr>
        <w:t>s</w:t>
      </w:r>
      <w:r w:rsidRPr="00EB1AAB">
        <w:rPr>
          <w:rFonts w:ascii="Arial" w:eastAsia="Arial" w:hAnsi="Arial" w:cs="Arial"/>
          <w:w w:val="101"/>
        </w:rPr>
        <w:t>.</w:t>
      </w:r>
    </w:p>
    <w:p w14:paraId="7837F9BA" w14:textId="77777777" w:rsidR="00655E4C" w:rsidRPr="00EB1AAB" w:rsidRDefault="00655E4C" w:rsidP="00655E4C">
      <w:pPr>
        <w:spacing w:before="9"/>
        <w:ind w:right="-88"/>
        <w:rPr>
          <w:rFonts w:ascii="Arial" w:hAnsi="Arial" w:cs="Arial"/>
        </w:rPr>
      </w:pPr>
    </w:p>
    <w:p w14:paraId="16744A5C" w14:textId="77777777" w:rsidR="00655E4C" w:rsidRPr="00EB1AAB" w:rsidRDefault="00655E4C" w:rsidP="00655E4C">
      <w:pPr>
        <w:ind w:right="-88"/>
        <w:rPr>
          <w:rFonts w:ascii="Arial" w:eastAsia="Arial" w:hAnsi="Arial" w:cs="Arial"/>
        </w:rPr>
      </w:pPr>
      <w:r w:rsidRPr="00EB1AAB">
        <w:rPr>
          <w:rFonts w:ascii="Arial" w:eastAsia="Arial" w:hAnsi="Arial" w:cs="Arial"/>
          <w:spacing w:val="-1"/>
        </w:rPr>
        <w:lastRenderedPageBreak/>
        <w:t>F</w:t>
      </w:r>
      <w:r w:rsidRPr="00EB1AAB">
        <w:rPr>
          <w:rFonts w:ascii="Arial" w:eastAsia="Arial" w:hAnsi="Arial" w:cs="Arial"/>
          <w:spacing w:val="3"/>
        </w:rPr>
        <w:t>i</w:t>
      </w:r>
      <w:r w:rsidRPr="00EB1AAB">
        <w:rPr>
          <w:rFonts w:ascii="Arial" w:eastAsia="Arial" w:hAnsi="Arial" w:cs="Arial"/>
          <w:spacing w:val="-3"/>
        </w:rPr>
        <w:t>n</w:t>
      </w:r>
      <w:r w:rsidRPr="00EB1AAB">
        <w:rPr>
          <w:rFonts w:ascii="Arial" w:eastAsia="Arial" w:hAnsi="Arial" w:cs="Arial"/>
        </w:rPr>
        <w:t>a</w:t>
      </w:r>
      <w:r w:rsidRPr="00EB1AAB">
        <w:rPr>
          <w:rFonts w:ascii="Arial" w:eastAsia="Arial" w:hAnsi="Arial" w:cs="Arial"/>
          <w:spacing w:val="-3"/>
        </w:rPr>
        <w:t>n</w:t>
      </w:r>
      <w:r w:rsidRPr="00EB1AAB">
        <w:rPr>
          <w:rFonts w:ascii="Arial" w:eastAsia="Arial" w:hAnsi="Arial" w:cs="Arial"/>
          <w:spacing w:val="1"/>
        </w:rPr>
        <w:t>ci</w:t>
      </w:r>
      <w:r w:rsidRPr="00EB1AAB">
        <w:rPr>
          <w:rFonts w:ascii="Arial" w:eastAsia="Arial" w:hAnsi="Arial" w:cs="Arial"/>
        </w:rPr>
        <w:t>al</w:t>
      </w:r>
      <w:r w:rsidRPr="00EB1AAB">
        <w:rPr>
          <w:rFonts w:ascii="Arial" w:eastAsia="Arial" w:hAnsi="Arial" w:cs="Arial"/>
          <w:spacing w:val="13"/>
        </w:rPr>
        <w:t xml:space="preserve"> </w:t>
      </w:r>
      <w:r w:rsidRPr="00EB1AAB">
        <w:rPr>
          <w:rFonts w:ascii="Arial" w:eastAsia="Arial" w:hAnsi="Arial" w:cs="Arial"/>
          <w:spacing w:val="-3"/>
        </w:rPr>
        <w:t>a</w:t>
      </w:r>
      <w:r w:rsidRPr="00EB1AAB">
        <w:rPr>
          <w:rFonts w:ascii="Arial" w:eastAsia="Arial" w:hAnsi="Arial" w:cs="Arial"/>
          <w:spacing w:val="1"/>
        </w:rPr>
        <w:t>s</w:t>
      </w:r>
      <w:r w:rsidRPr="00EB1AAB">
        <w:rPr>
          <w:rFonts w:ascii="Arial" w:eastAsia="Arial" w:hAnsi="Arial" w:cs="Arial"/>
          <w:spacing w:val="-1"/>
        </w:rPr>
        <w:t>s</w:t>
      </w:r>
      <w:r w:rsidRPr="00EB1AAB">
        <w:rPr>
          <w:rFonts w:ascii="Arial" w:eastAsia="Arial" w:hAnsi="Arial" w:cs="Arial"/>
        </w:rPr>
        <w:t>e</w:t>
      </w:r>
      <w:r w:rsidRPr="00EB1AAB">
        <w:rPr>
          <w:rFonts w:ascii="Arial" w:eastAsia="Arial" w:hAnsi="Arial" w:cs="Arial"/>
          <w:spacing w:val="-1"/>
        </w:rPr>
        <w:t>t</w:t>
      </w:r>
      <w:r w:rsidRPr="00EB1AAB">
        <w:rPr>
          <w:rFonts w:ascii="Arial" w:eastAsia="Arial" w:hAnsi="Arial" w:cs="Arial"/>
        </w:rPr>
        <w:t>s</w:t>
      </w:r>
      <w:r w:rsidRPr="00EB1AAB">
        <w:rPr>
          <w:rFonts w:ascii="Arial" w:eastAsia="Arial" w:hAnsi="Arial" w:cs="Arial"/>
          <w:spacing w:val="9"/>
        </w:rPr>
        <w:t xml:space="preserve"> </w:t>
      </w:r>
      <w:r w:rsidRPr="00EB1AAB">
        <w:rPr>
          <w:rFonts w:ascii="Arial" w:eastAsia="Arial" w:hAnsi="Arial" w:cs="Arial"/>
          <w:spacing w:val="2"/>
        </w:rPr>
        <w:t>a</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6"/>
        </w:rPr>
        <w:t xml:space="preserve"> </w:t>
      </w:r>
      <w:r w:rsidRPr="00EB1AAB">
        <w:rPr>
          <w:rFonts w:ascii="Arial" w:eastAsia="Arial" w:hAnsi="Arial" w:cs="Arial"/>
          <w:spacing w:val="-2"/>
        </w:rPr>
        <w:t>introduced</w:t>
      </w:r>
      <w:r w:rsidRPr="00EB1AAB">
        <w:rPr>
          <w:rFonts w:ascii="Arial" w:eastAsia="Arial" w:hAnsi="Arial" w:cs="Arial"/>
          <w:spacing w:val="14"/>
        </w:rPr>
        <w:t xml:space="preserve"> </w:t>
      </w:r>
      <w:r w:rsidRPr="00EB1AAB">
        <w:rPr>
          <w:rFonts w:ascii="Arial" w:eastAsia="Arial" w:hAnsi="Arial" w:cs="Arial"/>
          <w:spacing w:val="-2"/>
        </w:rPr>
        <w:t>o</w:t>
      </w:r>
      <w:r w:rsidRPr="00EB1AAB">
        <w:rPr>
          <w:rFonts w:ascii="Arial" w:eastAsia="Arial" w:hAnsi="Arial" w:cs="Arial"/>
        </w:rPr>
        <w:t>n</w:t>
      </w:r>
      <w:r w:rsidRPr="00EB1AAB">
        <w:rPr>
          <w:rFonts w:ascii="Arial" w:eastAsia="Arial" w:hAnsi="Arial" w:cs="Arial"/>
          <w:spacing w:val="2"/>
        </w:rPr>
        <w:t>t</w:t>
      </w:r>
      <w:r w:rsidRPr="00EB1AAB">
        <w:rPr>
          <w:rFonts w:ascii="Arial" w:eastAsia="Arial" w:hAnsi="Arial" w:cs="Arial"/>
        </w:rPr>
        <w:t>o</w:t>
      </w:r>
      <w:r w:rsidRPr="00EB1AAB">
        <w:rPr>
          <w:rFonts w:ascii="Arial" w:eastAsia="Arial" w:hAnsi="Arial" w:cs="Arial"/>
          <w:spacing w:val="5"/>
        </w:rPr>
        <w:t xml:space="preserve"> </w:t>
      </w:r>
      <w:r w:rsidRPr="00EB1AAB">
        <w:rPr>
          <w:rFonts w:ascii="Arial" w:eastAsia="Arial" w:hAnsi="Arial" w:cs="Arial"/>
        </w:rPr>
        <w:t>t</w:t>
      </w:r>
      <w:r w:rsidRPr="00EB1AAB">
        <w:rPr>
          <w:rFonts w:ascii="Arial" w:eastAsia="Arial" w:hAnsi="Arial" w:cs="Arial"/>
          <w:spacing w:val="2"/>
        </w:rPr>
        <w:t>h</w:t>
      </w:r>
      <w:r w:rsidRPr="00EB1AAB">
        <w:rPr>
          <w:rFonts w:ascii="Arial" w:eastAsia="Arial" w:hAnsi="Arial" w:cs="Arial"/>
        </w:rPr>
        <w:t>e</w:t>
      </w:r>
      <w:r w:rsidRPr="00EB1AAB">
        <w:rPr>
          <w:rFonts w:ascii="Arial" w:eastAsia="Arial" w:hAnsi="Arial" w:cs="Arial"/>
          <w:spacing w:val="2"/>
        </w:rPr>
        <w:t xml:space="preserve"> b</w:t>
      </w:r>
      <w:r w:rsidRPr="00EB1AAB">
        <w:rPr>
          <w:rFonts w:ascii="Arial" w:eastAsia="Arial" w:hAnsi="Arial" w:cs="Arial"/>
          <w:spacing w:val="-3"/>
        </w:rPr>
        <w:t>a</w:t>
      </w:r>
      <w:r w:rsidRPr="00EB1AAB">
        <w:rPr>
          <w:rFonts w:ascii="Arial" w:eastAsia="Arial" w:hAnsi="Arial" w:cs="Arial"/>
          <w:spacing w:val="4"/>
        </w:rPr>
        <w:t>l</w:t>
      </w:r>
      <w:r w:rsidRPr="00EB1AAB">
        <w:rPr>
          <w:rFonts w:ascii="Arial" w:eastAsia="Arial" w:hAnsi="Arial" w:cs="Arial"/>
          <w:spacing w:val="-3"/>
        </w:rPr>
        <w:t>a</w:t>
      </w:r>
      <w:r w:rsidRPr="00EB1AAB">
        <w:rPr>
          <w:rFonts w:ascii="Arial" w:eastAsia="Arial" w:hAnsi="Arial" w:cs="Arial"/>
        </w:rPr>
        <w:t>n</w:t>
      </w:r>
      <w:r w:rsidRPr="00EB1AAB">
        <w:rPr>
          <w:rFonts w:ascii="Arial" w:eastAsia="Arial" w:hAnsi="Arial" w:cs="Arial"/>
          <w:spacing w:val="3"/>
        </w:rPr>
        <w:t>c</w:t>
      </w:r>
      <w:r w:rsidRPr="00EB1AAB">
        <w:rPr>
          <w:rFonts w:ascii="Arial" w:eastAsia="Arial" w:hAnsi="Arial" w:cs="Arial"/>
        </w:rPr>
        <w:t>e</w:t>
      </w:r>
      <w:r w:rsidRPr="00EB1AAB">
        <w:rPr>
          <w:rFonts w:ascii="Arial" w:eastAsia="Arial" w:hAnsi="Arial" w:cs="Arial"/>
          <w:spacing w:val="9"/>
        </w:rPr>
        <w:t xml:space="preserve"> </w:t>
      </w:r>
      <w:r w:rsidRPr="00EB1AAB">
        <w:rPr>
          <w:rFonts w:ascii="Arial" w:eastAsia="Arial" w:hAnsi="Arial" w:cs="Arial"/>
          <w:spacing w:val="1"/>
        </w:rPr>
        <w:t>s</w:t>
      </w:r>
      <w:r w:rsidRPr="00EB1AAB">
        <w:rPr>
          <w:rFonts w:ascii="Arial" w:eastAsia="Arial" w:hAnsi="Arial" w:cs="Arial"/>
        </w:rPr>
        <w:t>he</w:t>
      </w:r>
      <w:r w:rsidRPr="00EB1AAB">
        <w:rPr>
          <w:rFonts w:ascii="Arial" w:eastAsia="Arial" w:hAnsi="Arial" w:cs="Arial"/>
          <w:spacing w:val="-1"/>
        </w:rPr>
        <w:t>e</w:t>
      </w:r>
      <w:r w:rsidRPr="00EB1AAB">
        <w:rPr>
          <w:rFonts w:ascii="Arial" w:eastAsia="Arial" w:hAnsi="Arial" w:cs="Arial"/>
        </w:rPr>
        <w:t>t</w:t>
      </w:r>
      <w:r w:rsidRPr="00EB1AAB">
        <w:rPr>
          <w:rFonts w:ascii="Arial" w:eastAsia="Arial" w:hAnsi="Arial" w:cs="Arial"/>
          <w:spacing w:val="7"/>
        </w:rPr>
        <w:t xml:space="preserve"> </w:t>
      </w:r>
      <w:r w:rsidRPr="00EB1AAB">
        <w:rPr>
          <w:rFonts w:ascii="Arial" w:eastAsia="Arial" w:hAnsi="Arial" w:cs="Arial"/>
        </w:rPr>
        <w:t>at</w:t>
      </w:r>
      <w:r w:rsidRPr="00EB1AAB">
        <w:rPr>
          <w:rFonts w:ascii="Arial" w:eastAsia="Arial" w:hAnsi="Arial" w:cs="Arial"/>
          <w:spacing w:val="3"/>
        </w:rPr>
        <w:t xml:space="preserve"> </w:t>
      </w:r>
      <w:r w:rsidRPr="00EB1AAB">
        <w:rPr>
          <w:rFonts w:ascii="Arial" w:eastAsia="Arial" w:hAnsi="Arial" w:cs="Arial"/>
          <w:spacing w:val="2"/>
        </w:rPr>
        <w:t>f</w:t>
      </w:r>
      <w:r w:rsidRPr="00EB1AAB">
        <w:rPr>
          <w:rFonts w:ascii="Arial" w:eastAsia="Arial" w:hAnsi="Arial" w:cs="Arial"/>
        </w:rPr>
        <w:t>a</w:t>
      </w:r>
      <w:r w:rsidRPr="00EB1AAB">
        <w:rPr>
          <w:rFonts w:ascii="Arial" w:eastAsia="Arial" w:hAnsi="Arial" w:cs="Arial"/>
          <w:spacing w:val="1"/>
        </w:rPr>
        <w:t>i</w:t>
      </w:r>
      <w:r w:rsidRPr="00EB1AAB">
        <w:rPr>
          <w:rFonts w:ascii="Arial" w:eastAsia="Arial" w:hAnsi="Arial" w:cs="Arial"/>
        </w:rPr>
        <w:t>r</w:t>
      </w:r>
      <w:r w:rsidRPr="00EB1AAB">
        <w:rPr>
          <w:rFonts w:ascii="Arial" w:eastAsia="Arial" w:hAnsi="Arial" w:cs="Arial"/>
          <w:spacing w:val="6"/>
        </w:rPr>
        <w:t xml:space="preserve"> </w:t>
      </w:r>
      <w:r w:rsidRPr="00EB1AAB">
        <w:rPr>
          <w:rFonts w:ascii="Arial" w:eastAsia="Arial" w:hAnsi="Arial" w:cs="Arial"/>
          <w:spacing w:val="-1"/>
        </w:rPr>
        <w:t>v</w:t>
      </w:r>
      <w:r w:rsidRPr="00EB1AAB">
        <w:rPr>
          <w:rFonts w:ascii="Arial" w:eastAsia="Arial" w:hAnsi="Arial" w:cs="Arial"/>
        </w:rPr>
        <w:t>a</w:t>
      </w:r>
      <w:r w:rsidRPr="00EB1AAB">
        <w:rPr>
          <w:rFonts w:ascii="Arial" w:eastAsia="Arial" w:hAnsi="Arial" w:cs="Arial"/>
          <w:spacing w:val="1"/>
        </w:rPr>
        <w:t>l</w:t>
      </w:r>
      <w:r w:rsidRPr="00EB1AAB">
        <w:rPr>
          <w:rFonts w:ascii="Arial" w:eastAsia="Arial" w:hAnsi="Arial" w:cs="Arial"/>
        </w:rPr>
        <w:t>ue</w:t>
      </w:r>
      <w:r w:rsidRPr="00EB1AAB">
        <w:rPr>
          <w:rFonts w:ascii="Arial" w:eastAsia="Arial" w:hAnsi="Arial" w:cs="Arial"/>
          <w:spacing w:val="5"/>
        </w:rPr>
        <w:t xml:space="preserve"> </w:t>
      </w:r>
      <w:r w:rsidRPr="00EB1AAB">
        <w:rPr>
          <w:rFonts w:ascii="Arial" w:eastAsia="Arial" w:hAnsi="Arial" w:cs="Arial"/>
        </w:rPr>
        <w:t>wh</w:t>
      </w:r>
      <w:r w:rsidRPr="00EB1AAB">
        <w:rPr>
          <w:rFonts w:ascii="Arial" w:eastAsia="Arial" w:hAnsi="Arial" w:cs="Arial"/>
          <w:spacing w:val="-1"/>
        </w:rPr>
        <w:t>e</w:t>
      </w:r>
      <w:r w:rsidRPr="00EB1AAB">
        <w:rPr>
          <w:rFonts w:ascii="Arial" w:eastAsia="Arial" w:hAnsi="Arial" w:cs="Arial"/>
        </w:rPr>
        <w:t>n</w:t>
      </w:r>
      <w:r w:rsidRPr="00EB1AAB">
        <w:rPr>
          <w:rFonts w:ascii="Arial" w:eastAsia="Arial" w:hAnsi="Arial" w:cs="Arial"/>
          <w:spacing w:val="3"/>
        </w:rPr>
        <w:t xml:space="preserve"> </w:t>
      </w:r>
      <w:r w:rsidRPr="00EB1AAB">
        <w:rPr>
          <w:rFonts w:ascii="Arial" w:eastAsia="Arial" w:hAnsi="Arial" w:cs="Arial"/>
          <w:spacing w:val="2"/>
        </w:rPr>
        <w:t>t</w:t>
      </w:r>
      <w:r w:rsidRPr="00EB1AAB">
        <w:rPr>
          <w:rFonts w:ascii="Arial" w:eastAsia="Arial" w:hAnsi="Arial" w:cs="Arial"/>
        </w:rPr>
        <w:t>he</w:t>
      </w:r>
      <w:r w:rsidRPr="00EB1AAB">
        <w:rPr>
          <w:rFonts w:ascii="Arial" w:eastAsia="Arial" w:hAnsi="Arial" w:cs="Arial"/>
          <w:spacing w:val="4"/>
        </w:rPr>
        <w:t xml:space="preserve"> </w:t>
      </w:r>
      <w:r w:rsidRPr="00EB1AAB">
        <w:rPr>
          <w:rFonts w:ascii="Arial" w:eastAsia="Arial" w:hAnsi="Arial" w:cs="Arial"/>
          <w:spacing w:val="2"/>
          <w:w w:val="101"/>
        </w:rPr>
        <w:t xml:space="preserve">Authority </w:t>
      </w:r>
      <w:r w:rsidRPr="00EB1AAB">
        <w:rPr>
          <w:rFonts w:ascii="Arial" w:eastAsia="Arial" w:hAnsi="Arial" w:cs="Arial"/>
        </w:rPr>
        <w:t>b</w:t>
      </w:r>
      <w:r w:rsidRPr="00EB1AAB">
        <w:rPr>
          <w:rFonts w:ascii="Arial" w:eastAsia="Arial" w:hAnsi="Arial" w:cs="Arial"/>
          <w:spacing w:val="-3"/>
        </w:rPr>
        <w:t>e</w:t>
      </w:r>
      <w:r w:rsidRPr="00EB1AAB">
        <w:rPr>
          <w:rFonts w:ascii="Arial" w:eastAsia="Arial" w:hAnsi="Arial" w:cs="Arial"/>
          <w:spacing w:val="3"/>
        </w:rPr>
        <w:t>c</w:t>
      </w:r>
      <w:r w:rsidRPr="00EB1AAB">
        <w:rPr>
          <w:rFonts w:ascii="Arial" w:eastAsia="Arial" w:hAnsi="Arial" w:cs="Arial"/>
          <w:spacing w:val="-3"/>
        </w:rPr>
        <w:t>o</w:t>
      </w:r>
      <w:r w:rsidRPr="00EB1AAB">
        <w:rPr>
          <w:rFonts w:ascii="Arial" w:eastAsia="Arial" w:hAnsi="Arial" w:cs="Arial"/>
          <w:spacing w:val="2"/>
        </w:rPr>
        <w:t>m</w:t>
      </w:r>
      <w:r w:rsidRPr="00EB1AAB">
        <w:rPr>
          <w:rFonts w:ascii="Arial" w:eastAsia="Arial" w:hAnsi="Arial" w:cs="Arial"/>
        </w:rPr>
        <w:t>es</w:t>
      </w:r>
      <w:r w:rsidRPr="00EB1AAB">
        <w:rPr>
          <w:rFonts w:ascii="Arial" w:eastAsia="Arial" w:hAnsi="Arial" w:cs="Arial"/>
          <w:spacing w:val="8"/>
        </w:rPr>
        <w:t xml:space="preserve"> </w:t>
      </w:r>
      <w:r w:rsidRPr="00EB1AAB">
        <w:rPr>
          <w:rFonts w:ascii="Arial" w:eastAsia="Arial" w:hAnsi="Arial" w:cs="Arial"/>
        </w:rPr>
        <w:t>a</w:t>
      </w:r>
      <w:r w:rsidRPr="00EB1AAB">
        <w:rPr>
          <w:rFonts w:ascii="Arial" w:eastAsia="Arial" w:hAnsi="Arial" w:cs="Arial"/>
          <w:spacing w:val="4"/>
        </w:rPr>
        <w:t xml:space="preserve"> </w:t>
      </w:r>
      <w:r w:rsidRPr="00EB1AAB">
        <w:rPr>
          <w:rFonts w:ascii="Arial" w:eastAsia="Arial" w:hAnsi="Arial" w:cs="Arial"/>
        </w:rPr>
        <w:t>p</w:t>
      </w:r>
      <w:r w:rsidRPr="00EB1AAB">
        <w:rPr>
          <w:rFonts w:ascii="Arial" w:eastAsia="Arial" w:hAnsi="Arial" w:cs="Arial"/>
          <w:spacing w:val="-1"/>
        </w:rPr>
        <w:t>ar</w:t>
      </w:r>
      <w:r w:rsidRPr="00EB1AAB">
        <w:rPr>
          <w:rFonts w:ascii="Arial" w:eastAsia="Arial" w:hAnsi="Arial" w:cs="Arial"/>
          <w:spacing w:val="5"/>
        </w:rPr>
        <w:t>t</w:t>
      </w:r>
      <w:r w:rsidRPr="00EB1AAB">
        <w:rPr>
          <w:rFonts w:ascii="Arial" w:eastAsia="Arial" w:hAnsi="Arial" w:cs="Arial"/>
        </w:rPr>
        <w:t>y</w:t>
      </w:r>
      <w:r w:rsidRPr="00EB1AAB">
        <w:rPr>
          <w:rFonts w:ascii="Arial" w:eastAsia="Arial" w:hAnsi="Arial" w:cs="Arial"/>
          <w:spacing w:val="2"/>
        </w:rPr>
        <w:t xml:space="preserve"> t</w:t>
      </w:r>
      <w:r w:rsidRPr="00EB1AAB">
        <w:rPr>
          <w:rFonts w:ascii="Arial" w:eastAsia="Arial" w:hAnsi="Arial" w:cs="Arial"/>
        </w:rPr>
        <w:t>o</w:t>
      </w:r>
      <w:r w:rsidRPr="00EB1AAB">
        <w:rPr>
          <w:rFonts w:ascii="Arial" w:eastAsia="Arial" w:hAnsi="Arial" w:cs="Arial"/>
          <w:spacing w:val="3"/>
        </w:rPr>
        <w:t xml:space="preserve"> any </w:t>
      </w:r>
      <w:r w:rsidRPr="00EB1AAB">
        <w:rPr>
          <w:rFonts w:ascii="Arial" w:eastAsia="Arial" w:hAnsi="Arial" w:cs="Arial"/>
          <w:spacing w:val="-1"/>
        </w:rPr>
        <w:t>c</w:t>
      </w:r>
      <w:r w:rsidRPr="00EB1AAB">
        <w:rPr>
          <w:rFonts w:ascii="Arial" w:eastAsia="Arial" w:hAnsi="Arial" w:cs="Arial"/>
          <w:spacing w:val="2"/>
        </w:rPr>
        <w:t>o</w:t>
      </w:r>
      <w:r w:rsidRPr="00EB1AAB">
        <w:rPr>
          <w:rFonts w:ascii="Arial" w:eastAsia="Arial" w:hAnsi="Arial" w:cs="Arial"/>
          <w:spacing w:val="-3"/>
        </w:rPr>
        <w:t>n</w:t>
      </w:r>
      <w:r w:rsidRPr="00EB1AAB">
        <w:rPr>
          <w:rFonts w:ascii="Arial" w:eastAsia="Arial" w:hAnsi="Arial" w:cs="Arial"/>
          <w:spacing w:val="2"/>
        </w:rPr>
        <w:t>t</w:t>
      </w:r>
      <w:r w:rsidRPr="00EB1AAB">
        <w:rPr>
          <w:rFonts w:ascii="Arial" w:eastAsia="Arial" w:hAnsi="Arial" w:cs="Arial"/>
          <w:spacing w:val="-1"/>
        </w:rPr>
        <w:t>r</w:t>
      </w:r>
      <w:r w:rsidRPr="00EB1AAB">
        <w:rPr>
          <w:rFonts w:ascii="Arial" w:eastAsia="Arial" w:hAnsi="Arial" w:cs="Arial"/>
          <w:spacing w:val="-3"/>
        </w:rPr>
        <w:t>a</w:t>
      </w:r>
      <w:r w:rsidRPr="00EB1AAB">
        <w:rPr>
          <w:rFonts w:ascii="Arial" w:eastAsia="Arial" w:hAnsi="Arial" w:cs="Arial"/>
          <w:spacing w:val="1"/>
        </w:rPr>
        <w:t>c</w:t>
      </w:r>
      <w:r w:rsidRPr="00EB1AAB">
        <w:rPr>
          <w:rFonts w:ascii="Arial" w:eastAsia="Arial" w:hAnsi="Arial" w:cs="Arial"/>
          <w:spacing w:val="2"/>
        </w:rPr>
        <w:t>t</w:t>
      </w:r>
      <w:r w:rsidRPr="00EB1AAB">
        <w:rPr>
          <w:rFonts w:ascii="Arial" w:eastAsia="Arial" w:hAnsi="Arial" w:cs="Arial"/>
        </w:rPr>
        <w:t>u</w:t>
      </w:r>
      <w:r w:rsidRPr="00EB1AAB">
        <w:rPr>
          <w:rFonts w:ascii="Arial" w:eastAsia="Arial" w:hAnsi="Arial" w:cs="Arial"/>
          <w:spacing w:val="-3"/>
        </w:rPr>
        <w:t>a</w:t>
      </w:r>
      <w:r w:rsidRPr="00EB1AAB">
        <w:rPr>
          <w:rFonts w:ascii="Arial" w:eastAsia="Arial" w:hAnsi="Arial" w:cs="Arial"/>
        </w:rPr>
        <w:t>l</w:t>
      </w:r>
      <w:r w:rsidRPr="00EB1AAB">
        <w:rPr>
          <w:rFonts w:ascii="Arial" w:eastAsia="Arial" w:hAnsi="Arial" w:cs="Arial"/>
          <w:spacing w:val="15"/>
        </w:rPr>
        <w:t xml:space="preserve"> </w:t>
      </w:r>
      <w:r w:rsidRPr="00EB1AAB">
        <w:rPr>
          <w:rFonts w:ascii="Arial" w:eastAsia="Arial" w:hAnsi="Arial" w:cs="Arial"/>
          <w:spacing w:val="-3"/>
          <w:w w:val="101"/>
        </w:rPr>
        <w:t>p</w:t>
      </w:r>
      <w:r w:rsidRPr="00EB1AAB">
        <w:rPr>
          <w:rFonts w:ascii="Arial" w:eastAsia="Arial" w:hAnsi="Arial" w:cs="Arial"/>
          <w:spacing w:val="1"/>
          <w:w w:val="101"/>
        </w:rPr>
        <w:t>r</w:t>
      </w:r>
      <w:r w:rsidRPr="00EB1AAB">
        <w:rPr>
          <w:rFonts w:ascii="Arial" w:eastAsia="Arial" w:hAnsi="Arial" w:cs="Arial"/>
          <w:w w:val="101"/>
        </w:rPr>
        <w:t>o</w:t>
      </w:r>
      <w:r w:rsidRPr="00EB1AAB">
        <w:rPr>
          <w:rFonts w:ascii="Arial" w:eastAsia="Arial" w:hAnsi="Arial" w:cs="Arial"/>
          <w:spacing w:val="1"/>
          <w:w w:val="101"/>
        </w:rPr>
        <w:t>visi</w:t>
      </w:r>
      <w:r w:rsidRPr="00EB1AAB">
        <w:rPr>
          <w:rFonts w:ascii="Arial" w:eastAsia="Arial" w:hAnsi="Arial" w:cs="Arial"/>
          <w:w w:val="101"/>
        </w:rPr>
        <w:t>o</w:t>
      </w:r>
      <w:r w:rsidRPr="00EB1AAB">
        <w:rPr>
          <w:rFonts w:ascii="Arial" w:eastAsia="Arial" w:hAnsi="Arial" w:cs="Arial"/>
          <w:spacing w:val="-3"/>
          <w:w w:val="101"/>
        </w:rPr>
        <w:t>n</w:t>
      </w:r>
      <w:r w:rsidRPr="00EB1AAB">
        <w:rPr>
          <w:rFonts w:ascii="Arial" w:eastAsia="Arial" w:hAnsi="Arial" w:cs="Arial"/>
          <w:w w:val="101"/>
        </w:rPr>
        <w:t>.</w:t>
      </w:r>
    </w:p>
    <w:p w14:paraId="06557395" w14:textId="77777777" w:rsidR="00655E4C" w:rsidRPr="00EB1AAB" w:rsidRDefault="00655E4C" w:rsidP="00655E4C">
      <w:pPr>
        <w:spacing w:before="6"/>
        <w:ind w:right="-88"/>
        <w:rPr>
          <w:rFonts w:ascii="Arial" w:hAnsi="Arial" w:cs="Arial"/>
        </w:rPr>
      </w:pPr>
    </w:p>
    <w:p w14:paraId="173FCB89" w14:textId="77777777" w:rsidR="00655E4C" w:rsidRPr="00EB1AAB" w:rsidRDefault="00655E4C" w:rsidP="00655E4C">
      <w:pPr>
        <w:pStyle w:val="Heading5underline"/>
      </w:pPr>
      <w:r w:rsidRPr="00EB1AAB">
        <w:t>1.16.1. A</w:t>
      </w:r>
      <w:r w:rsidRPr="00EB1AAB">
        <w:rPr>
          <w:spacing w:val="1"/>
        </w:rPr>
        <w:t>m</w:t>
      </w:r>
      <w:r w:rsidRPr="00EB1AAB">
        <w:rPr>
          <w:spacing w:val="-1"/>
        </w:rPr>
        <w:t>o</w:t>
      </w:r>
      <w:r w:rsidRPr="00EB1AAB">
        <w:rPr>
          <w:spacing w:val="1"/>
        </w:rPr>
        <w:t>r</w:t>
      </w:r>
      <w:r w:rsidRPr="00EB1AAB">
        <w:rPr>
          <w:spacing w:val="-1"/>
        </w:rPr>
        <w:t>t</w:t>
      </w:r>
      <w:r w:rsidRPr="00EB1AAB">
        <w:rPr>
          <w:spacing w:val="2"/>
        </w:rPr>
        <w:t>i</w:t>
      </w:r>
      <w:r w:rsidRPr="00EB1AAB">
        <w:t>sed</w:t>
      </w:r>
      <w:r w:rsidRPr="00EB1AAB">
        <w:rPr>
          <w:spacing w:val="13"/>
        </w:rPr>
        <w:t xml:space="preserve"> </w:t>
      </w:r>
      <w:r w:rsidRPr="00EB1AAB">
        <w:t>C</w:t>
      </w:r>
      <w:r w:rsidRPr="00EB1AAB">
        <w:rPr>
          <w:spacing w:val="1"/>
        </w:rPr>
        <w:t>o</w:t>
      </w:r>
      <w:r w:rsidRPr="00EB1AAB">
        <w:t>st</w:t>
      </w:r>
    </w:p>
    <w:p w14:paraId="05700749" w14:textId="77777777" w:rsidR="00655E4C" w:rsidRPr="00EB1AAB" w:rsidRDefault="00655E4C" w:rsidP="00655E4C">
      <w:pPr>
        <w:ind w:right="-88"/>
        <w:rPr>
          <w:rFonts w:ascii="Arial" w:eastAsia="Arial" w:hAnsi="Arial" w:cs="Arial"/>
          <w:u w:val="single"/>
        </w:rPr>
      </w:pPr>
    </w:p>
    <w:p w14:paraId="35D43E0F" w14:textId="77777777" w:rsidR="00655E4C" w:rsidRPr="00EB1AAB" w:rsidRDefault="00655E4C" w:rsidP="00655E4C">
      <w:pPr>
        <w:spacing w:before="7"/>
        <w:ind w:right="-88"/>
        <w:rPr>
          <w:rFonts w:ascii="Arial" w:eastAsia="Arial" w:hAnsi="Arial" w:cs="Arial"/>
        </w:rPr>
      </w:pPr>
      <w:r w:rsidRPr="00EB1AAB">
        <w:rPr>
          <w:rFonts w:ascii="Arial" w:eastAsia="Arial" w:hAnsi="Arial" w:cs="Arial"/>
          <w:spacing w:val="-1"/>
        </w:rPr>
        <w:t>T</w:t>
      </w:r>
      <w:r w:rsidRPr="00EB1AAB">
        <w:rPr>
          <w:rFonts w:ascii="Arial" w:eastAsia="Arial" w:hAnsi="Arial" w:cs="Arial"/>
        </w:rPr>
        <w:t>h</w:t>
      </w:r>
      <w:r w:rsidRPr="00EB1AAB">
        <w:rPr>
          <w:rFonts w:ascii="Arial" w:eastAsia="Arial" w:hAnsi="Arial" w:cs="Arial"/>
          <w:spacing w:val="-3"/>
        </w:rPr>
        <w:t>e</w:t>
      </w:r>
      <w:r w:rsidRPr="00EB1AAB">
        <w:rPr>
          <w:rFonts w:ascii="Arial" w:eastAsia="Arial" w:hAnsi="Arial" w:cs="Arial"/>
          <w:spacing w:val="3"/>
        </w:rPr>
        <w:t>s</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spacing w:val="-3"/>
        </w:rPr>
        <w:t>a</w:t>
      </w:r>
      <w:r w:rsidRPr="00EB1AAB">
        <w:rPr>
          <w:rFonts w:ascii="Arial" w:eastAsia="Arial" w:hAnsi="Arial" w:cs="Arial"/>
          <w:spacing w:val="1"/>
        </w:rPr>
        <w:t>s</w:t>
      </w:r>
      <w:r w:rsidRPr="00EB1AAB">
        <w:rPr>
          <w:rFonts w:ascii="Arial" w:eastAsia="Arial" w:hAnsi="Arial" w:cs="Arial"/>
          <w:spacing w:val="3"/>
        </w:rPr>
        <w:t>s</w:t>
      </w:r>
      <w:r w:rsidRPr="00EB1AAB">
        <w:rPr>
          <w:rFonts w:ascii="Arial" w:eastAsia="Arial" w:hAnsi="Arial" w:cs="Arial"/>
          <w:spacing w:val="-3"/>
        </w:rPr>
        <w:t>e</w:t>
      </w:r>
      <w:r w:rsidRPr="00EB1AAB">
        <w:rPr>
          <w:rFonts w:ascii="Arial" w:eastAsia="Arial" w:hAnsi="Arial" w:cs="Arial"/>
        </w:rPr>
        <w:t>ts</w:t>
      </w:r>
      <w:r w:rsidRPr="00EB1AAB">
        <w:rPr>
          <w:rFonts w:ascii="Arial" w:eastAsia="Arial" w:hAnsi="Arial" w:cs="Arial"/>
          <w:spacing w:val="9"/>
        </w:rPr>
        <w:t xml:space="preserve"> </w:t>
      </w:r>
      <w:r w:rsidRPr="00EB1AAB">
        <w:rPr>
          <w:rFonts w:ascii="Arial" w:eastAsia="Arial" w:hAnsi="Arial" w:cs="Arial"/>
          <w:spacing w:val="2"/>
        </w:rPr>
        <w:t>r</w:t>
      </w:r>
      <w:r w:rsidRPr="00EB1AAB">
        <w:rPr>
          <w:rFonts w:ascii="Arial" w:eastAsia="Arial" w:hAnsi="Arial" w:cs="Arial"/>
          <w:spacing w:val="-3"/>
        </w:rPr>
        <w:t>e</w:t>
      </w:r>
      <w:r w:rsidRPr="00EB1AAB">
        <w:rPr>
          <w:rFonts w:ascii="Arial" w:eastAsia="Arial" w:hAnsi="Arial" w:cs="Arial"/>
          <w:spacing w:val="3"/>
        </w:rPr>
        <w:t>l</w:t>
      </w:r>
      <w:r w:rsidRPr="00EB1AAB">
        <w:rPr>
          <w:rFonts w:ascii="Arial" w:eastAsia="Arial" w:hAnsi="Arial" w:cs="Arial"/>
          <w:spacing w:val="-3"/>
        </w:rPr>
        <w:t>a</w:t>
      </w:r>
      <w:r w:rsidRPr="00EB1AAB">
        <w:rPr>
          <w:rFonts w:ascii="Arial" w:eastAsia="Arial" w:hAnsi="Arial" w:cs="Arial"/>
          <w:spacing w:val="2"/>
        </w:rPr>
        <w:t>t</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rPr>
        <w:t>to</w:t>
      </w:r>
      <w:r w:rsidRPr="00EB1AAB">
        <w:rPr>
          <w:rFonts w:ascii="Arial" w:eastAsia="Arial" w:hAnsi="Arial" w:cs="Arial"/>
          <w:spacing w:val="6"/>
        </w:rPr>
        <w:t xml:space="preserve"> </w:t>
      </w:r>
      <w:r w:rsidRPr="00EB1AAB">
        <w:rPr>
          <w:rFonts w:ascii="Arial" w:eastAsia="Arial" w:hAnsi="Arial" w:cs="Arial"/>
        </w:rPr>
        <w:t>f</w:t>
      </w:r>
      <w:r w:rsidRPr="00EB1AAB">
        <w:rPr>
          <w:rFonts w:ascii="Arial" w:eastAsia="Arial" w:hAnsi="Arial" w:cs="Arial"/>
          <w:spacing w:val="4"/>
        </w:rPr>
        <w:t>i</w:t>
      </w:r>
      <w:r w:rsidRPr="00EB1AAB">
        <w:rPr>
          <w:rFonts w:ascii="Arial" w:eastAsia="Arial" w:hAnsi="Arial" w:cs="Arial"/>
          <w:spacing w:val="-3"/>
        </w:rPr>
        <w:t>n</w:t>
      </w:r>
      <w:r w:rsidRPr="00EB1AAB">
        <w:rPr>
          <w:rFonts w:ascii="Arial" w:eastAsia="Arial" w:hAnsi="Arial" w:cs="Arial"/>
        </w:rPr>
        <w:t>a</w:t>
      </w:r>
      <w:r w:rsidRPr="00EB1AAB">
        <w:rPr>
          <w:rFonts w:ascii="Arial" w:eastAsia="Arial" w:hAnsi="Arial" w:cs="Arial"/>
          <w:spacing w:val="-3"/>
        </w:rPr>
        <w:t>n</w:t>
      </w:r>
      <w:r w:rsidRPr="00EB1AAB">
        <w:rPr>
          <w:rFonts w:ascii="Arial" w:eastAsia="Arial" w:hAnsi="Arial" w:cs="Arial"/>
          <w:spacing w:val="1"/>
        </w:rPr>
        <w:t>ci</w:t>
      </w:r>
      <w:r w:rsidRPr="00EB1AAB">
        <w:rPr>
          <w:rFonts w:ascii="Arial" w:eastAsia="Arial" w:hAnsi="Arial" w:cs="Arial"/>
        </w:rPr>
        <w:t>al</w:t>
      </w:r>
      <w:r w:rsidRPr="00EB1AAB">
        <w:rPr>
          <w:rFonts w:ascii="Arial" w:eastAsia="Arial" w:hAnsi="Arial" w:cs="Arial"/>
          <w:spacing w:val="12"/>
        </w:rPr>
        <w:t xml:space="preserve"> </w:t>
      </w:r>
      <w:r w:rsidRPr="00EB1AAB">
        <w:rPr>
          <w:rFonts w:ascii="Arial" w:eastAsia="Arial" w:hAnsi="Arial" w:cs="Arial"/>
          <w:spacing w:val="1"/>
        </w:rPr>
        <w:t>i</w:t>
      </w:r>
      <w:r w:rsidRPr="00EB1AAB">
        <w:rPr>
          <w:rFonts w:ascii="Arial" w:eastAsia="Arial" w:hAnsi="Arial" w:cs="Arial"/>
          <w:spacing w:val="-3"/>
        </w:rPr>
        <w:t>n</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2"/>
        </w:rPr>
        <w:t>r</w:t>
      </w:r>
      <w:r w:rsidRPr="00EB1AAB">
        <w:rPr>
          <w:rFonts w:ascii="Arial" w:eastAsia="Arial" w:hAnsi="Arial" w:cs="Arial"/>
          <w:spacing w:val="-2"/>
        </w:rPr>
        <w:t>u</w:t>
      </w:r>
      <w:r w:rsidRPr="00EB1AAB">
        <w:rPr>
          <w:rFonts w:ascii="Arial" w:eastAsia="Arial" w:hAnsi="Arial" w:cs="Arial"/>
          <w:spacing w:val="2"/>
        </w:rPr>
        <w:t>m</w:t>
      </w:r>
      <w:r w:rsidRPr="00EB1AAB">
        <w:rPr>
          <w:rFonts w:ascii="Arial" w:eastAsia="Arial" w:hAnsi="Arial" w:cs="Arial"/>
          <w:spacing w:val="-3"/>
        </w:rPr>
        <w:t>e</w:t>
      </w:r>
      <w:r w:rsidRPr="00EB1AAB">
        <w:rPr>
          <w:rFonts w:ascii="Arial" w:eastAsia="Arial" w:hAnsi="Arial" w:cs="Arial"/>
        </w:rPr>
        <w:t>n</w:t>
      </w:r>
      <w:r w:rsidRPr="00EB1AAB">
        <w:rPr>
          <w:rFonts w:ascii="Arial" w:eastAsia="Arial" w:hAnsi="Arial" w:cs="Arial"/>
          <w:spacing w:val="-1"/>
        </w:rPr>
        <w:t>t</w:t>
      </w:r>
      <w:r w:rsidRPr="00EB1AAB">
        <w:rPr>
          <w:rFonts w:ascii="Arial" w:eastAsia="Arial" w:hAnsi="Arial" w:cs="Arial"/>
        </w:rPr>
        <w:t>s</w:t>
      </w:r>
      <w:r w:rsidRPr="00EB1AAB">
        <w:rPr>
          <w:rFonts w:ascii="Arial" w:eastAsia="Arial" w:hAnsi="Arial" w:cs="Arial"/>
          <w:spacing w:val="16"/>
        </w:rPr>
        <w:t xml:space="preserve"> </w:t>
      </w:r>
      <w:r w:rsidRPr="00EB1AAB">
        <w:rPr>
          <w:rFonts w:ascii="Arial" w:eastAsia="Arial" w:hAnsi="Arial" w:cs="Arial"/>
        </w:rPr>
        <w:t>wh</w:t>
      </w:r>
      <w:r w:rsidRPr="00EB1AAB">
        <w:rPr>
          <w:rFonts w:ascii="Arial" w:eastAsia="Arial" w:hAnsi="Arial" w:cs="Arial"/>
          <w:spacing w:val="-1"/>
        </w:rPr>
        <w:t>er</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rPr>
        <w:t>t</w:t>
      </w:r>
      <w:r w:rsidRPr="00EB1AAB">
        <w:rPr>
          <w:rFonts w:ascii="Arial" w:eastAsia="Arial" w:hAnsi="Arial" w:cs="Arial"/>
          <w:spacing w:val="2"/>
        </w:rPr>
        <w:t>h</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spacing w:val="-2"/>
        </w:rPr>
        <w:t>a</w:t>
      </w:r>
      <w:r w:rsidRPr="00EB1AAB">
        <w:rPr>
          <w:rFonts w:ascii="Arial" w:eastAsia="Arial" w:hAnsi="Arial" w:cs="Arial"/>
          <w:spacing w:val="2"/>
        </w:rPr>
        <w:t>m</w:t>
      </w:r>
      <w:r w:rsidRPr="00EB1AAB">
        <w:rPr>
          <w:rFonts w:ascii="Arial" w:eastAsia="Arial" w:hAnsi="Arial" w:cs="Arial"/>
        </w:rPr>
        <w:t>o</w:t>
      </w:r>
      <w:r w:rsidRPr="00EB1AAB">
        <w:rPr>
          <w:rFonts w:ascii="Arial" w:eastAsia="Arial" w:hAnsi="Arial" w:cs="Arial"/>
          <w:spacing w:val="2"/>
        </w:rPr>
        <w:t>u</w:t>
      </w:r>
      <w:r w:rsidRPr="00EB1AAB">
        <w:rPr>
          <w:rFonts w:ascii="Arial" w:eastAsia="Arial" w:hAnsi="Arial" w:cs="Arial"/>
          <w:spacing w:val="-3"/>
        </w:rPr>
        <w:t>n</w:t>
      </w:r>
      <w:r w:rsidRPr="00EB1AAB">
        <w:rPr>
          <w:rFonts w:ascii="Arial" w:eastAsia="Arial" w:hAnsi="Arial" w:cs="Arial"/>
          <w:spacing w:val="2"/>
        </w:rPr>
        <w:t>t</w:t>
      </w:r>
      <w:r w:rsidRPr="00EB1AAB">
        <w:rPr>
          <w:rFonts w:ascii="Arial" w:eastAsia="Arial" w:hAnsi="Arial" w:cs="Arial"/>
        </w:rPr>
        <w:t>s</w:t>
      </w:r>
      <w:r w:rsidRPr="00EB1AAB">
        <w:rPr>
          <w:rFonts w:ascii="Arial" w:eastAsia="Arial" w:hAnsi="Arial" w:cs="Arial"/>
          <w:spacing w:val="11"/>
        </w:rPr>
        <w:t xml:space="preserve"> </w:t>
      </w:r>
      <w:r w:rsidRPr="00EB1AAB">
        <w:rPr>
          <w:rFonts w:ascii="Arial" w:eastAsia="Arial" w:hAnsi="Arial" w:cs="Arial"/>
          <w:spacing w:val="-1"/>
        </w:rPr>
        <w:t>r</w:t>
      </w:r>
      <w:r w:rsidRPr="00EB1AAB">
        <w:rPr>
          <w:rFonts w:ascii="Arial" w:eastAsia="Arial" w:hAnsi="Arial" w:cs="Arial"/>
          <w:spacing w:val="-3"/>
        </w:rPr>
        <w:t>e</w:t>
      </w:r>
      <w:r w:rsidRPr="00EB1AAB">
        <w:rPr>
          <w:rFonts w:ascii="Arial" w:eastAsia="Arial" w:hAnsi="Arial" w:cs="Arial"/>
          <w:spacing w:val="3"/>
        </w:rPr>
        <w:t>c</w:t>
      </w:r>
      <w:r w:rsidRPr="00EB1AAB">
        <w:rPr>
          <w:rFonts w:ascii="Arial" w:eastAsia="Arial" w:hAnsi="Arial" w:cs="Arial"/>
          <w:spacing w:val="-3"/>
        </w:rPr>
        <w:t>e</w:t>
      </w:r>
      <w:r w:rsidRPr="00EB1AAB">
        <w:rPr>
          <w:rFonts w:ascii="Arial" w:eastAsia="Arial" w:hAnsi="Arial" w:cs="Arial"/>
          <w:spacing w:val="4"/>
        </w:rPr>
        <w:t>i</w:t>
      </w:r>
      <w:r w:rsidRPr="00EB1AAB">
        <w:rPr>
          <w:rFonts w:ascii="Arial" w:eastAsia="Arial" w:hAnsi="Arial" w:cs="Arial"/>
          <w:spacing w:val="-1"/>
        </w:rPr>
        <w:t>v</w:t>
      </w:r>
      <w:r w:rsidRPr="00EB1AAB">
        <w:rPr>
          <w:rFonts w:ascii="Arial" w:eastAsia="Arial" w:hAnsi="Arial" w:cs="Arial"/>
        </w:rPr>
        <w:t>ed</w:t>
      </w:r>
      <w:r w:rsidRPr="00EB1AAB">
        <w:rPr>
          <w:rFonts w:ascii="Arial" w:eastAsia="Arial" w:hAnsi="Arial" w:cs="Arial"/>
          <w:spacing w:val="10"/>
        </w:rPr>
        <w:t xml:space="preserve"> a</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spacing w:val="-1"/>
        </w:rPr>
        <w:t>s</w:t>
      </w:r>
      <w:r w:rsidRPr="00EB1AAB">
        <w:rPr>
          <w:rFonts w:ascii="Arial" w:eastAsia="Arial" w:hAnsi="Arial" w:cs="Arial"/>
        </w:rPr>
        <w:t>o</w:t>
      </w:r>
      <w:r w:rsidRPr="00EB1AAB">
        <w:rPr>
          <w:rFonts w:ascii="Arial" w:eastAsia="Arial" w:hAnsi="Arial" w:cs="Arial"/>
          <w:spacing w:val="1"/>
        </w:rPr>
        <w:t>l</w:t>
      </w:r>
      <w:r w:rsidRPr="00EB1AAB">
        <w:rPr>
          <w:rFonts w:ascii="Arial" w:eastAsia="Arial" w:hAnsi="Arial" w:cs="Arial"/>
        </w:rPr>
        <w:t>e</w:t>
      </w:r>
      <w:r w:rsidRPr="00EB1AAB">
        <w:rPr>
          <w:rFonts w:ascii="Arial" w:eastAsia="Arial" w:hAnsi="Arial" w:cs="Arial"/>
          <w:spacing w:val="3"/>
        </w:rPr>
        <w:t>l</w:t>
      </w:r>
      <w:r w:rsidRPr="00EB1AAB">
        <w:rPr>
          <w:rFonts w:ascii="Arial" w:eastAsia="Arial" w:hAnsi="Arial" w:cs="Arial"/>
        </w:rPr>
        <w:t>y</w:t>
      </w:r>
      <w:r w:rsidRPr="00EB1AAB">
        <w:rPr>
          <w:rFonts w:ascii="Arial" w:eastAsia="Arial" w:hAnsi="Arial" w:cs="Arial"/>
          <w:spacing w:val="6"/>
        </w:rPr>
        <w:t xml:space="preserve"> </w:t>
      </w:r>
      <w:r w:rsidRPr="00EB1AAB">
        <w:rPr>
          <w:rFonts w:ascii="Arial" w:eastAsia="Arial" w:hAnsi="Arial" w:cs="Arial"/>
        </w:rPr>
        <w:t>p</w:t>
      </w:r>
      <w:r w:rsidRPr="00EB1AAB">
        <w:rPr>
          <w:rFonts w:ascii="Arial" w:eastAsia="Arial" w:hAnsi="Arial" w:cs="Arial"/>
          <w:spacing w:val="-1"/>
        </w:rPr>
        <w:t>r</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2"/>
        </w:rPr>
        <w:t>c</w:t>
      </w:r>
      <w:r w:rsidRPr="00EB1AAB">
        <w:rPr>
          <w:rFonts w:ascii="Arial" w:eastAsia="Arial" w:hAnsi="Arial" w:cs="Arial"/>
          <w:spacing w:val="4"/>
        </w:rPr>
        <w:t>i</w:t>
      </w:r>
      <w:r w:rsidRPr="00EB1AAB">
        <w:rPr>
          <w:rFonts w:ascii="Arial" w:eastAsia="Arial" w:hAnsi="Arial" w:cs="Arial"/>
        </w:rPr>
        <w:t>pal</w:t>
      </w:r>
      <w:r w:rsidRPr="00EB1AAB">
        <w:rPr>
          <w:rFonts w:ascii="Arial" w:eastAsia="Arial" w:hAnsi="Arial" w:cs="Arial"/>
          <w:spacing w:val="13"/>
        </w:rPr>
        <w:t xml:space="preserve"> </w:t>
      </w:r>
      <w:r w:rsidRPr="00EB1AAB">
        <w:rPr>
          <w:rFonts w:ascii="Arial" w:eastAsia="Arial" w:hAnsi="Arial" w:cs="Arial"/>
          <w:spacing w:val="-3"/>
        </w:rPr>
        <w:t>a</w:t>
      </w:r>
      <w:r w:rsidRPr="00EB1AAB">
        <w:rPr>
          <w:rFonts w:ascii="Arial" w:eastAsia="Arial" w:hAnsi="Arial" w:cs="Arial"/>
        </w:rPr>
        <w:t>nd</w:t>
      </w:r>
      <w:r w:rsidRPr="00EB1AAB">
        <w:rPr>
          <w:rFonts w:ascii="Arial" w:eastAsia="Arial" w:hAnsi="Arial" w:cs="Arial"/>
          <w:spacing w:val="2"/>
        </w:rPr>
        <w:t xml:space="preserve"> </w:t>
      </w:r>
      <w:r w:rsidRPr="00EB1AAB">
        <w:rPr>
          <w:rFonts w:ascii="Arial" w:eastAsia="Arial" w:hAnsi="Arial" w:cs="Arial"/>
          <w:spacing w:val="4"/>
        </w:rPr>
        <w:t>i</w:t>
      </w:r>
      <w:r w:rsidRPr="00EB1AAB">
        <w:rPr>
          <w:rFonts w:ascii="Arial" w:eastAsia="Arial" w:hAnsi="Arial" w:cs="Arial"/>
          <w:spacing w:val="-3"/>
        </w:rPr>
        <w:t>n</w:t>
      </w:r>
      <w:r w:rsidRPr="00EB1AAB">
        <w:rPr>
          <w:rFonts w:ascii="Arial" w:eastAsia="Arial" w:hAnsi="Arial" w:cs="Arial"/>
          <w:spacing w:val="5"/>
        </w:rPr>
        <w:t>t</w:t>
      </w:r>
      <w:r w:rsidRPr="00EB1AAB">
        <w:rPr>
          <w:rFonts w:ascii="Arial" w:eastAsia="Arial" w:hAnsi="Arial" w:cs="Arial"/>
          <w:spacing w:val="-3"/>
        </w:rPr>
        <w:t>e</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14"/>
        </w:rPr>
        <w:t xml:space="preserve"> </w:t>
      </w:r>
      <w:r w:rsidRPr="00EB1AAB">
        <w:rPr>
          <w:rFonts w:ascii="Arial" w:eastAsia="Arial" w:hAnsi="Arial" w:cs="Arial"/>
          <w:spacing w:val="-3"/>
        </w:rPr>
        <w:t>a</w:t>
      </w:r>
      <w:r w:rsidRPr="00EB1AAB">
        <w:rPr>
          <w:rFonts w:ascii="Arial" w:eastAsia="Arial" w:hAnsi="Arial" w:cs="Arial"/>
          <w:spacing w:val="2"/>
        </w:rPr>
        <w:t>n</w:t>
      </w:r>
      <w:r w:rsidRPr="00EB1AAB">
        <w:rPr>
          <w:rFonts w:ascii="Arial" w:eastAsia="Arial" w:hAnsi="Arial" w:cs="Arial"/>
        </w:rPr>
        <w:t>d</w:t>
      </w:r>
      <w:r w:rsidRPr="00EB1AAB">
        <w:rPr>
          <w:rFonts w:ascii="Arial" w:eastAsia="Arial" w:hAnsi="Arial" w:cs="Arial"/>
          <w:spacing w:val="5"/>
        </w:rPr>
        <w:t xml:space="preserve"> </w:t>
      </w:r>
      <w:r w:rsidRPr="00EB1AAB">
        <w:rPr>
          <w:rFonts w:ascii="Arial" w:eastAsia="Arial" w:hAnsi="Arial" w:cs="Arial"/>
        </w:rPr>
        <w:t>th</w:t>
      </w:r>
      <w:r w:rsidRPr="00EB1AAB">
        <w:rPr>
          <w:rFonts w:ascii="Arial" w:eastAsia="Arial" w:hAnsi="Arial" w:cs="Arial"/>
          <w:spacing w:val="2"/>
        </w:rPr>
        <w:t>e</w:t>
      </w:r>
      <w:r w:rsidRPr="00EB1AAB">
        <w:rPr>
          <w:rFonts w:ascii="Arial" w:eastAsia="Arial" w:hAnsi="Arial" w:cs="Arial"/>
        </w:rPr>
        <w:t>y</w:t>
      </w:r>
      <w:r w:rsidRPr="00EB1AAB">
        <w:rPr>
          <w:rFonts w:ascii="Arial" w:eastAsia="Arial" w:hAnsi="Arial" w:cs="Arial"/>
          <w:spacing w:val="4"/>
        </w:rPr>
        <w:t xml:space="preserve"> </w:t>
      </w:r>
      <w:r w:rsidRPr="00EB1AAB">
        <w:rPr>
          <w:rFonts w:ascii="Arial" w:eastAsia="Arial" w:hAnsi="Arial" w:cs="Arial"/>
        </w:rPr>
        <w:t>a</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rPr>
        <w:t>h</w:t>
      </w:r>
      <w:r w:rsidRPr="00EB1AAB">
        <w:rPr>
          <w:rFonts w:ascii="Arial" w:eastAsia="Arial" w:hAnsi="Arial" w:cs="Arial"/>
          <w:spacing w:val="-3"/>
        </w:rPr>
        <w:t>e</w:t>
      </w:r>
      <w:r w:rsidRPr="00EB1AAB">
        <w:rPr>
          <w:rFonts w:ascii="Arial" w:eastAsia="Arial" w:hAnsi="Arial" w:cs="Arial"/>
          <w:spacing w:val="3"/>
        </w:rPr>
        <w:t>l</w:t>
      </w:r>
      <w:r w:rsidRPr="00EB1AAB">
        <w:rPr>
          <w:rFonts w:ascii="Arial" w:eastAsia="Arial" w:hAnsi="Arial" w:cs="Arial"/>
        </w:rPr>
        <w:t>d</w:t>
      </w:r>
      <w:r w:rsidRPr="00EB1AAB">
        <w:rPr>
          <w:rFonts w:ascii="Arial" w:eastAsia="Arial" w:hAnsi="Arial" w:cs="Arial"/>
          <w:spacing w:val="5"/>
        </w:rPr>
        <w:t xml:space="preserve"> </w:t>
      </w:r>
      <w:r w:rsidRPr="00EB1AAB">
        <w:rPr>
          <w:rFonts w:ascii="Arial" w:eastAsia="Arial" w:hAnsi="Arial" w:cs="Arial"/>
        </w:rPr>
        <w:t>in a hold to collect business model</w:t>
      </w:r>
      <w:r w:rsidRPr="00EB1AAB">
        <w:rPr>
          <w:rFonts w:ascii="Arial" w:eastAsia="Arial" w:hAnsi="Arial" w:cs="Arial"/>
          <w:spacing w:val="7"/>
        </w:rPr>
        <w:t xml:space="preserve"> </w:t>
      </w:r>
      <w:r w:rsidRPr="00EB1AAB">
        <w:rPr>
          <w:rFonts w:ascii="Arial" w:eastAsia="Arial" w:hAnsi="Arial" w:cs="Arial"/>
          <w:spacing w:val="1"/>
          <w:w w:val="101"/>
        </w:rPr>
        <w:t>(</w:t>
      </w:r>
      <w:r w:rsidRPr="00EB1AAB">
        <w:rPr>
          <w:rFonts w:ascii="Arial" w:eastAsia="Arial" w:hAnsi="Arial" w:cs="Arial"/>
          <w:w w:val="101"/>
        </w:rPr>
        <w:t>e.</w:t>
      </w:r>
      <w:r w:rsidRPr="00EB1AAB">
        <w:rPr>
          <w:rFonts w:ascii="Arial" w:eastAsia="Arial" w:hAnsi="Arial" w:cs="Arial"/>
          <w:spacing w:val="-3"/>
          <w:w w:val="101"/>
        </w:rPr>
        <w:t xml:space="preserve">g. </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1"/>
        </w:rPr>
        <w:t>v</w:t>
      </w:r>
      <w:r w:rsidRPr="00EB1AAB">
        <w:rPr>
          <w:rFonts w:ascii="Arial" w:eastAsia="Arial" w:hAnsi="Arial" w:cs="Arial"/>
          <w:spacing w:val="-2"/>
        </w:rPr>
        <w:t>e</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2"/>
        </w:rPr>
        <w:t>m</w:t>
      </w:r>
      <w:r w:rsidRPr="00EB1AAB">
        <w:rPr>
          <w:rFonts w:ascii="Arial" w:eastAsia="Arial" w:hAnsi="Arial" w:cs="Arial"/>
          <w:spacing w:val="-2"/>
        </w:rPr>
        <w:t>e</w:t>
      </w:r>
      <w:r w:rsidRPr="00EB1AAB">
        <w:rPr>
          <w:rFonts w:ascii="Arial" w:eastAsia="Arial" w:hAnsi="Arial" w:cs="Arial"/>
        </w:rPr>
        <w:t>nts</w:t>
      </w:r>
      <w:r w:rsidRPr="00EB1AAB">
        <w:rPr>
          <w:rFonts w:ascii="Arial" w:eastAsia="Arial" w:hAnsi="Arial" w:cs="Arial"/>
          <w:spacing w:val="14"/>
        </w:rPr>
        <w:t xml:space="preserve"> </w:t>
      </w:r>
      <w:r w:rsidRPr="00EB1AAB">
        <w:rPr>
          <w:rFonts w:ascii="Arial" w:eastAsia="Arial" w:hAnsi="Arial" w:cs="Arial"/>
        </w:rPr>
        <w:t>of</w:t>
      </w:r>
      <w:r w:rsidRPr="00EB1AAB">
        <w:rPr>
          <w:rFonts w:ascii="Arial" w:eastAsia="Arial" w:hAnsi="Arial" w:cs="Arial"/>
          <w:spacing w:val="5"/>
        </w:rPr>
        <w:t xml:space="preserve"> </w:t>
      </w:r>
      <w:r w:rsidRPr="00EB1AAB">
        <w:rPr>
          <w:rFonts w:ascii="Arial" w:eastAsia="Arial" w:hAnsi="Arial" w:cs="Arial"/>
          <w:spacing w:val="1"/>
        </w:rPr>
        <w:t>s</w:t>
      </w:r>
      <w:r w:rsidRPr="00EB1AAB">
        <w:rPr>
          <w:rFonts w:ascii="Arial" w:eastAsia="Arial" w:hAnsi="Arial" w:cs="Arial"/>
          <w:spacing w:val="-2"/>
        </w:rPr>
        <w:t>u</w:t>
      </w:r>
      <w:r w:rsidRPr="00EB1AAB">
        <w:rPr>
          <w:rFonts w:ascii="Arial" w:eastAsia="Arial" w:hAnsi="Arial" w:cs="Arial"/>
          <w:spacing w:val="-1"/>
        </w:rPr>
        <w:t>r</w:t>
      </w:r>
      <w:r w:rsidRPr="00EB1AAB">
        <w:rPr>
          <w:rFonts w:ascii="Arial" w:eastAsia="Arial" w:hAnsi="Arial" w:cs="Arial"/>
        </w:rPr>
        <w:t>p</w:t>
      </w:r>
      <w:r w:rsidRPr="00EB1AAB">
        <w:rPr>
          <w:rFonts w:ascii="Arial" w:eastAsia="Arial" w:hAnsi="Arial" w:cs="Arial"/>
          <w:spacing w:val="1"/>
        </w:rPr>
        <w:t>l</w:t>
      </w:r>
      <w:r w:rsidRPr="00EB1AAB">
        <w:rPr>
          <w:rFonts w:ascii="Arial" w:eastAsia="Arial" w:hAnsi="Arial" w:cs="Arial"/>
        </w:rPr>
        <w:t>us</w:t>
      </w:r>
      <w:r w:rsidRPr="00EB1AAB">
        <w:rPr>
          <w:rFonts w:ascii="Arial" w:eastAsia="Arial" w:hAnsi="Arial" w:cs="Arial"/>
          <w:spacing w:val="11"/>
        </w:rPr>
        <w:t xml:space="preserve"> </w:t>
      </w:r>
      <w:r w:rsidRPr="00EB1AAB">
        <w:rPr>
          <w:rFonts w:ascii="Arial" w:eastAsia="Arial" w:hAnsi="Arial" w:cs="Arial"/>
          <w:spacing w:val="-2"/>
        </w:rPr>
        <w:t>c</w:t>
      </w:r>
      <w:r w:rsidRPr="00EB1AAB">
        <w:rPr>
          <w:rFonts w:ascii="Arial" w:eastAsia="Arial" w:hAnsi="Arial" w:cs="Arial"/>
        </w:rPr>
        <w:t>a</w:t>
      </w:r>
      <w:r w:rsidRPr="00EB1AAB">
        <w:rPr>
          <w:rFonts w:ascii="Arial" w:eastAsia="Arial" w:hAnsi="Arial" w:cs="Arial"/>
          <w:spacing w:val="1"/>
        </w:rPr>
        <w:t>s</w:t>
      </w:r>
      <w:r w:rsidRPr="00EB1AAB">
        <w:rPr>
          <w:rFonts w:ascii="Arial" w:eastAsia="Arial" w:hAnsi="Arial" w:cs="Arial"/>
        </w:rPr>
        <w:t>h</w:t>
      </w:r>
      <w:r w:rsidRPr="00EB1AAB">
        <w:rPr>
          <w:rFonts w:ascii="Arial" w:eastAsia="Arial" w:hAnsi="Arial" w:cs="Arial"/>
          <w:spacing w:val="6"/>
        </w:rPr>
        <w:t xml:space="preserve"> </w:t>
      </w:r>
      <w:r w:rsidRPr="00EB1AAB">
        <w:rPr>
          <w:rFonts w:ascii="Arial" w:eastAsia="Arial" w:hAnsi="Arial" w:cs="Arial"/>
          <w:spacing w:val="-3"/>
        </w:rPr>
        <w:t>w</w:t>
      </w:r>
      <w:r w:rsidRPr="00EB1AAB">
        <w:rPr>
          <w:rFonts w:ascii="Arial" w:eastAsia="Arial" w:hAnsi="Arial" w:cs="Arial"/>
          <w:spacing w:val="4"/>
        </w:rPr>
        <w:t>i</w:t>
      </w:r>
      <w:r w:rsidRPr="00EB1AAB">
        <w:rPr>
          <w:rFonts w:ascii="Arial" w:eastAsia="Arial" w:hAnsi="Arial" w:cs="Arial"/>
        </w:rPr>
        <w:t>th</w:t>
      </w:r>
      <w:r w:rsidRPr="00EB1AAB">
        <w:rPr>
          <w:rFonts w:ascii="Arial" w:eastAsia="Arial" w:hAnsi="Arial" w:cs="Arial"/>
          <w:spacing w:val="5"/>
        </w:rPr>
        <w:t xml:space="preserve"> </w:t>
      </w:r>
      <w:r w:rsidRPr="00EB1AAB">
        <w:rPr>
          <w:rFonts w:ascii="Arial" w:eastAsia="Arial" w:hAnsi="Arial" w:cs="Arial"/>
        </w:rPr>
        <w:t>t</w:t>
      </w:r>
      <w:r w:rsidRPr="00EB1AAB">
        <w:rPr>
          <w:rFonts w:ascii="Arial" w:eastAsia="Arial" w:hAnsi="Arial" w:cs="Arial"/>
          <w:spacing w:val="2"/>
        </w:rPr>
        <w:t>h</w:t>
      </w:r>
      <w:r w:rsidRPr="00EB1AAB">
        <w:rPr>
          <w:rFonts w:ascii="Arial" w:eastAsia="Arial" w:hAnsi="Arial" w:cs="Arial"/>
        </w:rPr>
        <w:t>e</w:t>
      </w:r>
      <w:r w:rsidRPr="00EB1AAB">
        <w:rPr>
          <w:rFonts w:ascii="Arial" w:eastAsia="Arial" w:hAnsi="Arial" w:cs="Arial"/>
          <w:spacing w:val="1"/>
        </w:rPr>
        <w:t xml:space="preserve"> </w:t>
      </w:r>
      <w:r w:rsidRPr="00EB1AAB">
        <w:rPr>
          <w:rFonts w:ascii="Arial" w:eastAsia="Arial" w:hAnsi="Arial" w:cs="Arial"/>
          <w:spacing w:val="2"/>
        </w:rPr>
        <w:t>g</w:t>
      </w:r>
      <w:r w:rsidRPr="00EB1AAB">
        <w:rPr>
          <w:rFonts w:ascii="Arial" w:eastAsia="Arial" w:hAnsi="Arial" w:cs="Arial"/>
          <w:spacing w:val="-3"/>
        </w:rPr>
        <w:t>o</w:t>
      </w:r>
      <w:r w:rsidRPr="00EB1AAB">
        <w:rPr>
          <w:rFonts w:ascii="Arial" w:eastAsia="Arial" w:hAnsi="Arial" w:cs="Arial"/>
          <w:spacing w:val="1"/>
        </w:rPr>
        <w:t>v</w:t>
      </w:r>
      <w:r w:rsidRPr="00EB1AAB">
        <w:rPr>
          <w:rFonts w:ascii="Arial" w:eastAsia="Arial" w:hAnsi="Arial" w:cs="Arial"/>
          <w:spacing w:val="2"/>
        </w:rPr>
        <w:t>e</w:t>
      </w:r>
      <w:r w:rsidRPr="00EB1AAB">
        <w:rPr>
          <w:rFonts w:ascii="Arial" w:eastAsia="Arial" w:hAnsi="Arial" w:cs="Arial"/>
          <w:spacing w:val="-1"/>
        </w:rPr>
        <w:t>r</w:t>
      </w:r>
      <w:r w:rsidRPr="00EB1AAB">
        <w:rPr>
          <w:rFonts w:ascii="Arial" w:eastAsia="Arial" w:hAnsi="Arial" w:cs="Arial"/>
          <w:spacing w:val="-3"/>
        </w:rPr>
        <w:t>n</w:t>
      </w:r>
      <w:r w:rsidRPr="00EB1AAB">
        <w:rPr>
          <w:rFonts w:ascii="Arial" w:eastAsia="Arial" w:hAnsi="Arial" w:cs="Arial"/>
          <w:spacing w:val="5"/>
        </w:rPr>
        <w:t>m</w:t>
      </w:r>
      <w:r w:rsidRPr="00EB1AAB">
        <w:rPr>
          <w:rFonts w:ascii="Arial" w:eastAsia="Arial" w:hAnsi="Arial" w:cs="Arial"/>
        </w:rPr>
        <w:t>e</w:t>
      </w:r>
      <w:r w:rsidRPr="00EB1AAB">
        <w:rPr>
          <w:rFonts w:ascii="Arial" w:eastAsia="Arial" w:hAnsi="Arial" w:cs="Arial"/>
          <w:spacing w:val="-3"/>
        </w:rPr>
        <w:t>n</w:t>
      </w:r>
      <w:r w:rsidRPr="00EB1AAB">
        <w:rPr>
          <w:rFonts w:ascii="Arial" w:eastAsia="Arial" w:hAnsi="Arial" w:cs="Arial"/>
        </w:rPr>
        <w:t>t</w:t>
      </w:r>
      <w:r w:rsidRPr="00EB1AAB">
        <w:rPr>
          <w:rFonts w:ascii="Arial" w:eastAsia="Arial" w:hAnsi="Arial" w:cs="Arial"/>
          <w:spacing w:val="4"/>
        </w:rPr>
        <w:t>’</w:t>
      </w:r>
      <w:r w:rsidRPr="00EB1AAB">
        <w:rPr>
          <w:rFonts w:ascii="Arial" w:eastAsia="Arial" w:hAnsi="Arial" w:cs="Arial"/>
        </w:rPr>
        <w:t>s</w:t>
      </w:r>
      <w:r w:rsidRPr="00EB1AAB">
        <w:rPr>
          <w:rFonts w:ascii="Arial" w:eastAsia="Arial" w:hAnsi="Arial" w:cs="Arial"/>
          <w:spacing w:val="16"/>
        </w:rPr>
        <w:t xml:space="preserve"> </w:t>
      </w:r>
      <w:r w:rsidRPr="00EB1AAB">
        <w:rPr>
          <w:rFonts w:ascii="Arial" w:eastAsia="Arial" w:hAnsi="Arial" w:cs="Arial"/>
          <w:spacing w:val="-3"/>
        </w:rPr>
        <w:t>d</w:t>
      </w:r>
      <w:r w:rsidRPr="00EB1AAB">
        <w:rPr>
          <w:rFonts w:ascii="Arial" w:eastAsia="Arial" w:hAnsi="Arial" w:cs="Arial"/>
          <w:spacing w:val="2"/>
        </w:rPr>
        <w:t>e</w:t>
      </w:r>
      <w:r w:rsidRPr="00EB1AAB">
        <w:rPr>
          <w:rFonts w:ascii="Arial" w:eastAsia="Arial" w:hAnsi="Arial" w:cs="Arial"/>
          <w:spacing w:val="-2"/>
        </w:rPr>
        <w:t>b</w:t>
      </w:r>
      <w:r w:rsidRPr="00EB1AAB">
        <w:rPr>
          <w:rFonts w:ascii="Arial" w:eastAsia="Arial" w:hAnsi="Arial" w:cs="Arial"/>
        </w:rPr>
        <w:t>t</w:t>
      </w:r>
      <w:r w:rsidRPr="00EB1AAB">
        <w:rPr>
          <w:rFonts w:ascii="Arial" w:eastAsia="Arial" w:hAnsi="Arial" w:cs="Arial"/>
          <w:spacing w:val="7"/>
        </w:rPr>
        <w:t xml:space="preserve"> </w:t>
      </w:r>
      <w:r w:rsidRPr="00EB1AAB">
        <w:rPr>
          <w:rFonts w:ascii="Arial" w:eastAsia="Arial" w:hAnsi="Arial" w:cs="Arial"/>
          <w:spacing w:val="2"/>
        </w:rPr>
        <w:t>m</w:t>
      </w:r>
      <w:r w:rsidRPr="00EB1AAB">
        <w:rPr>
          <w:rFonts w:ascii="Arial" w:eastAsia="Arial" w:hAnsi="Arial" w:cs="Arial"/>
          <w:spacing w:val="-3"/>
        </w:rPr>
        <w:t>a</w:t>
      </w:r>
      <w:r w:rsidRPr="00EB1AAB">
        <w:rPr>
          <w:rFonts w:ascii="Arial" w:eastAsia="Arial" w:hAnsi="Arial" w:cs="Arial"/>
          <w:spacing w:val="2"/>
        </w:rPr>
        <w:t>n</w:t>
      </w:r>
      <w:r w:rsidRPr="00EB1AAB">
        <w:rPr>
          <w:rFonts w:ascii="Arial" w:eastAsia="Arial" w:hAnsi="Arial" w:cs="Arial"/>
          <w:spacing w:val="-3"/>
        </w:rPr>
        <w:t>a</w:t>
      </w:r>
      <w:r w:rsidRPr="00EB1AAB">
        <w:rPr>
          <w:rFonts w:ascii="Arial" w:eastAsia="Arial" w:hAnsi="Arial" w:cs="Arial"/>
          <w:spacing w:val="2"/>
        </w:rPr>
        <w:t>g</w:t>
      </w:r>
      <w:r w:rsidRPr="00EB1AAB">
        <w:rPr>
          <w:rFonts w:ascii="Arial" w:eastAsia="Arial" w:hAnsi="Arial" w:cs="Arial"/>
          <w:spacing w:val="-3"/>
        </w:rPr>
        <w:t>e</w:t>
      </w:r>
      <w:r w:rsidRPr="00EB1AAB">
        <w:rPr>
          <w:rFonts w:ascii="Arial" w:eastAsia="Arial" w:hAnsi="Arial" w:cs="Arial"/>
          <w:spacing w:val="2"/>
        </w:rPr>
        <w:t>m</w:t>
      </w:r>
      <w:r w:rsidRPr="00EB1AAB">
        <w:rPr>
          <w:rFonts w:ascii="Arial" w:eastAsia="Arial" w:hAnsi="Arial" w:cs="Arial"/>
          <w:spacing w:val="-3"/>
        </w:rPr>
        <w:t>e</w:t>
      </w:r>
      <w:r w:rsidRPr="00EB1AAB">
        <w:rPr>
          <w:rFonts w:ascii="Arial" w:eastAsia="Arial" w:hAnsi="Arial" w:cs="Arial"/>
          <w:spacing w:val="2"/>
        </w:rPr>
        <w:t>n</w:t>
      </w:r>
      <w:r w:rsidRPr="00EB1AAB">
        <w:rPr>
          <w:rFonts w:ascii="Arial" w:eastAsia="Arial" w:hAnsi="Arial" w:cs="Arial"/>
        </w:rPr>
        <w:t>t</w:t>
      </w:r>
      <w:r w:rsidRPr="00EB1AAB">
        <w:rPr>
          <w:rFonts w:ascii="Arial" w:eastAsia="Arial" w:hAnsi="Arial" w:cs="Arial"/>
          <w:spacing w:val="14"/>
        </w:rPr>
        <w:t xml:space="preserve"> </w:t>
      </w:r>
      <w:r w:rsidRPr="00EB1AAB">
        <w:rPr>
          <w:rFonts w:ascii="Arial" w:eastAsia="Arial" w:hAnsi="Arial" w:cs="Arial"/>
        </w:rPr>
        <w:t>of</w:t>
      </w:r>
      <w:r w:rsidRPr="00EB1AAB">
        <w:rPr>
          <w:rFonts w:ascii="Arial" w:eastAsia="Arial" w:hAnsi="Arial" w:cs="Arial"/>
          <w:spacing w:val="2"/>
        </w:rPr>
        <w:t>f</w:t>
      </w:r>
      <w:r w:rsidRPr="00EB1AAB">
        <w:rPr>
          <w:rFonts w:ascii="Arial" w:eastAsia="Arial" w:hAnsi="Arial" w:cs="Arial"/>
          <w:spacing w:val="1"/>
        </w:rPr>
        <w:t>ic</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rPr>
        <w:t>or</w:t>
      </w:r>
      <w:r w:rsidRPr="00EB1AAB">
        <w:rPr>
          <w:rFonts w:ascii="Arial" w:eastAsia="Arial" w:hAnsi="Arial" w:cs="Arial"/>
          <w:spacing w:val="2"/>
        </w:rPr>
        <w:t xml:space="preserve"> </w:t>
      </w:r>
      <w:r w:rsidRPr="00EB1AAB">
        <w:rPr>
          <w:rFonts w:ascii="Arial" w:eastAsia="Arial" w:hAnsi="Arial" w:cs="Arial"/>
          <w:spacing w:val="4"/>
        </w:rPr>
        <w:t>l</w:t>
      </w:r>
      <w:r w:rsidRPr="00EB1AAB">
        <w:rPr>
          <w:rFonts w:ascii="Arial" w:eastAsia="Arial" w:hAnsi="Arial" w:cs="Arial"/>
          <w:spacing w:val="-3"/>
        </w:rPr>
        <w:t>o</w:t>
      </w:r>
      <w:r w:rsidRPr="00EB1AAB">
        <w:rPr>
          <w:rFonts w:ascii="Arial" w:eastAsia="Arial" w:hAnsi="Arial" w:cs="Arial"/>
        </w:rPr>
        <w:t>a</w:t>
      </w:r>
      <w:r w:rsidRPr="00EB1AAB">
        <w:rPr>
          <w:rFonts w:ascii="Arial" w:eastAsia="Arial" w:hAnsi="Arial" w:cs="Arial"/>
          <w:spacing w:val="-3"/>
        </w:rPr>
        <w:t>n</w:t>
      </w:r>
      <w:r w:rsidRPr="00EB1AAB">
        <w:rPr>
          <w:rFonts w:ascii="Arial" w:eastAsia="Arial" w:hAnsi="Arial" w:cs="Arial"/>
        </w:rPr>
        <w:t>s</w:t>
      </w:r>
      <w:r w:rsidRPr="00EB1AAB">
        <w:rPr>
          <w:rFonts w:ascii="Arial" w:eastAsia="Arial" w:hAnsi="Arial" w:cs="Arial"/>
          <w:spacing w:val="7"/>
        </w:rPr>
        <w:t xml:space="preserve"> </w:t>
      </w:r>
      <w:r w:rsidRPr="00EB1AAB">
        <w:rPr>
          <w:rFonts w:ascii="Arial" w:eastAsia="Arial" w:hAnsi="Arial" w:cs="Arial"/>
          <w:w w:val="101"/>
        </w:rPr>
        <w:t xml:space="preserve">to </w:t>
      </w:r>
      <w:r w:rsidRPr="00EB1AAB">
        <w:rPr>
          <w:rFonts w:ascii="Arial" w:eastAsia="Arial" w:hAnsi="Arial" w:cs="Arial"/>
        </w:rPr>
        <w:t>th</w:t>
      </w:r>
      <w:r w:rsidRPr="00EB1AAB">
        <w:rPr>
          <w:rFonts w:ascii="Arial" w:eastAsia="Arial" w:hAnsi="Arial" w:cs="Arial"/>
          <w:spacing w:val="1"/>
        </w:rPr>
        <w:t>i</w:t>
      </w:r>
      <w:r w:rsidRPr="00EB1AAB">
        <w:rPr>
          <w:rFonts w:ascii="Arial" w:eastAsia="Arial" w:hAnsi="Arial" w:cs="Arial"/>
          <w:spacing w:val="-1"/>
        </w:rPr>
        <w:t>r</w:t>
      </w:r>
      <w:r w:rsidRPr="00EB1AAB">
        <w:rPr>
          <w:rFonts w:ascii="Arial" w:eastAsia="Arial" w:hAnsi="Arial" w:cs="Arial"/>
        </w:rPr>
        <w:t>d</w:t>
      </w:r>
      <w:r w:rsidRPr="00EB1AAB">
        <w:rPr>
          <w:rFonts w:ascii="Arial" w:eastAsia="Arial" w:hAnsi="Arial" w:cs="Arial"/>
          <w:spacing w:val="5"/>
        </w:rPr>
        <w:t xml:space="preserve"> </w:t>
      </w:r>
      <w:r w:rsidRPr="00EB1AAB">
        <w:rPr>
          <w:rFonts w:ascii="Arial" w:eastAsia="Arial" w:hAnsi="Arial" w:cs="Arial"/>
          <w:spacing w:val="2"/>
          <w:w w:val="101"/>
        </w:rPr>
        <w:t>p</w:t>
      </w:r>
      <w:r w:rsidRPr="00EB1AAB">
        <w:rPr>
          <w:rFonts w:ascii="Arial" w:eastAsia="Arial" w:hAnsi="Arial" w:cs="Arial"/>
          <w:spacing w:val="-3"/>
          <w:w w:val="101"/>
        </w:rPr>
        <w:t>a</w:t>
      </w:r>
      <w:r w:rsidRPr="00EB1AAB">
        <w:rPr>
          <w:rFonts w:ascii="Arial" w:eastAsia="Arial" w:hAnsi="Arial" w:cs="Arial"/>
          <w:spacing w:val="-1"/>
          <w:w w:val="101"/>
        </w:rPr>
        <w:t>r</w:t>
      </w:r>
      <w:r w:rsidRPr="00EB1AAB">
        <w:rPr>
          <w:rFonts w:ascii="Arial" w:eastAsia="Arial" w:hAnsi="Arial" w:cs="Arial"/>
          <w:spacing w:val="2"/>
          <w:w w:val="101"/>
        </w:rPr>
        <w:t>t</w:t>
      </w:r>
      <w:r w:rsidRPr="00EB1AAB">
        <w:rPr>
          <w:rFonts w:ascii="Arial" w:eastAsia="Arial" w:hAnsi="Arial" w:cs="Arial"/>
          <w:spacing w:val="1"/>
          <w:w w:val="101"/>
        </w:rPr>
        <w:t>i</w:t>
      </w:r>
      <w:r w:rsidRPr="00EB1AAB">
        <w:rPr>
          <w:rFonts w:ascii="Arial" w:eastAsia="Arial" w:hAnsi="Arial" w:cs="Arial"/>
          <w:spacing w:val="-3"/>
          <w:w w:val="101"/>
        </w:rPr>
        <w:t>e</w:t>
      </w:r>
      <w:r w:rsidRPr="00EB1AAB">
        <w:rPr>
          <w:rFonts w:ascii="Arial" w:eastAsia="Arial" w:hAnsi="Arial" w:cs="Arial"/>
          <w:spacing w:val="1"/>
          <w:w w:val="101"/>
        </w:rPr>
        <w:t>s</w:t>
      </w:r>
      <w:r w:rsidRPr="00EB1AAB">
        <w:rPr>
          <w:rFonts w:ascii="Arial" w:eastAsia="Arial" w:hAnsi="Arial" w:cs="Arial"/>
          <w:spacing w:val="-1"/>
          <w:w w:val="101"/>
        </w:rPr>
        <w:t>)</w:t>
      </w:r>
      <w:r w:rsidRPr="00EB1AAB">
        <w:rPr>
          <w:rFonts w:ascii="Arial" w:eastAsia="Arial" w:hAnsi="Arial" w:cs="Arial"/>
          <w:w w:val="101"/>
        </w:rPr>
        <w:t>.</w:t>
      </w:r>
    </w:p>
    <w:p w14:paraId="2A5D8451" w14:textId="77777777" w:rsidR="00655E4C" w:rsidRPr="00EB1AAB" w:rsidRDefault="00655E4C" w:rsidP="00655E4C">
      <w:pPr>
        <w:spacing w:before="12"/>
        <w:ind w:right="-88"/>
        <w:rPr>
          <w:rFonts w:ascii="Arial" w:hAnsi="Arial" w:cs="Arial"/>
        </w:rPr>
      </w:pPr>
    </w:p>
    <w:p w14:paraId="60A9DA1C" w14:textId="77777777" w:rsidR="00655E4C" w:rsidRPr="00EB1AAB" w:rsidRDefault="00655E4C" w:rsidP="00655E4C">
      <w:pPr>
        <w:ind w:right="-88"/>
        <w:rPr>
          <w:rFonts w:ascii="Arial" w:eastAsia="Arial" w:hAnsi="Arial" w:cs="Arial"/>
          <w:w w:val="101"/>
        </w:rPr>
      </w:pPr>
      <w:r w:rsidRPr="00EB1AAB">
        <w:rPr>
          <w:rFonts w:ascii="Arial" w:eastAsia="Arial" w:hAnsi="Arial" w:cs="Arial"/>
          <w:spacing w:val="-1"/>
        </w:rPr>
        <w:t>T</w:t>
      </w:r>
      <w:r w:rsidRPr="00EB1AAB">
        <w:rPr>
          <w:rFonts w:ascii="Arial" w:eastAsia="Arial" w:hAnsi="Arial" w:cs="Arial"/>
        </w:rPr>
        <w:t>he</w:t>
      </w:r>
      <w:r w:rsidRPr="00EB1AAB">
        <w:rPr>
          <w:rFonts w:ascii="Arial" w:eastAsia="Arial" w:hAnsi="Arial" w:cs="Arial"/>
          <w:spacing w:val="4"/>
        </w:rPr>
        <w:t xml:space="preserve"> </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1"/>
        </w:rPr>
        <w:t>t</w:t>
      </w:r>
      <w:r w:rsidRPr="00EB1AAB">
        <w:rPr>
          <w:rFonts w:ascii="Arial" w:eastAsia="Arial" w:hAnsi="Arial" w:cs="Arial"/>
        </w:rPr>
        <w:t>e</w:t>
      </w:r>
      <w:r w:rsidRPr="00EB1AAB">
        <w:rPr>
          <w:rFonts w:ascii="Arial" w:eastAsia="Arial" w:hAnsi="Arial" w:cs="Arial"/>
          <w:spacing w:val="1"/>
        </w:rPr>
        <w:t>r</w:t>
      </w:r>
      <w:r w:rsidRPr="00EB1AAB">
        <w:rPr>
          <w:rFonts w:ascii="Arial" w:eastAsia="Arial" w:hAnsi="Arial" w:cs="Arial"/>
          <w:spacing w:val="-3"/>
        </w:rPr>
        <w:t>e</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9"/>
        </w:rPr>
        <w:t xml:space="preserve"> </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1"/>
        </w:rPr>
        <w:t>c</w:t>
      </w:r>
      <w:r w:rsidRPr="00EB1AAB">
        <w:rPr>
          <w:rFonts w:ascii="Arial" w:eastAsia="Arial" w:hAnsi="Arial" w:cs="Arial"/>
          <w:spacing w:val="-3"/>
        </w:rPr>
        <w:t>e</w:t>
      </w:r>
      <w:r w:rsidRPr="00EB1AAB">
        <w:rPr>
          <w:rFonts w:ascii="Arial" w:eastAsia="Arial" w:hAnsi="Arial" w:cs="Arial"/>
          <w:spacing w:val="1"/>
        </w:rPr>
        <w:t>iv</w:t>
      </w:r>
      <w:r w:rsidRPr="00EB1AAB">
        <w:rPr>
          <w:rFonts w:ascii="Arial" w:eastAsia="Arial" w:hAnsi="Arial" w:cs="Arial"/>
          <w:spacing w:val="2"/>
        </w:rPr>
        <w:t>e</w:t>
      </w:r>
      <w:r w:rsidRPr="00EB1AAB">
        <w:rPr>
          <w:rFonts w:ascii="Arial" w:eastAsia="Arial" w:hAnsi="Arial" w:cs="Arial"/>
        </w:rPr>
        <w:t>d</w:t>
      </w:r>
      <w:r w:rsidRPr="00EB1AAB">
        <w:rPr>
          <w:rFonts w:ascii="Arial" w:eastAsia="Arial" w:hAnsi="Arial" w:cs="Arial"/>
          <w:spacing w:val="8"/>
        </w:rPr>
        <w:t xml:space="preserve"> </w:t>
      </w:r>
      <w:r w:rsidRPr="00EB1AAB">
        <w:rPr>
          <w:rFonts w:ascii="Arial" w:eastAsia="Arial" w:hAnsi="Arial" w:cs="Arial"/>
          <w:spacing w:val="2"/>
        </w:rPr>
        <w:t>o</w:t>
      </w:r>
      <w:r w:rsidRPr="00EB1AAB">
        <w:rPr>
          <w:rFonts w:ascii="Arial" w:eastAsia="Arial" w:hAnsi="Arial" w:cs="Arial"/>
        </w:rPr>
        <w:t>n</w:t>
      </w:r>
      <w:r w:rsidRPr="00EB1AAB">
        <w:rPr>
          <w:rFonts w:ascii="Arial" w:eastAsia="Arial" w:hAnsi="Arial" w:cs="Arial"/>
          <w:spacing w:val="4"/>
        </w:rPr>
        <w:t xml:space="preserve"> </w:t>
      </w:r>
      <w:r w:rsidRPr="00EB1AAB">
        <w:rPr>
          <w:rFonts w:ascii="Arial" w:eastAsia="Arial" w:hAnsi="Arial" w:cs="Arial"/>
        </w:rPr>
        <w:t>t</w:t>
      </w:r>
      <w:r w:rsidRPr="00EB1AAB">
        <w:rPr>
          <w:rFonts w:ascii="Arial" w:eastAsia="Arial" w:hAnsi="Arial" w:cs="Arial"/>
          <w:spacing w:val="-3"/>
        </w:rPr>
        <w:t>h</w:t>
      </w:r>
      <w:r w:rsidRPr="00EB1AAB">
        <w:rPr>
          <w:rFonts w:ascii="Arial" w:eastAsia="Arial" w:hAnsi="Arial" w:cs="Arial"/>
        </w:rPr>
        <w:t>e</w:t>
      </w:r>
      <w:r w:rsidRPr="00EB1AAB">
        <w:rPr>
          <w:rFonts w:ascii="Arial" w:eastAsia="Arial" w:hAnsi="Arial" w:cs="Arial"/>
          <w:spacing w:val="3"/>
        </w:rPr>
        <w:t>s</w:t>
      </w:r>
      <w:r w:rsidRPr="00EB1AAB">
        <w:rPr>
          <w:rFonts w:ascii="Arial" w:eastAsia="Arial" w:hAnsi="Arial" w:cs="Arial"/>
        </w:rPr>
        <w:t>e</w:t>
      </w:r>
      <w:r w:rsidRPr="00EB1AAB">
        <w:rPr>
          <w:rFonts w:ascii="Arial" w:eastAsia="Arial" w:hAnsi="Arial" w:cs="Arial"/>
          <w:spacing w:val="5"/>
        </w:rPr>
        <w:t xml:space="preserve"> </w:t>
      </w:r>
      <w:r w:rsidRPr="00EB1AAB">
        <w:rPr>
          <w:rFonts w:ascii="Arial" w:eastAsia="Arial" w:hAnsi="Arial" w:cs="Arial"/>
        </w:rPr>
        <w:t>a</w:t>
      </w:r>
      <w:r w:rsidRPr="00EB1AAB">
        <w:rPr>
          <w:rFonts w:ascii="Arial" w:eastAsia="Arial" w:hAnsi="Arial" w:cs="Arial"/>
          <w:spacing w:val="1"/>
        </w:rPr>
        <w:t>ss</w:t>
      </w:r>
      <w:r w:rsidRPr="00EB1AAB">
        <w:rPr>
          <w:rFonts w:ascii="Arial" w:eastAsia="Arial" w:hAnsi="Arial" w:cs="Arial"/>
        </w:rPr>
        <w:t>ets</w:t>
      </w:r>
      <w:r w:rsidRPr="00EB1AAB">
        <w:rPr>
          <w:rFonts w:ascii="Arial" w:eastAsia="Arial" w:hAnsi="Arial" w:cs="Arial"/>
          <w:spacing w:val="9"/>
        </w:rPr>
        <w:t xml:space="preserve"> </w:t>
      </w:r>
      <w:r w:rsidRPr="00EB1AAB">
        <w:rPr>
          <w:rFonts w:ascii="Arial" w:eastAsia="Arial" w:hAnsi="Arial" w:cs="Arial"/>
          <w:spacing w:val="1"/>
        </w:rPr>
        <w:t>i</w:t>
      </w:r>
      <w:r w:rsidRPr="00EB1AAB">
        <w:rPr>
          <w:rFonts w:ascii="Arial" w:eastAsia="Arial" w:hAnsi="Arial" w:cs="Arial"/>
        </w:rPr>
        <w:t>s measured using the Effective Interest Rate model</w:t>
      </w:r>
      <w:r w:rsidRPr="00EB1AAB">
        <w:rPr>
          <w:rFonts w:ascii="Arial" w:eastAsia="Arial" w:hAnsi="Arial" w:cs="Arial"/>
          <w:w w:val="101"/>
        </w:rPr>
        <w:t>.</w:t>
      </w:r>
    </w:p>
    <w:p w14:paraId="6F215756" w14:textId="77777777" w:rsidR="00655E4C" w:rsidRPr="00EB1AAB" w:rsidRDefault="00655E4C" w:rsidP="00655E4C">
      <w:pPr>
        <w:spacing w:before="6"/>
        <w:ind w:right="-88"/>
        <w:rPr>
          <w:rFonts w:ascii="Arial" w:hAnsi="Arial" w:cs="Arial"/>
        </w:rPr>
      </w:pPr>
    </w:p>
    <w:p w14:paraId="6D205F0C" w14:textId="77777777" w:rsidR="00655E4C" w:rsidRPr="00EB1AAB" w:rsidRDefault="00655E4C" w:rsidP="00655E4C">
      <w:pPr>
        <w:pStyle w:val="Heading5underline"/>
      </w:pPr>
      <w:r w:rsidRPr="00EB1AAB">
        <w:rPr>
          <w:spacing w:val="-1"/>
        </w:rPr>
        <w:t>1.16.2. F</w:t>
      </w:r>
      <w:r w:rsidRPr="00EB1AAB">
        <w:t>a</w:t>
      </w:r>
      <w:r w:rsidRPr="00EB1AAB">
        <w:rPr>
          <w:spacing w:val="-1"/>
        </w:rPr>
        <w:t>i</w:t>
      </w:r>
      <w:r w:rsidRPr="00EB1AAB">
        <w:t>r</w:t>
      </w:r>
      <w:r w:rsidRPr="00EB1AAB">
        <w:rPr>
          <w:spacing w:val="5"/>
        </w:rPr>
        <w:t xml:space="preserve"> </w:t>
      </w:r>
      <w:r w:rsidRPr="00EB1AAB">
        <w:rPr>
          <w:spacing w:val="3"/>
        </w:rPr>
        <w:t>V</w:t>
      </w:r>
      <w:r w:rsidRPr="00EB1AAB">
        <w:rPr>
          <w:spacing w:val="-3"/>
        </w:rPr>
        <w:t>a</w:t>
      </w:r>
      <w:r w:rsidRPr="00EB1AAB">
        <w:t>l</w:t>
      </w:r>
      <w:r w:rsidRPr="00EB1AAB">
        <w:rPr>
          <w:spacing w:val="1"/>
        </w:rPr>
        <w:t>u</w:t>
      </w:r>
      <w:r w:rsidRPr="00EB1AAB">
        <w:t>e</w:t>
      </w:r>
      <w:r w:rsidRPr="00EB1AAB">
        <w:rPr>
          <w:spacing w:val="7"/>
        </w:rPr>
        <w:t xml:space="preserve"> </w:t>
      </w:r>
      <w:r w:rsidRPr="00EB1AAB">
        <w:rPr>
          <w:spacing w:val="-1"/>
        </w:rPr>
        <w:t>th</w:t>
      </w:r>
      <w:r w:rsidRPr="00EB1AAB">
        <w:rPr>
          <w:spacing w:val="1"/>
        </w:rPr>
        <w:t>r</w:t>
      </w:r>
      <w:r w:rsidRPr="00EB1AAB">
        <w:rPr>
          <w:spacing w:val="-1"/>
        </w:rPr>
        <w:t>o</w:t>
      </w:r>
      <w:r w:rsidRPr="00EB1AAB">
        <w:rPr>
          <w:spacing w:val="1"/>
        </w:rPr>
        <w:t>u</w:t>
      </w:r>
      <w:r w:rsidRPr="00EB1AAB">
        <w:rPr>
          <w:spacing w:val="-1"/>
        </w:rPr>
        <w:t>g</w:t>
      </w:r>
      <w:r w:rsidRPr="00EB1AAB">
        <w:t>h</w:t>
      </w:r>
      <w:r w:rsidRPr="00EB1AAB">
        <w:rPr>
          <w:spacing w:val="13"/>
        </w:rPr>
        <w:t xml:space="preserve"> </w:t>
      </w:r>
      <w:r w:rsidRPr="00EB1AAB">
        <w:rPr>
          <w:spacing w:val="-2"/>
        </w:rPr>
        <w:t>O</w:t>
      </w:r>
      <w:r w:rsidRPr="00EB1AAB">
        <w:rPr>
          <w:spacing w:val="2"/>
        </w:rPr>
        <w:t>t</w:t>
      </w:r>
      <w:r w:rsidRPr="00EB1AAB">
        <w:rPr>
          <w:spacing w:val="-1"/>
        </w:rPr>
        <w:t>h</w:t>
      </w:r>
      <w:r w:rsidRPr="00EB1AAB">
        <w:t>er</w:t>
      </w:r>
      <w:r w:rsidRPr="00EB1AAB">
        <w:rPr>
          <w:spacing w:val="7"/>
        </w:rPr>
        <w:t xml:space="preserve"> </w:t>
      </w:r>
      <w:r w:rsidRPr="00EB1AAB">
        <w:t>C</w:t>
      </w:r>
      <w:r w:rsidRPr="00EB1AAB">
        <w:rPr>
          <w:spacing w:val="2"/>
        </w:rPr>
        <w:t>o</w:t>
      </w:r>
      <w:r w:rsidRPr="00EB1AAB">
        <w:rPr>
          <w:spacing w:val="-1"/>
        </w:rPr>
        <w:t>mp</w:t>
      </w:r>
      <w:r w:rsidRPr="00EB1AAB">
        <w:t>re</w:t>
      </w:r>
      <w:r w:rsidRPr="00EB1AAB">
        <w:rPr>
          <w:spacing w:val="1"/>
        </w:rPr>
        <w:t>h</w:t>
      </w:r>
      <w:r w:rsidRPr="00EB1AAB">
        <w:t>e</w:t>
      </w:r>
      <w:r w:rsidRPr="00EB1AAB">
        <w:rPr>
          <w:spacing w:val="1"/>
        </w:rPr>
        <w:t>n</w:t>
      </w:r>
      <w:r w:rsidRPr="00EB1AAB">
        <w:t>s</w:t>
      </w:r>
      <w:r w:rsidRPr="00EB1AAB">
        <w:rPr>
          <w:spacing w:val="2"/>
        </w:rPr>
        <w:t>i</w:t>
      </w:r>
      <w:r w:rsidRPr="00EB1AAB">
        <w:rPr>
          <w:spacing w:val="-5"/>
        </w:rPr>
        <w:t>v</w:t>
      </w:r>
      <w:r w:rsidRPr="00EB1AAB">
        <w:t>e</w:t>
      </w:r>
      <w:r w:rsidRPr="00EB1AAB">
        <w:rPr>
          <w:spacing w:val="20"/>
        </w:rPr>
        <w:t xml:space="preserve"> </w:t>
      </w:r>
      <w:r w:rsidRPr="00EB1AAB">
        <w:t>I</w:t>
      </w:r>
      <w:r w:rsidRPr="00EB1AAB">
        <w:rPr>
          <w:spacing w:val="2"/>
        </w:rPr>
        <w:t>n</w:t>
      </w:r>
      <w:r w:rsidRPr="00EB1AAB">
        <w:rPr>
          <w:spacing w:val="-3"/>
        </w:rPr>
        <w:t>c</w:t>
      </w:r>
      <w:r w:rsidRPr="00EB1AAB">
        <w:rPr>
          <w:spacing w:val="4"/>
        </w:rPr>
        <w:t>o</w:t>
      </w:r>
      <w:r w:rsidRPr="00EB1AAB">
        <w:rPr>
          <w:spacing w:val="-3"/>
        </w:rPr>
        <w:t>m</w:t>
      </w:r>
      <w:r w:rsidRPr="00EB1AAB">
        <w:t>e</w:t>
      </w:r>
      <w:r w:rsidRPr="00EB1AAB">
        <w:rPr>
          <w:spacing w:val="9"/>
        </w:rPr>
        <w:t xml:space="preserve"> </w:t>
      </w:r>
      <w:r w:rsidRPr="00EB1AAB">
        <w:rPr>
          <w:spacing w:val="1"/>
        </w:rPr>
        <w:t>(F</w:t>
      </w:r>
      <w:r w:rsidRPr="00EB1AAB">
        <w:t>V</w:t>
      </w:r>
      <w:r w:rsidRPr="00EB1AAB">
        <w:rPr>
          <w:spacing w:val="-2"/>
        </w:rPr>
        <w:t>O</w:t>
      </w:r>
      <w:r w:rsidRPr="00EB1AAB">
        <w:rPr>
          <w:spacing w:val="-1"/>
        </w:rPr>
        <w:t>C</w:t>
      </w:r>
      <w:r w:rsidRPr="00EB1AAB">
        <w:t>I)</w:t>
      </w:r>
    </w:p>
    <w:p w14:paraId="0DEB4347" w14:textId="77777777" w:rsidR="00655E4C" w:rsidRPr="00EB1AAB" w:rsidRDefault="00655E4C" w:rsidP="00655E4C">
      <w:pPr>
        <w:ind w:right="-88"/>
        <w:rPr>
          <w:rFonts w:ascii="Arial" w:eastAsia="Arial" w:hAnsi="Arial" w:cs="Arial"/>
          <w:b/>
        </w:rPr>
      </w:pPr>
    </w:p>
    <w:p w14:paraId="1580AE46" w14:textId="0F8A5920" w:rsidR="00655E4C" w:rsidRPr="00EB1AAB" w:rsidRDefault="00655E4C" w:rsidP="00655E4C">
      <w:pPr>
        <w:spacing w:before="7"/>
        <w:ind w:right="-88"/>
        <w:rPr>
          <w:rFonts w:ascii="Arial" w:eastAsia="Arial" w:hAnsi="Arial" w:cs="Arial"/>
        </w:rPr>
      </w:pPr>
      <w:r w:rsidRPr="00EB1AAB">
        <w:rPr>
          <w:rFonts w:ascii="Arial" w:eastAsia="Arial" w:hAnsi="Arial" w:cs="Arial"/>
          <w:spacing w:val="-1"/>
        </w:rPr>
        <w:t>T</w:t>
      </w:r>
      <w:r w:rsidRPr="00EB1AAB">
        <w:rPr>
          <w:rFonts w:ascii="Arial" w:eastAsia="Arial" w:hAnsi="Arial" w:cs="Arial"/>
        </w:rPr>
        <w:t>h</w:t>
      </w:r>
      <w:r w:rsidRPr="00EB1AAB">
        <w:rPr>
          <w:rFonts w:ascii="Arial" w:eastAsia="Arial" w:hAnsi="Arial" w:cs="Arial"/>
          <w:spacing w:val="-3"/>
        </w:rPr>
        <w:t>e</w:t>
      </w:r>
      <w:r w:rsidRPr="00EB1AAB">
        <w:rPr>
          <w:rFonts w:ascii="Arial" w:eastAsia="Arial" w:hAnsi="Arial" w:cs="Arial"/>
          <w:spacing w:val="3"/>
        </w:rPr>
        <w:t>s</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spacing w:val="-3"/>
        </w:rPr>
        <w:t>a</w:t>
      </w:r>
      <w:r w:rsidRPr="00EB1AAB">
        <w:rPr>
          <w:rFonts w:ascii="Arial" w:eastAsia="Arial" w:hAnsi="Arial" w:cs="Arial"/>
          <w:spacing w:val="1"/>
        </w:rPr>
        <w:t>s</w:t>
      </w:r>
      <w:r w:rsidRPr="00EB1AAB">
        <w:rPr>
          <w:rFonts w:ascii="Arial" w:eastAsia="Arial" w:hAnsi="Arial" w:cs="Arial"/>
          <w:spacing w:val="3"/>
        </w:rPr>
        <w:t>s</w:t>
      </w:r>
      <w:r w:rsidRPr="00EB1AAB">
        <w:rPr>
          <w:rFonts w:ascii="Arial" w:eastAsia="Arial" w:hAnsi="Arial" w:cs="Arial"/>
          <w:spacing w:val="-3"/>
        </w:rPr>
        <w:t>e</w:t>
      </w:r>
      <w:r w:rsidRPr="00EB1AAB">
        <w:rPr>
          <w:rFonts w:ascii="Arial" w:eastAsia="Arial" w:hAnsi="Arial" w:cs="Arial"/>
          <w:spacing w:val="2"/>
        </w:rPr>
        <w:t>t</w:t>
      </w:r>
      <w:r w:rsidRPr="00EB1AAB">
        <w:rPr>
          <w:rFonts w:ascii="Arial" w:eastAsia="Arial" w:hAnsi="Arial" w:cs="Arial"/>
        </w:rPr>
        <w:t>s</w:t>
      </w:r>
      <w:r w:rsidRPr="00EB1AAB">
        <w:rPr>
          <w:rFonts w:ascii="Arial" w:eastAsia="Arial" w:hAnsi="Arial" w:cs="Arial"/>
          <w:spacing w:val="7"/>
        </w:rPr>
        <w:t xml:space="preserve"> </w:t>
      </w:r>
      <w:r w:rsidRPr="00EB1AAB">
        <w:rPr>
          <w:rFonts w:ascii="Arial" w:eastAsia="Arial" w:hAnsi="Arial" w:cs="Arial"/>
          <w:spacing w:val="2"/>
        </w:rPr>
        <w:t>r</w:t>
      </w:r>
      <w:r w:rsidRPr="00EB1AAB">
        <w:rPr>
          <w:rFonts w:ascii="Arial" w:eastAsia="Arial" w:hAnsi="Arial" w:cs="Arial"/>
          <w:spacing w:val="-3"/>
        </w:rPr>
        <w:t>e</w:t>
      </w:r>
      <w:r w:rsidRPr="00EB1AAB">
        <w:rPr>
          <w:rFonts w:ascii="Arial" w:eastAsia="Arial" w:hAnsi="Arial" w:cs="Arial"/>
          <w:spacing w:val="1"/>
        </w:rPr>
        <w:t>l</w:t>
      </w:r>
      <w:r w:rsidRPr="00EB1AAB">
        <w:rPr>
          <w:rFonts w:ascii="Arial" w:eastAsia="Arial" w:hAnsi="Arial" w:cs="Arial"/>
        </w:rPr>
        <w:t>a</w:t>
      </w:r>
      <w:r w:rsidRPr="00EB1AAB">
        <w:rPr>
          <w:rFonts w:ascii="Arial" w:eastAsia="Arial" w:hAnsi="Arial" w:cs="Arial"/>
          <w:spacing w:val="2"/>
        </w:rPr>
        <w:t>t</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rPr>
        <w:t>to</w:t>
      </w:r>
      <w:r w:rsidRPr="00EB1AAB">
        <w:rPr>
          <w:rFonts w:ascii="Arial" w:eastAsia="Arial" w:hAnsi="Arial" w:cs="Arial"/>
          <w:spacing w:val="6"/>
        </w:rPr>
        <w:t xml:space="preserve"> </w:t>
      </w:r>
      <w:r w:rsidRPr="00EB1AAB">
        <w:rPr>
          <w:rFonts w:ascii="Arial" w:eastAsia="Arial" w:hAnsi="Arial" w:cs="Arial"/>
        </w:rPr>
        <w:t>f</w:t>
      </w:r>
      <w:r w:rsidRPr="00EB1AAB">
        <w:rPr>
          <w:rFonts w:ascii="Arial" w:eastAsia="Arial" w:hAnsi="Arial" w:cs="Arial"/>
          <w:spacing w:val="4"/>
        </w:rPr>
        <w:t>i</w:t>
      </w:r>
      <w:r w:rsidRPr="00EB1AAB">
        <w:rPr>
          <w:rFonts w:ascii="Arial" w:eastAsia="Arial" w:hAnsi="Arial" w:cs="Arial"/>
          <w:spacing w:val="-3"/>
        </w:rPr>
        <w:t>n</w:t>
      </w:r>
      <w:r w:rsidRPr="00EB1AAB">
        <w:rPr>
          <w:rFonts w:ascii="Arial" w:eastAsia="Arial" w:hAnsi="Arial" w:cs="Arial"/>
        </w:rPr>
        <w:t>a</w:t>
      </w:r>
      <w:r w:rsidRPr="00EB1AAB">
        <w:rPr>
          <w:rFonts w:ascii="Arial" w:eastAsia="Arial" w:hAnsi="Arial" w:cs="Arial"/>
          <w:spacing w:val="-3"/>
        </w:rPr>
        <w:t>n</w:t>
      </w:r>
      <w:r w:rsidRPr="00EB1AAB">
        <w:rPr>
          <w:rFonts w:ascii="Arial" w:eastAsia="Arial" w:hAnsi="Arial" w:cs="Arial"/>
          <w:spacing w:val="1"/>
        </w:rPr>
        <w:t>ci</w:t>
      </w:r>
      <w:r w:rsidRPr="00EB1AAB">
        <w:rPr>
          <w:rFonts w:ascii="Arial" w:eastAsia="Arial" w:hAnsi="Arial" w:cs="Arial"/>
        </w:rPr>
        <w:t>al</w:t>
      </w:r>
      <w:r w:rsidRPr="00EB1AAB">
        <w:rPr>
          <w:rFonts w:ascii="Arial" w:eastAsia="Arial" w:hAnsi="Arial" w:cs="Arial"/>
          <w:spacing w:val="12"/>
        </w:rPr>
        <w:t xml:space="preserve"> </w:t>
      </w:r>
      <w:r w:rsidRPr="00EB1AAB">
        <w:rPr>
          <w:rFonts w:ascii="Arial" w:eastAsia="Arial" w:hAnsi="Arial" w:cs="Arial"/>
          <w:spacing w:val="1"/>
        </w:rPr>
        <w:t>i</w:t>
      </w:r>
      <w:r w:rsidRPr="00EB1AAB">
        <w:rPr>
          <w:rFonts w:ascii="Arial" w:eastAsia="Arial" w:hAnsi="Arial" w:cs="Arial"/>
          <w:spacing w:val="-3"/>
        </w:rPr>
        <w:t>n</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1"/>
        </w:rPr>
        <w:t>r</w:t>
      </w:r>
      <w:r w:rsidRPr="00EB1AAB">
        <w:rPr>
          <w:rFonts w:ascii="Arial" w:eastAsia="Arial" w:hAnsi="Arial" w:cs="Arial"/>
        </w:rPr>
        <w:t>u</w:t>
      </w:r>
      <w:r w:rsidRPr="00EB1AAB">
        <w:rPr>
          <w:rFonts w:ascii="Arial" w:eastAsia="Arial" w:hAnsi="Arial" w:cs="Arial"/>
          <w:spacing w:val="2"/>
        </w:rPr>
        <w:t>m</w:t>
      </w:r>
      <w:r w:rsidRPr="00EB1AAB">
        <w:rPr>
          <w:rFonts w:ascii="Arial" w:eastAsia="Arial" w:hAnsi="Arial" w:cs="Arial"/>
          <w:spacing w:val="-3"/>
        </w:rPr>
        <w:t>e</w:t>
      </w:r>
      <w:r w:rsidRPr="00EB1AAB">
        <w:rPr>
          <w:rFonts w:ascii="Arial" w:eastAsia="Arial" w:hAnsi="Arial" w:cs="Arial"/>
        </w:rPr>
        <w:t>n</w:t>
      </w:r>
      <w:r w:rsidRPr="00EB1AAB">
        <w:rPr>
          <w:rFonts w:ascii="Arial" w:eastAsia="Arial" w:hAnsi="Arial" w:cs="Arial"/>
          <w:spacing w:val="-1"/>
        </w:rPr>
        <w:t>t</w:t>
      </w:r>
      <w:r w:rsidRPr="00EB1AAB">
        <w:rPr>
          <w:rFonts w:ascii="Arial" w:eastAsia="Arial" w:hAnsi="Arial" w:cs="Arial"/>
        </w:rPr>
        <w:t>s</w:t>
      </w:r>
      <w:r w:rsidRPr="00EB1AAB">
        <w:rPr>
          <w:rFonts w:ascii="Arial" w:eastAsia="Arial" w:hAnsi="Arial" w:cs="Arial"/>
          <w:spacing w:val="16"/>
        </w:rPr>
        <w:t xml:space="preserve"> </w:t>
      </w:r>
      <w:r w:rsidRPr="00EB1AAB">
        <w:rPr>
          <w:rFonts w:ascii="Arial" w:eastAsia="Arial" w:hAnsi="Arial" w:cs="Arial"/>
        </w:rPr>
        <w:t>wh</w:t>
      </w:r>
      <w:r w:rsidRPr="00EB1AAB">
        <w:rPr>
          <w:rFonts w:ascii="Arial" w:eastAsia="Arial" w:hAnsi="Arial" w:cs="Arial"/>
          <w:spacing w:val="-1"/>
        </w:rPr>
        <w:t>er</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rPr>
        <w:t>t</w:t>
      </w:r>
      <w:r w:rsidRPr="00EB1AAB">
        <w:rPr>
          <w:rFonts w:ascii="Arial" w:eastAsia="Arial" w:hAnsi="Arial" w:cs="Arial"/>
          <w:spacing w:val="2"/>
        </w:rPr>
        <w:t>h</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spacing w:val="-2"/>
        </w:rPr>
        <w:t>a</w:t>
      </w:r>
      <w:r w:rsidRPr="00EB1AAB">
        <w:rPr>
          <w:rFonts w:ascii="Arial" w:eastAsia="Arial" w:hAnsi="Arial" w:cs="Arial"/>
          <w:spacing w:val="2"/>
        </w:rPr>
        <w:t>m</w:t>
      </w:r>
      <w:r w:rsidRPr="00EB1AAB">
        <w:rPr>
          <w:rFonts w:ascii="Arial" w:eastAsia="Arial" w:hAnsi="Arial" w:cs="Arial"/>
        </w:rPr>
        <w:t>o</w:t>
      </w:r>
      <w:r w:rsidRPr="00EB1AAB">
        <w:rPr>
          <w:rFonts w:ascii="Arial" w:eastAsia="Arial" w:hAnsi="Arial" w:cs="Arial"/>
          <w:spacing w:val="2"/>
        </w:rPr>
        <w:t>u</w:t>
      </w:r>
      <w:r w:rsidRPr="00EB1AAB">
        <w:rPr>
          <w:rFonts w:ascii="Arial" w:eastAsia="Arial" w:hAnsi="Arial" w:cs="Arial"/>
          <w:spacing w:val="-3"/>
        </w:rPr>
        <w:t>n</w:t>
      </w:r>
      <w:r w:rsidRPr="00EB1AAB">
        <w:rPr>
          <w:rFonts w:ascii="Arial" w:eastAsia="Arial" w:hAnsi="Arial" w:cs="Arial"/>
          <w:spacing w:val="2"/>
        </w:rPr>
        <w:t>t</w:t>
      </w:r>
      <w:r w:rsidRPr="00EB1AAB">
        <w:rPr>
          <w:rFonts w:ascii="Arial" w:eastAsia="Arial" w:hAnsi="Arial" w:cs="Arial"/>
        </w:rPr>
        <w:t>s</w:t>
      </w:r>
      <w:r w:rsidRPr="00EB1AAB">
        <w:rPr>
          <w:rFonts w:ascii="Arial" w:eastAsia="Arial" w:hAnsi="Arial" w:cs="Arial"/>
          <w:spacing w:val="11"/>
        </w:rPr>
        <w:t xml:space="preserve"> </w:t>
      </w:r>
      <w:r w:rsidRPr="00EB1AAB">
        <w:rPr>
          <w:rFonts w:ascii="Arial" w:eastAsia="Arial" w:hAnsi="Arial" w:cs="Arial"/>
          <w:spacing w:val="-1"/>
        </w:rPr>
        <w:t>r</w:t>
      </w:r>
      <w:r w:rsidRPr="00EB1AAB">
        <w:rPr>
          <w:rFonts w:ascii="Arial" w:eastAsia="Arial" w:hAnsi="Arial" w:cs="Arial"/>
          <w:spacing w:val="-3"/>
        </w:rPr>
        <w:t>e</w:t>
      </w:r>
      <w:r w:rsidRPr="00EB1AAB">
        <w:rPr>
          <w:rFonts w:ascii="Arial" w:eastAsia="Arial" w:hAnsi="Arial" w:cs="Arial"/>
          <w:spacing w:val="3"/>
        </w:rPr>
        <w:t>c</w:t>
      </w:r>
      <w:r w:rsidRPr="00EB1AAB">
        <w:rPr>
          <w:rFonts w:ascii="Arial" w:eastAsia="Arial" w:hAnsi="Arial" w:cs="Arial"/>
          <w:spacing w:val="-3"/>
        </w:rPr>
        <w:t>e</w:t>
      </w:r>
      <w:r w:rsidRPr="00EB1AAB">
        <w:rPr>
          <w:rFonts w:ascii="Arial" w:eastAsia="Arial" w:hAnsi="Arial" w:cs="Arial"/>
          <w:spacing w:val="4"/>
        </w:rPr>
        <w:t>i</w:t>
      </w:r>
      <w:r w:rsidRPr="00EB1AAB">
        <w:rPr>
          <w:rFonts w:ascii="Arial" w:eastAsia="Arial" w:hAnsi="Arial" w:cs="Arial"/>
          <w:spacing w:val="-1"/>
        </w:rPr>
        <w:t>v</w:t>
      </w:r>
      <w:r w:rsidRPr="00EB1AAB">
        <w:rPr>
          <w:rFonts w:ascii="Arial" w:eastAsia="Arial" w:hAnsi="Arial" w:cs="Arial"/>
        </w:rPr>
        <w:t>ed</w:t>
      </w:r>
      <w:r w:rsidRPr="00EB1AAB">
        <w:rPr>
          <w:rFonts w:ascii="Arial" w:eastAsia="Arial" w:hAnsi="Arial" w:cs="Arial"/>
          <w:spacing w:val="10"/>
        </w:rPr>
        <w:t xml:space="preserve"> </w:t>
      </w:r>
      <w:r w:rsidRPr="00EB1AAB">
        <w:rPr>
          <w:rFonts w:ascii="Arial" w:eastAsia="Arial" w:hAnsi="Arial" w:cs="Arial"/>
        </w:rPr>
        <w:t>a</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spacing w:val="-1"/>
        </w:rPr>
        <w:t>s</w:t>
      </w:r>
      <w:r w:rsidRPr="00EB1AAB">
        <w:rPr>
          <w:rFonts w:ascii="Arial" w:eastAsia="Arial" w:hAnsi="Arial" w:cs="Arial"/>
        </w:rPr>
        <w:t>o</w:t>
      </w:r>
      <w:r w:rsidRPr="00EB1AAB">
        <w:rPr>
          <w:rFonts w:ascii="Arial" w:eastAsia="Arial" w:hAnsi="Arial" w:cs="Arial"/>
          <w:spacing w:val="1"/>
        </w:rPr>
        <w:t>l</w:t>
      </w:r>
      <w:r w:rsidRPr="00EB1AAB">
        <w:rPr>
          <w:rFonts w:ascii="Arial" w:eastAsia="Arial" w:hAnsi="Arial" w:cs="Arial"/>
        </w:rPr>
        <w:t>e</w:t>
      </w:r>
      <w:r w:rsidRPr="00EB1AAB">
        <w:rPr>
          <w:rFonts w:ascii="Arial" w:eastAsia="Arial" w:hAnsi="Arial" w:cs="Arial"/>
          <w:spacing w:val="3"/>
        </w:rPr>
        <w:t>l</w:t>
      </w:r>
      <w:r w:rsidRPr="00EB1AAB">
        <w:rPr>
          <w:rFonts w:ascii="Arial" w:eastAsia="Arial" w:hAnsi="Arial" w:cs="Arial"/>
        </w:rPr>
        <w:t>y</w:t>
      </w:r>
      <w:r w:rsidRPr="00EB1AAB">
        <w:rPr>
          <w:rFonts w:ascii="Arial" w:eastAsia="Arial" w:hAnsi="Arial" w:cs="Arial"/>
          <w:spacing w:val="6"/>
        </w:rPr>
        <w:t xml:space="preserve"> </w:t>
      </w:r>
      <w:r w:rsidRPr="00EB1AAB">
        <w:rPr>
          <w:rFonts w:ascii="Arial" w:eastAsia="Arial" w:hAnsi="Arial" w:cs="Arial"/>
        </w:rPr>
        <w:t>p</w:t>
      </w:r>
      <w:r w:rsidRPr="00EB1AAB">
        <w:rPr>
          <w:rFonts w:ascii="Arial" w:eastAsia="Arial" w:hAnsi="Arial" w:cs="Arial"/>
          <w:spacing w:val="-1"/>
        </w:rPr>
        <w:t>r</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2"/>
        </w:rPr>
        <w:t>c</w:t>
      </w:r>
      <w:r w:rsidRPr="00EB1AAB">
        <w:rPr>
          <w:rFonts w:ascii="Arial" w:eastAsia="Arial" w:hAnsi="Arial" w:cs="Arial"/>
          <w:spacing w:val="4"/>
        </w:rPr>
        <w:t>i</w:t>
      </w:r>
      <w:r w:rsidRPr="00EB1AAB">
        <w:rPr>
          <w:rFonts w:ascii="Arial" w:eastAsia="Arial" w:hAnsi="Arial" w:cs="Arial"/>
        </w:rPr>
        <w:t>pal</w:t>
      </w:r>
      <w:r w:rsidRPr="00EB1AAB">
        <w:rPr>
          <w:rFonts w:ascii="Arial" w:eastAsia="Arial" w:hAnsi="Arial" w:cs="Arial"/>
          <w:spacing w:val="13"/>
        </w:rPr>
        <w:t xml:space="preserve"> </w:t>
      </w:r>
      <w:r w:rsidRPr="00EB1AAB">
        <w:rPr>
          <w:rFonts w:ascii="Arial" w:eastAsia="Arial" w:hAnsi="Arial" w:cs="Arial"/>
          <w:spacing w:val="-3"/>
        </w:rPr>
        <w:t>a</w:t>
      </w:r>
      <w:r w:rsidRPr="00EB1AAB">
        <w:rPr>
          <w:rFonts w:ascii="Arial" w:eastAsia="Arial" w:hAnsi="Arial" w:cs="Arial"/>
        </w:rPr>
        <w:t>nd</w:t>
      </w:r>
      <w:r w:rsidRPr="00EB1AAB">
        <w:rPr>
          <w:rFonts w:ascii="Arial" w:eastAsia="Arial" w:hAnsi="Arial" w:cs="Arial"/>
          <w:spacing w:val="2"/>
        </w:rPr>
        <w:t xml:space="preserve"> </w:t>
      </w:r>
      <w:r w:rsidR="00203B09" w:rsidRPr="00EB1AAB">
        <w:rPr>
          <w:rFonts w:ascii="Arial" w:eastAsia="Arial" w:hAnsi="Arial" w:cs="Arial"/>
          <w:spacing w:val="4"/>
        </w:rPr>
        <w:t>i</w:t>
      </w:r>
      <w:r w:rsidR="00203B09" w:rsidRPr="00EB1AAB">
        <w:rPr>
          <w:rFonts w:ascii="Arial" w:eastAsia="Arial" w:hAnsi="Arial" w:cs="Arial"/>
          <w:spacing w:val="-3"/>
        </w:rPr>
        <w:t>n</w:t>
      </w:r>
      <w:r w:rsidR="00203B09" w:rsidRPr="00EB1AAB">
        <w:rPr>
          <w:rFonts w:ascii="Arial" w:eastAsia="Arial" w:hAnsi="Arial" w:cs="Arial"/>
          <w:spacing w:val="5"/>
        </w:rPr>
        <w:t>t</w:t>
      </w:r>
      <w:r w:rsidR="00203B09" w:rsidRPr="00EB1AAB">
        <w:rPr>
          <w:rFonts w:ascii="Arial" w:eastAsia="Arial" w:hAnsi="Arial" w:cs="Arial"/>
          <w:spacing w:val="-3"/>
        </w:rPr>
        <w:t>e</w:t>
      </w:r>
      <w:r w:rsidR="00203B09" w:rsidRPr="00EB1AAB">
        <w:rPr>
          <w:rFonts w:ascii="Arial" w:eastAsia="Arial" w:hAnsi="Arial" w:cs="Arial"/>
          <w:spacing w:val="-1"/>
        </w:rPr>
        <w:t>r</w:t>
      </w:r>
      <w:r w:rsidR="00203B09" w:rsidRPr="00EB1AAB">
        <w:rPr>
          <w:rFonts w:ascii="Arial" w:eastAsia="Arial" w:hAnsi="Arial" w:cs="Arial"/>
        </w:rPr>
        <w:t>e</w:t>
      </w:r>
      <w:r w:rsidR="00203B09" w:rsidRPr="00EB1AAB">
        <w:rPr>
          <w:rFonts w:ascii="Arial" w:eastAsia="Arial" w:hAnsi="Arial" w:cs="Arial"/>
          <w:spacing w:val="-1"/>
        </w:rPr>
        <w:t>s</w:t>
      </w:r>
      <w:r w:rsidR="00203B09" w:rsidRPr="00EB1AAB">
        <w:rPr>
          <w:rFonts w:ascii="Arial" w:eastAsia="Arial" w:hAnsi="Arial" w:cs="Arial"/>
        </w:rPr>
        <w:t>t,</w:t>
      </w:r>
      <w:r w:rsidRPr="00EB1AAB">
        <w:rPr>
          <w:rFonts w:ascii="Arial" w:eastAsia="Arial" w:hAnsi="Arial" w:cs="Arial"/>
          <w:spacing w:val="14"/>
        </w:rPr>
        <w:t xml:space="preserve"> </w:t>
      </w:r>
      <w:r w:rsidRPr="00EB1AAB">
        <w:rPr>
          <w:rFonts w:ascii="Arial" w:eastAsia="Arial" w:hAnsi="Arial" w:cs="Arial"/>
          <w:spacing w:val="-3"/>
        </w:rPr>
        <w:t>b</w:t>
      </w:r>
      <w:r w:rsidRPr="00EB1AAB">
        <w:rPr>
          <w:rFonts w:ascii="Arial" w:eastAsia="Arial" w:hAnsi="Arial" w:cs="Arial"/>
        </w:rPr>
        <w:t>ut</w:t>
      </w:r>
      <w:r w:rsidRPr="00EB1AAB">
        <w:rPr>
          <w:rFonts w:ascii="Arial" w:eastAsia="Arial" w:hAnsi="Arial" w:cs="Arial"/>
          <w:spacing w:val="4"/>
        </w:rPr>
        <w:t xml:space="preserve"> </w:t>
      </w:r>
      <w:r w:rsidRPr="00EB1AAB">
        <w:rPr>
          <w:rFonts w:ascii="Arial" w:eastAsia="Arial" w:hAnsi="Arial" w:cs="Arial"/>
          <w:spacing w:val="2"/>
        </w:rPr>
        <w:t>t</w:t>
      </w:r>
      <w:r w:rsidRPr="00EB1AAB">
        <w:rPr>
          <w:rFonts w:ascii="Arial" w:eastAsia="Arial" w:hAnsi="Arial" w:cs="Arial"/>
        </w:rPr>
        <w:t>h</w:t>
      </w:r>
      <w:r w:rsidRPr="00EB1AAB">
        <w:rPr>
          <w:rFonts w:ascii="Arial" w:eastAsia="Arial" w:hAnsi="Arial" w:cs="Arial"/>
          <w:spacing w:val="2"/>
        </w:rPr>
        <w:t>e</w:t>
      </w:r>
      <w:r w:rsidRPr="00EB1AAB">
        <w:rPr>
          <w:rFonts w:ascii="Arial" w:eastAsia="Arial" w:hAnsi="Arial" w:cs="Arial"/>
        </w:rPr>
        <w:t>y</w:t>
      </w:r>
      <w:r w:rsidRPr="00EB1AAB">
        <w:rPr>
          <w:rFonts w:ascii="Arial" w:eastAsia="Arial" w:hAnsi="Arial" w:cs="Arial"/>
          <w:spacing w:val="6"/>
        </w:rPr>
        <w:t xml:space="preserve"> </w:t>
      </w:r>
      <w:r w:rsidRPr="00EB1AAB">
        <w:rPr>
          <w:rFonts w:ascii="Arial" w:eastAsia="Arial" w:hAnsi="Arial" w:cs="Arial"/>
          <w:spacing w:val="-3"/>
        </w:rPr>
        <w:t>a</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6"/>
        </w:rPr>
        <w:t xml:space="preserve"> </w:t>
      </w:r>
      <w:r w:rsidRPr="00EB1AAB">
        <w:rPr>
          <w:rFonts w:ascii="Arial" w:eastAsia="Arial" w:hAnsi="Arial" w:cs="Arial"/>
        </w:rPr>
        <w:t>h</w:t>
      </w:r>
      <w:r w:rsidRPr="00EB1AAB">
        <w:rPr>
          <w:rFonts w:ascii="Arial" w:eastAsia="Arial" w:hAnsi="Arial" w:cs="Arial"/>
          <w:spacing w:val="-3"/>
        </w:rPr>
        <w:t>e</w:t>
      </w:r>
      <w:r w:rsidRPr="00EB1AAB">
        <w:rPr>
          <w:rFonts w:ascii="Arial" w:eastAsia="Arial" w:hAnsi="Arial" w:cs="Arial"/>
          <w:spacing w:val="1"/>
        </w:rPr>
        <w:t>l</w:t>
      </w:r>
      <w:r w:rsidRPr="00EB1AAB">
        <w:rPr>
          <w:rFonts w:ascii="Arial" w:eastAsia="Arial" w:hAnsi="Arial" w:cs="Arial"/>
        </w:rPr>
        <w:t>d</w:t>
      </w:r>
      <w:r w:rsidRPr="00EB1AAB">
        <w:rPr>
          <w:rFonts w:ascii="Arial" w:eastAsia="Arial" w:hAnsi="Arial" w:cs="Arial"/>
          <w:spacing w:val="5"/>
        </w:rPr>
        <w:t xml:space="preserve"> </w:t>
      </w:r>
      <w:r w:rsidRPr="00EB1AAB">
        <w:rPr>
          <w:rFonts w:ascii="Arial" w:eastAsia="Arial" w:hAnsi="Arial" w:cs="Arial"/>
          <w:spacing w:val="2"/>
        </w:rPr>
        <w:t>t</w:t>
      </w:r>
      <w:r w:rsidRPr="00EB1AAB">
        <w:rPr>
          <w:rFonts w:ascii="Arial" w:eastAsia="Arial" w:hAnsi="Arial" w:cs="Arial"/>
        </w:rPr>
        <w:t xml:space="preserve">o </w:t>
      </w:r>
      <w:r w:rsidRPr="00EB1AAB">
        <w:rPr>
          <w:rFonts w:ascii="Arial" w:eastAsia="Arial" w:hAnsi="Arial" w:cs="Arial"/>
          <w:spacing w:val="3"/>
        </w:rPr>
        <w:t>c</w:t>
      </w:r>
      <w:r w:rsidRPr="00EB1AAB">
        <w:rPr>
          <w:rFonts w:ascii="Arial" w:eastAsia="Arial" w:hAnsi="Arial" w:cs="Arial"/>
        </w:rPr>
        <w:t>o</w:t>
      </w:r>
      <w:r w:rsidRPr="00EB1AAB">
        <w:rPr>
          <w:rFonts w:ascii="Arial" w:eastAsia="Arial" w:hAnsi="Arial" w:cs="Arial"/>
          <w:spacing w:val="1"/>
        </w:rPr>
        <w:t>ll</w:t>
      </w:r>
      <w:r w:rsidRPr="00EB1AAB">
        <w:rPr>
          <w:rFonts w:ascii="Arial" w:eastAsia="Arial" w:hAnsi="Arial" w:cs="Arial"/>
        </w:rPr>
        <w:t>e</w:t>
      </w:r>
      <w:r w:rsidRPr="00EB1AAB">
        <w:rPr>
          <w:rFonts w:ascii="Arial" w:eastAsia="Arial" w:hAnsi="Arial" w:cs="Arial"/>
          <w:spacing w:val="-2"/>
        </w:rPr>
        <w:t>c</w:t>
      </w:r>
      <w:r w:rsidRPr="00EB1AAB">
        <w:rPr>
          <w:rFonts w:ascii="Arial" w:eastAsia="Arial" w:hAnsi="Arial" w:cs="Arial"/>
        </w:rPr>
        <w:t>t</w:t>
      </w:r>
      <w:r w:rsidRPr="00EB1AAB">
        <w:rPr>
          <w:rFonts w:ascii="Arial" w:eastAsia="Arial" w:hAnsi="Arial" w:cs="Arial"/>
          <w:spacing w:val="10"/>
        </w:rPr>
        <w:t xml:space="preserve"> </w:t>
      </w:r>
      <w:r w:rsidRPr="00EB1AAB">
        <w:rPr>
          <w:rFonts w:ascii="Arial" w:eastAsia="Arial" w:hAnsi="Arial" w:cs="Arial"/>
          <w:spacing w:val="1"/>
        </w:rPr>
        <w:t>c</w:t>
      </w:r>
      <w:r w:rsidRPr="00EB1AAB">
        <w:rPr>
          <w:rFonts w:ascii="Arial" w:eastAsia="Arial" w:hAnsi="Arial" w:cs="Arial"/>
          <w:spacing w:val="-3"/>
        </w:rPr>
        <w:t>a</w:t>
      </w:r>
      <w:r w:rsidRPr="00EB1AAB">
        <w:rPr>
          <w:rFonts w:ascii="Arial" w:eastAsia="Arial" w:hAnsi="Arial" w:cs="Arial"/>
          <w:spacing w:val="1"/>
        </w:rPr>
        <w:t>s</w:t>
      </w:r>
      <w:r w:rsidRPr="00EB1AAB">
        <w:rPr>
          <w:rFonts w:ascii="Arial" w:eastAsia="Arial" w:hAnsi="Arial" w:cs="Arial"/>
        </w:rPr>
        <w:t>h</w:t>
      </w:r>
      <w:r w:rsidRPr="00EB1AAB">
        <w:rPr>
          <w:rFonts w:ascii="Arial" w:eastAsia="Arial" w:hAnsi="Arial" w:cs="Arial"/>
          <w:spacing w:val="6"/>
        </w:rPr>
        <w:t xml:space="preserve"> </w:t>
      </w:r>
      <w:r w:rsidRPr="00EB1AAB">
        <w:rPr>
          <w:rFonts w:ascii="Arial" w:eastAsia="Arial" w:hAnsi="Arial" w:cs="Arial"/>
        </w:rPr>
        <w:t>and have the ability</w:t>
      </w:r>
      <w:r w:rsidRPr="00EB1AAB">
        <w:rPr>
          <w:rFonts w:ascii="Arial" w:eastAsia="Arial" w:hAnsi="Arial" w:cs="Arial"/>
          <w:spacing w:val="2"/>
        </w:rPr>
        <w:t xml:space="preserve"> </w:t>
      </w:r>
      <w:r w:rsidRPr="00EB1AAB">
        <w:rPr>
          <w:rFonts w:ascii="Arial" w:eastAsia="Arial" w:hAnsi="Arial" w:cs="Arial"/>
          <w:spacing w:val="3"/>
        </w:rPr>
        <w:t>s</w:t>
      </w:r>
      <w:r w:rsidRPr="00EB1AAB">
        <w:rPr>
          <w:rFonts w:ascii="Arial" w:eastAsia="Arial" w:hAnsi="Arial" w:cs="Arial"/>
        </w:rPr>
        <w:t>e</w:t>
      </w:r>
      <w:r w:rsidRPr="00EB1AAB">
        <w:rPr>
          <w:rFonts w:ascii="Arial" w:eastAsia="Arial" w:hAnsi="Arial" w:cs="Arial"/>
          <w:spacing w:val="1"/>
        </w:rPr>
        <w:t>l</w:t>
      </w:r>
      <w:r w:rsidRPr="00EB1AAB">
        <w:rPr>
          <w:rFonts w:ascii="Arial" w:eastAsia="Arial" w:hAnsi="Arial" w:cs="Arial"/>
        </w:rPr>
        <w:t>l</w:t>
      </w:r>
      <w:r w:rsidRPr="00EB1AAB">
        <w:rPr>
          <w:rFonts w:ascii="Arial" w:eastAsia="Arial" w:hAnsi="Arial" w:cs="Arial"/>
          <w:spacing w:val="7"/>
        </w:rPr>
        <w:t xml:space="preserve"> </w:t>
      </w:r>
      <w:r w:rsidRPr="00EB1AAB">
        <w:rPr>
          <w:rFonts w:ascii="Arial" w:eastAsia="Arial" w:hAnsi="Arial" w:cs="Arial"/>
          <w:w w:val="101"/>
        </w:rPr>
        <w:t>t</w:t>
      </w:r>
      <w:r w:rsidRPr="00EB1AAB">
        <w:rPr>
          <w:rFonts w:ascii="Arial" w:eastAsia="Arial" w:hAnsi="Arial" w:cs="Arial"/>
          <w:spacing w:val="-3"/>
          <w:w w:val="101"/>
        </w:rPr>
        <w:t>h</w:t>
      </w:r>
      <w:r w:rsidRPr="00EB1AAB">
        <w:rPr>
          <w:rFonts w:ascii="Arial" w:eastAsia="Arial" w:hAnsi="Arial" w:cs="Arial"/>
          <w:w w:val="101"/>
        </w:rPr>
        <w:t xml:space="preserve">e </w:t>
      </w:r>
      <w:r w:rsidRPr="00EB1AAB">
        <w:rPr>
          <w:rFonts w:ascii="Arial" w:eastAsia="Arial" w:hAnsi="Arial" w:cs="Arial"/>
        </w:rPr>
        <w:t>a</w:t>
      </w:r>
      <w:r w:rsidRPr="00EB1AAB">
        <w:rPr>
          <w:rFonts w:ascii="Arial" w:eastAsia="Arial" w:hAnsi="Arial" w:cs="Arial"/>
          <w:spacing w:val="-2"/>
        </w:rPr>
        <w:t>s</w:t>
      </w:r>
      <w:r w:rsidRPr="00EB1AAB">
        <w:rPr>
          <w:rFonts w:ascii="Arial" w:eastAsia="Arial" w:hAnsi="Arial" w:cs="Arial"/>
          <w:spacing w:val="1"/>
        </w:rPr>
        <w:t>s</w:t>
      </w:r>
      <w:r w:rsidRPr="00EB1AAB">
        <w:rPr>
          <w:rFonts w:ascii="Arial" w:eastAsia="Arial" w:hAnsi="Arial" w:cs="Arial"/>
          <w:spacing w:val="-3"/>
        </w:rPr>
        <w:t>e</w:t>
      </w:r>
      <w:r w:rsidRPr="00EB1AAB">
        <w:rPr>
          <w:rFonts w:ascii="Arial" w:eastAsia="Arial" w:hAnsi="Arial" w:cs="Arial"/>
          <w:spacing w:val="2"/>
        </w:rPr>
        <w:t>t</w:t>
      </w:r>
      <w:r w:rsidRPr="00EB1AAB">
        <w:rPr>
          <w:rFonts w:ascii="Arial" w:eastAsia="Arial" w:hAnsi="Arial" w:cs="Arial"/>
        </w:rPr>
        <w:t>s</w:t>
      </w:r>
      <w:r w:rsidRPr="00EB1AAB">
        <w:rPr>
          <w:rFonts w:ascii="Arial" w:eastAsia="Arial" w:hAnsi="Arial" w:cs="Arial"/>
          <w:spacing w:val="9"/>
        </w:rPr>
        <w:t xml:space="preserve"> </w:t>
      </w:r>
      <w:r w:rsidRPr="00EB1AAB">
        <w:rPr>
          <w:rFonts w:ascii="Arial" w:eastAsia="Arial" w:hAnsi="Arial" w:cs="Arial"/>
          <w:spacing w:val="2"/>
        </w:rPr>
        <w:t>(</w:t>
      </w:r>
      <w:r w:rsidRPr="00EB1AAB">
        <w:rPr>
          <w:rFonts w:ascii="Arial" w:eastAsia="Arial" w:hAnsi="Arial" w:cs="Arial"/>
          <w:spacing w:val="-3"/>
        </w:rPr>
        <w:t>e</w:t>
      </w:r>
      <w:r w:rsidRPr="00EB1AAB">
        <w:rPr>
          <w:rFonts w:ascii="Arial" w:eastAsia="Arial" w:hAnsi="Arial" w:cs="Arial"/>
        </w:rPr>
        <w:t>.g.</w:t>
      </w:r>
      <w:r w:rsidRPr="00EB1AAB">
        <w:rPr>
          <w:rFonts w:ascii="Arial" w:eastAsia="Arial" w:hAnsi="Arial" w:cs="Arial"/>
          <w:spacing w:val="8"/>
        </w:rPr>
        <w:t xml:space="preserve"> </w:t>
      </w:r>
      <w:r w:rsidRPr="00EB1AAB">
        <w:rPr>
          <w:rFonts w:ascii="Arial" w:eastAsia="Arial" w:hAnsi="Arial" w:cs="Arial"/>
        </w:rPr>
        <w:t>mon</w:t>
      </w:r>
      <w:r w:rsidRPr="00EB1AAB">
        <w:rPr>
          <w:rFonts w:ascii="Arial" w:eastAsia="Arial" w:hAnsi="Arial" w:cs="Arial"/>
          <w:spacing w:val="2"/>
        </w:rPr>
        <w:t>e</w:t>
      </w:r>
      <w:r w:rsidRPr="00EB1AAB">
        <w:rPr>
          <w:rFonts w:ascii="Arial" w:eastAsia="Arial" w:hAnsi="Arial" w:cs="Arial"/>
        </w:rPr>
        <w:t>y</w:t>
      </w:r>
      <w:r w:rsidRPr="00EB1AAB">
        <w:rPr>
          <w:rFonts w:ascii="Arial" w:eastAsia="Arial" w:hAnsi="Arial" w:cs="Arial"/>
          <w:spacing w:val="7"/>
        </w:rPr>
        <w:t xml:space="preserve"> </w:t>
      </w:r>
      <w:r w:rsidRPr="00EB1AAB">
        <w:rPr>
          <w:rFonts w:ascii="Arial" w:eastAsia="Arial" w:hAnsi="Arial" w:cs="Arial"/>
          <w:spacing w:val="2"/>
        </w:rPr>
        <w:t>m</w:t>
      </w:r>
      <w:r w:rsidRPr="00EB1AAB">
        <w:rPr>
          <w:rFonts w:ascii="Arial" w:eastAsia="Arial" w:hAnsi="Arial" w:cs="Arial"/>
        </w:rPr>
        <w:t>a</w:t>
      </w:r>
      <w:r w:rsidRPr="00EB1AAB">
        <w:rPr>
          <w:rFonts w:ascii="Arial" w:eastAsia="Arial" w:hAnsi="Arial" w:cs="Arial"/>
          <w:spacing w:val="-1"/>
        </w:rPr>
        <w:t>r</w:t>
      </w:r>
      <w:r w:rsidRPr="00EB1AAB">
        <w:rPr>
          <w:rFonts w:ascii="Arial" w:eastAsia="Arial" w:hAnsi="Arial" w:cs="Arial"/>
          <w:spacing w:val="1"/>
        </w:rPr>
        <w:t>k</w:t>
      </w:r>
      <w:r w:rsidRPr="00EB1AAB">
        <w:rPr>
          <w:rFonts w:ascii="Arial" w:eastAsia="Arial" w:hAnsi="Arial" w:cs="Arial"/>
          <w:spacing w:val="-3"/>
        </w:rPr>
        <w:t>e</w:t>
      </w:r>
      <w:r w:rsidRPr="00EB1AAB">
        <w:rPr>
          <w:rFonts w:ascii="Arial" w:eastAsia="Arial" w:hAnsi="Arial" w:cs="Arial"/>
        </w:rPr>
        <w:t>t</w:t>
      </w:r>
      <w:r w:rsidRPr="00EB1AAB">
        <w:rPr>
          <w:rFonts w:ascii="Arial" w:eastAsia="Arial" w:hAnsi="Arial" w:cs="Arial"/>
          <w:spacing w:val="11"/>
        </w:rPr>
        <w:t xml:space="preserve"> </w:t>
      </w:r>
      <w:r w:rsidRPr="00EB1AAB">
        <w:rPr>
          <w:rFonts w:ascii="Arial" w:eastAsia="Arial" w:hAnsi="Arial" w:cs="Arial"/>
          <w:spacing w:val="2"/>
          <w:w w:val="101"/>
        </w:rPr>
        <w:t>f</w:t>
      </w:r>
      <w:r w:rsidRPr="00EB1AAB">
        <w:rPr>
          <w:rFonts w:ascii="Arial" w:eastAsia="Arial" w:hAnsi="Arial" w:cs="Arial"/>
          <w:w w:val="101"/>
        </w:rPr>
        <w:t>u</w:t>
      </w:r>
      <w:r w:rsidRPr="00EB1AAB">
        <w:rPr>
          <w:rFonts w:ascii="Arial" w:eastAsia="Arial" w:hAnsi="Arial" w:cs="Arial"/>
          <w:spacing w:val="-3"/>
          <w:w w:val="101"/>
        </w:rPr>
        <w:t>n</w:t>
      </w:r>
      <w:r w:rsidRPr="00EB1AAB">
        <w:rPr>
          <w:rFonts w:ascii="Arial" w:eastAsia="Arial" w:hAnsi="Arial" w:cs="Arial"/>
          <w:w w:val="101"/>
        </w:rPr>
        <w:t>d</w:t>
      </w:r>
      <w:r w:rsidRPr="00EB1AAB">
        <w:rPr>
          <w:rFonts w:ascii="Arial" w:eastAsia="Arial" w:hAnsi="Arial" w:cs="Arial"/>
          <w:spacing w:val="-2"/>
          <w:w w:val="101"/>
        </w:rPr>
        <w:t>s</w:t>
      </w:r>
      <w:r w:rsidRPr="00EB1AAB">
        <w:rPr>
          <w:rFonts w:ascii="Arial" w:eastAsia="Arial" w:hAnsi="Arial" w:cs="Arial"/>
          <w:spacing w:val="-1"/>
          <w:w w:val="101"/>
        </w:rPr>
        <w:t>)</w:t>
      </w:r>
      <w:r w:rsidRPr="00EB1AAB">
        <w:rPr>
          <w:rFonts w:ascii="Arial" w:eastAsia="Arial" w:hAnsi="Arial" w:cs="Arial"/>
          <w:w w:val="101"/>
        </w:rPr>
        <w:t>.</w:t>
      </w:r>
    </w:p>
    <w:p w14:paraId="04AA5EBE" w14:textId="77777777" w:rsidR="00655E4C" w:rsidRPr="00EB1AAB" w:rsidRDefault="00655E4C" w:rsidP="00655E4C">
      <w:pPr>
        <w:spacing w:before="9"/>
        <w:ind w:right="-88"/>
        <w:rPr>
          <w:rFonts w:ascii="Arial" w:hAnsi="Arial" w:cs="Arial"/>
        </w:rPr>
      </w:pPr>
    </w:p>
    <w:p w14:paraId="1701520D" w14:textId="77777777" w:rsidR="00655E4C" w:rsidRPr="00EB1AAB" w:rsidRDefault="00655E4C" w:rsidP="00655E4C">
      <w:pPr>
        <w:ind w:right="-88"/>
        <w:rPr>
          <w:rFonts w:ascii="Arial" w:eastAsia="Arial" w:hAnsi="Arial" w:cs="Arial"/>
          <w:w w:val="101"/>
        </w:rPr>
      </w:pPr>
      <w:r w:rsidRPr="00EB1AAB">
        <w:rPr>
          <w:rFonts w:ascii="Arial" w:eastAsia="Arial" w:hAnsi="Arial" w:cs="Arial"/>
          <w:spacing w:val="-1"/>
        </w:rPr>
        <w:t>T</w:t>
      </w:r>
      <w:r w:rsidRPr="00EB1AAB">
        <w:rPr>
          <w:rFonts w:ascii="Arial" w:eastAsia="Arial" w:hAnsi="Arial" w:cs="Arial"/>
        </w:rPr>
        <w:t>he</w:t>
      </w:r>
      <w:r w:rsidRPr="00EB1AAB">
        <w:rPr>
          <w:rFonts w:ascii="Arial" w:eastAsia="Arial" w:hAnsi="Arial" w:cs="Arial"/>
          <w:spacing w:val="4"/>
        </w:rPr>
        <w:t xml:space="preserve"> </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1"/>
        </w:rPr>
        <w:t>t</w:t>
      </w:r>
      <w:r w:rsidRPr="00EB1AAB">
        <w:rPr>
          <w:rFonts w:ascii="Arial" w:eastAsia="Arial" w:hAnsi="Arial" w:cs="Arial"/>
        </w:rPr>
        <w:t>e</w:t>
      </w:r>
      <w:r w:rsidRPr="00EB1AAB">
        <w:rPr>
          <w:rFonts w:ascii="Arial" w:eastAsia="Arial" w:hAnsi="Arial" w:cs="Arial"/>
          <w:spacing w:val="1"/>
        </w:rPr>
        <w:t>r</w:t>
      </w:r>
      <w:r w:rsidRPr="00EB1AAB">
        <w:rPr>
          <w:rFonts w:ascii="Arial" w:eastAsia="Arial" w:hAnsi="Arial" w:cs="Arial"/>
          <w:spacing w:val="-3"/>
        </w:rPr>
        <w:t>e</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9"/>
        </w:rPr>
        <w:t xml:space="preserve"> </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1"/>
        </w:rPr>
        <w:t>c</w:t>
      </w:r>
      <w:r w:rsidRPr="00EB1AAB">
        <w:rPr>
          <w:rFonts w:ascii="Arial" w:eastAsia="Arial" w:hAnsi="Arial" w:cs="Arial"/>
          <w:spacing w:val="-3"/>
        </w:rPr>
        <w:t>e</w:t>
      </w:r>
      <w:r w:rsidRPr="00EB1AAB">
        <w:rPr>
          <w:rFonts w:ascii="Arial" w:eastAsia="Arial" w:hAnsi="Arial" w:cs="Arial"/>
          <w:spacing w:val="1"/>
        </w:rPr>
        <w:t>iv</w:t>
      </w:r>
      <w:r w:rsidRPr="00EB1AAB">
        <w:rPr>
          <w:rFonts w:ascii="Arial" w:eastAsia="Arial" w:hAnsi="Arial" w:cs="Arial"/>
          <w:spacing w:val="2"/>
        </w:rPr>
        <w:t>e</w:t>
      </w:r>
      <w:r w:rsidRPr="00EB1AAB">
        <w:rPr>
          <w:rFonts w:ascii="Arial" w:eastAsia="Arial" w:hAnsi="Arial" w:cs="Arial"/>
        </w:rPr>
        <w:t>d</w:t>
      </w:r>
      <w:r w:rsidRPr="00EB1AAB">
        <w:rPr>
          <w:rFonts w:ascii="Arial" w:eastAsia="Arial" w:hAnsi="Arial" w:cs="Arial"/>
          <w:spacing w:val="8"/>
        </w:rPr>
        <w:t xml:space="preserve"> </w:t>
      </w:r>
      <w:r w:rsidRPr="00EB1AAB">
        <w:rPr>
          <w:rFonts w:ascii="Arial" w:eastAsia="Arial" w:hAnsi="Arial" w:cs="Arial"/>
          <w:spacing w:val="2"/>
        </w:rPr>
        <w:t>o</w:t>
      </w:r>
      <w:r w:rsidRPr="00EB1AAB">
        <w:rPr>
          <w:rFonts w:ascii="Arial" w:eastAsia="Arial" w:hAnsi="Arial" w:cs="Arial"/>
        </w:rPr>
        <w:t>n</w:t>
      </w:r>
      <w:r w:rsidRPr="00EB1AAB">
        <w:rPr>
          <w:rFonts w:ascii="Arial" w:eastAsia="Arial" w:hAnsi="Arial" w:cs="Arial"/>
          <w:spacing w:val="4"/>
        </w:rPr>
        <w:t xml:space="preserve"> </w:t>
      </w:r>
      <w:r w:rsidRPr="00EB1AAB">
        <w:rPr>
          <w:rFonts w:ascii="Arial" w:eastAsia="Arial" w:hAnsi="Arial" w:cs="Arial"/>
        </w:rPr>
        <w:t>t</w:t>
      </w:r>
      <w:r w:rsidRPr="00EB1AAB">
        <w:rPr>
          <w:rFonts w:ascii="Arial" w:eastAsia="Arial" w:hAnsi="Arial" w:cs="Arial"/>
          <w:spacing w:val="-3"/>
        </w:rPr>
        <w:t>h</w:t>
      </w:r>
      <w:r w:rsidRPr="00EB1AAB">
        <w:rPr>
          <w:rFonts w:ascii="Arial" w:eastAsia="Arial" w:hAnsi="Arial" w:cs="Arial"/>
        </w:rPr>
        <w:t>e</w:t>
      </w:r>
      <w:r w:rsidRPr="00EB1AAB">
        <w:rPr>
          <w:rFonts w:ascii="Arial" w:eastAsia="Arial" w:hAnsi="Arial" w:cs="Arial"/>
          <w:spacing w:val="3"/>
        </w:rPr>
        <w:t>s</w:t>
      </w:r>
      <w:r w:rsidRPr="00EB1AAB">
        <w:rPr>
          <w:rFonts w:ascii="Arial" w:eastAsia="Arial" w:hAnsi="Arial" w:cs="Arial"/>
        </w:rPr>
        <w:t>e</w:t>
      </w:r>
      <w:r w:rsidRPr="00EB1AAB">
        <w:rPr>
          <w:rFonts w:ascii="Arial" w:eastAsia="Arial" w:hAnsi="Arial" w:cs="Arial"/>
          <w:spacing w:val="5"/>
        </w:rPr>
        <w:t xml:space="preserve"> </w:t>
      </w:r>
      <w:r w:rsidRPr="00EB1AAB">
        <w:rPr>
          <w:rFonts w:ascii="Arial" w:eastAsia="Arial" w:hAnsi="Arial" w:cs="Arial"/>
        </w:rPr>
        <w:t>a</w:t>
      </w:r>
      <w:r w:rsidRPr="00EB1AAB">
        <w:rPr>
          <w:rFonts w:ascii="Arial" w:eastAsia="Arial" w:hAnsi="Arial" w:cs="Arial"/>
          <w:spacing w:val="1"/>
        </w:rPr>
        <w:t>ss</w:t>
      </w:r>
      <w:r w:rsidRPr="00EB1AAB">
        <w:rPr>
          <w:rFonts w:ascii="Arial" w:eastAsia="Arial" w:hAnsi="Arial" w:cs="Arial"/>
        </w:rPr>
        <w:t>ets</w:t>
      </w:r>
      <w:r w:rsidRPr="00EB1AAB">
        <w:rPr>
          <w:rFonts w:ascii="Arial" w:eastAsia="Arial" w:hAnsi="Arial" w:cs="Arial"/>
          <w:spacing w:val="9"/>
        </w:rPr>
        <w:t xml:space="preserve"> </w:t>
      </w:r>
      <w:r w:rsidRPr="00EB1AAB">
        <w:rPr>
          <w:rFonts w:ascii="Arial" w:eastAsia="Arial" w:hAnsi="Arial" w:cs="Arial"/>
          <w:spacing w:val="1"/>
        </w:rPr>
        <w:t>i</w:t>
      </w:r>
      <w:r w:rsidRPr="00EB1AAB">
        <w:rPr>
          <w:rFonts w:ascii="Arial" w:eastAsia="Arial" w:hAnsi="Arial" w:cs="Arial"/>
        </w:rPr>
        <w:t>s measured using the Effective Interest Rate model</w:t>
      </w:r>
      <w:r w:rsidRPr="00EB1AAB">
        <w:rPr>
          <w:rFonts w:ascii="Arial" w:eastAsia="Arial" w:hAnsi="Arial" w:cs="Arial"/>
          <w:w w:val="101"/>
        </w:rPr>
        <w:t>.</w:t>
      </w:r>
    </w:p>
    <w:p w14:paraId="28B58AF3" w14:textId="77777777" w:rsidR="00655E4C" w:rsidRPr="00EB1AAB" w:rsidRDefault="00655E4C" w:rsidP="00655E4C">
      <w:pPr>
        <w:spacing w:before="9"/>
        <w:rPr>
          <w:rFonts w:ascii="Arial" w:hAnsi="Arial" w:cs="Arial"/>
        </w:rPr>
      </w:pPr>
    </w:p>
    <w:p w14:paraId="57A05807" w14:textId="77777777" w:rsidR="00655E4C" w:rsidRPr="00EB1AAB" w:rsidRDefault="00655E4C" w:rsidP="00655E4C">
      <w:pPr>
        <w:ind w:right="100"/>
        <w:rPr>
          <w:rFonts w:ascii="Arial" w:eastAsia="Arial" w:hAnsi="Arial" w:cs="Arial"/>
        </w:rPr>
      </w:pPr>
      <w:r w:rsidRPr="00EB1AAB">
        <w:rPr>
          <w:rFonts w:ascii="Arial" w:eastAsia="Arial" w:hAnsi="Arial" w:cs="Arial"/>
        </w:rPr>
        <w:t xml:space="preserve">All gains and losses due to changes in the fair value of these assets are accounted for through an unusable reserve (the Financial Instruments Revaluation Reserve) and charged to </w:t>
      </w:r>
      <w:r w:rsidRPr="00EB1AAB">
        <w:rPr>
          <w:rFonts w:ascii="Arial" w:eastAsia="Arial" w:hAnsi="Arial" w:cs="Arial"/>
          <w:spacing w:val="-2"/>
        </w:rPr>
        <w:t>O</w:t>
      </w:r>
      <w:r w:rsidRPr="00EB1AAB">
        <w:rPr>
          <w:rFonts w:ascii="Arial" w:eastAsia="Arial" w:hAnsi="Arial" w:cs="Arial"/>
          <w:spacing w:val="2"/>
        </w:rPr>
        <w:t>t</w:t>
      </w:r>
      <w:r w:rsidRPr="00EB1AAB">
        <w:rPr>
          <w:rFonts w:ascii="Arial" w:eastAsia="Arial" w:hAnsi="Arial" w:cs="Arial"/>
        </w:rPr>
        <w:t>h</w:t>
      </w:r>
      <w:r w:rsidRPr="00EB1AAB">
        <w:rPr>
          <w:rFonts w:ascii="Arial" w:eastAsia="Arial" w:hAnsi="Arial" w:cs="Arial"/>
          <w:spacing w:val="-3"/>
        </w:rPr>
        <w:t>e</w:t>
      </w:r>
      <w:r w:rsidRPr="00EB1AAB">
        <w:rPr>
          <w:rFonts w:ascii="Arial" w:eastAsia="Arial" w:hAnsi="Arial" w:cs="Arial"/>
        </w:rPr>
        <w:t>r</w:t>
      </w:r>
      <w:r w:rsidRPr="00EB1AAB">
        <w:rPr>
          <w:rFonts w:ascii="Arial" w:eastAsia="Arial" w:hAnsi="Arial" w:cs="Arial"/>
          <w:spacing w:val="11"/>
        </w:rPr>
        <w:t xml:space="preserve"> </w:t>
      </w:r>
      <w:r w:rsidRPr="00EB1AAB">
        <w:rPr>
          <w:rFonts w:ascii="Arial" w:eastAsia="Arial" w:hAnsi="Arial" w:cs="Arial"/>
        </w:rPr>
        <w:t>C</w:t>
      </w:r>
      <w:r w:rsidRPr="00EB1AAB">
        <w:rPr>
          <w:rFonts w:ascii="Arial" w:eastAsia="Arial" w:hAnsi="Arial" w:cs="Arial"/>
          <w:spacing w:val="-3"/>
        </w:rPr>
        <w:t>o</w:t>
      </w:r>
      <w:r w:rsidRPr="00EB1AAB">
        <w:rPr>
          <w:rFonts w:ascii="Arial" w:eastAsia="Arial" w:hAnsi="Arial" w:cs="Arial"/>
          <w:spacing w:val="2"/>
        </w:rPr>
        <w:t>m</w:t>
      </w:r>
      <w:r w:rsidRPr="00EB1AAB">
        <w:rPr>
          <w:rFonts w:ascii="Arial" w:eastAsia="Arial" w:hAnsi="Arial" w:cs="Arial"/>
        </w:rPr>
        <w:t>p</w:t>
      </w:r>
      <w:r w:rsidRPr="00EB1AAB">
        <w:rPr>
          <w:rFonts w:ascii="Arial" w:eastAsia="Arial" w:hAnsi="Arial" w:cs="Arial"/>
          <w:spacing w:val="1"/>
        </w:rPr>
        <w:t>r</w:t>
      </w:r>
      <w:r w:rsidRPr="00EB1AAB">
        <w:rPr>
          <w:rFonts w:ascii="Arial" w:eastAsia="Arial" w:hAnsi="Arial" w:cs="Arial"/>
          <w:spacing w:val="-3"/>
        </w:rPr>
        <w:t>e</w:t>
      </w:r>
      <w:r w:rsidRPr="00EB1AAB">
        <w:rPr>
          <w:rFonts w:ascii="Arial" w:eastAsia="Arial" w:hAnsi="Arial" w:cs="Arial"/>
          <w:spacing w:val="2"/>
        </w:rPr>
        <w:t>h</w:t>
      </w:r>
      <w:r w:rsidRPr="00EB1AAB">
        <w:rPr>
          <w:rFonts w:ascii="Arial" w:eastAsia="Arial" w:hAnsi="Arial" w:cs="Arial"/>
          <w:spacing w:val="-2"/>
        </w:rPr>
        <w:t>e</w:t>
      </w:r>
      <w:r w:rsidRPr="00EB1AAB">
        <w:rPr>
          <w:rFonts w:ascii="Arial" w:eastAsia="Arial" w:hAnsi="Arial" w:cs="Arial"/>
        </w:rPr>
        <w:t>n</w:t>
      </w:r>
      <w:r w:rsidRPr="00EB1AAB">
        <w:rPr>
          <w:rFonts w:ascii="Arial" w:eastAsia="Arial" w:hAnsi="Arial" w:cs="Arial"/>
          <w:spacing w:val="1"/>
        </w:rPr>
        <w:t>siv</w:t>
      </w:r>
      <w:r w:rsidRPr="00EB1AAB">
        <w:rPr>
          <w:rFonts w:ascii="Arial" w:eastAsia="Arial" w:hAnsi="Arial" w:cs="Arial"/>
        </w:rPr>
        <w:t>e</w:t>
      </w:r>
      <w:r w:rsidRPr="00EB1AAB">
        <w:rPr>
          <w:rFonts w:ascii="Arial" w:eastAsia="Arial" w:hAnsi="Arial" w:cs="Arial"/>
          <w:spacing w:val="14"/>
        </w:rPr>
        <w:t xml:space="preserve"> </w:t>
      </w:r>
      <w:r w:rsidRPr="00EB1AAB">
        <w:rPr>
          <w:rFonts w:ascii="Arial" w:eastAsia="Arial" w:hAnsi="Arial" w:cs="Arial"/>
          <w:spacing w:val="3"/>
          <w:w w:val="101"/>
        </w:rPr>
        <w:t>I</w:t>
      </w:r>
      <w:r w:rsidRPr="00EB1AAB">
        <w:rPr>
          <w:rFonts w:ascii="Arial" w:eastAsia="Arial" w:hAnsi="Arial" w:cs="Arial"/>
          <w:spacing w:val="-3"/>
          <w:w w:val="101"/>
        </w:rPr>
        <w:t>n</w:t>
      </w:r>
      <w:r w:rsidRPr="00EB1AAB">
        <w:rPr>
          <w:rFonts w:ascii="Arial" w:eastAsia="Arial" w:hAnsi="Arial" w:cs="Arial"/>
          <w:spacing w:val="3"/>
          <w:w w:val="101"/>
        </w:rPr>
        <w:t>c</w:t>
      </w:r>
      <w:r w:rsidRPr="00EB1AAB">
        <w:rPr>
          <w:rFonts w:ascii="Arial" w:eastAsia="Arial" w:hAnsi="Arial" w:cs="Arial"/>
          <w:spacing w:val="-3"/>
          <w:w w:val="101"/>
        </w:rPr>
        <w:t>o</w:t>
      </w:r>
      <w:r w:rsidRPr="00EB1AAB">
        <w:rPr>
          <w:rFonts w:ascii="Arial" w:eastAsia="Arial" w:hAnsi="Arial" w:cs="Arial"/>
          <w:spacing w:val="2"/>
          <w:w w:val="101"/>
        </w:rPr>
        <w:t>m</w:t>
      </w:r>
      <w:r w:rsidRPr="00EB1AAB">
        <w:rPr>
          <w:rFonts w:ascii="Arial" w:eastAsia="Arial" w:hAnsi="Arial" w:cs="Arial"/>
          <w:w w:val="101"/>
        </w:rPr>
        <w:t xml:space="preserve">e </w:t>
      </w:r>
      <w:r w:rsidRPr="00EB1AAB">
        <w:rPr>
          <w:rFonts w:ascii="Arial" w:eastAsia="Arial" w:hAnsi="Arial" w:cs="Arial"/>
        </w:rPr>
        <w:t>and</w:t>
      </w:r>
      <w:r w:rsidRPr="00EB1AAB">
        <w:rPr>
          <w:rFonts w:ascii="Arial" w:eastAsia="Arial" w:hAnsi="Arial" w:cs="Arial"/>
          <w:spacing w:val="5"/>
        </w:rPr>
        <w:t xml:space="preserve"> </w:t>
      </w:r>
      <w:r w:rsidRPr="00EB1AAB">
        <w:rPr>
          <w:rFonts w:ascii="Arial" w:eastAsia="Arial" w:hAnsi="Arial" w:cs="Arial"/>
        </w:rPr>
        <w:t>E</w:t>
      </w:r>
      <w:r w:rsidRPr="00EB1AAB">
        <w:rPr>
          <w:rFonts w:ascii="Arial" w:eastAsia="Arial" w:hAnsi="Arial" w:cs="Arial"/>
          <w:spacing w:val="1"/>
        </w:rPr>
        <w:t>x</w:t>
      </w:r>
      <w:r w:rsidRPr="00EB1AAB">
        <w:rPr>
          <w:rFonts w:ascii="Arial" w:eastAsia="Arial" w:hAnsi="Arial" w:cs="Arial"/>
        </w:rPr>
        <w:t>p</w:t>
      </w:r>
      <w:r w:rsidRPr="00EB1AAB">
        <w:rPr>
          <w:rFonts w:ascii="Arial" w:eastAsia="Arial" w:hAnsi="Arial" w:cs="Arial"/>
          <w:spacing w:val="-1"/>
        </w:rPr>
        <w:t>e</w:t>
      </w:r>
      <w:r w:rsidRPr="00EB1AAB">
        <w:rPr>
          <w:rFonts w:ascii="Arial" w:eastAsia="Arial" w:hAnsi="Arial" w:cs="Arial"/>
        </w:rPr>
        <w:t>n</w:t>
      </w:r>
      <w:r w:rsidRPr="00EB1AAB">
        <w:rPr>
          <w:rFonts w:ascii="Arial" w:eastAsia="Arial" w:hAnsi="Arial" w:cs="Arial"/>
          <w:spacing w:val="-1"/>
        </w:rPr>
        <w:t>d</w:t>
      </w:r>
      <w:r w:rsidRPr="00EB1AAB">
        <w:rPr>
          <w:rFonts w:ascii="Arial" w:eastAsia="Arial" w:hAnsi="Arial" w:cs="Arial"/>
          <w:spacing w:val="1"/>
        </w:rPr>
        <w:t>i</w:t>
      </w:r>
      <w:r w:rsidRPr="00EB1AAB">
        <w:rPr>
          <w:rFonts w:ascii="Arial" w:eastAsia="Arial" w:hAnsi="Arial" w:cs="Arial"/>
        </w:rPr>
        <w:t>tu</w:t>
      </w:r>
      <w:r w:rsidRPr="00EB1AAB">
        <w:rPr>
          <w:rFonts w:ascii="Arial" w:eastAsia="Arial" w:hAnsi="Arial" w:cs="Arial"/>
          <w:spacing w:val="-1"/>
        </w:rPr>
        <w:t>r</w:t>
      </w:r>
      <w:r w:rsidRPr="00EB1AAB">
        <w:rPr>
          <w:rFonts w:ascii="Arial" w:eastAsia="Arial" w:hAnsi="Arial" w:cs="Arial"/>
        </w:rPr>
        <w:t>e.</w:t>
      </w:r>
    </w:p>
    <w:p w14:paraId="3D5DF6E2" w14:textId="77777777" w:rsidR="00655E4C" w:rsidRPr="00EB1AAB" w:rsidRDefault="00655E4C" w:rsidP="00655E4C">
      <w:pPr>
        <w:ind w:right="100"/>
        <w:rPr>
          <w:rFonts w:ascii="Arial" w:eastAsia="Arial" w:hAnsi="Arial" w:cs="Arial"/>
        </w:rPr>
      </w:pPr>
    </w:p>
    <w:p w14:paraId="58D51CFC" w14:textId="77777777" w:rsidR="00655E4C" w:rsidRPr="00EB1AAB" w:rsidRDefault="00655E4C" w:rsidP="00655E4C">
      <w:pPr>
        <w:ind w:right="-88"/>
        <w:rPr>
          <w:rFonts w:ascii="Arial" w:eastAsia="Arial" w:hAnsi="Arial" w:cs="Arial"/>
        </w:rPr>
      </w:pPr>
      <w:r w:rsidRPr="00EB1AAB">
        <w:rPr>
          <w:rFonts w:ascii="Arial" w:eastAsia="Arial" w:hAnsi="Arial" w:cs="Arial"/>
        </w:rPr>
        <w:t>The cumulative gain or loss is debited or credited to the su</w:t>
      </w:r>
      <w:r w:rsidRPr="00EB1AAB">
        <w:rPr>
          <w:rFonts w:ascii="Arial" w:eastAsia="Arial" w:hAnsi="Arial" w:cs="Arial"/>
          <w:spacing w:val="-1"/>
        </w:rPr>
        <w:t>r</w:t>
      </w:r>
      <w:r w:rsidRPr="00EB1AAB">
        <w:rPr>
          <w:rFonts w:ascii="Arial" w:eastAsia="Arial" w:hAnsi="Arial" w:cs="Arial"/>
        </w:rPr>
        <w:t>p</w:t>
      </w:r>
      <w:r w:rsidRPr="00EB1AAB">
        <w:rPr>
          <w:rFonts w:ascii="Arial" w:eastAsia="Arial" w:hAnsi="Arial" w:cs="Arial"/>
          <w:spacing w:val="1"/>
        </w:rPr>
        <w:t>l</w:t>
      </w:r>
      <w:r w:rsidRPr="00EB1AAB">
        <w:rPr>
          <w:rFonts w:ascii="Arial" w:eastAsia="Arial" w:hAnsi="Arial" w:cs="Arial"/>
        </w:rPr>
        <w:t>us</w:t>
      </w:r>
      <w:r w:rsidRPr="00EB1AAB">
        <w:rPr>
          <w:rFonts w:ascii="Arial" w:eastAsia="Arial" w:hAnsi="Arial" w:cs="Arial"/>
          <w:spacing w:val="9"/>
        </w:rPr>
        <w:t>/</w:t>
      </w:r>
      <w:r w:rsidRPr="00EB1AAB">
        <w:rPr>
          <w:rFonts w:ascii="Arial" w:eastAsia="Arial" w:hAnsi="Arial" w:cs="Arial"/>
        </w:rPr>
        <w:t>d</w:t>
      </w:r>
      <w:r w:rsidRPr="00EB1AAB">
        <w:rPr>
          <w:rFonts w:ascii="Arial" w:eastAsia="Arial" w:hAnsi="Arial" w:cs="Arial"/>
          <w:spacing w:val="-3"/>
        </w:rPr>
        <w:t>e</w:t>
      </w:r>
      <w:r w:rsidRPr="00EB1AAB">
        <w:rPr>
          <w:rFonts w:ascii="Arial" w:eastAsia="Arial" w:hAnsi="Arial" w:cs="Arial"/>
          <w:spacing w:val="2"/>
        </w:rPr>
        <w:t>f</w:t>
      </w:r>
      <w:r w:rsidRPr="00EB1AAB">
        <w:rPr>
          <w:rFonts w:ascii="Arial" w:eastAsia="Arial" w:hAnsi="Arial" w:cs="Arial"/>
          <w:spacing w:val="4"/>
        </w:rPr>
        <w:t>i</w:t>
      </w:r>
      <w:r w:rsidRPr="00EB1AAB">
        <w:rPr>
          <w:rFonts w:ascii="Arial" w:eastAsia="Arial" w:hAnsi="Arial" w:cs="Arial"/>
          <w:spacing w:val="1"/>
        </w:rPr>
        <w:t>c</w:t>
      </w:r>
      <w:r w:rsidRPr="00EB1AAB">
        <w:rPr>
          <w:rFonts w:ascii="Arial" w:eastAsia="Arial" w:hAnsi="Arial" w:cs="Arial"/>
          <w:spacing w:val="-1"/>
        </w:rPr>
        <w:t>i</w:t>
      </w:r>
      <w:r w:rsidRPr="00EB1AAB">
        <w:rPr>
          <w:rFonts w:ascii="Arial" w:eastAsia="Arial" w:hAnsi="Arial" w:cs="Arial"/>
        </w:rPr>
        <w:t>t</w:t>
      </w:r>
      <w:r w:rsidRPr="00EB1AAB">
        <w:rPr>
          <w:rFonts w:ascii="Arial" w:eastAsia="Arial" w:hAnsi="Arial" w:cs="Arial"/>
          <w:spacing w:val="7"/>
        </w:rPr>
        <w:t xml:space="preserve"> </w:t>
      </w:r>
      <w:r w:rsidRPr="00EB1AAB">
        <w:rPr>
          <w:rFonts w:ascii="Arial" w:eastAsia="Arial" w:hAnsi="Arial" w:cs="Arial"/>
          <w:w w:val="101"/>
        </w:rPr>
        <w:t xml:space="preserve">on </w:t>
      </w:r>
      <w:r w:rsidRPr="00EB1AAB">
        <w:rPr>
          <w:rFonts w:ascii="Arial" w:eastAsia="Arial" w:hAnsi="Arial" w:cs="Arial"/>
        </w:rPr>
        <w:t>p</w:t>
      </w:r>
      <w:r w:rsidRPr="00EB1AAB">
        <w:rPr>
          <w:rFonts w:ascii="Arial" w:eastAsia="Arial" w:hAnsi="Arial" w:cs="Arial"/>
          <w:spacing w:val="1"/>
        </w:rPr>
        <w:t>r</w:t>
      </w:r>
      <w:r w:rsidRPr="00EB1AAB">
        <w:rPr>
          <w:rFonts w:ascii="Arial" w:eastAsia="Arial" w:hAnsi="Arial" w:cs="Arial"/>
          <w:spacing w:val="-3"/>
        </w:rPr>
        <w:t>o</w:t>
      </w:r>
      <w:r w:rsidRPr="00EB1AAB">
        <w:rPr>
          <w:rFonts w:ascii="Arial" w:eastAsia="Arial" w:hAnsi="Arial" w:cs="Arial"/>
          <w:spacing w:val="1"/>
        </w:rPr>
        <w:t>visi</w:t>
      </w:r>
      <w:r w:rsidRPr="00EB1AAB">
        <w:rPr>
          <w:rFonts w:ascii="Arial" w:eastAsia="Arial" w:hAnsi="Arial" w:cs="Arial"/>
        </w:rPr>
        <w:t>on</w:t>
      </w:r>
      <w:r w:rsidRPr="00EB1AAB">
        <w:rPr>
          <w:rFonts w:ascii="Arial" w:eastAsia="Arial" w:hAnsi="Arial" w:cs="Arial"/>
          <w:spacing w:val="10"/>
        </w:rPr>
        <w:t xml:space="preserve"> </w:t>
      </w:r>
      <w:r w:rsidRPr="00EB1AAB">
        <w:rPr>
          <w:rFonts w:ascii="Arial" w:eastAsia="Arial" w:hAnsi="Arial" w:cs="Arial"/>
          <w:spacing w:val="-3"/>
        </w:rPr>
        <w:t>o</w:t>
      </w:r>
      <w:r w:rsidRPr="00EB1AAB">
        <w:rPr>
          <w:rFonts w:ascii="Arial" w:eastAsia="Arial" w:hAnsi="Arial" w:cs="Arial"/>
        </w:rPr>
        <w:t>f</w:t>
      </w:r>
      <w:r w:rsidRPr="00EB1AAB">
        <w:rPr>
          <w:rFonts w:ascii="Arial" w:eastAsia="Arial" w:hAnsi="Arial" w:cs="Arial"/>
          <w:spacing w:val="8"/>
        </w:rPr>
        <w:t xml:space="preserve"> </w:t>
      </w:r>
      <w:r w:rsidRPr="00EB1AAB">
        <w:rPr>
          <w:rFonts w:ascii="Arial" w:eastAsia="Arial" w:hAnsi="Arial" w:cs="Arial"/>
          <w:spacing w:val="-1"/>
        </w:rPr>
        <w:t>s</w:t>
      </w:r>
      <w:r w:rsidRPr="00EB1AAB">
        <w:rPr>
          <w:rFonts w:ascii="Arial" w:eastAsia="Arial" w:hAnsi="Arial" w:cs="Arial"/>
        </w:rPr>
        <w:t>e</w:t>
      </w:r>
      <w:r w:rsidRPr="00EB1AAB">
        <w:rPr>
          <w:rFonts w:ascii="Arial" w:eastAsia="Arial" w:hAnsi="Arial" w:cs="Arial"/>
          <w:spacing w:val="-1"/>
        </w:rPr>
        <w:t>r</w:t>
      </w:r>
      <w:r w:rsidRPr="00EB1AAB">
        <w:rPr>
          <w:rFonts w:ascii="Arial" w:eastAsia="Arial" w:hAnsi="Arial" w:cs="Arial"/>
          <w:spacing w:val="1"/>
        </w:rPr>
        <w:t>vic</w:t>
      </w:r>
      <w:r w:rsidRPr="00EB1AAB">
        <w:rPr>
          <w:rFonts w:ascii="Arial" w:eastAsia="Arial" w:hAnsi="Arial" w:cs="Arial"/>
          <w:spacing w:val="-3"/>
        </w:rPr>
        <w:t>e</w:t>
      </w:r>
      <w:r w:rsidRPr="00EB1AAB">
        <w:rPr>
          <w:rFonts w:ascii="Arial" w:eastAsia="Arial" w:hAnsi="Arial" w:cs="Arial"/>
        </w:rPr>
        <w:t>s</w:t>
      </w:r>
      <w:r w:rsidRPr="00EB1AAB">
        <w:rPr>
          <w:rFonts w:ascii="Arial" w:eastAsia="Arial" w:hAnsi="Arial" w:cs="Arial"/>
          <w:spacing w:val="10"/>
        </w:rPr>
        <w:t xml:space="preserve"> </w:t>
      </w:r>
      <w:r w:rsidRPr="00EB1AAB">
        <w:rPr>
          <w:rFonts w:ascii="Arial" w:eastAsia="Arial" w:hAnsi="Arial" w:cs="Arial"/>
          <w:spacing w:val="-1"/>
        </w:rPr>
        <w:t>w</w:t>
      </w:r>
      <w:r w:rsidRPr="00EB1AAB">
        <w:rPr>
          <w:rFonts w:ascii="Arial" w:eastAsia="Arial" w:hAnsi="Arial" w:cs="Arial"/>
        </w:rPr>
        <w:t>h</w:t>
      </w:r>
      <w:r w:rsidRPr="00EB1AAB">
        <w:rPr>
          <w:rFonts w:ascii="Arial" w:eastAsia="Arial" w:hAnsi="Arial" w:cs="Arial"/>
          <w:spacing w:val="-1"/>
        </w:rPr>
        <w:t>e</w:t>
      </w:r>
      <w:r w:rsidRPr="00EB1AAB">
        <w:rPr>
          <w:rFonts w:ascii="Arial" w:eastAsia="Arial" w:hAnsi="Arial" w:cs="Arial"/>
        </w:rPr>
        <w:t>n</w:t>
      </w:r>
      <w:r w:rsidRPr="00EB1AAB">
        <w:rPr>
          <w:rFonts w:ascii="Arial" w:eastAsia="Arial" w:hAnsi="Arial" w:cs="Arial"/>
          <w:spacing w:val="6"/>
        </w:rPr>
        <w:t xml:space="preserve"> </w:t>
      </w:r>
      <w:r w:rsidRPr="00EB1AAB">
        <w:rPr>
          <w:rFonts w:ascii="Arial" w:eastAsia="Arial" w:hAnsi="Arial" w:cs="Arial"/>
        </w:rPr>
        <w:t>an asset is</w:t>
      </w:r>
      <w:r w:rsidRPr="00EB1AAB">
        <w:rPr>
          <w:rFonts w:ascii="Arial" w:eastAsia="Arial" w:hAnsi="Arial" w:cs="Arial"/>
          <w:spacing w:val="4"/>
        </w:rPr>
        <w:t xml:space="preserve"> </w:t>
      </w:r>
      <w:r w:rsidRPr="00EB1AAB">
        <w:rPr>
          <w:rFonts w:ascii="Arial" w:eastAsia="Arial" w:hAnsi="Arial" w:cs="Arial"/>
          <w:spacing w:val="-3"/>
        </w:rPr>
        <w:t>d</w:t>
      </w:r>
      <w:r w:rsidRPr="00EB1AAB">
        <w:rPr>
          <w:rFonts w:ascii="Arial" w:eastAsia="Arial" w:hAnsi="Arial" w:cs="Arial"/>
          <w:spacing w:val="3"/>
        </w:rPr>
        <w:t>i</w:t>
      </w:r>
      <w:r w:rsidRPr="00EB1AAB">
        <w:rPr>
          <w:rFonts w:ascii="Arial" w:eastAsia="Arial" w:hAnsi="Arial" w:cs="Arial"/>
          <w:spacing w:val="-1"/>
        </w:rPr>
        <w:t>s</w:t>
      </w:r>
      <w:r w:rsidRPr="00EB1AAB">
        <w:rPr>
          <w:rFonts w:ascii="Arial" w:eastAsia="Arial" w:hAnsi="Arial" w:cs="Arial"/>
          <w:spacing w:val="2"/>
        </w:rPr>
        <w:t>p</w:t>
      </w:r>
      <w:r w:rsidRPr="00EB1AAB">
        <w:rPr>
          <w:rFonts w:ascii="Arial" w:eastAsia="Arial" w:hAnsi="Arial" w:cs="Arial"/>
          <w:spacing w:val="-3"/>
        </w:rPr>
        <w:t>o</w:t>
      </w:r>
      <w:r w:rsidRPr="00EB1AAB">
        <w:rPr>
          <w:rFonts w:ascii="Arial" w:eastAsia="Arial" w:hAnsi="Arial" w:cs="Arial"/>
          <w:spacing w:val="1"/>
        </w:rPr>
        <w:t>s</w:t>
      </w:r>
      <w:r w:rsidRPr="00EB1AAB">
        <w:rPr>
          <w:rFonts w:ascii="Arial" w:eastAsia="Arial" w:hAnsi="Arial" w:cs="Arial"/>
        </w:rPr>
        <w:t>ed</w:t>
      </w:r>
      <w:r w:rsidRPr="00EB1AAB">
        <w:rPr>
          <w:rFonts w:ascii="Arial" w:eastAsia="Arial" w:hAnsi="Arial" w:cs="Arial"/>
          <w:spacing w:val="12"/>
        </w:rPr>
        <w:t xml:space="preserve"> </w:t>
      </w:r>
      <w:r w:rsidRPr="00EB1AAB">
        <w:rPr>
          <w:rFonts w:ascii="Arial" w:eastAsia="Arial" w:hAnsi="Arial" w:cs="Arial"/>
          <w:w w:val="101"/>
        </w:rPr>
        <w:t>o</w:t>
      </w:r>
      <w:r w:rsidRPr="00EB1AAB">
        <w:rPr>
          <w:rFonts w:ascii="Arial" w:eastAsia="Arial" w:hAnsi="Arial" w:cs="Arial"/>
          <w:spacing w:val="2"/>
          <w:w w:val="101"/>
        </w:rPr>
        <w:t>f</w:t>
      </w:r>
      <w:r w:rsidRPr="00EB1AAB">
        <w:rPr>
          <w:rFonts w:ascii="Arial" w:eastAsia="Arial" w:hAnsi="Arial" w:cs="Arial"/>
          <w:w w:val="101"/>
        </w:rPr>
        <w:t>.</w:t>
      </w:r>
    </w:p>
    <w:p w14:paraId="02C5C412" w14:textId="77777777" w:rsidR="00655E4C" w:rsidRPr="00EB1AAB" w:rsidRDefault="00655E4C" w:rsidP="00655E4C">
      <w:pPr>
        <w:spacing w:before="7"/>
        <w:rPr>
          <w:rFonts w:ascii="Arial" w:hAnsi="Arial" w:cs="Arial"/>
        </w:rPr>
      </w:pPr>
    </w:p>
    <w:p w14:paraId="77FF95D1" w14:textId="77777777" w:rsidR="00655E4C" w:rsidRPr="00EB1AAB" w:rsidRDefault="00655E4C" w:rsidP="00655E4C">
      <w:pPr>
        <w:pStyle w:val="Heading5underline"/>
      </w:pPr>
      <w:r w:rsidRPr="00EB1AAB">
        <w:t>1.16.3. Fair</w:t>
      </w:r>
      <w:r w:rsidRPr="00EB1AAB">
        <w:rPr>
          <w:spacing w:val="5"/>
        </w:rPr>
        <w:t xml:space="preserve"> </w:t>
      </w:r>
      <w:r w:rsidRPr="00EB1AAB">
        <w:rPr>
          <w:spacing w:val="3"/>
        </w:rPr>
        <w:t>V</w:t>
      </w:r>
      <w:r w:rsidRPr="00EB1AAB">
        <w:rPr>
          <w:spacing w:val="-3"/>
        </w:rPr>
        <w:t>a</w:t>
      </w:r>
      <w:r w:rsidRPr="00EB1AAB">
        <w:t>l</w:t>
      </w:r>
      <w:r w:rsidRPr="00EB1AAB">
        <w:rPr>
          <w:spacing w:val="1"/>
        </w:rPr>
        <w:t>u</w:t>
      </w:r>
      <w:r w:rsidRPr="00EB1AAB">
        <w:t>e</w:t>
      </w:r>
      <w:r w:rsidRPr="00EB1AAB">
        <w:rPr>
          <w:spacing w:val="7"/>
        </w:rPr>
        <w:t xml:space="preserve"> </w:t>
      </w:r>
      <w:r w:rsidRPr="00EB1AAB">
        <w:t>th</w:t>
      </w:r>
      <w:r w:rsidRPr="00EB1AAB">
        <w:rPr>
          <w:spacing w:val="1"/>
        </w:rPr>
        <w:t>r</w:t>
      </w:r>
      <w:r w:rsidRPr="00EB1AAB">
        <w:t>o</w:t>
      </w:r>
      <w:r w:rsidRPr="00EB1AAB">
        <w:rPr>
          <w:spacing w:val="1"/>
        </w:rPr>
        <w:t>u</w:t>
      </w:r>
      <w:r w:rsidRPr="00EB1AAB">
        <w:t>gh</w:t>
      </w:r>
      <w:r w:rsidRPr="00EB1AAB">
        <w:rPr>
          <w:spacing w:val="10"/>
        </w:rPr>
        <w:t xml:space="preserve"> </w:t>
      </w:r>
      <w:r w:rsidRPr="00EB1AAB">
        <w:t>P</w:t>
      </w:r>
      <w:r w:rsidRPr="00EB1AAB">
        <w:rPr>
          <w:spacing w:val="3"/>
        </w:rPr>
        <w:t>r</w:t>
      </w:r>
      <w:r w:rsidRPr="00EB1AAB">
        <w:t>of</w:t>
      </w:r>
      <w:r w:rsidRPr="00EB1AAB">
        <w:rPr>
          <w:spacing w:val="2"/>
        </w:rPr>
        <w:t>i</w:t>
      </w:r>
      <w:r w:rsidRPr="00EB1AAB">
        <w:t>t</w:t>
      </w:r>
      <w:r w:rsidRPr="00EB1AAB">
        <w:rPr>
          <w:spacing w:val="6"/>
        </w:rPr>
        <w:t xml:space="preserve"> </w:t>
      </w:r>
      <w:r w:rsidRPr="00EB1AAB">
        <w:t>and</w:t>
      </w:r>
      <w:r w:rsidRPr="00EB1AAB">
        <w:rPr>
          <w:spacing w:val="6"/>
        </w:rPr>
        <w:t xml:space="preserve"> </w:t>
      </w:r>
      <w:r w:rsidRPr="00EB1AAB">
        <w:t>L</w:t>
      </w:r>
      <w:r w:rsidRPr="00EB1AAB">
        <w:rPr>
          <w:spacing w:val="1"/>
        </w:rPr>
        <w:t>o</w:t>
      </w:r>
      <w:r w:rsidRPr="00EB1AAB">
        <w:t>ss</w:t>
      </w:r>
      <w:r w:rsidRPr="00EB1AAB">
        <w:rPr>
          <w:spacing w:val="6"/>
        </w:rPr>
        <w:t xml:space="preserve"> </w:t>
      </w:r>
      <w:r w:rsidRPr="00EB1AAB">
        <w:t>(FV</w:t>
      </w:r>
      <w:r w:rsidRPr="00EB1AAB">
        <w:rPr>
          <w:spacing w:val="3"/>
        </w:rPr>
        <w:t>P</w:t>
      </w:r>
      <w:r w:rsidRPr="00EB1AAB">
        <w:t>L)</w:t>
      </w:r>
    </w:p>
    <w:p w14:paraId="2323645F" w14:textId="77777777" w:rsidR="00655E4C" w:rsidRPr="00EB1AAB" w:rsidRDefault="00655E4C" w:rsidP="00655E4C">
      <w:pPr>
        <w:rPr>
          <w:rFonts w:ascii="Arial" w:eastAsia="Arial" w:hAnsi="Arial" w:cs="Arial"/>
          <w:u w:val="single"/>
        </w:rPr>
      </w:pPr>
    </w:p>
    <w:p w14:paraId="1FCE5B38" w14:textId="77777777" w:rsidR="00655E4C" w:rsidRPr="00EB1AAB" w:rsidRDefault="00655E4C" w:rsidP="00655E4C">
      <w:pPr>
        <w:spacing w:before="6"/>
        <w:ind w:right="54"/>
        <w:rPr>
          <w:rFonts w:ascii="Arial" w:eastAsia="Arial" w:hAnsi="Arial" w:cs="Arial"/>
        </w:rPr>
      </w:pPr>
      <w:r w:rsidRPr="00EB1AAB">
        <w:rPr>
          <w:rFonts w:ascii="Arial" w:eastAsia="Arial" w:hAnsi="Arial" w:cs="Arial"/>
          <w:spacing w:val="-1"/>
        </w:rPr>
        <w:t>T</w:t>
      </w:r>
      <w:r w:rsidRPr="00EB1AAB">
        <w:rPr>
          <w:rFonts w:ascii="Arial" w:eastAsia="Arial" w:hAnsi="Arial" w:cs="Arial"/>
        </w:rPr>
        <w:t>h</w:t>
      </w:r>
      <w:r w:rsidRPr="00EB1AAB">
        <w:rPr>
          <w:rFonts w:ascii="Arial" w:eastAsia="Arial" w:hAnsi="Arial" w:cs="Arial"/>
          <w:spacing w:val="-3"/>
        </w:rPr>
        <w:t>e</w:t>
      </w:r>
      <w:r w:rsidRPr="00EB1AAB">
        <w:rPr>
          <w:rFonts w:ascii="Arial" w:eastAsia="Arial" w:hAnsi="Arial" w:cs="Arial"/>
          <w:spacing w:val="3"/>
        </w:rPr>
        <w:t>s</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spacing w:val="-3"/>
        </w:rPr>
        <w:t>a</w:t>
      </w:r>
      <w:r w:rsidRPr="00EB1AAB">
        <w:rPr>
          <w:rFonts w:ascii="Arial" w:eastAsia="Arial" w:hAnsi="Arial" w:cs="Arial"/>
          <w:spacing w:val="1"/>
        </w:rPr>
        <w:t>s</w:t>
      </w:r>
      <w:r w:rsidRPr="00EB1AAB">
        <w:rPr>
          <w:rFonts w:ascii="Arial" w:eastAsia="Arial" w:hAnsi="Arial" w:cs="Arial"/>
          <w:spacing w:val="3"/>
        </w:rPr>
        <w:t>s</w:t>
      </w:r>
      <w:r w:rsidRPr="00EB1AAB">
        <w:rPr>
          <w:rFonts w:ascii="Arial" w:eastAsia="Arial" w:hAnsi="Arial" w:cs="Arial"/>
          <w:spacing w:val="-3"/>
        </w:rPr>
        <w:t>e</w:t>
      </w:r>
      <w:r w:rsidRPr="00EB1AAB">
        <w:rPr>
          <w:rFonts w:ascii="Arial" w:eastAsia="Arial" w:hAnsi="Arial" w:cs="Arial"/>
          <w:spacing w:val="2"/>
        </w:rPr>
        <w:t>t</w:t>
      </w:r>
      <w:r w:rsidRPr="00EB1AAB">
        <w:rPr>
          <w:rFonts w:ascii="Arial" w:eastAsia="Arial" w:hAnsi="Arial" w:cs="Arial"/>
        </w:rPr>
        <w:t>s</w:t>
      </w:r>
      <w:r w:rsidRPr="00EB1AAB">
        <w:rPr>
          <w:rFonts w:ascii="Arial" w:eastAsia="Arial" w:hAnsi="Arial" w:cs="Arial"/>
          <w:spacing w:val="7"/>
        </w:rPr>
        <w:t xml:space="preserve"> </w:t>
      </w:r>
      <w:r w:rsidRPr="00EB1AAB">
        <w:rPr>
          <w:rFonts w:ascii="Arial" w:eastAsia="Arial" w:hAnsi="Arial" w:cs="Arial"/>
          <w:spacing w:val="2"/>
        </w:rPr>
        <w:t>r</w:t>
      </w:r>
      <w:r w:rsidRPr="00EB1AAB">
        <w:rPr>
          <w:rFonts w:ascii="Arial" w:eastAsia="Arial" w:hAnsi="Arial" w:cs="Arial"/>
          <w:spacing w:val="-3"/>
        </w:rPr>
        <w:t>e</w:t>
      </w:r>
      <w:r w:rsidRPr="00EB1AAB">
        <w:rPr>
          <w:rFonts w:ascii="Arial" w:eastAsia="Arial" w:hAnsi="Arial" w:cs="Arial"/>
          <w:spacing w:val="1"/>
        </w:rPr>
        <w:t>l</w:t>
      </w:r>
      <w:r w:rsidRPr="00EB1AAB">
        <w:rPr>
          <w:rFonts w:ascii="Arial" w:eastAsia="Arial" w:hAnsi="Arial" w:cs="Arial"/>
        </w:rPr>
        <w:t>a</w:t>
      </w:r>
      <w:r w:rsidRPr="00EB1AAB">
        <w:rPr>
          <w:rFonts w:ascii="Arial" w:eastAsia="Arial" w:hAnsi="Arial" w:cs="Arial"/>
          <w:spacing w:val="2"/>
        </w:rPr>
        <w:t>t</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rPr>
        <w:t>to</w:t>
      </w:r>
      <w:r w:rsidRPr="00EB1AAB">
        <w:rPr>
          <w:rFonts w:ascii="Arial" w:eastAsia="Arial" w:hAnsi="Arial" w:cs="Arial"/>
          <w:spacing w:val="6"/>
        </w:rPr>
        <w:t xml:space="preserve"> </w:t>
      </w:r>
      <w:r w:rsidRPr="00EB1AAB">
        <w:rPr>
          <w:rFonts w:ascii="Arial" w:eastAsia="Arial" w:hAnsi="Arial" w:cs="Arial"/>
        </w:rPr>
        <w:t>f</w:t>
      </w:r>
      <w:r w:rsidRPr="00EB1AAB">
        <w:rPr>
          <w:rFonts w:ascii="Arial" w:eastAsia="Arial" w:hAnsi="Arial" w:cs="Arial"/>
          <w:spacing w:val="4"/>
        </w:rPr>
        <w:t>i</w:t>
      </w:r>
      <w:r w:rsidRPr="00EB1AAB">
        <w:rPr>
          <w:rFonts w:ascii="Arial" w:eastAsia="Arial" w:hAnsi="Arial" w:cs="Arial"/>
          <w:spacing w:val="-3"/>
        </w:rPr>
        <w:t>n</w:t>
      </w:r>
      <w:r w:rsidRPr="00EB1AAB">
        <w:rPr>
          <w:rFonts w:ascii="Arial" w:eastAsia="Arial" w:hAnsi="Arial" w:cs="Arial"/>
        </w:rPr>
        <w:t>a</w:t>
      </w:r>
      <w:r w:rsidRPr="00EB1AAB">
        <w:rPr>
          <w:rFonts w:ascii="Arial" w:eastAsia="Arial" w:hAnsi="Arial" w:cs="Arial"/>
          <w:spacing w:val="-3"/>
        </w:rPr>
        <w:t>n</w:t>
      </w:r>
      <w:r w:rsidRPr="00EB1AAB">
        <w:rPr>
          <w:rFonts w:ascii="Arial" w:eastAsia="Arial" w:hAnsi="Arial" w:cs="Arial"/>
          <w:spacing w:val="1"/>
        </w:rPr>
        <w:t>ci</w:t>
      </w:r>
      <w:r w:rsidRPr="00EB1AAB">
        <w:rPr>
          <w:rFonts w:ascii="Arial" w:eastAsia="Arial" w:hAnsi="Arial" w:cs="Arial"/>
        </w:rPr>
        <w:t>al</w:t>
      </w:r>
      <w:r w:rsidRPr="00EB1AAB">
        <w:rPr>
          <w:rFonts w:ascii="Arial" w:eastAsia="Arial" w:hAnsi="Arial" w:cs="Arial"/>
          <w:spacing w:val="12"/>
        </w:rPr>
        <w:t xml:space="preserve"> </w:t>
      </w:r>
      <w:r w:rsidRPr="00EB1AAB">
        <w:rPr>
          <w:rFonts w:ascii="Arial" w:eastAsia="Arial" w:hAnsi="Arial" w:cs="Arial"/>
          <w:spacing w:val="1"/>
        </w:rPr>
        <w:t>i</w:t>
      </w:r>
      <w:r w:rsidRPr="00EB1AAB">
        <w:rPr>
          <w:rFonts w:ascii="Arial" w:eastAsia="Arial" w:hAnsi="Arial" w:cs="Arial"/>
          <w:spacing w:val="-3"/>
        </w:rPr>
        <w:t>n</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1"/>
        </w:rPr>
        <w:t>r</w:t>
      </w:r>
      <w:r w:rsidRPr="00EB1AAB">
        <w:rPr>
          <w:rFonts w:ascii="Arial" w:eastAsia="Arial" w:hAnsi="Arial" w:cs="Arial"/>
        </w:rPr>
        <w:t>u</w:t>
      </w:r>
      <w:r w:rsidRPr="00EB1AAB">
        <w:rPr>
          <w:rFonts w:ascii="Arial" w:eastAsia="Arial" w:hAnsi="Arial" w:cs="Arial"/>
          <w:spacing w:val="2"/>
        </w:rPr>
        <w:t>m</w:t>
      </w:r>
      <w:r w:rsidRPr="00EB1AAB">
        <w:rPr>
          <w:rFonts w:ascii="Arial" w:eastAsia="Arial" w:hAnsi="Arial" w:cs="Arial"/>
          <w:spacing w:val="-3"/>
        </w:rPr>
        <w:t>e</w:t>
      </w:r>
      <w:r w:rsidRPr="00EB1AAB">
        <w:rPr>
          <w:rFonts w:ascii="Arial" w:eastAsia="Arial" w:hAnsi="Arial" w:cs="Arial"/>
        </w:rPr>
        <w:t>n</w:t>
      </w:r>
      <w:r w:rsidRPr="00EB1AAB">
        <w:rPr>
          <w:rFonts w:ascii="Arial" w:eastAsia="Arial" w:hAnsi="Arial" w:cs="Arial"/>
          <w:spacing w:val="-1"/>
        </w:rPr>
        <w:t>t</w:t>
      </w:r>
      <w:r w:rsidRPr="00EB1AAB">
        <w:rPr>
          <w:rFonts w:ascii="Arial" w:eastAsia="Arial" w:hAnsi="Arial" w:cs="Arial"/>
        </w:rPr>
        <w:t>s</w:t>
      </w:r>
      <w:r w:rsidRPr="00EB1AAB">
        <w:rPr>
          <w:rFonts w:ascii="Arial" w:eastAsia="Arial" w:hAnsi="Arial" w:cs="Arial"/>
          <w:spacing w:val="16"/>
        </w:rPr>
        <w:t xml:space="preserve"> </w:t>
      </w:r>
      <w:r w:rsidRPr="00EB1AAB">
        <w:rPr>
          <w:rFonts w:ascii="Arial" w:eastAsia="Arial" w:hAnsi="Arial" w:cs="Arial"/>
        </w:rPr>
        <w:t>wh</w:t>
      </w:r>
      <w:r w:rsidRPr="00EB1AAB">
        <w:rPr>
          <w:rFonts w:ascii="Arial" w:eastAsia="Arial" w:hAnsi="Arial" w:cs="Arial"/>
          <w:spacing w:val="-1"/>
        </w:rPr>
        <w:t>er</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rPr>
        <w:t>t</w:t>
      </w:r>
      <w:r w:rsidRPr="00EB1AAB">
        <w:rPr>
          <w:rFonts w:ascii="Arial" w:eastAsia="Arial" w:hAnsi="Arial" w:cs="Arial"/>
          <w:spacing w:val="2"/>
        </w:rPr>
        <w:t>h</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spacing w:val="-2"/>
        </w:rPr>
        <w:t>a</w:t>
      </w:r>
      <w:r w:rsidRPr="00EB1AAB">
        <w:rPr>
          <w:rFonts w:ascii="Arial" w:eastAsia="Arial" w:hAnsi="Arial" w:cs="Arial"/>
          <w:spacing w:val="2"/>
        </w:rPr>
        <w:t>m</w:t>
      </w:r>
      <w:r w:rsidRPr="00EB1AAB">
        <w:rPr>
          <w:rFonts w:ascii="Arial" w:eastAsia="Arial" w:hAnsi="Arial" w:cs="Arial"/>
        </w:rPr>
        <w:t>o</w:t>
      </w:r>
      <w:r w:rsidRPr="00EB1AAB">
        <w:rPr>
          <w:rFonts w:ascii="Arial" w:eastAsia="Arial" w:hAnsi="Arial" w:cs="Arial"/>
          <w:spacing w:val="2"/>
        </w:rPr>
        <w:t>u</w:t>
      </w:r>
      <w:r w:rsidRPr="00EB1AAB">
        <w:rPr>
          <w:rFonts w:ascii="Arial" w:eastAsia="Arial" w:hAnsi="Arial" w:cs="Arial"/>
          <w:spacing w:val="-3"/>
        </w:rPr>
        <w:t>n</w:t>
      </w:r>
      <w:r w:rsidRPr="00EB1AAB">
        <w:rPr>
          <w:rFonts w:ascii="Arial" w:eastAsia="Arial" w:hAnsi="Arial" w:cs="Arial"/>
          <w:spacing w:val="2"/>
        </w:rPr>
        <w:t>t</w:t>
      </w:r>
      <w:r w:rsidRPr="00EB1AAB">
        <w:rPr>
          <w:rFonts w:ascii="Arial" w:eastAsia="Arial" w:hAnsi="Arial" w:cs="Arial"/>
        </w:rPr>
        <w:t>s</w:t>
      </w:r>
      <w:r w:rsidRPr="00EB1AAB">
        <w:rPr>
          <w:rFonts w:ascii="Arial" w:eastAsia="Arial" w:hAnsi="Arial" w:cs="Arial"/>
          <w:spacing w:val="11"/>
        </w:rPr>
        <w:t xml:space="preserve"> </w:t>
      </w:r>
      <w:r w:rsidRPr="00EB1AAB">
        <w:rPr>
          <w:rFonts w:ascii="Arial" w:eastAsia="Arial" w:hAnsi="Arial" w:cs="Arial"/>
          <w:spacing w:val="-1"/>
        </w:rPr>
        <w:t>r</w:t>
      </w:r>
      <w:r w:rsidRPr="00EB1AAB">
        <w:rPr>
          <w:rFonts w:ascii="Arial" w:eastAsia="Arial" w:hAnsi="Arial" w:cs="Arial"/>
          <w:spacing w:val="-3"/>
        </w:rPr>
        <w:t>e</w:t>
      </w:r>
      <w:r w:rsidRPr="00EB1AAB">
        <w:rPr>
          <w:rFonts w:ascii="Arial" w:eastAsia="Arial" w:hAnsi="Arial" w:cs="Arial"/>
          <w:spacing w:val="3"/>
        </w:rPr>
        <w:t>c</w:t>
      </w:r>
      <w:r w:rsidRPr="00EB1AAB">
        <w:rPr>
          <w:rFonts w:ascii="Arial" w:eastAsia="Arial" w:hAnsi="Arial" w:cs="Arial"/>
          <w:spacing w:val="-3"/>
        </w:rPr>
        <w:t>e</w:t>
      </w:r>
      <w:r w:rsidRPr="00EB1AAB">
        <w:rPr>
          <w:rFonts w:ascii="Arial" w:eastAsia="Arial" w:hAnsi="Arial" w:cs="Arial"/>
          <w:spacing w:val="4"/>
        </w:rPr>
        <w:t>i</w:t>
      </w:r>
      <w:r w:rsidRPr="00EB1AAB">
        <w:rPr>
          <w:rFonts w:ascii="Arial" w:eastAsia="Arial" w:hAnsi="Arial" w:cs="Arial"/>
          <w:spacing w:val="-1"/>
        </w:rPr>
        <w:t>v</w:t>
      </w:r>
      <w:r w:rsidRPr="00EB1AAB">
        <w:rPr>
          <w:rFonts w:ascii="Arial" w:eastAsia="Arial" w:hAnsi="Arial" w:cs="Arial"/>
        </w:rPr>
        <w:t>ed</w:t>
      </w:r>
      <w:r w:rsidRPr="00EB1AAB">
        <w:rPr>
          <w:rFonts w:ascii="Arial" w:eastAsia="Arial" w:hAnsi="Arial" w:cs="Arial"/>
          <w:spacing w:val="10"/>
        </w:rPr>
        <w:t xml:space="preserve"> </w:t>
      </w:r>
      <w:r w:rsidRPr="00EB1AAB">
        <w:rPr>
          <w:rFonts w:ascii="Arial" w:eastAsia="Arial" w:hAnsi="Arial" w:cs="Arial"/>
        </w:rPr>
        <w:t>a</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rPr>
        <w:t>not</w:t>
      </w:r>
      <w:r w:rsidRPr="00EB1AAB">
        <w:rPr>
          <w:rFonts w:ascii="Arial" w:eastAsia="Arial" w:hAnsi="Arial" w:cs="Arial"/>
          <w:spacing w:val="4"/>
        </w:rPr>
        <w:t xml:space="preserve"> </w:t>
      </w:r>
      <w:r w:rsidRPr="00EB1AAB">
        <w:rPr>
          <w:rFonts w:ascii="Arial" w:eastAsia="Arial" w:hAnsi="Arial" w:cs="Arial"/>
        </w:rPr>
        <w:t>p</w:t>
      </w:r>
      <w:r w:rsidRPr="00EB1AAB">
        <w:rPr>
          <w:rFonts w:ascii="Arial" w:eastAsia="Arial" w:hAnsi="Arial" w:cs="Arial"/>
          <w:spacing w:val="-1"/>
        </w:rPr>
        <w:t>r</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1"/>
        </w:rPr>
        <w:t>ci</w:t>
      </w:r>
      <w:r w:rsidRPr="00EB1AAB">
        <w:rPr>
          <w:rFonts w:ascii="Arial" w:eastAsia="Arial" w:hAnsi="Arial" w:cs="Arial"/>
        </w:rPr>
        <w:t>p</w:t>
      </w:r>
      <w:r w:rsidRPr="00EB1AAB">
        <w:rPr>
          <w:rFonts w:ascii="Arial" w:eastAsia="Arial" w:hAnsi="Arial" w:cs="Arial"/>
          <w:spacing w:val="-3"/>
        </w:rPr>
        <w:t>a</w:t>
      </w:r>
      <w:r w:rsidRPr="00EB1AAB">
        <w:rPr>
          <w:rFonts w:ascii="Arial" w:eastAsia="Arial" w:hAnsi="Arial" w:cs="Arial"/>
        </w:rPr>
        <w:t>l</w:t>
      </w:r>
      <w:r w:rsidRPr="00EB1AAB">
        <w:rPr>
          <w:rFonts w:ascii="Arial" w:eastAsia="Arial" w:hAnsi="Arial" w:cs="Arial"/>
          <w:spacing w:val="13"/>
        </w:rPr>
        <w:t xml:space="preserve"> </w:t>
      </w:r>
      <w:r w:rsidRPr="00EB1AAB">
        <w:rPr>
          <w:rFonts w:ascii="Arial" w:eastAsia="Arial" w:hAnsi="Arial" w:cs="Arial"/>
          <w:spacing w:val="-3"/>
        </w:rPr>
        <w:t>a</w:t>
      </w:r>
      <w:r w:rsidRPr="00EB1AAB">
        <w:rPr>
          <w:rFonts w:ascii="Arial" w:eastAsia="Arial" w:hAnsi="Arial" w:cs="Arial"/>
          <w:spacing w:val="2"/>
        </w:rPr>
        <w:t>n</w:t>
      </w:r>
      <w:r w:rsidRPr="00EB1AAB">
        <w:rPr>
          <w:rFonts w:ascii="Arial" w:eastAsia="Arial" w:hAnsi="Arial" w:cs="Arial"/>
        </w:rPr>
        <w:t>d</w:t>
      </w:r>
      <w:r w:rsidRPr="00EB1AAB">
        <w:rPr>
          <w:rFonts w:ascii="Arial" w:eastAsia="Arial" w:hAnsi="Arial" w:cs="Arial"/>
          <w:spacing w:val="5"/>
        </w:rPr>
        <w:t xml:space="preserve"> </w:t>
      </w:r>
      <w:r w:rsidRPr="00EB1AAB">
        <w:rPr>
          <w:rFonts w:ascii="Arial" w:eastAsia="Arial" w:hAnsi="Arial" w:cs="Arial"/>
          <w:spacing w:val="1"/>
        </w:rPr>
        <w:t>i</w:t>
      </w:r>
      <w:r w:rsidRPr="00EB1AAB">
        <w:rPr>
          <w:rFonts w:ascii="Arial" w:eastAsia="Arial" w:hAnsi="Arial" w:cs="Arial"/>
          <w:spacing w:val="-3"/>
        </w:rPr>
        <w:t>n</w:t>
      </w:r>
      <w:r w:rsidRPr="00EB1AAB">
        <w:rPr>
          <w:rFonts w:ascii="Arial" w:eastAsia="Arial" w:hAnsi="Arial" w:cs="Arial"/>
          <w:spacing w:val="2"/>
        </w:rPr>
        <w:t>t</w:t>
      </w:r>
      <w:r w:rsidRPr="00EB1AAB">
        <w:rPr>
          <w:rFonts w:ascii="Arial" w:eastAsia="Arial" w:hAnsi="Arial" w:cs="Arial"/>
          <w:spacing w:val="-3"/>
        </w:rPr>
        <w:t>e</w:t>
      </w:r>
      <w:r w:rsidRPr="00EB1AAB">
        <w:rPr>
          <w:rFonts w:ascii="Arial" w:eastAsia="Arial" w:hAnsi="Arial" w:cs="Arial"/>
          <w:spacing w:val="2"/>
        </w:rPr>
        <w:t>r</w:t>
      </w:r>
      <w:r w:rsidRPr="00EB1AAB">
        <w:rPr>
          <w:rFonts w:ascii="Arial" w:eastAsia="Arial" w:hAnsi="Arial" w:cs="Arial"/>
        </w:rPr>
        <w:t>est</w:t>
      </w:r>
      <w:r w:rsidRPr="00EB1AAB">
        <w:rPr>
          <w:rFonts w:ascii="Arial" w:eastAsia="Arial" w:hAnsi="Arial" w:cs="Arial"/>
          <w:spacing w:val="9"/>
        </w:rPr>
        <w:t xml:space="preserve"> </w:t>
      </w:r>
      <w:r w:rsidRPr="00EB1AAB">
        <w:rPr>
          <w:rFonts w:ascii="Arial" w:eastAsia="Arial" w:hAnsi="Arial" w:cs="Arial"/>
          <w:spacing w:val="-1"/>
        </w:rPr>
        <w:t>(</w:t>
      </w:r>
      <w:r w:rsidRPr="00EB1AAB">
        <w:rPr>
          <w:rFonts w:ascii="Arial" w:eastAsia="Arial" w:hAnsi="Arial" w:cs="Arial"/>
        </w:rPr>
        <w:t>e</w:t>
      </w:r>
      <w:r w:rsidRPr="00EB1AAB">
        <w:rPr>
          <w:rFonts w:ascii="Arial" w:eastAsia="Arial" w:hAnsi="Arial" w:cs="Arial"/>
          <w:spacing w:val="2"/>
        </w:rPr>
        <w:t>.</w:t>
      </w:r>
      <w:r w:rsidRPr="00EB1AAB">
        <w:rPr>
          <w:rFonts w:ascii="Arial" w:eastAsia="Arial" w:hAnsi="Arial" w:cs="Arial"/>
          <w:spacing w:val="-3"/>
        </w:rPr>
        <w:t>g</w:t>
      </w:r>
      <w:r w:rsidRPr="00EB1AAB">
        <w:rPr>
          <w:rFonts w:ascii="Arial" w:eastAsia="Arial" w:hAnsi="Arial" w:cs="Arial"/>
        </w:rPr>
        <w:t>.</w:t>
      </w:r>
      <w:r w:rsidRPr="00EB1AAB">
        <w:rPr>
          <w:rFonts w:ascii="Arial" w:eastAsia="Arial" w:hAnsi="Arial" w:cs="Arial"/>
          <w:spacing w:val="9"/>
        </w:rPr>
        <w:t xml:space="preserve"> </w:t>
      </w:r>
      <w:r w:rsidRPr="00EB1AAB">
        <w:rPr>
          <w:rFonts w:ascii="Arial" w:eastAsia="Arial" w:hAnsi="Arial" w:cs="Arial"/>
        </w:rPr>
        <w:t>equity</w:t>
      </w:r>
      <w:r w:rsidRPr="00EB1AAB">
        <w:rPr>
          <w:rFonts w:ascii="Arial" w:eastAsia="Arial" w:hAnsi="Arial" w:cs="Arial"/>
          <w:spacing w:val="6"/>
        </w:rPr>
        <w:t xml:space="preserve"> </w:t>
      </w:r>
      <w:r w:rsidRPr="00EB1AAB">
        <w:rPr>
          <w:rFonts w:ascii="Arial" w:eastAsia="Arial" w:hAnsi="Arial" w:cs="Arial"/>
          <w:spacing w:val="1"/>
          <w:w w:val="101"/>
        </w:rPr>
        <w:t>i</w:t>
      </w:r>
      <w:r w:rsidRPr="00EB1AAB">
        <w:rPr>
          <w:rFonts w:ascii="Arial" w:eastAsia="Arial" w:hAnsi="Arial" w:cs="Arial"/>
          <w:w w:val="101"/>
        </w:rPr>
        <w:t>n</w:t>
      </w:r>
      <w:r w:rsidRPr="00EB1AAB">
        <w:rPr>
          <w:rFonts w:ascii="Arial" w:eastAsia="Arial" w:hAnsi="Arial" w:cs="Arial"/>
          <w:spacing w:val="1"/>
          <w:w w:val="101"/>
        </w:rPr>
        <w:t>v</w:t>
      </w:r>
      <w:r w:rsidRPr="00EB1AAB">
        <w:rPr>
          <w:rFonts w:ascii="Arial" w:eastAsia="Arial" w:hAnsi="Arial" w:cs="Arial"/>
          <w:spacing w:val="-3"/>
          <w:w w:val="101"/>
        </w:rPr>
        <w:t>e</w:t>
      </w:r>
      <w:r w:rsidRPr="00EB1AAB">
        <w:rPr>
          <w:rFonts w:ascii="Arial" w:eastAsia="Arial" w:hAnsi="Arial" w:cs="Arial"/>
          <w:spacing w:val="1"/>
          <w:w w:val="101"/>
        </w:rPr>
        <w:t>s</w:t>
      </w:r>
      <w:r w:rsidRPr="00EB1AAB">
        <w:rPr>
          <w:rFonts w:ascii="Arial" w:eastAsia="Arial" w:hAnsi="Arial" w:cs="Arial"/>
          <w:w w:val="101"/>
        </w:rPr>
        <w:t>t</w:t>
      </w:r>
      <w:r w:rsidRPr="00EB1AAB">
        <w:rPr>
          <w:rFonts w:ascii="Arial" w:eastAsia="Arial" w:hAnsi="Arial" w:cs="Arial"/>
          <w:spacing w:val="3"/>
          <w:w w:val="101"/>
        </w:rPr>
        <w:t>m</w:t>
      </w:r>
      <w:r w:rsidRPr="00EB1AAB">
        <w:rPr>
          <w:rFonts w:ascii="Arial" w:eastAsia="Arial" w:hAnsi="Arial" w:cs="Arial"/>
          <w:w w:val="101"/>
        </w:rPr>
        <w:t>e</w:t>
      </w:r>
      <w:r w:rsidRPr="00EB1AAB">
        <w:rPr>
          <w:rFonts w:ascii="Arial" w:eastAsia="Arial" w:hAnsi="Arial" w:cs="Arial"/>
          <w:spacing w:val="-1"/>
          <w:w w:val="101"/>
        </w:rPr>
        <w:t>n</w:t>
      </w:r>
      <w:r w:rsidRPr="00EB1AAB">
        <w:rPr>
          <w:rFonts w:ascii="Arial" w:eastAsia="Arial" w:hAnsi="Arial" w:cs="Arial"/>
          <w:w w:val="101"/>
        </w:rPr>
        <w:t>t</w:t>
      </w:r>
      <w:r w:rsidRPr="00EB1AAB">
        <w:rPr>
          <w:rFonts w:ascii="Arial" w:eastAsia="Arial" w:hAnsi="Arial" w:cs="Arial"/>
          <w:spacing w:val="1"/>
          <w:w w:val="101"/>
        </w:rPr>
        <w:t>s</w:t>
      </w:r>
      <w:r w:rsidRPr="00EB1AAB">
        <w:rPr>
          <w:rFonts w:ascii="Arial" w:eastAsia="Arial" w:hAnsi="Arial" w:cs="Arial"/>
          <w:spacing w:val="-1"/>
          <w:w w:val="101"/>
        </w:rPr>
        <w:t>)</w:t>
      </w:r>
      <w:r w:rsidRPr="00EB1AAB">
        <w:rPr>
          <w:rFonts w:ascii="Arial" w:eastAsia="Arial" w:hAnsi="Arial" w:cs="Arial"/>
          <w:w w:val="101"/>
        </w:rPr>
        <w:t>.</w:t>
      </w:r>
    </w:p>
    <w:p w14:paraId="4A8E2A7E" w14:textId="77777777" w:rsidR="00655E4C" w:rsidRPr="00EB1AAB" w:rsidRDefault="00655E4C" w:rsidP="00655E4C">
      <w:pPr>
        <w:spacing w:before="9"/>
        <w:ind w:right="54"/>
        <w:rPr>
          <w:rFonts w:ascii="Arial" w:hAnsi="Arial" w:cs="Arial"/>
        </w:rPr>
      </w:pPr>
    </w:p>
    <w:p w14:paraId="4B00F1A0" w14:textId="77777777" w:rsidR="00655E4C" w:rsidRPr="00EB1AAB" w:rsidRDefault="00655E4C" w:rsidP="00655E4C">
      <w:pPr>
        <w:ind w:right="-88"/>
        <w:rPr>
          <w:rFonts w:ascii="Arial" w:eastAsia="Arial" w:hAnsi="Arial" w:cs="Arial"/>
        </w:rPr>
      </w:pPr>
      <w:r w:rsidRPr="00EB1AAB">
        <w:rPr>
          <w:rFonts w:ascii="Arial" w:eastAsia="Arial" w:hAnsi="Arial" w:cs="Arial"/>
        </w:rPr>
        <w:t>Ch</w:t>
      </w:r>
      <w:r w:rsidRPr="00EB1AAB">
        <w:rPr>
          <w:rFonts w:ascii="Arial" w:eastAsia="Arial" w:hAnsi="Arial" w:cs="Arial"/>
          <w:spacing w:val="-1"/>
        </w:rPr>
        <w:t>an</w:t>
      </w:r>
      <w:r w:rsidRPr="00EB1AAB">
        <w:rPr>
          <w:rFonts w:ascii="Arial" w:eastAsia="Arial" w:hAnsi="Arial" w:cs="Arial"/>
          <w:spacing w:val="2"/>
        </w:rPr>
        <w:t>g</w:t>
      </w:r>
      <w:r w:rsidRPr="00EB1AAB">
        <w:rPr>
          <w:rFonts w:ascii="Arial" w:eastAsia="Arial" w:hAnsi="Arial" w:cs="Arial"/>
          <w:spacing w:val="-3"/>
        </w:rPr>
        <w:t>e</w:t>
      </w:r>
      <w:r w:rsidRPr="00EB1AAB">
        <w:rPr>
          <w:rFonts w:ascii="Arial" w:eastAsia="Arial" w:hAnsi="Arial" w:cs="Arial"/>
        </w:rPr>
        <w:t>s</w:t>
      </w:r>
      <w:r w:rsidRPr="00EB1AAB">
        <w:rPr>
          <w:rFonts w:ascii="Arial" w:eastAsia="Arial" w:hAnsi="Arial" w:cs="Arial"/>
          <w:spacing w:val="11"/>
        </w:rPr>
        <w:t xml:space="preserve"> </w:t>
      </w:r>
      <w:r w:rsidRPr="00EB1AAB">
        <w:rPr>
          <w:rFonts w:ascii="Arial" w:eastAsia="Arial" w:hAnsi="Arial" w:cs="Arial"/>
          <w:spacing w:val="4"/>
        </w:rPr>
        <w:t>i</w:t>
      </w:r>
      <w:r w:rsidRPr="00EB1AAB">
        <w:rPr>
          <w:rFonts w:ascii="Arial" w:eastAsia="Arial" w:hAnsi="Arial" w:cs="Arial"/>
        </w:rPr>
        <w:t xml:space="preserve">n </w:t>
      </w:r>
      <w:r w:rsidRPr="00EB1AAB">
        <w:rPr>
          <w:rFonts w:ascii="Arial" w:eastAsia="Arial" w:hAnsi="Arial" w:cs="Arial"/>
          <w:spacing w:val="5"/>
        </w:rPr>
        <w:t>f</w:t>
      </w:r>
      <w:r w:rsidRPr="00EB1AAB">
        <w:rPr>
          <w:rFonts w:ascii="Arial" w:eastAsia="Arial" w:hAnsi="Arial" w:cs="Arial"/>
          <w:spacing w:val="-3"/>
        </w:rPr>
        <w:t>a</w:t>
      </w:r>
      <w:r w:rsidRPr="00EB1AAB">
        <w:rPr>
          <w:rFonts w:ascii="Arial" w:eastAsia="Arial" w:hAnsi="Arial" w:cs="Arial"/>
          <w:spacing w:val="4"/>
        </w:rPr>
        <w:t>i</w:t>
      </w:r>
      <w:r w:rsidRPr="00EB1AAB">
        <w:rPr>
          <w:rFonts w:ascii="Arial" w:eastAsia="Arial" w:hAnsi="Arial" w:cs="Arial"/>
        </w:rPr>
        <w:t>r</w:t>
      </w:r>
      <w:r w:rsidRPr="00EB1AAB">
        <w:rPr>
          <w:rFonts w:ascii="Arial" w:eastAsia="Arial" w:hAnsi="Arial" w:cs="Arial"/>
          <w:spacing w:val="3"/>
        </w:rPr>
        <w:t xml:space="preserve"> </w:t>
      </w:r>
      <w:r w:rsidRPr="00EB1AAB">
        <w:rPr>
          <w:rFonts w:ascii="Arial" w:eastAsia="Arial" w:hAnsi="Arial" w:cs="Arial"/>
          <w:spacing w:val="1"/>
        </w:rPr>
        <w:t>v</w:t>
      </w:r>
      <w:r w:rsidRPr="00EB1AAB">
        <w:rPr>
          <w:rFonts w:ascii="Arial" w:eastAsia="Arial" w:hAnsi="Arial" w:cs="Arial"/>
          <w:spacing w:val="-3"/>
        </w:rPr>
        <w:t>a</w:t>
      </w:r>
      <w:r w:rsidRPr="00EB1AAB">
        <w:rPr>
          <w:rFonts w:ascii="Arial" w:eastAsia="Arial" w:hAnsi="Arial" w:cs="Arial"/>
          <w:spacing w:val="3"/>
        </w:rPr>
        <w:t>l</w:t>
      </w:r>
      <w:r w:rsidRPr="00EB1AAB">
        <w:rPr>
          <w:rFonts w:ascii="Arial" w:eastAsia="Arial" w:hAnsi="Arial" w:cs="Arial"/>
          <w:spacing w:val="-2"/>
        </w:rPr>
        <w:t>u</w:t>
      </w:r>
      <w:r w:rsidRPr="00EB1AAB">
        <w:rPr>
          <w:rFonts w:ascii="Arial" w:eastAsia="Arial" w:hAnsi="Arial" w:cs="Arial"/>
        </w:rPr>
        <w:t>e</w:t>
      </w:r>
      <w:r w:rsidRPr="00EB1AAB">
        <w:rPr>
          <w:rFonts w:ascii="Arial" w:eastAsia="Arial" w:hAnsi="Arial" w:cs="Arial"/>
          <w:spacing w:val="6"/>
        </w:rPr>
        <w:t xml:space="preserve"> </w:t>
      </w:r>
      <w:r w:rsidRPr="00EB1AAB">
        <w:rPr>
          <w:rFonts w:ascii="Arial" w:eastAsia="Arial" w:hAnsi="Arial" w:cs="Arial"/>
        </w:rPr>
        <w:t>a</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spacing w:val="1"/>
        </w:rPr>
        <w:t>c</w:t>
      </w:r>
      <w:r w:rsidRPr="00EB1AAB">
        <w:rPr>
          <w:rFonts w:ascii="Arial" w:eastAsia="Arial" w:hAnsi="Arial" w:cs="Arial"/>
        </w:rPr>
        <w:t>ha</w:t>
      </w:r>
      <w:r w:rsidRPr="00EB1AAB">
        <w:rPr>
          <w:rFonts w:ascii="Arial" w:eastAsia="Arial" w:hAnsi="Arial" w:cs="Arial"/>
          <w:spacing w:val="2"/>
        </w:rPr>
        <w:t>r</w:t>
      </w:r>
      <w:r w:rsidRPr="00EB1AAB">
        <w:rPr>
          <w:rFonts w:ascii="Arial" w:eastAsia="Arial" w:hAnsi="Arial" w:cs="Arial"/>
        </w:rPr>
        <w:t>ged</w:t>
      </w:r>
      <w:r w:rsidRPr="00EB1AAB">
        <w:rPr>
          <w:rFonts w:ascii="Arial" w:eastAsia="Arial" w:hAnsi="Arial" w:cs="Arial"/>
          <w:spacing w:val="9"/>
        </w:rPr>
        <w:t xml:space="preserve"> </w:t>
      </w:r>
      <w:r w:rsidRPr="00EB1AAB">
        <w:rPr>
          <w:rFonts w:ascii="Arial" w:eastAsia="Arial" w:hAnsi="Arial" w:cs="Arial"/>
        </w:rPr>
        <w:t>to</w:t>
      </w:r>
      <w:r w:rsidRPr="00EB1AAB">
        <w:rPr>
          <w:rFonts w:ascii="Arial" w:eastAsia="Arial" w:hAnsi="Arial" w:cs="Arial"/>
          <w:spacing w:val="3"/>
        </w:rPr>
        <w:t xml:space="preserve"> </w:t>
      </w:r>
      <w:r w:rsidRPr="00EB1AAB">
        <w:rPr>
          <w:rFonts w:ascii="Arial" w:eastAsia="Arial" w:hAnsi="Arial" w:cs="Arial"/>
        </w:rPr>
        <w:t>t</w:t>
      </w:r>
      <w:r w:rsidRPr="00EB1AAB">
        <w:rPr>
          <w:rFonts w:ascii="Arial" w:eastAsia="Arial" w:hAnsi="Arial" w:cs="Arial"/>
          <w:spacing w:val="2"/>
        </w:rPr>
        <w:t>h</w:t>
      </w:r>
      <w:r w:rsidRPr="00EB1AAB">
        <w:rPr>
          <w:rFonts w:ascii="Arial" w:eastAsia="Arial" w:hAnsi="Arial" w:cs="Arial"/>
        </w:rPr>
        <w:t>e</w:t>
      </w:r>
      <w:r w:rsidRPr="00EB1AAB">
        <w:rPr>
          <w:rFonts w:ascii="Arial" w:eastAsia="Arial" w:hAnsi="Arial" w:cs="Arial"/>
          <w:spacing w:val="1"/>
        </w:rPr>
        <w:t xml:space="preserve"> </w:t>
      </w:r>
      <w:r w:rsidRPr="00EB1AAB">
        <w:rPr>
          <w:rFonts w:ascii="Arial" w:eastAsia="Arial" w:hAnsi="Arial" w:cs="Arial"/>
          <w:spacing w:val="3"/>
        </w:rPr>
        <w:t>s</w:t>
      </w:r>
      <w:r w:rsidRPr="00EB1AAB">
        <w:rPr>
          <w:rFonts w:ascii="Arial" w:eastAsia="Arial" w:hAnsi="Arial" w:cs="Arial"/>
        </w:rPr>
        <w:t>u</w:t>
      </w:r>
      <w:r w:rsidRPr="00EB1AAB">
        <w:rPr>
          <w:rFonts w:ascii="Arial" w:eastAsia="Arial" w:hAnsi="Arial" w:cs="Arial"/>
          <w:spacing w:val="-1"/>
        </w:rPr>
        <w:t>r</w:t>
      </w:r>
      <w:r w:rsidRPr="00EB1AAB">
        <w:rPr>
          <w:rFonts w:ascii="Arial" w:eastAsia="Arial" w:hAnsi="Arial" w:cs="Arial"/>
          <w:spacing w:val="-3"/>
        </w:rPr>
        <w:t>p</w:t>
      </w:r>
      <w:r w:rsidRPr="00EB1AAB">
        <w:rPr>
          <w:rFonts w:ascii="Arial" w:eastAsia="Arial" w:hAnsi="Arial" w:cs="Arial"/>
          <w:spacing w:val="6"/>
        </w:rPr>
        <w:t>l</w:t>
      </w:r>
      <w:r w:rsidRPr="00EB1AAB">
        <w:rPr>
          <w:rFonts w:ascii="Arial" w:eastAsia="Arial" w:hAnsi="Arial" w:cs="Arial"/>
          <w:spacing w:val="-3"/>
        </w:rPr>
        <w:t>u</w:t>
      </w:r>
      <w:r w:rsidRPr="00EB1AAB">
        <w:rPr>
          <w:rFonts w:ascii="Arial" w:eastAsia="Arial" w:hAnsi="Arial" w:cs="Arial"/>
        </w:rPr>
        <w:t>s</w:t>
      </w:r>
      <w:r w:rsidRPr="00EB1AAB">
        <w:rPr>
          <w:rFonts w:ascii="Arial" w:eastAsia="Arial" w:hAnsi="Arial" w:cs="Arial"/>
          <w:spacing w:val="9"/>
        </w:rPr>
        <w:t xml:space="preserve"> </w:t>
      </w:r>
      <w:r w:rsidRPr="00EB1AAB">
        <w:rPr>
          <w:rFonts w:ascii="Arial" w:eastAsia="Arial" w:hAnsi="Arial" w:cs="Arial"/>
        </w:rPr>
        <w:t>/</w:t>
      </w:r>
      <w:r w:rsidRPr="00EB1AAB">
        <w:rPr>
          <w:rFonts w:ascii="Arial" w:eastAsia="Arial" w:hAnsi="Arial" w:cs="Arial"/>
          <w:spacing w:val="4"/>
        </w:rPr>
        <w:t xml:space="preserve"> </w:t>
      </w:r>
      <w:r w:rsidRPr="00EB1AAB">
        <w:rPr>
          <w:rFonts w:ascii="Arial" w:eastAsia="Arial" w:hAnsi="Arial" w:cs="Arial"/>
          <w:spacing w:val="-3"/>
        </w:rPr>
        <w:t>d</w:t>
      </w:r>
      <w:r w:rsidRPr="00EB1AAB">
        <w:rPr>
          <w:rFonts w:ascii="Arial" w:eastAsia="Arial" w:hAnsi="Arial" w:cs="Arial"/>
        </w:rPr>
        <w:t>e</w:t>
      </w:r>
      <w:r w:rsidRPr="00EB1AAB">
        <w:rPr>
          <w:rFonts w:ascii="Arial" w:eastAsia="Arial" w:hAnsi="Arial" w:cs="Arial"/>
          <w:spacing w:val="2"/>
        </w:rPr>
        <w:t>f</w:t>
      </w:r>
      <w:r w:rsidRPr="00EB1AAB">
        <w:rPr>
          <w:rFonts w:ascii="Arial" w:eastAsia="Arial" w:hAnsi="Arial" w:cs="Arial"/>
          <w:spacing w:val="1"/>
        </w:rPr>
        <w:t>i</w:t>
      </w:r>
      <w:r w:rsidRPr="00EB1AAB">
        <w:rPr>
          <w:rFonts w:ascii="Arial" w:eastAsia="Arial" w:hAnsi="Arial" w:cs="Arial"/>
          <w:spacing w:val="-1"/>
        </w:rPr>
        <w:t>c</w:t>
      </w:r>
      <w:r w:rsidRPr="00EB1AAB">
        <w:rPr>
          <w:rFonts w:ascii="Arial" w:eastAsia="Arial" w:hAnsi="Arial" w:cs="Arial"/>
          <w:spacing w:val="1"/>
        </w:rPr>
        <w:t>i</w:t>
      </w:r>
      <w:r w:rsidRPr="00EB1AAB">
        <w:rPr>
          <w:rFonts w:ascii="Arial" w:eastAsia="Arial" w:hAnsi="Arial" w:cs="Arial"/>
        </w:rPr>
        <w:t>t</w:t>
      </w:r>
      <w:r w:rsidRPr="00EB1AAB">
        <w:rPr>
          <w:rFonts w:ascii="Arial" w:eastAsia="Arial" w:hAnsi="Arial" w:cs="Arial"/>
          <w:spacing w:val="9"/>
        </w:rPr>
        <w:t xml:space="preserve"> </w:t>
      </w:r>
      <w:r w:rsidRPr="00EB1AAB">
        <w:rPr>
          <w:rFonts w:ascii="Arial" w:eastAsia="Arial" w:hAnsi="Arial" w:cs="Arial"/>
          <w:spacing w:val="-3"/>
        </w:rPr>
        <w:t>o</w:t>
      </w:r>
      <w:r w:rsidRPr="00EB1AAB">
        <w:rPr>
          <w:rFonts w:ascii="Arial" w:eastAsia="Arial" w:hAnsi="Arial" w:cs="Arial"/>
        </w:rPr>
        <w:t>n</w:t>
      </w:r>
      <w:r w:rsidRPr="00EB1AAB">
        <w:rPr>
          <w:rFonts w:ascii="Arial" w:eastAsia="Arial" w:hAnsi="Arial" w:cs="Arial"/>
          <w:spacing w:val="4"/>
        </w:rPr>
        <w:t xml:space="preserve"> </w:t>
      </w:r>
      <w:r w:rsidRPr="00EB1AAB">
        <w:rPr>
          <w:rFonts w:ascii="Arial" w:eastAsia="Arial" w:hAnsi="Arial" w:cs="Arial"/>
        </w:rPr>
        <w:t>the</w:t>
      </w:r>
      <w:r w:rsidRPr="00EB1AAB">
        <w:rPr>
          <w:rFonts w:ascii="Arial" w:eastAsia="Arial" w:hAnsi="Arial" w:cs="Arial"/>
          <w:spacing w:val="3"/>
        </w:rPr>
        <w:t xml:space="preserve"> </w:t>
      </w:r>
      <w:r w:rsidRPr="00EB1AAB">
        <w:rPr>
          <w:rFonts w:ascii="Arial" w:eastAsia="Arial" w:hAnsi="Arial" w:cs="Arial"/>
        </w:rPr>
        <w:t>net</w:t>
      </w:r>
      <w:r w:rsidRPr="00EB1AAB">
        <w:rPr>
          <w:rFonts w:ascii="Arial" w:eastAsia="Arial" w:hAnsi="Arial" w:cs="Arial"/>
          <w:spacing w:val="4"/>
        </w:rPr>
        <w:t xml:space="preserve"> </w:t>
      </w:r>
      <w:r w:rsidRPr="00EB1AAB">
        <w:rPr>
          <w:rFonts w:ascii="Arial" w:eastAsia="Arial" w:hAnsi="Arial" w:cs="Arial"/>
          <w:spacing w:val="2"/>
        </w:rPr>
        <w:t>p</w:t>
      </w:r>
      <w:r w:rsidRPr="00EB1AAB">
        <w:rPr>
          <w:rFonts w:ascii="Arial" w:eastAsia="Arial" w:hAnsi="Arial" w:cs="Arial"/>
          <w:spacing w:val="-1"/>
        </w:rPr>
        <w:t>r</w:t>
      </w:r>
      <w:r w:rsidRPr="00EB1AAB">
        <w:rPr>
          <w:rFonts w:ascii="Arial" w:eastAsia="Arial" w:hAnsi="Arial" w:cs="Arial"/>
          <w:spacing w:val="-3"/>
        </w:rPr>
        <w:t>o</w:t>
      </w:r>
      <w:r w:rsidRPr="00EB1AAB">
        <w:rPr>
          <w:rFonts w:ascii="Arial" w:eastAsia="Arial" w:hAnsi="Arial" w:cs="Arial"/>
          <w:spacing w:val="1"/>
        </w:rPr>
        <w:t>v</w:t>
      </w:r>
      <w:r w:rsidRPr="00EB1AAB">
        <w:rPr>
          <w:rFonts w:ascii="Arial" w:eastAsia="Arial" w:hAnsi="Arial" w:cs="Arial"/>
          <w:spacing w:val="4"/>
        </w:rPr>
        <w:t>i</w:t>
      </w:r>
      <w:r w:rsidRPr="00EB1AAB">
        <w:rPr>
          <w:rFonts w:ascii="Arial" w:eastAsia="Arial" w:hAnsi="Arial" w:cs="Arial"/>
          <w:spacing w:val="-2"/>
        </w:rPr>
        <w:t>s</w:t>
      </w:r>
      <w:r w:rsidRPr="00EB1AAB">
        <w:rPr>
          <w:rFonts w:ascii="Arial" w:eastAsia="Arial" w:hAnsi="Arial" w:cs="Arial"/>
          <w:spacing w:val="4"/>
        </w:rPr>
        <w:t>i</w:t>
      </w:r>
      <w:r w:rsidRPr="00EB1AAB">
        <w:rPr>
          <w:rFonts w:ascii="Arial" w:eastAsia="Arial" w:hAnsi="Arial" w:cs="Arial"/>
          <w:spacing w:val="-3"/>
        </w:rPr>
        <w:t>o</w:t>
      </w:r>
      <w:r w:rsidRPr="00EB1AAB">
        <w:rPr>
          <w:rFonts w:ascii="Arial" w:eastAsia="Arial" w:hAnsi="Arial" w:cs="Arial"/>
        </w:rPr>
        <w:t>n</w:t>
      </w:r>
      <w:r w:rsidRPr="00EB1AAB">
        <w:rPr>
          <w:rFonts w:ascii="Arial" w:eastAsia="Arial" w:hAnsi="Arial" w:cs="Arial"/>
          <w:spacing w:val="10"/>
        </w:rPr>
        <w:t xml:space="preserve"> </w:t>
      </w:r>
      <w:r w:rsidRPr="00EB1AAB">
        <w:rPr>
          <w:rFonts w:ascii="Arial" w:eastAsia="Arial" w:hAnsi="Arial" w:cs="Arial"/>
          <w:spacing w:val="-3"/>
        </w:rPr>
        <w:t>o</w:t>
      </w:r>
      <w:r w:rsidRPr="00EB1AAB">
        <w:rPr>
          <w:rFonts w:ascii="Arial" w:eastAsia="Arial" w:hAnsi="Arial" w:cs="Arial"/>
        </w:rPr>
        <w:t>f</w:t>
      </w:r>
      <w:r w:rsidRPr="00EB1AAB">
        <w:rPr>
          <w:rFonts w:ascii="Arial" w:eastAsia="Arial" w:hAnsi="Arial" w:cs="Arial"/>
          <w:spacing w:val="8"/>
        </w:rPr>
        <w:t xml:space="preserve"> </w:t>
      </w:r>
      <w:r w:rsidRPr="00EB1AAB">
        <w:rPr>
          <w:rFonts w:ascii="Arial" w:eastAsia="Arial" w:hAnsi="Arial" w:cs="Arial"/>
          <w:spacing w:val="1"/>
          <w:w w:val="101"/>
        </w:rPr>
        <w:t>s</w:t>
      </w:r>
      <w:r w:rsidRPr="00EB1AAB">
        <w:rPr>
          <w:rFonts w:ascii="Arial" w:eastAsia="Arial" w:hAnsi="Arial" w:cs="Arial"/>
          <w:spacing w:val="-3"/>
          <w:w w:val="101"/>
        </w:rPr>
        <w:t>e</w:t>
      </w:r>
      <w:r w:rsidRPr="00EB1AAB">
        <w:rPr>
          <w:rFonts w:ascii="Arial" w:eastAsia="Arial" w:hAnsi="Arial" w:cs="Arial"/>
          <w:spacing w:val="-1"/>
          <w:w w:val="101"/>
        </w:rPr>
        <w:t>r</w:t>
      </w:r>
      <w:r w:rsidRPr="00EB1AAB">
        <w:rPr>
          <w:rFonts w:ascii="Arial" w:eastAsia="Arial" w:hAnsi="Arial" w:cs="Arial"/>
          <w:spacing w:val="1"/>
          <w:w w:val="101"/>
        </w:rPr>
        <w:t>vic</w:t>
      </w:r>
      <w:r w:rsidRPr="00EB1AAB">
        <w:rPr>
          <w:rFonts w:ascii="Arial" w:eastAsia="Arial" w:hAnsi="Arial" w:cs="Arial"/>
          <w:spacing w:val="-3"/>
          <w:w w:val="101"/>
        </w:rPr>
        <w:t>e</w:t>
      </w:r>
      <w:r w:rsidRPr="00EB1AAB">
        <w:rPr>
          <w:rFonts w:ascii="Arial" w:eastAsia="Arial" w:hAnsi="Arial" w:cs="Arial"/>
          <w:w w:val="101"/>
        </w:rPr>
        <w:t xml:space="preserve">s </w:t>
      </w:r>
      <w:r w:rsidRPr="00EB1AAB">
        <w:rPr>
          <w:rFonts w:ascii="Arial" w:eastAsia="Arial" w:hAnsi="Arial" w:cs="Arial"/>
        </w:rPr>
        <w:t>as</w:t>
      </w:r>
      <w:r w:rsidRPr="00EB1AAB">
        <w:rPr>
          <w:rFonts w:ascii="Arial" w:eastAsia="Arial" w:hAnsi="Arial" w:cs="Arial"/>
          <w:spacing w:val="1"/>
        </w:rPr>
        <w:t xml:space="preserve"> </w:t>
      </w:r>
      <w:r w:rsidRPr="00EB1AAB">
        <w:rPr>
          <w:rFonts w:ascii="Arial" w:eastAsia="Arial" w:hAnsi="Arial" w:cs="Arial"/>
          <w:spacing w:val="3"/>
        </w:rPr>
        <w:t>t</w:t>
      </w:r>
      <w:r w:rsidRPr="00EB1AAB">
        <w:rPr>
          <w:rFonts w:ascii="Arial" w:eastAsia="Arial" w:hAnsi="Arial" w:cs="Arial"/>
          <w:spacing w:val="-3"/>
        </w:rPr>
        <w:t>h</w:t>
      </w:r>
      <w:r w:rsidRPr="00EB1AAB">
        <w:rPr>
          <w:rFonts w:ascii="Arial" w:eastAsia="Arial" w:hAnsi="Arial" w:cs="Arial"/>
          <w:spacing w:val="2"/>
        </w:rPr>
        <w:t>e</w:t>
      </w:r>
      <w:r w:rsidRPr="00EB1AAB">
        <w:rPr>
          <w:rFonts w:ascii="Arial" w:eastAsia="Arial" w:hAnsi="Arial" w:cs="Arial"/>
        </w:rPr>
        <w:t>y</w:t>
      </w:r>
      <w:r w:rsidRPr="00EB1AAB">
        <w:rPr>
          <w:rFonts w:ascii="Arial" w:eastAsia="Arial" w:hAnsi="Arial" w:cs="Arial"/>
          <w:spacing w:val="6"/>
        </w:rPr>
        <w:t xml:space="preserve"> </w:t>
      </w:r>
      <w:r w:rsidRPr="00EB1AAB">
        <w:rPr>
          <w:rFonts w:ascii="Arial" w:eastAsia="Arial" w:hAnsi="Arial" w:cs="Arial"/>
          <w:spacing w:val="-3"/>
          <w:w w:val="101"/>
        </w:rPr>
        <w:t>o</w:t>
      </w:r>
      <w:r w:rsidRPr="00EB1AAB">
        <w:rPr>
          <w:rFonts w:ascii="Arial" w:eastAsia="Arial" w:hAnsi="Arial" w:cs="Arial"/>
          <w:spacing w:val="1"/>
          <w:w w:val="101"/>
        </w:rPr>
        <w:t>cc</w:t>
      </w:r>
      <w:r w:rsidRPr="00EB1AAB">
        <w:rPr>
          <w:rFonts w:ascii="Arial" w:eastAsia="Arial" w:hAnsi="Arial" w:cs="Arial"/>
          <w:w w:val="101"/>
        </w:rPr>
        <w:t>u</w:t>
      </w:r>
      <w:r w:rsidRPr="00EB1AAB">
        <w:rPr>
          <w:rFonts w:ascii="Arial" w:eastAsia="Arial" w:hAnsi="Arial" w:cs="Arial"/>
          <w:spacing w:val="-1"/>
          <w:w w:val="101"/>
        </w:rPr>
        <w:t>r</w:t>
      </w:r>
      <w:r w:rsidRPr="00EB1AAB">
        <w:rPr>
          <w:rFonts w:ascii="Arial" w:eastAsia="Arial" w:hAnsi="Arial" w:cs="Arial"/>
          <w:w w:val="101"/>
        </w:rPr>
        <w:t>.</w:t>
      </w:r>
    </w:p>
    <w:p w14:paraId="7E425665" w14:textId="77777777" w:rsidR="00655E4C" w:rsidRPr="00EB1AAB" w:rsidRDefault="00655E4C" w:rsidP="00655E4C">
      <w:pPr>
        <w:spacing w:before="12"/>
        <w:rPr>
          <w:rFonts w:ascii="Arial" w:hAnsi="Arial" w:cs="Arial"/>
        </w:rPr>
      </w:pPr>
    </w:p>
    <w:p w14:paraId="51F967A3" w14:textId="77777777" w:rsidR="00655E4C" w:rsidRPr="00EB1AAB" w:rsidRDefault="00655E4C" w:rsidP="00655E4C">
      <w:pPr>
        <w:ind w:right="-88"/>
        <w:rPr>
          <w:rFonts w:ascii="Arial" w:eastAsia="Arial" w:hAnsi="Arial" w:cs="Arial"/>
        </w:rPr>
      </w:pPr>
      <w:r w:rsidRPr="00EB1AAB">
        <w:rPr>
          <w:rFonts w:ascii="Arial" w:eastAsia="Arial" w:hAnsi="Arial" w:cs="Arial"/>
        </w:rPr>
        <w:t>Un</w:t>
      </w:r>
      <w:r w:rsidRPr="00EB1AAB">
        <w:rPr>
          <w:rFonts w:ascii="Arial" w:eastAsia="Arial" w:hAnsi="Arial" w:cs="Arial"/>
          <w:spacing w:val="-1"/>
        </w:rPr>
        <w:t>d</w:t>
      </w:r>
      <w:r w:rsidRPr="00EB1AAB">
        <w:rPr>
          <w:rFonts w:ascii="Arial" w:eastAsia="Arial" w:hAnsi="Arial" w:cs="Arial"/>
        </w:rPr>
        <w:t>er</w:t>
      </w:r>
      <w:r w:rsidRPr="00EB1AAB">
        <w:rPr>
          <w:rFonts w:ascii="Arial" w:eastAsia="Arial" w:hAnsi="Arial" w:cs="Arial"/>
          <w:spacing w:val="6"/>
        </w:rPr>
        <w:t xml:space="preserve"> </w:t>
      </w:r>
      <w:r w:rsidRPr="00EB1AAB">
        <w:rPr>
          <w:rFonts w:ascii="Arial" w:eastAsia="Arial" w:hAnsi="Arial" w:cs="Arial"/>
          <w:spacing w:val="3"/>
        </w:rPr>
        <w:t>c</w:t>
      </w:r>
      <w:r w:rsidRPr="00EB1AAB">
        <w:rPr>
          <w:rFonts w:ascii="Arial" w:eastAsia="Arial" w:hAnsi="Arial" w:cs="Arial"/>
          <w:spacing w:val="-3"/>
        </w:rPr>
        <w:t>a</w:t>
      </w:r>
      <w:r w:rsidRPr="00EB1AAB">
        <w:rPr>
          <w:rFonts w:ascii="Arial" w:eastAsia="Arial" w:hAnsi="Arial" w:cs="Arial"/>
        </w:rPr>
        <w:t>p</w:t>
      </w:r>
      <w:r w:rsidRPr="00EB1AAB">
        <w:rPr>
          <w:rFonts w:ascii="Arial" w:eastAsia="Arial" w:hAnsi="Arial" w:cs="Arial"/>
          <w:spacing w:val="1"/>
        </w:rPr>
        <w:t>i</w:t>
      </w:r>
      <w:r w:rsidRPr="00EB1AAB">
        <w:rPr>
          <w:rFonts w:ascii="Arial" w:eastAsia="Arial" w:hAnsi="Arial" w:cs="Arial"/>
        </w:rPr>
        <w:t>tal</w:t>
      </w:r>
      <w:r w:rsidRPr="00EB1AAB">
        <w:rPr>
          <w:rFonts w:ascii="Arial" w:eastAsia="Arial" w:hAnsi="Arial" w:cs="Arial"/>
          <w:spacing w:val="11"/>
        </w:rPr>
        <w:t xml:space="preserve"> </w:t>
      </w:r>
      <w:r w:rsidRPr="00EB1AAB">
        <w:rPr>
          <w:rFonts w:ascii="Arial" w:eastAsia="Arial" w:hAnsi="Arial" w:cs="Arial"/>
          <w:spacing w:val="-3"/>
        </w:rPr>
        <w:t>a</w:t>
      </w:r>
      <w:r w:rsidRPr="00EB1AAB">
        <w:rPr>
          <w:rFonts w:ascii="Arial" w:eastAsia="Arial" w:hAnsi="Arial" w:cs="Arial"/>
          <w:spacing w:val="1"/>
        </w:rPr>
        <w:t>c</w:t>
      </w:r>
      <w:r w:rsidRPr="00EB1AAB">
        <w:rPr>
          <w:rFonts w:ascii="Arial" w:eastAsia="Arial" w:hAnsi="Arial" w:cs="Arial"/>
          <w:spacing w:val="-2"/>
        </w:rPr>
        <w:t>c</w:t>
      </w:r>
      <w:r w:rsidRPr="00EB1AAB">
        <w:rPr>
          <w:rFonts w:ascii="Arial" w:eastAsia="Arial" w:hAnsi="Arial" w:cs="Arial"/>
          <w:spacing w:val="2"/>
        </w:rPr>
        <w:t>o</w:t>
      </w:r>
      <w:r w:rsidRPr="00EB1AAB">
        <w:rPr>
          <w:rFonts w:ascii="Arial" w:eastAsia="Arial" w:hAnsi="Arial" w:cs="Arial"/>
        </w:rPr>
        <w:t>unt</w:t>
      </w:r>
      <w:r w:rsidRPr="00EB1AAB">
        <w:rPr>
          <w:rFonts w:ascii="Arial" w:eastAsia="Arial" w:hAnsi="Arial" w:cs="Arial"/>
          <w:spacing w:val="3"/>
        </w:rPr>
        <w:t>i</w:t>
      </w:r>
      <w:r w:rsidRPr="00EB1AAB">
        <w:rPr>
          <w:rFonts w:ascii="Arial" w:eastAsia="Arial" w:hAnsi="Arial" w:cs="Arial"/>
          <w:spacing w:val="-3"/>
        </w:rPr>
        <w:t>n</w:t>
      </w:r>
      <w:r w:rsidRPr="00EB1AAB">
        <w:rPr>
          <w:rFonts w:ascii="Arial" w:eastAsia="Arial" w:hAnsi="Arial" w:cs="Arial"/>
        </w:rPr>
        <w:t>g</w:t>
      </w:r>
      <w:r w:rsidRPr="00EB1AAB">
        <w:rPr>
          <w:rFonts w:ascii="Arial" w:eastAsia="Arial" w:hAnsi="Arial" w:cs="Arial"/>
          <w:spacing w:val="12"/>
        </w:rPr>
        <w:t xml:space="preserve"> </w:t>
      </w:r>
      <w:r w:rsidRPr="00EB1AAB">
        <w:rPr>
          <w:rFonts w:ascii="Arial" w:eastAsia="Arial" w:hAnsi="Arial" w:cs="Arial"/>
          <w:spacing w:val="2"/>
        </w:rPr>
        <w:t>re</w:t>
      </w:r>
      <w:r w:rsidRPr="00EB1AAB">
        <w:rPr>
          <w:rFonts w:ascii="Arial" w:eastAsia="Arial" w:hAnsi="Arial" w:cs="Arial"/>
          <w:spacing w:val="-2"/>
        </w:rPr>
        <w:t>g</w:t>
      </w:r>
      <w:r w:rsidRPr="00EB1AAB">
        <w:rPr>
          <w:rFonts w:ascii="Arial" w:eastAsia="Arial" w:hAnsi="Arial" w:cs="Arial"/>
        </w:rPr>
        <w:t>u</w:t>
      </w:r>
      <w:r w:rsidRPr="00EB1AAB">
        <w:rPr>
          <w:rFonts w:ascii="Arial" w:eastAsia="Arial" w:hAnsi="Arial" w:cs="Arial"/>
          <w:spacing w:val="1"/>
        </w:rPr>
        <w:t>l</w:t>
      </w:r>
      <w:r w:rsidRPr="00EB1AAB">
        <w:rPr>
          <w:rFonts w:ascii="Arial" w:eastAsia="Arial" w:hAnsi="Arial" w:cs="Arial"/>
        </w:rPr>
        <w:t>at</w:t>
      </w:r>
      <w:r w:rsidRPr="00EB1AAB">
        <w:rPr>
          <w:rFonts w:ascii="Arial" w:eastAsia="Arial" w:hAnsi="Arial" w:cs="Arial"/>
          <w:spacing w:val="1"/>
        </w:rPr>
        <w:t>i</w:t>
      </w:r>
      <w:r w:rsidRPr="00EB1AAB">
        <w:rPr>
          <w:rFonts w:ascii="Arial" w:eastAsia="Arial" w:hAnsi="Arial" w:cs="Arial"/>
        </w:rPr>
        <w:t>o</w:t>
      </w:r>
      <w:r w:rsidRPr="00EB1AAB">
        <w:rPr>
          <w:rFonts w:ascii="Arial" w:eastAsia="Arial" w:hAnsi="Arial" w:cs="Arial"/>
          <w:spacing w:val="-3"/>
        </w:rPr>
        <w:t>n</w:t>
      </w:r>
      <w:r w:rsidRPr="00EB1AAB">
        <w:rPr>
          <w:rFonts w:ascii="Arial" w:eastAsia="Arial" w:hAnsi="Arial" w:cs="Arial"/>
        </w:rPr>
        <w:t>s</w:t>
      </w:r>
      <w:r w:rsidRPr="00EB1AAB">
        <w:rPr>
          <w:rFonts w:ascii="Arial" w:eastAsia="Arial" w:hAnsi="Arial" w:cs="Arial"/>
          <w:spacing w:val="16"/>
        </w:rPr>
        <w:t xml:space="preserve"> </w:t>
      </w:r>
      <w:r w:rsidRPr="00EB1AAB">
        <w:rPr>
          <w:rFonts w:ascii="Arial" w:eastAsia="Arial" w:hAnsi="Arial" w:cs="Arial"/>
          <w:spacing w:val="-1"/>
        </w:rPr>
        <w:t>w</w:t>
      </w:r>
      <w:r w:rsidRPr="00EB1AAB">
        <w:rPr>
          <w:rFonts w:ascii="Arial" w:eastAsia="Arial" w:hAnsi="Arial" w:cs="Arial"/>
          <w:spacing w:val="2"/>
        </w:rPr>
        <w:t>h</w:t>
      </w:r>
      <w:r w:rsidRPr="00EB1AAB">
        <w:rPr>
          <w:rFonts w:ascii="Arial" w:eastAsia="Arial" w:hAnsi="Arial" w:cs="Arial"/>
          <w:spacing w:val="-3"/>
        </w:rPr>
        <w:t>e</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spacing w:val="3"/>
        </w:rPr>
        <w:t>t</w:t>
      </w:r>
      <w:r w:rsidRPr="00EB1AAB">
        <w:rPr>
          <w:rFonts w:ascii="Arial" w:eastAsia="Arial" w:hAnsi="Arial" w:cs="Arial"/>
        </w:rPr>
        <w:t>h</w:t>
      </w:r>
      <w:r w:rsidRPr="00EB1AAB">
        <w:rPr>
          <w:rFonts w:ascii="Arial" w:eastAsia="Arial" w:hAnsi="Arial" w:cs="Arial"/>
          <w:spacing w:val="-2"/>
        </w:rPr>
        <w:t>e</w:t>
      </w:r>
      <w:r w:rsidRPr="00EB1AAB">
        <w:rPr>
          <w:rFonts w:ascii="Arial" w:eastAsia="Arial" w:hAnsi="Arial" w:cs="Arial"/>
          <w:spacing w:val="3"/>
        </w:rPr>
        <w:t>s</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spacing w:val="-3"/>
        </w:rPr>
        <w:t>a</w:t>
      </w:r>
      <w:r w:rsidRPr="00EB1AAB">
        <w:rPr>
          <w:rFonts w:ascii="Arial" w:eastAsia="Arial" w:hAnsi="Arial" w:cs="Arial"/>
          <w:spacing w:val="1"/>
        </w:rPr>
        <w:t>s</w:t>
      </w:r>
      <w:r w:rsidRPr="00EB1AAB">
        <w:rPr>
          <w:rFonts w:ascii="Arial" w:eastAsia="Arial" w:hAnsi="Arial" w:cs="Arial"/>
          <w:spacing w:val="3"/>
        </w:rPr>
        <w:t>s</w:t>
      </w:r>
      <w:r w:rsidRPr="00EB1AAB">
        <w:rPr>
          <w:rFonts w:ascii="Arial" w:eastAsia="Arial" w:hAnsi="Arial" w:cs="Arial"/>
          <w:spacing w:val="-2"/>
        </w:rPr>
        <w:t>e</w:t>
      </w:r>
      <w:r w:rsidRPr="00EB1AAB">
        <w:rPr>
          <w:rFonts w:ascii="Arial" w:eastAsia="Arial" w:hAnsi="Arial" w:cs="Arial"/>
          <w:spacing w:val="2"/>
        </w:rPr>
        <w:t>t</w:t>
      </w:r>
      <w:r w:rsidRPr="00EB1AAB">
        <w:rPr>
          <w:rFonts w:ascii="Arial" w:eastAsia="Arial" w:hAnsi="Arial" w:cs="Arial"/>
        </w:rPr>
        <w:t>s</w:t>
      </w:r>
      <w:r w:rsidRPr="00EB1AAB">
        <w:rPr>
          <w:rFonts w:ascii="Arial" w:eastAsia="Arial" w:hAnsi="Arial" w:cs="Arial"/>
          <w:spacing w:val="9"/>
        </w:rPr>
        <w:t xml:space="preserve"> </w:t>
      </w:r>
      <w:r w:rsidRPr="00EB1AAB">
        <w:rPr>
          <w:rFonts w:ascii="Arial" w:eastAsia="Arial" w:hAnsi="Arial" w:cs="Arial"/>
        </w:rPr>
        <w:t>we</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6"/>
        </w:rPr>
        <w:t xml:space="preserve"> </w:t>
      </w:r>
      <w:r w:rsidRPr="00EB1AAB">
        <w:rPr>
          <w:rFonts w:ascii="Arial" w:eastAsia="Arial" w:hAnsi="Arial" w:cs="Arial"/>
        </w:rPr>
        <w:t>t</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3"/>
        </w:rPr>
        <w:t>a</w:t>
      </w:r>
      <w:r w:rsidRPr="00EB1AAB">
        <w:rPr>
          <w:rFonts w:ascii="Arial" w:eastAsia="Arial" w:hAnsi="Arial" w:cs="Arial"/>
          <w:spacing w:val="5"/>
        </w:rPr>
        <w:t>t</w:t>
      </w:r>
      <w:r w:rsidRPr="00EB1AAB">
        <w:rPr>
          <w:rFonts w:ascii="Arial" w:eastAsia="Arial" w:hAnsi="Arial" w:cs="Arial"/>
          <w:spacing w:val="-3"/>
        </w:rPr>
        <w:t>e</w:t>
      </w:r>
      <w:r w:rsidRPr="00EB1AAB">
        <w:rPr>
          <w:rFonts w:ascii="Arial" w:eastAsia="Arial" w:hAnsi="Arial" w:cs="Arial"/>
        </w:rPr>
        <w:t>d</w:t>
      </w:r>
      <w:r w:rsidRPr="00EB1AAB">
        <w:rPr>
          <w:rFonts w:ascii="Arial" w:eastAsia="Arial" w:hAnsi="Arial" w:cs="Arial"/>
          <w:spacing w:val="10"/>
        </w:rPr>
        <w:t xml:space="preserve"> </w:t>
      </w:r>
      <w:r w:rsidRPr="00EB1AAB">
        <w:rPr>
          <w:rFonts w:ascii="Arial" w:eastAsia="Arial" w:hAnsi="Arial" w:cs="Arial"/>
          <w:spacing w:val="-2"/>
        </w:rPr>
        <w:t>a</w:t>
      </w:r>
      <w:r w:rsidRPr="00EB1AAB">
        <w:rPr>
          <w:rFonts w:ascii="Arial" w:eastAsia="Arial" w:hAnsi="Arial" w:cs="Arial"/>
        </w:rPr>
        <w:t>s</w:t>
      </w:r>
      <w:r w:rsidRPr="00EB1AAB">
        <w:rPr>
          <w:rFonts w:ascii="Arial" w:eastAsia="Arial" w:hAnsi="Arial" w:cs="Arial"/>
          <w:spacing w:val="4"/>
        </w:rPr>
        <w:t xml:space="preserve"> </w:t>
      </w:r>
      <w:r w:rsidRPr="00EB1AAB">
        <w:rPr>
          <w:rFonts w:ascii="Arial" w:eastAsia="Arial" w:hAnsi="Arial" w:cs="Arial"/>
          <w:spacing w:val="1"/>
          <w:w w:val="101"/>
        </w:rPr>
        <w:t>c</w:t>
      </w:r>
      <w:r w:rsidRPr="00EB1AAB">
        <w:rPr>
          <w:rFonts w:ascii="Arial" w:eastAsia="Arial" w:hAnsi="Arial" w:cs="Arial"/>
          <w:w w:val="101"/>
        </w:rPr>
        <w:t>ap</w:t>
      </w:r>
      <w:r w:rsidRPr="00EB1AAB">
        <w:rPr>
          <w:rFonts w:ascii="Arial" w:eastAsia="Arial" w:hAnsi="Arial" w:cs="Arial"/>
          <w:spacing w:val="1"/>
          <w:w w:val="101"/>
        </w:rPr>
        <w:t>i</w:t>
      </w:r>
      <w:r w:rsidRPr="00EB1AAB">
        <w:rPr>
          <w:rFonts w:ascii="Arial" w:eastAsia="Arial" w:hAnsi="Arial" w:cs="Arial"/>
          <w:spacing w:val="2"/>
          <w:w w:val="101"/>
        </w:rPr>
        <w:t>t</w:t>
      </w:r>
      <w:r w:rsidRPr="00EB1AAB">
        <w:rPr>
          <w:rFonts w:ascii="Arial" w:eastAsia="Arial" w:hAnsi="Arial" w:cs="Arial"/>
          <w:spacing w:val="-3"/>
          <w:w w:val="101"/>
        </w:rPr>
        <w:t>a</w:t>
      </w:r>
      <w:r w:rsidRPr="00EB1AAB">
        <w:rPr>
          <w:rFonts w:ascii="Arial" w:eastAsia="Arial" w:hAnsi="Arial" w:cs="Arial"/>
          <w:w w:val="101"/>
        </w:rPr>
        <w:t xml:space="preserve">l </w:t>
      </w:r>
      <w:r w:rsidRPr="00EB1AAB">
        <w:rPr>
          <w:rFonts w:ascii="Arial" w:eastAsia="Arial" w:hAnsi="Arial" w:cs="Arial"/>
        </w:rPr>
        <w:t>e</w:t>
      </w:r>
      <w:r w:rsidRPr="00EB1AAB">
        <w:rPr>
          <w:rFonts w:ascii="Arial" w:eastAsia="Arial" w:hAnsi="Arial" w:cs="Arial"/>
          <w:spacing w:val="-2"/>
        </w:rPr>
        <w:t>x</w:t>
      </w:r>
      <w:r w:rsidRPr="00EB1AAB">
        <w:rPr>
          <w:rFonts w:ascii="Arial" w:eastAsia="Arial" w:hAnsi="Arial" w:cs="Arial"/>
          <w:spacing w:val="2"/>
        </w:rPr>
        <w:t>p</w:t>
      </w:r>
      <w:r w:rsidRPr="00EB1AAB">
        <w:rPr>
          <w:rFonts w:ascii="Arial" w:eastAsia="Arial" w:hAnsi="Arial" w:cs="Arial"/>
          <w:spacing w:val="-3"/>
        </w:rPr>
        <w:t>e</w:t>
      </w:r>
      <w:r w:rsidRPr="00EB1AAB">
        <w:rPr>
          <w:rFonts w:ascii="Arial" w:eastAsia="Arial" w:hAnsi="Arial" w:cs="Arial"/>
          <w:spacing w:val="2"/>
        </w:rPr>
        <w:t>n</w:t>
      </w:r>
      <w:r w:rsidRPr="00EB1AAB">
        <w:rPr>
          <w:rFonts w:ascii="Arial" w:eastAsia="Arial" w:hAnsi="Arial" w:cs="Arial"/>
          <w:spacing w:val="-3"/>
        </w:rPr>
        <w:t>d</w:t>
      </w:r>
      <w:r w:rsidRPr="00EB1AAB">
        <w:rPr>
          <w:rFonts w:ascii="Arial" w:eastAsia="Arial" w:hAnsi="Arial" w:cs="Arial"/>
          <w:spacing w:val="4"/>
        </w:rPr>
        <w:t>i</w:t>
      </w:r>
      <w:r w:rsidRPr="00EB1AAB">
        <w:rPr>
          <w:rFonts w:ascii="Arial" w:eastAsia="Arial" w:hAnsi="Arial" w:cs="Arial"/>
        </w:rPr>
        <w:t>t</w:t>
      </w:r>
      <w:r w:rsidRPr="00EB1AAB">
        <w:rPr>
          <w:rFonts w:ascii="Arial" w:eastAsia="Arial" w:hAnsi="Arial" w:cs="Arial"/>
          <w:spacing w:val="-2"/>
        </w:rPr>
        <w:t>u</w:t>
      </w:r>
      <w:r w:rsidRPr="00EB1AAB">
        <w:rPr>
          <w:rFonts w:ascii="Arial" w:eastAsia="Arial" w:hAnsi="Arial" w:cs="Arial"/>
          <w:spacing w:val="4"/>
        </w:rPr>
        <w:t>r</w:t>
      </w:r>
      <w:r w:rsidRPr="00EB1AAB">
        <w:rPr>
          <w:rFonts w:ascii="Arial" w:eastAsia="Arial" w:hAnsi="Arial" w:cs="Arial"/>
        </w:rPr>
        <w:t>e</w:t>
      </w:r>
      <w:r w:rsidRPr="00EB1AAB">
        <w:rPr>
          <w:rFonts w:ascii="Arial" w:eastAsia="Arial" w:hAnsi="Arial" w:cs="Arial"/>
          <w:spacing w:val="11"/>
        </w:rPr>
        <w:t xml:space="preserve"> </w:t>
      </w:r>
      <w:r w:rsidRPr="00EB1AAB">
        <w:rPr>
          <w:rFonts w:ascii="Arial" w:eastAsia="Arial" w:hAnsi="Arial" w:cs="Arial"/>
          <w:spacing w:val="2"/>
        </w:rPr>
        <w:t>t</w:t>
      </w:r>
      <w:r w:rsidRPr="00EB1AAB">
        <w:rPr>
          <w:rFonts w:ascii="Arial" w:eastAsia="Arial" w:hAnsi="Arial" w:cs="Arial"/>
          <w:spacing w:val="-3"/>
        </w:rPr>
        <w:t>h</w:t>
      </w:r>
      <w:r w:rsidRPr="00EB1AAB">
        <w:rPr>
          <w:rFonts w:ascii="Arial" w:eastAsia="Arial" w:hAnsi="Arial" w:cs="Arial"/>
        </w:rPr>
        <w:t>e</w:t>
      </w:r>
      <w:r w:rsidRPr="00EB1AAB">
        <w:rPr>
          <w:rFonts w:ascii="Arial" w:eastAsia="Arial" w:hAnsi="Arial" w:cs="Arial"/>
          <w:spacing w:val="6"/>
        </w:rPr>
        <w:t xml:space="preserve"> </w:t>
      </w:r>
      <w:r w:rsidRPr="00EB1AAB">
        <w:rPr>
          <w:rFonts w:ascii="Arial" w:eastAsia="Arial" w:hAnsi="Arial" w:cs="Arial"/>
          <w:spacing w:val="-3"/>
        </w:rPr>
        <w:t>g</w:t>
      </w:r>
      <w:r w:rsidRPr="00EB1AAB">
        <w:rPr>
          <w:rFonts w:ascii="Arial" w:eastAsia="Arial" w:hAnsi="Arial" w:cs="Arial"/>
        </w:rPr>
        <w:t>a</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7"/>
        </w:rPr>
        <w:t xml:space="preserve"> </w:t>
      </w:r>
      <w:r w:rsidRPr="00EB1AAB">
        <w:rPr>
          <w:rFonts w:ascii="Arial" w:eastAsia="Arial" w:hAnsi="Arial" w:cs="Arial"/>
        </w:rPr>
        <w:t>or</w:t>
      </w:r>
      <w:r w:rsidRPr="00EB1AAB">
        <w:rPr>
          <w:rFonts w:ascii="Arial" w:eastAsia="Arial" w:hAnsi="Arial" w:cs="Arial"/>
          <w:spacing w:val="4"/>
        </w:rPr>
        <w:t xml:space="preserve"> </w:t>
      </w:r>
      <w:r w:rsidRPr="00EB1AAB">
        <w:rPr>
          <w:rFonts w:ascii="Arial" w:eastAsia="Arial" w:hAnsi="Arial" w:cs="Arial"/>
          <w:spacing w:val="1"/>
        </w:rPr>
        <w:t>l</w:t>
      </w:r>
      <w:r w:rsidRPr="00EB1AAB">
        <w:rPr>
          <w:rFonts w:ascii="Arial" w:eastAsia="Arial" w:hAnsi="Arial" w:cs="Arial"/>
        </w:rPr>
        <w:t>oss</w:t>
      </w:r>
      <w:r w:rsidRPr="00EB1AAB">
        <w:rPr>
          <w:rFonts w:ascii="Arial" w:eastAsia="Arial" w:hAnsi="Arial" w:cs="Arial"/>
          <w:spacing w:val="4"/>
        </w:rPr>
        <w:t xml:space="preserve"> i</w:t>
      </w:r>
      <w:r w:rsidRPr="00EB1AAB">
        <w:rPr>
          <w:rFonts w:ascii="Arial" w:eastAsia="Arial" w:hAnsi="Arial" w:cs="Arial"/>
        </w:rPr>
        <w:t>s</w:t>
      </w:r>
      <w:r w:rsidRPr="00EB1AAB">
        <w:rPr>
          <w:rFonts w:ascii="Arial" w:eastAsia="Arial" w:hAnsi="Arial" w:cs="Arial"/>
          <w:spacing w:val="2"/>
        </w:rPr>
        <w:t xml:space="preserve"> </w:t>
      </w:r>
      <w:r w:rsidRPr="00EB1AAB">
        <w:rPr>
          <w:rFonts w:ascii="Arial" w:eastAsia="Arial" w:hAnsi="Arial" w:cs="Arial"/>
          <w:spacing w:val="-1"/>
        </w:rPr>
        <w:t>r</w:t>
      </w:r>
      <w:r w:rsidRPr="00EB1AAB">
        <w:rPr>
          <w:rFonts w:ascii="Arial" w:eastAsia="Arial" w:hAnsi="Arial" w:cs="Arial"/>
          <w:spacing w:val="-3"/>
        </w:rPr>
        <w:t>e</w:t>
      </w:r>
      <w:r w:rsidRPr="00EB1AAB">
        <w:rPr>
          <w:rFonts w:ascii="Arial" w:eastAsia="Arial" w:hAnsi="Arial" w:cs="Arial"/>
          <w:spacing w:val="1"/>
        </w:rPr>
        <w:t>v</w:t>
      </w:r>
      <w:r w:rsidRPr="00EB1AAB">
        <w:rPr>
          <w:rFonts w:ascii="Arial" w:eastAsia="Arial" w:hAnsi="Arial" w:cs="Arial"/>
        </w:rPr>
        <w:t>e</w:t>
      </w:r>
      <w:r w:rsidRPr="00EB1AAB">
        <w:rPr>
          <w:rFonts w:ascii="Arial" w:eastAsia="Arial" w:hAnsi="Arial" w:cs="Arial"/>
          <w:spacing w:val="-1"/>
        </w:rPr>
        <w:t>r</w:t>
      </w:r>
      <w:r w:rsidRPr="00EB1AAB">
        <w:rPr>
          <w:rFonts w:ascii="Arial" w:eastAsia="Arial" w:hAnsi="Arial" w:cs="Arial"/>
          <w:spacing w:val="1"/>
        </w:rPr>
        <w:t>s</w:t>
      </w:r>
      <w:r w:rsidRPr="00EB1AAB">
        <w:rPr>
          <w:rFonts w:ascii="Arial" w:eastAsia="Arial" w:hAnsi="Arial" w:cs="Arial"/>
          <w:spacing w:val="2"/>
        </w:rPr>
        <w:t>e</w:t>
      </w:r>
      <w:r w:rsidRPr="00EB1AAB">
        <w:rPr>
          <w:rFonts w:ascii="Arial" w:eastAsia="Arial" w:hAnsi="Arial" w:cs="Arial"/>
        </w:rPr>
        <w:t>d</w:t>
      </w:r>
      <w:r w:rsidRPr="00EB1AAB">
        <w:rPr>
          <w:rFonts w:ascii="Arial" w:eastAsia="Arial" w:hAnsi="Arial" w:cs="Arial"/>
          <w:spacing w:val="10"/>
        </w:rPr>
        <w:t xml:space="preserve"> </w:t>
      </w:r>
      <w:r w:rsidRPr="00EB1AAB">
        <w:rPr>
          <w:rFonts w:ascii="Arial" w:eastAsia="Arial" w:hAnsi="Arial" w:cs="Arial"/>
        </w:rPr>
        <w:t>th</w:t>
      </w:r>
      <w:r w:rsidRPr="00EB1AAB">
        <w:rPr>
          <w:rFonts w:ascii="Arial" w:eastAsia="Arial" w:hAnsi="Arial" w:cs="Arial"/>
          <w:spacing w:val="1"/>
        </w:rPr>
        <w:t>r</w:t>
      </w:r>
      <w:r w:rsidRPr="00EB1AAB">
        <w:rPr>
          <w:rFonts w:ascii="Arial" w:eastAsia="Arial" w:hAnsi="Arial" w:cs="Arial"/>
          <w:spacing w:val="-3"/>
        </w:rPr>
        <w:t>o</w:t>
      </w:r>
      <w:r w:rsidRPr="00EB1AAB">
        <w:rPr>
          <w:rFonts w:ascii="Arial" w:eastAsia="Arial" w:hAnsi="Arial" w:cs="Arial"/>
          <w:spacing w:val="2"/>
        </w:rPr>
        <w:t>u</w:t>
      </w:r>
      <w:r w:rsidRPr="00EB1AAB">
        <w:rPr>
          <w:rFonts w:ascii="Arial" w:eastAsia="Arial" w:hAnsi="Arial" w:cs="Arial"/>
          <w:spacing w:val="-3"/>
        </w:rPr>
        <w:t>g</w:t>
      </w:r>
      <w:r w:rsidRPr="00EB1AAB">
        <w:rPr>
          <w:rFonts w:ascii="Arial" w:eastAsia="Arial" w:hAnsi="Arial" w:cs="Arial"/>
        </w:rPr>
        <w:t>h</w:t>
      </w:r>
      <w:r w:rsidRPr="00EB1AAB">
        <w:rPr>
          <w:rFonts w:ascii="Arial" w:eastAsia="Arial" w:hAnsi="Arial" w:cs="Arial"/>
          <w:spacing w:val="9"/>
        </w:rPr>
        <w:t xml:space="preserve"> </w:t>
      </w:r>
      <w:r w:rsidRPr="00EB1AAB">
        <w:rPr>
          <w:rFonts w:ascii="Arial" w:eastAsia="Arial" w:hAnsi="Arial" w:cs="Arial"/>
        </w:rPr>
        <w:t>t</w:t>
      </w:r>
      <w:r w:rsidRPr="00EB1AAB">
        <w:rPr>
          <w:rFonts w:ascii="Arial" w:eastAsia="Arial" w:hAnsi="Arial" w:cs="Arial"/>
          <w:spacing w:val="2"/>
        </w:rPr>
        <w:t>h</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rPr>
        <w:t>M</w:t>
      </w:r>
      <w:r w:rsidRPr="00EB1AAB">
        <w:rPr>
          <w:rFonts w:ascii="Arial" w:eastAsia="Arial" w:hAnsi="Arial" w:cs="Arial"/>
          <w:spacing w:val="-1"/>
        </w:rPr>
        <w:t>ov</w:t>
      </w:r>
      <w:r w:rsidRPr="00EB1AAB">
        <w:rPr>
          <w:rFonts w:ascii="Arial" w:eastAsia="Arial" w:hAnsi="Arial" w:cs="Arial"/>
        </w:rPr>
        <w:t>e</w:t>
      </w:r>
      <w:r w:rsidRPr="00EB1AAB">
        <w:rPr>
          <w:rFonts w:ascii="Arial" w:eastAsia="Arial" w:hAnsi="Arial" w:cs="Arial"/>
          <w:spacing w:val="2"/>
        </w:rPr>
        <w:t>m</w:t>
      </w:r>
      <w:r w:rsidRPr="00EB1AAB">
        <w:rPr>
          <w:rFonts w:ascii="Arial" w:eastAsia="Arial" w:hAnsi="Arial" w:cs="Arial"/>
        </w:rPr>
        <w:t>ent</w:t>
      </w:r>
      <w:r w:rsidRPr="00EB1AAB">
        <w:rPr>
          <w:rFonts w:ascii="Arial" w:eastAsia="Arial" w:hAnsi="Arial" w:cs="Arial"/>
          <w:spacing w:val="11"/>
        </w:rPr>
        <w:t xml:space="preserve"> </w:t>
      </w:r>
      <w:r w:rsidRPr="00EB1AAB">
        <w:rPr>
          <w:rFonts w:ascii="Arial" w:eastAsia="Arial" w:hAnsi="Arial" w:cs="Arial"/>
          <w:spacing w:val="4"/>
        </w:rPr>
        <w:t>i</w:t>
      </w:r>
      <w:r w:rsidRPr="00EB1AAB">
        <w:rPr>
          <w:rFonts w:ascii="Arial" w:eastAsia="Arial" w:hAnsi="Arial" w:cs="Arial"/>
        </w:rPr>
        <w:t>n</w:t>
      </w:r>
      <w:r w:rsidRPr="00EB1AAB">
        <w:rPr>
          <w:rFonts w:ascii="Arial" w:eastAsia="Arial" w:hAnsi="Arial" w:cs="Arial"/>
          <w:spacing w:val="3"/>
        </w:rPr>
        <w:t xml:space="preserve"> </w:t>
      </w:r>
      <w:r w:rsidRPr="00EB1AAB">
        <w:rPr>
          <w:rFonts w:ascii="Arial" w:eastAsia="Arial" w:hAnsi="Arial" w:cs="Arial"/>
        </w:rPr>
        <w:t>R</w:t>
      </w:r>
      <w:r w:rsidRPr="00EB1AAB">
        <w:rPr>
          <w:rFonts w:ascii="Arial" w:eastAsia="Arial" w:hAnsi="Arial" w:cs="Arial"/>
          <w:spacing w:val="-2"/>
        </w:rPr>
        <w:t>e</w:t>
      </w:r>
      <w:r w:rsidRPr="00EB1AAB">
        <w:rPr>
          <w:rFonts w:ascii="Arial" w:eastAsia="Arial" w:hAnsi="Arial" w:cs="Arial"/>
          <w:spacing w:val="1"/>
        </w:rPr>
        <w:t>s</w:t>
      </w:r>
      <w:r w:rsidRPr="00EB1AAB">
        <w:rPr>
          <w:rFonts w:ascii="Arial" w:eastAsia="Arial" w:hAnsi="Arial" w:cs="Arial"/>
        </w:rPr>
        <w:t>e</w:t>
      </w:r>
      <w:r w:rsidRPr="00EB1AAB">
        <w:rPr>
          <w:rFonts w:ascii="Arial" w:eastAsia="Arial" w:hAnsi="Arial" w:cs="Arial"/>
          <w:spacing w:val="-1"/>
        </w:rPr>
        <w:t>r</w:t>
      </w:r>
      <w:r w:rsidRPr="00EB1AAB">
        <w:rPr>
          <w:rFonts w:ascii="Arial" w:eastAsia="Arial" w:hAnsi="Arial" w:cs="Arial"/>
          <w:spacing w:val="1"/>
        </w:rPr>
        <w:t>v</w:t>
      </w:r>
      <w:r w:rsidRPr="00EB1AAB">
        <w:rPr>
          <w:rFonts w:ascii="Arial" w:eastAsia="Arial" w:hAnsi="Arial" w:cs="Arial"/>
        </w:rPr>
        <w:t>es</w:t>
      </w:r>
      <w:r w:rsidRPr="00EB1AAB">
        <w:rPr>
          <w:rFonts w:ascii="Arial" w:eastAsia="Arial" w:hAnsi="Arial" w:cs="Arial"/>
          <w:spacing w:val="12"/>
        </w:rPr>
        <w:t xml:space="preserve"> </w:t>
      </w:r>
      <w:r w:rsidRPr="00EB1AAB">
        <w:rPr>
          <w:rFonts w:ascii="Arial" w:eastAsia="Arial" w:hAnsi="Arial" w:cs="Arial"/>
          <w:w w:val="101"/>
        </w:rPr>
        <w:t>Sta</w:t>
      </w:r>
      <w:r w:rsidRPr="00EB1AAB">
        <w:rPr>
          <w:rFonts w:ascii="Arial" w:eastAsia="Arial" w:hAnsi="Arial" w:cs="Arial"/>
          <w:spacing w:val="-1"/>
          <w:w w:val="101"/>
        </w:rPr>
        <w:t>t</w:t>
      </w:r>
      <w:r w:rsidRPr="00EB1AAB">
        <w:rPr>
          <w:rFonts w:ascii="Arial" w:eastAsia="Arial" w:hAnsi="Arial" w:cs="Arial"/>
          <w:spacing w:val="-3"/>
          <w:w w:val="101"/>
        </w:rPr>
        <w:t>e</w:t>
      </w:r>
      <w:r w:rsidRPr="00EB1AAB">
        <w:rPr>
          <w:rFonts w:ascii="Arial" w:eastAsia="Arial" w:hAnsi="Arial" w:cs="Arial"/>
          <w:spacing w:val="2"/>
          <w:w w:val="101"/>
        </w:rPr>
        <w:t>me</w:t>
      </w:r>
      <w:r w:rsidRPr="00EB1AAB">
        <w:rPr>
          <w:rFonts w:ascii="Arial" w:eastAsia="Arial" w:hAnsi="Arial" w:cs="Arial"/>
          <w:spacing w:val="-3"/>
          <w:w w:val="101"/>
        </w:rPr>
        <w:t>n</w:t>
      </w:r>
      <w:r w:rsidRPr="00EB1AAB">
        <w:rPr>
          <w:rFonts w:ascii="Arial" w:eastAsia="Arial" w:hAnsi="Arial" w:cs="Arial"/>
          <w:w w:val="101"/>
        </w:rPr>
        <w:t xml:space="preserve">t </w:t>
      </w:r>
      <w:r w:rsidRPr="00EB1AAB">
        <w:rPr>
          <w:rFonts w:ascii="Arial" w:eastAsia="Arial" w:hAnsi="Arial" w:cs="Arial"/>
        </w:rPr>
        <w:t>and</w:t>
      </w:r>
      <w:r w:rsidRPr="00EB1AAB">
        <w:rPr>
          <w:rFonts w:ascii="Arial" w:eastAsia="Arial" w:hAnsi="Arial" w:cs="Arial"/>
          <w:spacing w:val="5"/>
        </w:rPr>
        <w:t xml:space="preserve"> </w:t>
      </w:r>
      <w:r w:rsidRPr="00EB1AAB">
        <w:rPr>
          <w:rFonts w:ascii="Arial" w:eastAsia="Arial" w:hAnsi="Arial" w:cs="Arial"/>
          <w:spacing w:val="1"/>
        </w:rPr>
        <w:t>c</w:t>
      </w:r>
      <w:r w:rsidRPr="00EB1AAB">
        <w:rPr>
          <w:rFonts w:ascii="Arial" w:eastAsia="Arial" w:hAnsi="Arial" w:cs="Arial"/>
        </w:rPr>
        <w:t>ha</w:t>
      </w:r>
      <w:r w:rsidRPr="00EB1AAB">
        <w:rPr>
          <w:rFonts w:ascii="Arial" w:eastAsia="Arial" w:hAnsi="Arial" w:cs="Arial"/>
          <w:spacing w:val="1"/>
        </w:rPr>
        <w:t>r</w:t>
      </w:r>
      <w:r w:rsidRPr="00EB1AAB">
        <w:rPr>
          <w:rFonts w:ascii="Arial" w:eastAsia="Arial" w:hAnsi="Arial" w:cs="Arial"/>
          <w:spacing w:val="-2"/>
        </w:rPr>
        <w:t>g</w:t>
      </w:r>
      <w:r w:rsidRPr="00EB1AAB">
        <w:rPr>
          <w:rFonts w:ascii="Arial" w:eastAsia="Arial" w:hAnsi="Arial" w:cs="Arial"/>
          <w:spacing w:val="2"/>
        </w:rPr>
        <w:t>e</w:t>
      </w:r>
      <w:r w:rsidRPr="00EB1AAB">
        <w:rPr>
          <w:rFonts w:ascii="Arial" w:eastAsia="Arial" w:hAnsi="Arial" w:cs="Arial"/>
        </w:rPr>
        <w:t>d</w:t>
      </w:r>
      <w:r w:rsidRPr="00EB1AAB">
        <w:rPr>
          <w:rFonts w:ascii="Arial" w:eastAsia="Arial" w:hAnsi="Arial" w:cs="Arial"/>
          <w:spacing w:val="7"/>
        </w:rPr>
        <w:t xml:space="preserve"> </w:t>
      </w:r>
      <w:r w:rsidRPr="00EB1AAB">
        <w:rPr>
          <w:rFonts w:ascii="Arial" w:eastAsia="Arial" w:hAnsi="Arial" w:cs="Arial"/>
          <w:spacing w:val="2"/>
        </w:rPr>
        <w:t>t</w:t>
      </w:r>
      <w:r w:rsidRPr="00EB1AAB">
        <w:rPr>
          <w:rFonts w:ascii="Arial" w:eastAsia="Arial" w:hAnsi="Arial" w:cs="Arial"/>
        </w:rPr>
        <w:t>o</w:t>
      </w:r>
      <w:r w:rsidRPr="00EB1AAB">
        <w:rPr>
          <w:rFonts w:ascii="Arial" w:eastAsia="Arial" w:hAnsi="Arial" w:cs="Arial"/>
          <w:spacing w:val="3"/>
        </w:rPr>
        <w:t xml:space="preserve"> the </w:t>
      </w:r>
      <w:r w:rsidRPr="00EB1AAB">
        <w:rPr>
          <w:rFonts w:ascii="Arial" w:eastAsia="Arial" w:hAnsi="Arial" w:cs="Arial"/>
          <w:spacing w:val="2"/>
        </w:rPr>
        <w:t>C</w:t>
      </w:r>
      <w:r w:rsidRPr="00EB1AAB">
        <w:rPr>
          <w:rFonts w:ascii="Arial" w:eastAsia="Arial" w:hAnsi="Arial" w:cs="Arial"/>
        </w:rPr>
        <w:t>a</w:t>
      </w:r>
      <w:r w:rsidRPr="00EB1AAB">
        <w:rPr>
          <w:rFonts w:ascii="Arial" w:eastAsia="Arial" w:hAnsi="Arial" w:cs="Arial"/>
          <w:spacing w:val="-1"/>
        </w:rPr>
        <w:t>p</w:t>
      </w:r>
      <w:r w:rsidRPr="00EB1AAB">
        <w:rPr>
          <w:rFonts w:ascii="Arial" w:eastAsia="Arial" w:hAnsi="Arial" w:cs="Arial"/>
          <w:spacing w:val="1"/>
        </w:rPr>
        <w:t>i</w:t>
      </w:r>
      <w:r w:rsidRPr="00EB1AAB">
        <w:rPr>
          <w:rFonts w:ascii="Arial" w:eastAsia="Arial" w:hAnsi="Arial" w:cs="Arial"/>
        </w:rPr>
        <w:t>tal</w:t>
      </w:r>
      <w:r w:rsidRPr="00EB1AAB">
        <w:rPr>
          <w:rFonts w:ascii="Arial" w:eastAsia="Arial" w:hAnsi="Arial" w:cs="Arial"/>
          <w:spacing w:val="9"/>
        </w:rPr>
        <w:t xml:space="preserve"> </w:t>
      </w:r>
      <w:r w:rsidRPr="00EB1AAB">
        <w:rPr>
          <w:rFonts w:ascii="Arial" w:eastAsia="Arial" w:hAnsi="Arial" w:cs="Arial"/>
          <w:spacing w:val="3"/>
        </w:rPr>
        <w:t>A</w:t>
      </w:r>
      <w:r w:rsidRPr="00EB1AAB">
        <w:rPr>
          <w:rFonts w:ascii="Arial" w:eastAsia="Arial" w:hAnsi="Arial" w:cs="Arial"/>
          <w:spacing w:val="-2"/>
        </w:rPr>
        <w:t>d</w:t>
      </w:r>
      <w:r w:rsidRPr="00EB1AAB">
        <w:rPr>
          <w:rFonts w:ascii="Arial" w:eastAsia="Arial" w:hAnsi="Arial" w:cs="Arial"/>
          <w:spacing w:val="3"/>
        </w:rPr>
        <w:t>j</w:t>
      </w:r>
      <w:r w:rsidRPr="00EB1AAB">
        <w:rPr>
          <w:rFonts w:ascii="Arial" w:eastAsia="Arial" w:hAnsi="Arial" w:cs="Arial"/>
          <w:spacing w:val="-3"/>
        </w:rPr>
        <w:t>u</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2"/>
        </w:rPr>
        <w:t>m</w:t>
      </w:r>
      <w:r w:rsidRPr="00EB1AAB">
        <w:rPr>
          <w:rFonts w:ascii="Arial" w:eastAsia="Arial" w:hAnsi="Arial" w:cs="Arial"/>
          <w:spacing w:val="-3"/>
        </w:rPr>
        <w:t>e</w:t>
      </w:r>
      <w:r w:rsidRPr="00EB1AAB">
        <w:rPr>
          <w:rFonts w:ascii="Arial" w:eastAsia="Arial" w:hAnsi="Arial" w:cs="Arial"/>
        </w:rPr>
        <w:t>nt</w:t>
      </w:r>
      <w:r w:rsidRPr="00EB1AAB">
        <w:rPr>
          <w:rFonts w:ascii="Arial" w:eastAsia="Arial" w:hAnsi="Arial" w:cs="Arial"/>
          <w:spacing w:val="12"/>
        </w:rPr>
        <w:t xml:space="preserve"> </w:t>
      </w:r>
      <w:r w:rsidRPr="00EB1AAB">
        <w:rPr>
          <w:rFonts w:ascii="Arial" w:eastAsia="Arial" w:hAnsi="Arial" w:cs="Arial"/>
          <w:spacing w:val="3"/>
          <w:w w:val="101"/>
        </w:rPr>
        <w:t>A</w:t>
      </w:r>
      <w:r w:rsidRPr="00EB1AAB">
        <w:rPr>
          <w:rFonts w:ascii="Arial" w:eastAsia="Arial" w:hAnsi="Arial" w:cs="Arial"/>
          <w:spacing w:val="-1"/>
          <w:w w:val="101"/>
        </w:rPr>
        <w:t>c</w:t>
      </w:r>
      <w:r w:rsidRPr="00EB1AAB">
        <w:rPr>
          <w:rFonts w:ascii="Arial" w:eastAsia="Arial" w:hAnsi="Arial" w:cs="Arial"/>
          <w:spacing w:val="1"/>
          <w:w w:val="101"/>
        </w:rPr>
        <w:t>c</w:t>
      </w:r>
      <w:r w:rsidRPr="00EB1AAB">
        <w:rPr>
          <w:rFonts w:ascii="Arial" w:eastAsia="Arial" w:hAnsi="Arial" w:cs="Arial"/>
          <w:spacing w:val="-3"/>
          <w:w w:val="101"/>
        </w:rPr>
        <w:t>o</w:t>
      </w:r>
      <w:r w:rsidRPr="00EB1AAB">
        <w:rPr>
          <w:rFonts w:ascii="Arial" w:eastAsia="Arial" w:hAnsi="Arial" w:cs="Arial"/>
          <w:w w:val="101"/>
        </w:rPr>
        <w:t>u</w:t>
      </w:r>
      <w:r w:rsidRPr="00EB1AAB">
        <w:rPr>
          <w:rFonts w:ascii="Arial" w:eastAsia="Arial" w:hAnsi="Arial" w:cs="Arial"/>
          <w:spacing w:val="-1"/>
          <w:w w:val="101"/>
        </w:rPr>
        <w:t>n</w:t>
      </w:r>
      <w:r w:rsidRPr="00EB1AAB">
        <w:rPr>
          <w:rFonts w:ascii="Arial" w:eastAsia="Arial" w:hAnsi="Arial" w:cs="Arial"/>
          <w:w w:val="101"/>
        </w:rPr>
        <w:t>t</w:t>
      </w:r>
      <w:r w:rsidRPr="00EB1AAB">
        <w:rPr>
          <w:rFonts w:ascii="Arial" w:eastAsia="Arial" w:hAnsi="Arial" w:cs="Arial"/>
        </w:rPr>
        <w:t>, which is an</w:t>
      </w:r>
      <w:r w:rsidRPr="00EB1AAB">
        <w:rPr>
          <w:rFonts w:ascii="Arial" w:eastAsia="Arial" w:hAnsi="Arial" w:cs="Arial"/>
          <w:spacing w:val="6"/>
        </w:rPr>
        <w:t xml:space="preserve"> </w:t>
      </w:r>
      <w:r w:rsidRPr="00EB1AAB">
        <w:rPr>
          <w:rFonts w:ascii="Arial" w:eastAsia="Arial" w:hAnsi="Arial" w:cs="Arial"/>
          <w:spacing w:val="-3"/>
        </w:rPr>
        <w:t>u</w:t>
      </w:r>
      <w:r w:rsidRPr="00EB1AAB">
        <w:rPr>
          <w:rFonts w:ascii="Arial" w:eastAsia="Arial" w:hAnsi="Arial" w:cs="Arial"/>
          <w:spacing w:val="2"/>
        </w:rPr>
        <w:t>n</w:t>
      </w:r>
      <w:r w:rsidRPr="00EB1AAB">
        <w:rPr>
          <w:rFonts w:ascii="Arial" w:eastAsia="Arial" w:hAnsi="Arial" w:cs="Arial"/>
        </w:rPr>
        <w:t>usa</w:t>
      </w:r>
      <w:r w:rsidRPr="00EB1AAB">
        <w:rPr>
          <w:rFonts w:ascii="Arial" w:eastAsia="Arial" w:hAnsi="Arial" w:cs="Arial"/>
          <w:spacing w:val="-3"/>
        </w:rPr>
        <w:t>b</w:t>
      </w:r>
      <w:r w:rsidRPr="00EB1AAB">
        <w:rPr>
          <w:rFonts w:ascii="Arial" w:eastAsia="Arial" w:hAnsi="Arial" w:cs="Arial"/>
          <w:spacing w:val="1"/>
        </w:rPr>
        <w:t>l</w:t>
      </w:r>
      <w:r w:rsidRPr="00EB1AAB">
        <w:rPr>
          <w:rFonts w:ascii="Arial" w:eastAsia="Arial" w:hAnsi="Arial" w:cs="Arial"/>
        </w:rPr>
        <w:t>e</w:t>
      </w:r>
      <w:r w:rsidRPr="00EB1AAB">
        <w:rPr>
          <w:rFonts w:ascii="Arial" w:eastAsia="Arial" w:hAnsi="Arial" w:cs="Arial"/>
          <w:spacing w:val="10"/>
        </w:rPr>
        <w:t xml:space="preserve"> </w:t>
      </w:r>
      <w:r w:rsidRPr="00EB1AAB">
        <w:rPr>
          <w:rFonts w:ascii="Arial" w:eastAsia="Arial" w:hAnsi="Arial" w:cs="Arial"/>
          <w:spacing w:val="2"/>
        </w:rPr>
        <w:t>r</w:t>
      </w:r>
      <w:r w:rsidRPr="00EB1AAB">
        <w:rPr>
          <w:rFonts w:ascii="Arial" w:eastAsia="Arial" w:hAnsi="Arial" w:cs="Arial"/>
        </w:rPr>
        <w:t>ese</w:t>
      </w:r>
      <w:r w:rsidRPr="00EB1AAB">
        <w:rPr>
          <w:rFonts w:ascii="Arial" w:eastAsia="Arial" w:hAnsi="Arial" w:cs="Arial"/>
          <w:spacing w:val="-1"/>
        </w:rPr>
        <w:t>r</w:t>
      </w:r>
      <w:r w:rsidRPr="00EB1AAB">
        <w:rPr>
          <w:rFonts w:ascii="Arial" w:eastAsia="Arial" w:hAnsi="Arial" w:cs="Arial"/>
          <w:spacing w:val="1"/>
        </w:rPr>
        <w:t>v</w:t>
      </w:r>
      <w:r w:rsidRPr="00EB1AAB">
        <w:rPr>
          <w:rFonts w:ascii="Arial" w:eastAsia="Arial" w:hAnsi="Arial" w:cs="Arial"/>
        </w:rPr>
        <w:t>e.</w:t>
      </w:r>
      <w:r w:rsidRPr="00EB1AAB">
        <w:rPr>
          <w:rFonts w:ascii="Arial" w:eastAsia="Arial" w:hAnsi="Arial" w:cs="Arial"/>
          <w:spacing w:val="9"/>
        </w:rPr>
        <w:t xml:space="preserve"> </w:t>
      </w:r>
    </w:p>
    <w:p w14:paraId="6809B74C" w14:textId="77777777" w:rsidR="00655E4C" w:rsidRPr="00EB1AAB" w:rsidRDefault="00655E4C" w:rsidP="00655E4C">
      <w:pPr>
        <w:rPr>
          <w:rFonts w:ascii="Arial" w:eastAsia="Arial" w:hAnsi="Arial" w:cs="Arial"/>
        </w:rPr>
      </w:pPr>
    </w:p>
    <w:p w14:paraId="57C9CBB4" w14:textId="77777777" w:rsidR="00655E4C" w:rsidRPr="00EB1AAB" w:rsidRDefault="00655E4C" w:rsidP="00655E4C">
      <w:pPr>
        <w:spacing w:before="4"/>
        <w:ind w:right="-88"/>
        <w:rPr>
          <w:rFonts w:ascii="Arial" w:eastAsia="Arial" w:hAnsi="Arial" w:cs="Arial"/>
        </w:rPr>
      </w:pPr>
      <w:r w:rsidRPr="00EB1AAB">
        <w:rPr>
          <w:rFonts w:ascii="Arial" w:eastAsia="Arial" w:hAnsi="Arial" w:cs="Arial"/>
        </w:rPr>
        <w:t>An</w:t>
      </w:r>
      <w:r w:rsidRPr="00EB1AAB">
        <w:rPr>
          <w:rFonts w:ascii="Arial" w:eastAsia="Arial" w:hAnsi="Arial" w:cs="Arial"/>
          <w:spacing w:val="4"/>
        </w:rPr>
        <w:t xml:space="preserve"> </w:t>
      </w:r>
      <w:r w:rsidRPr="00EB1AAB">
        <w:rPr>
          <w:rFonts w:ascii="Arial" w:eastAsia="Arial" w:hAnsi="Arial" w:cs="Arial"/>
        </w:rPr>
        <w:t>eq</w:t>
      </w:r>
      <w:r w:rsidRPr="00EB1AAB">
        <w:rPr>
          <w:rFonts w:ascii="Arial" w:eastAsia="Arial" w:hAnsi="Arial" w:cs="Arial"/>
          <w:spacing w:val="-1"/>
        </w:rPr>
        <w:t>u</w:t>
      </w:r>
      <w:r w:rsidRPr="00EB1AAB">
        <w:rPr>
          <w:rFonts w:ascii="Arial" w:eastAsia="Arial" w:hAnsi="Arial" w:cs="Arial"/>
          <w:spacing w:val="1"/>
        </w:rPr>
        <w:t>i</w:t>
      </w:r>
      <w:r w:rsidRPr="00EB1AAB">
        <w:rPr>
          <w:rFonts w:ascii="Arial" w:eastAsia="Arial" w:hAnsi="Arial" w:cs="Arial"/>
          <w:spacing w:val="2"/>
        </w:rPr>
        <w:t>t</w:t>
      </w:r>
      <w:r w:rsidRPr="00EB1AAB">
        <w:rPr>
          <w:rFonts w:ascii="Arial" w:eastAsia="Arial" w:hAnsi="Arial" w:cs="Arial"/>
        </w:rPr>
        <w:t>y</w:t>
      </w:r>
      <w:r w:rsidRPr="00EB1AAB">
        <w:rPr>
          <w:rFonts w:ascii="Arial" w:eastAsia="Arial" w:hAnsi="Arial" w:cs="Arial"/>
          <w:spacing w:val="3"/>
        </w:rPr>
        <w:t xml:space="preserve"> i</w:t>
      </w:r>
      <w:r w:rsidRPr="00EB1AAB">
        <w:rPr>
          <w:rFonts w:ascii="Arial" w:eastAsia="Arial" w:hAnsi="Arial" w:cs="Arial"/>
          <w:spacing w:val="-3"/>
        </w:rPr>
        <w:t>n</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1"/>
        </w:rPr>
        <w:t>r</w:t>
      </w:r>
      <w:r w:rsidRPr="00EB1AAB">
        <w:rPr>
          <w:rFonts w:ascii="Arial" w:eastAsia="Arial" w:hAnsi="Arial" w:cs="Arial"/>
        </w:rPr>
        <w:t>u</w:t>
      </w:r>
      <w:r w:rsidRPr="00EB1AAB">
        <w:rPr>
          <w:rFonts w:ascii="Arial" w:eastAsia="Arial" w:hAnsi="Arial" w:cs="Arial"/>
          <w:spacing w:val="-1"/>
        </w:rPr>
        <w:t>m</w:t>
      </w:r>
      <w:r w:rsidRPr="00EB1AAB">
        <w:rPr>
          <w:rFonts w:ascii="Arial" w:eastAsia="Arial" w:hAnsi="Arial" w:cs="Arial"/>
          <w:spacing w:val="2"/>
        </w:rPr>
        <w:t>e</w:t>
      </w:r>
      <w:r w:rsidRPr="00EB1AAB">
        <w:rPr>
          <w:rFonts w:ascii="Arial" w:eastAsia="Arial" w:hAnsi="Arial" w:cs="Arial"/>
          <w:spacing w:val="-3"/>
        </w:rPr>
        <w:t>n</w:t>
      </w:r>
      <w:r w:rsidRPr="00EB1AAB">
        <w:rPr>
          <w:rFonts w:ascii="Arial" w:eastAsia="Arial" w:hAnsi="Arial" w:cs="Arial"/>
        </w:rPr>
        <w:t>t</w:t>
      </w:r>
      <w:r w:rsidRPr="00EB1AAB">
        <w:rPr>
          <w:rFonts w:ascii="Arial" w:eastAsia="Arial" w:hAnsi="Arial" w:cs="Arial"/>
          <w:spacing w:val="14"/>
        </w:rPr>
        <w:t xml:space="preserve"> </w:t>
      </w:r>
      <w:r w:rsidRPr="00EB1AAB">
        <w:rPr>
          <w:rFonts w:ascii="Arial" w:eastAsia="Arial" w:hAnsi="Arial" w:cs="Arial"/>
        </w:rPr>
        <w:t>t</w:t>
      </w:r>
      <w:r w:rsidRPr="00EB1AAB">
        <w:rPr>
          <w:rFonts w:ascii="Arial" w:eastAsia="Arial" w:hAnsi="Arial" w:cs="Arial"/>
          <w:spacing w:val="2"/>
        </w:rPr>
        <w:t>h</w:t>
      </w:r>
      <w:r w:rsidRPr="00EB1AAB">
        <w:rPr>
          <w:rFonts w:ascii="Arial" w:eastAsia="Arial" w:hAnsi="Arial" w:cs="Arial"/>
          <w:spacing w:val="-3"/>
        </w:rPr>
        <w:t>a</w:t>
      </w:r>
      <w:r w:rsidRPr="00EB1AAB">
        <w:rPr>
          <w:rFonts w:ascii="Arial" w:eastAsia="Arial" w:hAnsi="Arial" w:cs="Arial"/>
        </w:rPr>
        <w:t>t</w:t>
      </w:r>
      <w:r w:rsidRPr="00EB1AAB">
        <w:rPr>
          <w:rFonts w:ascii="Arial" w:eastAsia="Arial" w:hAnsi="Arial" w:cs="Arial"/>
          <w:spacing w:val="7"/>
        </w:rPr>
        <w:t xml:space="preserve"> </w:t>
      </w:r>
      <w:r w:rsidRPr="00EB1AAB">
        <w:rPr>
          <w:rFonts w:ascii="Arial" w:eastAsia="Arial" w:hAnsi="Arial" w:cs="Arial"/>
          <w:spacing w:val="-2"/>
        </w:rPr>
        <w:t>h</w:t>
      </w:r>
      <w:r w:rsidRPr="00EB1AAB">
        <w:rPr>
          <w:rFonts w:ascii="Arial" w:eastAsia="Arial" w:hAnsi="Arial" w:cs="Arial"/>
        </w:rPr>
        <w:t>as</w:t>
      </w:r>
      <w:r w:rsidRPr="00EB1AAB">
        <w:rPr>
          <w:rFonts w:ascii="Arial" w:eastAsia="Arial" w:hAnsi="Arial" w:cs="Arial"/>
          <w:spacing w:val="9"/>
        </w:rPr>
        <w:t xml:space="preserve"> </w:t>
      </w:r>
      <w:r w:rsidRPr="00EB1AAB">
        <w:rPr>
          <w:rFonts w:ascii="Arial" w:eastAsia="Arial" w:hAnsi="Arial" w:cs="Arial"/>
          <w:spacing w:val="-3"/>
        </w:rPr>
        <w:t>b</w:t>
      </w:r>
      <w:r w:rsidRPr="00EB1AAB">
        <w:rPr>
          <w:rFonts w:ascii="Arial" w:eastAsia="Arial" w:hAnsi="Arial" w:cs="Arial"/>
          <w:spacing w:val="2"/>
        </w:rPr>
        <w:t>e</w:t>
      </w:r>
      <w:r w:rsidRPr="00EB1AAB">
        <w:rPr>
          <w:rFonts w:ascii="Arial" w:eastAsia="Arial" w:hAnsi="Arial" w:cs="Arial"/>
        </w:rPr>
        <w:t>en</w:t>
      </w:r>
      <w:r w:rsidRPr="00EB1AAB">
        <w:rPr>
          <w:rFonts w:ascii="Arial" w:eastAsia="Arial" w:hAnsi="Arial" w:cs="Arial"/>
          <w:spacing w:val="6"/>
        </w:rPr>
        <w:t xml:space="preserve"> </w:t>
      </w:r>
      <w:r w:rsidRPr="00EB1AAB">
        <w:rPr>
          <w:rFonts w:ascii="Arial" w:eastAsia="Arial" w:hAnsi="Arial" w:cs="Arial"/>
          <w:spacing w:val="1"/>
        </w:rPr>
        <w:t>cl</w:t>
      </w:r>
      <w:r w:rsidRPr="00EB1AAB">
        <w:rPr>
          <w:rFonts w:ascii="Arial" w:eastAsia="Arial" w:hAnsi="Arial" w:cs="Arial"/>
        </w:rPr>
        <w:t>a</w:t>
      </w:r>
      <w:r w:rsidRPr="00EB1AAB">
        <w:rPr>
          <w:rFonts w:ascii="Arial" w:eastAsia="Arial" w:hAnsi="Arial" w:cs="Arial"/>
          <w:spacing w:val="-2"/>
        </w:rPr>
        <w:t>s</w:t>
      </w:r>
      <w:r w:rsidRPr="00EB1AAB">
        <w:rPr>
          <w:rFonts w:ascii="Arial" w:eastAsia="Arial" w:hAnsi="Arial" w:cs="Arial"/>
          <w:spacing w:val="1"/>
        </w:rPr>
        <w:t>s</w:t>
      </w:r>
      <w:r w:rsidRPr="00EB1AAB">
        <w:rPr>
          <w:rFonts w:ascii="Arial" w:eastAsia="Arial" w:hAnsi="Arial" w:cs="Arial"/>
          <w:spacing w:val="2"/>
        </w:rPr>
        <w:t>e</w:t>
      </w:r>
      <w:r w:rsidRPr="00EB1AAB">
        <w:rPr>
          <w:rFonts w:ascii="Arial" w:eastAsia="Arial" w:hAnsi="Arial" w:cs="Arial"/>
        </w:rPr>
        <w:t>d</w:t>
      </w:r>
      <w:r w:rsidRPr="00EB1AAB">
        <w:rPr>
          <w:rFonts w:ascii="Arial" w:eastAsia="Arial" w:hAnsi="Arial" w:cs="Arial"/>
          <w:spacing w:val="7"/>
        </w:rPr>
        <w:t xml:space="preserve"> </w:t>
      </w:r>
      <w:r w:rsidRPr="00EB1AAB">
        <w:rPr>
          <w:rFonts w:ascii="Arial" w:eastAsia="Arial" w:hAnsi="Arial" w:cs="Arial"/>
        </w:rPr>
        <w:t>as</w:t>
      </w:r>
      <w:r w:rsidRPr="00EB1AAB">
        <w:rPr>
          <w:rFonts w:ascii="Arial" w:eastAsia="Arial" w:hAnsi="Arial" w:cs="Arial"/>
          <w:spacing w:val="6"/>
        </w:rPr>
        <w:t xml:space="preserve"> </w:t>
      </w:r>
      <w:r w:rsidRPr="00EB1AAB">
        <w:rPr>
          <w:rFonts w:ascii="Arial" w:eastAsia="Arial" w:hAnsi="Arial" w:cs="Arial"/>
          <w:spacing w:val="-1"/>
        </w:rPr>
        <w:t>F</w:t>
      </w:r>
      <w:r w:rsidRPr="00EB1AAB">
        <w:rPr>
          <w:rFonts w:ascii="Arial" w:eastAsia="Arial" w:hAnsi="Arial" w:cs="Arial"/>
        </w:rPr>
        <w:t>V</w:t>
      </w:r>
      <w:r w:rsidRPr="00EB1AAB">
        <w:rPr>
          <w:rFonts w:ascii="Arial" w:eastAsia="Arial" w:hAnsi="Arial" w:cs="Arial"/>
          <w:spacing w:val="3"/>
        </w:rPr>
        <w:t>P</w:t>
      </w:r>
      <w:r w:rsidRPr="00EB1AAB">
        <w:rPr>
          <w:rFonts w:ascii="Arial" w:eastAsia="Arial" w:hAnsi="Arial" w:cs="Arial"/>
        </w:rPr>
        <w:t>L</w:t>
      </w:r>
      <w:r w:rsidRPr="00EB1AAB">
        <w:rPr>
          <w:rFonts w:ascii="Arial" w:eastAsia="Arial" w:hAnsi="Arial" w:cs="Arial"/>
          <w:spacing w:val="5"/>
        </w:rPr>
        <w:t xml:space="preserve"> </w:t>
      </w:r>
      <w:r w:rsidRPr="00EB1AAB">
        <w:rPr>
          <w:rFonts w:ascii="Arial" w:eastAsia="Arial" w:hAnsi="Arial" w:cs="Arial"/>
          <w:spacing w:val="1"/>
        </w:rPr>
        <w:t>c</w:t>
      </w:r>
      <w:r w:rsidRPr="00EB1AAB">
        <w:rPr>
          <w:rFonts w:ascii="Arial" w:eastAsia="Arial" w:hAnsi="Arial" w:cs="Arial"/>
        </w:rPr>
        <w:t>an</w:t>
      </w:r>
      <w:r w:rsidRPr="00EB1AAB">
        <w:rPr>
          <w:rFonts w:ascii="Arial" w:eastAsia="Arial" w:hAnsi="Arial" w:cs="Arial"/>
          <w:spacing w:val="2"/>
        </w:rPr>
        <w:t xml:space="preserve"> b</w:t>
      </w:r>
      <w:r w:rsidRPr="00EB1AAB">
        <w:rPr>
          <w:rFonts w:ascii="Arial" w:eastAsia="Arial" w:hAnsi="Arial" w:cs="Arial"/>
        </w:rPr>
        <w:t>e</w:t>
      </w:r>
      <w:r w:rsidRPr="00EB1AAB">
        <w:rPr>
          <w:rFonts w:ascii="Arial" w:eastAsia="Arial" w:hAnsi="Arial" w:cs="Arial"/>
          <w:spacing w:val="4"/>
        </w:rPr>
        <w:t xml:space="preserve"> d</w:t>
      </w:r>
      <w:r w:rsidRPr="00EB1AAB">
        <w:rPr>
          <w:rFonts w:ascii="Arial" w:eastAsia="Arial" w:hAnsi="Arial" w:cs="Arial"/>
        </w:rPr>
        <w:t>e</w:t>
      </w:r>
      <w:r w:rsidRPr="00EB1AAB">
        <w:rPr>
          <w:rFonts w:ascii="Arial" w:eastAsia="Arial" w:hAnsi="Arial" w:cs="Arial"/>
          <w:spacing w:val="-2"/>
        </w:rPr>
        <w:t>s</w:t>
      </w:r>
      <w:r w:rsidRPr="00EB1AAB">
        <w:rPr>
          <w:rFonts w:ascii="Arial" w:eastAsia="Arial" w:hAnsi="Arial" w:cs="Arial"/>
          <w:spacing w:val="3"/>
        </w:rPr>
        <w:t>i</w:t>
      </w:r>
      <w:r w:rsidRPr="00EB1AAB">
        <w:rPr>
          <w:rFonts w:ascii="Arial" w:eastAsia="Arial" w:hAnsi="Arial" w:cs="Arial"/>
          <w:spacing w:val="-3"/>
        </w:rPr>
        <w:t>g</w:t>
      </w:r>
      <w:r w:rsidRPr="00EB1AAB">
        <w:rPr>
          <w:rFonts w:ascii="Arial" w:eastAsia="Arial" w:hAnsi="Arial" w:cs="Arial"/>
          <w:spacing w:val="2"/>
        </w:rPr>
        <w:t>n</w:t>
      </w:r>
      <w:r w:rsidRPr="00EB1AAB">
        <w:rPr>
          <w:rFonts w:ascii="Arial" w:eastAsia="Arial" w:hAnsi="Arial" w:cs="Arial"/>
          <w:spacing w:val="-3"/>
        </w:rPr>
        <w:t>a</w:t>
      </w:r>
      <w:r w:rsidRPr="00EB1AAB">
        <w:rPr>
          <w:rFonts w:ascii="Arial" w:eastAsia="Arial" w:hAnsi="Arial" w:cs="Arial"/>
          <w:spacing w:val="2"/>
        </w:rPr>
        <w:t>t</w:t>
      </w:r>
      <w:r w:rsidRPr="00EB1AAB">
        <w:rPr>
          <w:rFonts w:ascii="Arial" w:eastAsia="Arial" w:hAnsi="Arial" w:cs="Arial"/>
        </w:rPr>
        <w:t>ed</w:t>
      </w:r>
      <w:r w:rsidRPr="00EB1AAB">
        <w:rPr>
          <w:rFonts w:ascii="Arial" w:eastAsia="Arial" w:hAnsi="Arial" w:cs="Arial"/>
          <w:spacing w:val="14"/>
        </w:rPr>
        <w:t xml:space="preserve"> </w:t>
      </w:r>
      <w:r w:rsidRPr="00EB1AAB">
        <w:rPr>
          <w:rFonts w:ascii="Arial" w:eastAsia="Arial" w:hAnsi="Arial" w:cs="Arial"/>
          <w:spacing w:val="-3"/>
        </w:rPr>
        <w:t>a</w:t>
      </w:r>
      <w:r w:rsidRPr="00EB1AAB">
        <w:rPr>
          <w:rFonts w:ascii="Arial" w:eastAsia="Arial" w:hAnsi="Arial" w:cs="Arial"/>
        </w:rPr>
        <w:t>s</w:t>
      </w:r>
      <w:r w:rsidRPr="00EB1AAB">
        <w:rPr>
          <w:rFonts w:ascii="Arial" w:eastAsia="Arial" w:hAnsi="Arial" w:cs="Arial"/>
          <w:spacing w:val="4"/>
        </w:rPr>
        <w:t xml:space="preserve"> </w:t>
      </w:r>
      <w:r w:rsidRPr="00EB1AAB">
        <w:rPr>
          <w:rFonts w:ascii="Arial" w:eastAsia="Arial" w:hAnsi="Arial" w:cs="Arial"/>
          <w:spacing w:val="1"/>
        </w:rPr>
        <w:t>FV</w:t>
      </w:r>
      <w:r w:rsidRPr="00EB1AAB">
        <w:rPr>
          <w:rFonts w:ascii="Arial" w:eastAsia="Arial" w:hAnsi="Arial" w:cs="Arial"/>
          <w:spacing w:val="-2"/>
        </w:rPr>
        <w:t>O</w:t>
      </w:r>
      <w:r w:rsidRPr="00EB1AAB">
        <w:rPr>
          <w:rFonts w:ascii="Arial" w:eastAsia="Arial" w:hAnsi="Arial" w:cs="Arial"/>
          <w:spacing w:val="-1"/>
        </w:rPr>
        <w:t>C</w:t>
      </w:r>
      <w:r w:rsidRPr="00EB1AAB">
        <w:rPr>
          <w:rFonts w:ascii="Arial" w:eastAsia="Arial" w:hAnsi="Arial" w:cs="Arial"/>
        </w:rPr>
        <w:t>I</w:t>
      </w:r>
      <w:r w:rsidRPr="00EB1AAB">
        <w:rPr>
          <w:rFonts w:ascii="Arial" w:eastAsia="Arial" w:hAnsi="Arial" w:cs="Arial"/>
          <w:spacing w:val="8"/>
        </w:rPr>
        <w:t xml:space="preserve"> </w:t>
      </w:r>
      <w:r w:rsidRPr="00EB1AAB">
        <w:rPr>
          <w:rFonts w:ascii="Arial" w:eastAsia="Arial" w:hAnsi="Arial" w:cs="Arial"/>
          <w:spacing w:val="4"/>
        </w:rPr>
        <w:t>i</w:t>
      </w:r>
      <w:r w:rsidRPr="00EB1AAB">
        <w:rPr>
          <w:rFonts w:ascii="Arial" w:eastAsia="Arial" w:hAnsi="Arial" w:cs="Arial"/>
        </w:rPr>
        <w:t>f</w:t>
      </w:r>
      <w:r w:rsidRPr="00EB1AAB">
        <w:rPr>
          <w:rFonts w:ascii="Arial" w:eastAsia="Arial" w:hAnsi="Arial" w:cs="Arial"/>
          <w:spacing w:val="2"/>
        </w:rPr>
        <w:t xml:space="preserve"> </w:t>
      </w:r>
      <w:r w:rsidRPr="00EB1AAB">
        <w:rPr>
          <w:rFonts w:ascii="Arial" w:eastAsia="Arial" w:hAnsi="Arial" w:cs="Arial"/>
          <w:spacing w:val="3"/>
        </w:rPr>
        <w:t>i</w:t>
      </w:r>
      <w:r w:rsidRPr="00EB1AAB">
        <w:rPr>
          <w:rFonts w:ascii="Arial" w:eastAsia="Arial" w:hAnsi="Arial" w:cs="Arial"/>
        </w:rPr>
        <w:t xml:space="preserve">t </w:t>
      </w:r>
      <w:r w:rsidRPr="00EB1AAB">
        <w:rPr>
          <w:rFonts w:ascii="Arial" w:eastAsia="Arial" w:hAnsi="Arial" w:cs="Arial"/>
          <w:spacing w:val="4"/>
          <w:w w:val="101"/>
        </w:rPr>
        <w:t>i</w:t>
      </w:r>
      <w:r w:rsidRPr="00EB1AAB">
        <w:rPr>
          <w:rFonts w:ascii="Arial" w:eastAsia="Arial" w:hAnsi="Arial" w:cs="Arial"/>
          <w:w w:val="101"/>
        </w:rPr>
        <w:t xml:space="preserve">s </w:t>
      </w:r>
      <w:r w:rsidRPr="00EB1AAB">
        <w:rPr>
          <w:rFonts w:ascii="Arial" w:eastAsia="Arial" w:hAnsi="Arial" w:cs="Arial"/>
        </w:rPr>
        <w:t>n</w:t>
      </w:r>
      <w:r w:rsidRPr="00EB1AAB">
        <w:rPr>
          <w:rFonts w:ascii="Arial" w:eastAsia="Arial" w:hAnsi="Arial" w:cs="Arial"/>
          <w:spacing w:val="-3"/>
        </w:rPr>
        <w:t>o</w:t>
      </w:r>
      <w:r w:rsidRPr="00EB1AAB">
        <w:rPr>
          <w:rFonts w:ascii="Arial" w:eastAsia="Arial" w:hAnsi="Arial" w:cs="Arial"/>
        </w:rPr>
        <w:t>t</w:t>
      </w:r>
      <w:r w:rsidRPr="00EB1AAB">
        <w:rPr>
          <w:rFonts w:ascii="Arial" w:eastAsia="Arial" w:hAnsi="Arial" w:cs="Arial"/>
          <w:spacing w:val="6"/>
        </w:rPr>
        <w:t xml:space="preserve"> </w:t>
      </w:r>
      <w:r w:rsidRPr="00EB1AAB">
        <w:rPr>
          <w:rFonts w:ascii="Arial" w:eastAsia="Arial" w:hAnsi="Arial" w:cs="Arial"/>
        </w:rPr>
        <w:t>he</w:t>
      </w:r>
      <w:r w:rsidRPr="00EB1AAB">
        <w:rPr>
          <w:rFonts w:ascii="Arial" w:eastAsia="Arial" w:hAnsi="Arial" w:cs="Arial"/>
          <w:spacing w:val="1"/>
        </w:rPr>
        <w:t>l</w:t>
      </w:r>
      <w:r w:rsidRPr="00EB1AAB">
        <w:rPr>
          <w:rFonts w:ascii="Arial" w:eastAsia="Arial" w:hAnsi="Arial" w:cs="Arial"/>
        </w:rPr>
        <w:t>d</w:t>
      </w:r>
      <w:r w:rsidRPr="00EB1AAB">
        <w:rPr>
          <w:rFonts w:ascii="Arial" w:eastAsia="Arial" w:hAnsi="Arial" w:cs="Arial"/>
          <w:spacing w:val="5"/>
        </w:rPr>
        <w:t xml:space="preserve"> </w:t>
      </w:r>
      <w:r w:rsidRPr="00EB1AAB">
        <w:rPr>
          <w:rFonts w:ascii="Arial" w:eastAsia="Arial" w:hAnsi="Arial" w:cs="Arial"/>
          <w:spacing w:val="2"/>
        </w:rPr>
        <w:t>f</w:t>
      </w:r>
      <w:r w:rsidRPr="00EB1AAB">
        <w:rPr>
          <w:rFonts w:ascii="Arial" w:eastAsia="Arial" w:hAnsi="Arial" w:cs="Arial"/>
        </w:rPr>
        <w:t>or</w:t>
      </w:r>
      <w:r w:rsidRPr="00EB1AAB">
        <w:rPr>
          <w:rFonts w:ascii="Arial" w:eastAsia="Arial" w:hAnsi="Arial" w:cs="Arial"/>
          <w:spacing w:val="3"/>
        </w:rPr>
        <w:t xml:space="preserve"> </w:t>
      </w:r>
      <w:r w:rsidRPr="00EB1AAB">
        <w:rPr>
          <w:rFonts w:ascii="Arial" w:eastAsia="Arial" w:hAnsi="Arial" w:cs="Arial"/>
        </w:rPr>
        <w:t>t</w:t>
      </w:r>
      <w:r w:rsidRPr="00EB1AAB">
        <w:rPr>
          <w:rFonts w:ascii="Arial" w:eastAsia="Arial" w:hAnsi="Arial" w:cs="Arial"/>
          <w:spacing w:val="-1"/>
        </w:rPr>
        <w:t>r</w:t>
      </w:r>
      <w:r w:rsidRPr="00EB1AAB">
        <w:rPr>
          <w:rFonts w:ascii="Arial" w:eastAsia="Arial" w:hAnsi="Arial" w:cs="Arial"/>
        </w:rPr>
        <w:t>a</w:t>
      </w:r>
      <w:r w:rsidRPr="00EB1AAB">
        <w:rPr>
          <w:rFonts w:ascii="Arial" w:eastAsia="Arial" w:hAnsi="Arial" w:cs="Arial"/>
          <w:spacing w:val="-3"/>
        </w:rPr>
        <w:t>d</w:t>
      </w:r>
      <w:r w:rsidRPr="00EB1AAB">
        <w:rPr>
          <w:rFonts w:ascii="Arial" w:eastAsia="Arial" w:hAnsi="Arial" w:cs="Arial"/>
          <w:spacing w:val="4"/>
        </w:rPr>
        <w:t>i</w:t>
      </w:r>
      <w:r w:rsidRPr="00EB1AAB">
        <w:rPr>
          <w:rFonts w:ascii="Arial" w:eastAsia="Arial" w:hAnsi="Arial" w:cs="Arial"/>
        </w:rPr>
        <w:t>ng</w:t>
      </w:r>
      <w:r w:rsidRPr="00EB1AAB">
        <w:rPr>
          <w:rFonts w:ascii="Arial" w:eastAsia="Arial" w:hAnsi="Arial" w:cs="Arial"/>
          <w:spacing w:val="7"/>
        </w:rPr>
        <w:t xml:space="preserve"> </w:t>
      </w:r>
      <w:r w:rsidRPr="00EB1AAB">
        <w:rPr>
          <w:rFonts w:ascii="Arial" w:eastAsia="Arial" w:hAnsi="Arial" w:cs="Arial"/>
          <w:spacing w:val="1"/>
        </w:rPr>
        <w:t>(</w:t>
      </w:r>
      <w:r w:rsidRPr="00EB1AAB">
        <w:rPr>
          <w:rFonts w:ascii="Arial" w:eastAsia="Arial" w:hAnsi="Arial" w:cs="Arial"/>
        </w:rPr>
        <w:t>e.</w:t>
      </w:r>
      <w:r w:rsidRPr="00EB1AAB">
        <w:rPr>
          <w:rFonts w:ascii="Arial" w:eastAsia="Arial" w:hAnsi="Arial" w:cs="Arial"/>
          <w:spacing w:val="-3"/>
        </w:rPr>
        <w:t>g</w:t>
      </w:r>
      <w:r w:rsidRPr="00EB1AAB">
        <w:rPr>
          <w:rFonts w:ascii="Arial" w:eastAsia="Arial" w:hAnsi="Arial" w:cs="Arial"/>
        </w:rPr>
        <w:t>.</w:t>
      </w:r>
      <w:r w:rsidRPr="00EB1AAB">
        <w:rPr>
          <w:rFonts w:ascii="Arial" w:eastAsia="Arial" w:hAnsi="Arial" w:cs="Arial"/>
          <w:spacing w:val="9"/>
        </w:rPr>
        <w:t xml:space="preserve"> </w:t>
      </w:r>
      <w:r w:rsidRPr="00EB1AAB">
        <w:rPr>
          <w:rFonts w:ascii="Arial" w:eastAsia="Arial" w:hAnsi="Arial" w:cs="Arial"/>
        </w:rPr>
        <w:t>a</w:t>
      </w:r>
      <w:r w:rsidRPr="00EB1AAB">
        <w:rPr>
          <w:rFonts w:ascii="Arial" w:eastAsia="Arial" w:hAnsi="Arial" w:cs="Arial"/>
          <w:spacing w:val="2"/>
        </w:rPr>
        <w:t xml:space="preserve"> </w:t>
      </w:r>
      <w:r w:rsidRPr="00EB1AAB">
        <w:rPr>
          <w:rFonts w:ascii="Arial" w:eastAsia="Arial" w:hAnsi="Arial" w:cs="Arial"/>
          <w:spacing w:val="-1"/>
        </w:rPr>
        <w:t>s</w:t>
      </w:r>
      <w:r w:rsidRPr="00EB1AAB">
        <w:rPr>
          <w:rFonts w:ascii="Arial" w:eastAsia="Arial" w:hAnsi="Arial" w:cs="Arial"/>
          <w:spacing w:val="2"/>
        </w:rPr>
        <w:t>t</w:t>
      </w:r>
      <w:r w:rsidRPr="00EB1AAB">
        <w:rPr>
          <w:rFonts w:ascii="Arial" w:eastAsia="Arial" w:hAnsi="Arial" w:cs="Arial"/>
          <w:spacing w:val="-1"/>
        </w:rPr>
        <w:t>r</w:t>
      </w:r>
      <w:r w:rsidRPr="00EB1AAB">
        <w:rPr>
          <w:rFonts w:ascii="Arial" w:eastAsia="Arial" w:hAnsi="Arial" w:cs="Arial"/>
          <w:spacing w:val="-3"/>
        </w:rPr>
        <w:t>a</w:t>
      </w:r>
      <w:r w:rsidRPr="00EB1AAB">
        <w:rPr>
          <w:rFonts w:ascii="Arial" w:eastAsia="Arial" w:hAnsi="Arial" w:cs="Arial"/>
          <w:spacing w:val="5"/>
        </w:rPr>
        <w:t>t</w:t>
      </w:r>
      <w:r w:rsidRPr="00EB1AAB">
        <w:rPr>
          <w:rFonts w:ascii="Arial" w:eastAsia="Arial" w:hAnsi="Arial" w:cs="Arial"/>
          <w:spacing w:val="-3"/>
        </w:rPr>
        <w:t>e</w:t>
      </w:r>
      <w:r w:rsidRPr="00EB1AAB">
        <w:rPr>
          <w:rFonts w:ascii="Arial" w:eastAsia="Arial" w:hAnsi="Arial" w:cs="Arial"/>
        </w:rPr>
        <w:t>g</w:t>
      </w:r>
      <w:r w:rsidRPr="00EB1AAB">
        <w:rPr>
          <w:rFonts w:ascii="Arial" w:eastAsia="Arial" w:hAnsi="Arial" w:cs="Arial"/>
          <w:spacing w:val="1"/>
        </w:rPr>
        <w:t>i</w:t>
      </w:r>
      <w:r w:rsidRPr="00EB1AAB">
        <w:rPr>
          <w:rFonts w:ascii="Arial" w:eastAsia="Arial" w:hAnsi="Arial" w:cs="Arial"/>
        </w:rPr>
        <w:t>c</w:t>
      </w:r>
      <w:r w:rsidRPr="00EB1AAB">
        <w:rPr>
          <w:rFonts w:ascii="Arial" w:eastAsia="Arial" w:hAnsi="Arial" w:cs="Arial"/>
          <w:spacing w:val="11"/>
        </w:rPr>
        <w:t xml:space="preserve"> </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1"/>
        </w:rPr>
        <w:t>v</w:t>
      </w:r>
      <w:r w:rsidRPr="00EB1AAB">
        <w:rPr>
          <w:rFonts w:ascii="Arial" w:eastAsia="Arial" w:hAnsi="Arial" w:cs="Arial"/>
          <w:spacing w:val="-2"/>
        </w:rPr>
        <w:t>e</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2"/>
        </w:rPr>
        <w:t>m</w:t>
      </w:r>
      <w:r w:rsidRPr="00EB1AAB">
        <w:rPr>
          <w:rFonts w:ascii="Arial" w:eastAsia="Arial" w:hAnsi="Arial" w:cs="Arial"/>
        </w:rPr>
        <w:t>ent</w:t>
      </w:r>
      <w:r w:rsidRPr="00EB1AAB">
        <w:rPr>
          <w:rFonts w:ascii="Arial" w:eastAsia="Arial" w:hAnsi="Arial" w:cs="Arial"/>
          <w:spacing w:val="-1"/>
        </w:rPr>
        <w:t>)</w:t>
      </w:r>
      <w:r w:rsidRPr="00EB1AAB">
        <w:rPr>
          <w:rFonts w:ascii="Arial" w:eastAsia="Arial" w:hAnsi="Arial" w:cs="Arial"/>
        </w:rPr>
        <w:t>.</w:t>
      </w:r>
      <w:r w:rsidRPr="00EB1AAB">
        <w:rPr>
          <w:rFonts w:ascii="Arial" w:eastAsia="Arial" w:hAnsi="Arial" w:cs="Arial"/>
          <w:spacing w:val="15"/>
        </w:rPr>
        <w:t xml:space="preserve"> </w:t>
      </w:r>
      <w:r w:rsidRPr="00EB1AAB">
        <w:rPr>
          <w:rFonts w:ascii="Arial" w:eastAsia="Arial" w:hAnsi="Arial" w:cs="Arial"/>
          <w:spacing w:val="1"/>
        </w:rPr>
        <w:t>O</w:t>
      </w:r>
      <w:r w:rsidRPr="00EB1AAB">
        <w:rPr>
          <w:rFonts w:ascii="Arial" w:eastAsia="Arial" w:hAnsi="Arial" w:cs="Arial"/>
          <w:spacing w:val="-3"/>
        </w:rPr>
        <w:t>n</w:t>
      </w:r>
      <w:r w:rsidRPr="00EB1AAB">
        <w:rPr>
          <w:rFonts w:ascii="Arial" w:eastAsia="Arial" w:hAnsi="Arial" w:cs="Arial"/>
          <w:spacing w:val="1"/>
        </w:rPr>
        <w:t>c</w:t>
      </w:r>
      <w:r w:rsidRPr="00EB1AAB">
        <w:rPr>
          <w:rFonts w:ascii="Arial" w:eastAsia="Arial" w:hAnsi="Arial" w:cs="Arial"/>
        </w:rPr>
        <w:t>e</w:t>
      </w:r>
      <w:r w:rsidRPr="00EB1AAB">
        <w:rPr>
          <w:rFonts w:ascii="Arial" w:eastAsia="Arial" w:hAnsi="Arial" w:cs="Arial"/>
          <w:spacing w:val="6"/>
        </w:rPr>
        <w:t xml:space="preserve"> </w:t>
      </w:r>
      <w:r w:rsidRPr="00EB1AAB">
        <w:rPr>
          <w:rFonts w:ascii="Arial" w:eastAsia="Arial" w:hAnsi="Arial" w:cs="Arial"/>
          <w:spacing w:val="2"/>
        </w:rPr>
        <w:t>t</w:t>
      </w:r>
      <w:r w:rsidRPr="00EB1AAB">
        <w:rPr>
          <w:rFonts w:ascii="Arial" w:eastAsia="Arial" w:hAnsi="Arial" w:cs="Arial"/>
          <w:spacing w:val="-3"/>
        </w:rPr>
        <w:t>h</w:t>
      </w:r>
      <w:r w:rsidRPr="00EB1AAB">
        <w:rPr>
          <w:rFonts w:ascii="Arial" w:eastAsia="Arial" w:hAnsi="Arial" w:cs="Arial"/>
          <w:spacing w:val="3"/>
        </w:rPr>
        <w:t>i</w:t>
      </w:r>
      <w:r w:rsidRPr="00EB1AAB">
        <w:rPr>
          <w:rFonts w:ascii="Arial" w:eastAsia="Arial" w:hAnsi="Arial" w:cs="Arial"/>
        </w:rPr>
        <w:t>s</w:t>
      </w:r>
      <w:r w:rsidRPr="00EB1AAB">
        <w:rPr>
          <w:rFonts w:ascii="Arial" w:eastAsia="Arial" w:hAnsi="Arial" w:cs="Arial"/>
          <w:spacing w:val="6"/>
        </w:rPr>
        <w:t xml:space="preserve"> </w:t>
      </w:r>
      <w:r w:rsidRPr="00EB1AAB">
        <w:rPr>
          <w:rFonts w:ascii="Arial" w:eastAsia="Arial" w:hAnsi="Arial" w:cs="Arial"/>
          <w:spacing w:val="-3"/>
        </w:rPr>
        <w:t>d</w:t>
      </w:r>
      <w:r w:rsidRPr="00EB1AAB">
        <w:rPr>
          <w:rFonts w:ascii="Arial" w:eastAsia="Arial" w:hAnsi="Arial" w:cs="Arial"/>
        </w:rPr>
        <w:t>e</w:t>
      </w:r>
      <w:r w:rsidRPr="00EB1AAB">
        <w:rPr>
          <w:rFonts w:ascii="Arial" w:eastAsia="Arial" w:hAnsi="Arial" w:cs="Arial"/>
          <w:spacing w:val="-2"/>
        </w:rPr>
        <w:t>s</w:t>
      </w:r>
      <w:r w:rsidRPr="00EB1AAB">
        <w:rPr>
          <w:rFonts w:ascii="Arial" w:eastAsia="Arial" w:hAnsi="Arial" w:cs="Arial"/>
          <w:spacing w:val="3"/>
        </w:rPr>
        <w:t>i</w:t>
      </w:r>
      <w:r w:rsidRPr="00EB1AAB">
        <w:rPr>
          <w:rFonts w:ascii="Arial" w:eastAsia="Arial" w:hAnsi="Arial" w:cs="Arial"/>
          <w:spacing w:val="-2"/>
        </w:rPr>
        <w:t>g</w:t>
      </w:r>
      <w:r w:rsidRPr="00EB1AAB">
        <w:rPr>
          <w:rFonts w:ascii="Arial" w:eastAsia="Arial" w:hAnsi="Arial" w:cs="Arial"/>
          <w:spacing w:val="2"/>
        </w:rPr>
        <w:t>n</w:t>
      </w:r>
      <w:r w:rsidRPr="00EB1AAB">
        <w:rPr>
          <w:rFonts w:ascii="Arial" w:eastAsia="Arial" w:hAnsi="Arial" w:cs="Arial"/>
          <w:spacing w:val="-3"/>
        </w:rPr>
        <w:t>a</w:t>
      </w:r>
      <w:r w:rsidRPr="00EB1AAB">
        <w:rPr>
          <w:rFonts w:ascii="Arial" w:eastAsia="Arial" w:hAnsi="Arial" w:cs="Arial"/>
          <w:spacing w:val="2"/>
        </w:rPr>
        <w:t>t</w:t>
      </w:r>
      <w:r w:rsidRPr="00EB1AAB">
        <w:rPr>
          <w:rFonts w:ascii="Arial" w:eastAsia="Arial" w:hAnsi="Arial" w:cs="Arial"/>
          <w:spacing w:val="1"/>
        </w:rPr>
        <w:t>i</w:t>
      </w:r>
      <w:r w:rsidRPr="00EB1AAB">
        <w:rPr>
          <w:rFonts w:ascii="Arial" w:eastAsia="Arial" w:hAnsi="Arial" w:cs="Arial"/>
        </w:rPr>
        <w:t>on</w:t>
      </w:r>
      <w:r w:rsidRPr="00EB1AAB">
        <w:rPr>
          <w:rFonts w:ascii="Arial" w:eastAsia="Arial" w:hAnsi="Arial" w:cs="Arial"/>
          <w:spacing w:val="13"/>
        </w:rPr>
        <w:t xml:space="preserve"> </w:t>
      </w:r>
      <w:r w:rsidRPr="00EB1AAB">
        <w:rPr>
          <w:rFonts w:ascii="Arial" w:eastAsia="Arial" w:hAnsi="Arial" w:cs="Arial"/>
        </w:rPr>
        <w:t>h</w:t>
      </w:r>
      <w:r w:rsidRPr="00EB1AAB">
        <w:rPr>
          <w:rFonts w:ascii="Arial" w:eastAsia="Arial" w:hAnsi="Arial" w:cs="Arial"/>
          <w:spacing w:val="-2"/>
        </w:rPr>
        <w:t>a</w:t>
      </w:r>
      <w:r w:rsidRPr="00EB1AAB">
        <w:rPr>
          <w:rFonts w:ascii="Arial" w:eastAsia="Arial" w:hAnsi="Arial" w:cs="Arial"/>
        </w:rPr>
        <w:t>s</w:t>
      </w:r>
      <w:r w:rsidRPr="00EB1AAB">
        <w:rPr>
          <w:rFonts w:ascii="Arial" w:eastAsia="Arial" w:hAnsi="Arial" w:cs="Arial"/>
          <w:spacing w:val="8"/>
        </w:rPr>
        <w:t xml:space="preserve"> </w:t>
      </w:r>
      <w:r w:rsidRPr="00EB1AAB">
        <w:rPr>
          <w:rFonts w:ascii="Arial" w:eastAsia="Arial" w:hAnsi="Arial" w:cs="Arial"/>
        </w:rPr>
        <w:t>be</w:t>
      </w:r>
      <w:r w:rsidRPr="00EB1AAB">
        <w:rPr>
          <w:rFonts w:ascii="Arial" w:eastAsia="Arial" w:hAnsi="Arial" w:cs="Arial"/>
          <w:spacing w:val="2"/>
        </w:rPr>
        <w:t>e</w:t>
      </w:r>
      <w:r w:rsidRPr="00EB1AAB">
        <w:rPr>
          <w:rFonts w:ascii="Arial" w:eastAsia="Arial" w:hAnsi="Arial" w:cs="Arial"/>
        </w:rPr>
        <w:t>n</w:t>
      </w:r>
      <w:r w:rsidRPr="00EB1AAB">
        <w:rPr>
          <w:rFonts w:ascii="Arial" w:eastAsia="Arial" w:hAnsi="Arial" w:cs="Arial"/>
          <w:spacing w:val="6"/>
        </w:rPr>
        <w:t xml:space="preserve"> </w:t>
      </w:r>
      <w:r w:rsidRPr="00EB1AAB">
        <w:rPr>
          <w:rFonts w:ascii="Arial" w:eastAsia="Arial" w:hAnsi="Arial" w:cs="Arial"/>
          <w:w w:val="101"/>
        </w:rPr>
        <w:t>ma</w:t>
      </w:r>
      <w:r w:rsidRPr="00EB1AAB">
        <w:rPr>
          <w:rFonts w:ascii="Arial" w:eastAsia="Arial" w:hAnsi="Arial" w:cs="Arial"/>
          <w:spacing w:val="-3"/>
          <w:w w:val="101"/>
        </w:rPr>
        <w:t>d</w:t>
      </w:r>
      <w:r w:rsidRPr="00EB1AAB">
        <w:rPr>
          <w:rFonts w:ascii="Arial" w:eastAsia="Arial" w:hAnsi="Arial" w:cs="Arial"/>
          <w:w w:val="101"/>
        </w:rPr>
        <w:t>e</w:t>
      </w:r>
      <w:r w:rsidRPr="00EB1AAB">
        <w:rPr>
          <w:rFonts w:ascii="Arial" w:eastAsia="Arial" w:hAnsi="Arial" w:cs="Arial"/>
        </w:rPr>
        <w:t xml:space="preserve"> </w:t>
      </w:r>
      <w:r w:rsidRPr="00EB1AAB">
        <w:rPr>
          <w:rFonts w:ascii="Arial" w:eastAsia="Arial" w:hAnsi="Arial" w:cs="Arial"/>
          <w:spacing w:val="1"/>
        </w:rPr>
        <w:t>i</w:t>
      </w:r>
      <w:r w:rsidRPr="00EB1AAB">
        <w:rPr>
          <w:rFonts w:ascii="Arial" w:eastAsia="Arial" w:hAnsi="Arial" w:cs="Arial"/>
        </w:rPr>
        <w:t>t</w:t>
      </w:r>
      <w:r w:rsidRPr="00EB1AAB">
        <w:rPr>
          <w:rFonts w:ascii="Arial" w:eastAsia="Arial" w:hAnsi="Arial" w:cs="Arial"/>
          <w:spacing w:val="5"/>
        </w:rPr>
        <w:t xml:space="preserve"> </w:t>
      </w:r>
      <w:r w:rsidRPr="00EB1AAB">
        <w:rPr>
          <w:rFonts w:ascii="Arial" w:eastAsia="Arial" w:hAnsi="Arial" w:cs="Arial"/>
          <w:spacing w:val="1"/>
        </w:rPr>
        <w:t>c</w:t>
      </w:r>
      <w:r w:rsidRPr="00EB1AAB">
        <w:rPr>
          <w:rFonts w:ascii="Arial" w:eastAsia="Arial" w:hAnsi="Arial" w:cs="Arial"/>
          <w:spacing w:val="-3"/>
        </w:rPr>
        <w:t>a</w:t>
      </w:r>
      <w:r w:rsidRPr="00EB1AAB">
        <w:rPr>
          <w:rFonts w:ascii="Arial" w:eastAsia="Arial" w:hAnsi="Arial" w:cs="Arial"/>
        </w:rPr>
        <w:t>n</w:t>
      </w:r>
      <w:r w:rsidRPr="00EB1AAB">
        <w:rPr>
          <w:rFonts w:ascii="Arial" w:eastAsia="Arial" w:hAnsi="Arial" w:cs="Arial"/>
          <w:spacing w:val="-3"/>
        </w:rPr>
        <w:t>n</w:t>
      </w:r>
      <w:r w:rsidRPr="00EB1AAB">
        <w:rPr>
          <w:rFonts w:ascii="Arial" w:eastAsia="Arial" w:hAnsi="Arial" w:cs="Arial"/>
        </w:rPr>
        <w:t>ot</w:t>
      </w:r>
      <w:r w:rsidRPr="00EB1AAB">
        <w:rPr>
          <w:rFonts w:ascii="Arial" w:eastAsia="Arial" w:hAnsi="Arial" w:cs="Arial"/>
          <w:spacing w:val="8"/>
        </w:rPr>
        <w:t xml:space="preserve"> </w:t>
      </w:r>
      <w:r w:rsidRPr="00EB1AAB">
        <w:rPr>
          <w:rFonts w:ascii="Arial" w:eastAsia="Arial" w:hAnsi="Arial" w:cs="Arial"/>
          <w:spacing w:val="2"/>
        </w:rPr>
        <w:t>b</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spacing w:val="2"/>
        </w:rPr>
        <w:t>r</w:t>
      </w:r>
      <w:r w:rsidRPr="00EB1AAB">
        <w:rPr>
          <w:rFonts w:ascii="Arial" w:eastAsia="Arial" w:hAnsi="Arial" w:cs="Arial"/>
          <w:spacing w:val="-3"/>
        </w:rPr>
        <w:t>e</w:t>
      </w:r>
      <w:r w:rsidRPr="00EB1AAB">
        <w:rPr>
          <w:rFonts w:ascii="Arial" w:eastAsia="Arial" w:hAnsi="Arial" w:cs="Arial"/>
          <w:spacing w:val="1"/>
        </w:rPr>
        <w:t>v</w:t>
      </w:r>
      <w:r w:rsidRPr="00EB1AAB">
        <w:rPr>
          <w:rFonts w:ascii="Arial" w:eastAsia="Arial" w:hAnsi="Arial" w:cs="Arial"/>
        </w:rPr>
        <w:t>e</w:t>
      </w:r>
      <w:r w:rsidRPr="00EB1AAB">
        <w:rPr>
          <w:rFonts w:ascii="Arial" w:eastAsia="Arial" w:hAnsi="Arial" w:cs="Arial"/>
          <w:spacing w:val="-1"/>
        </w:rPr>
        <w:t>r</w:t>
      </w:r>
      <w:r w:rsidRPr="00EB1AAB">
        <w:rPr>
          <w:rFonts w:ascii="Arial" w:eastAsia="Arial" w:hAnsi="Arial" w:cs="Arial"/>
          <w:spacing w:val="1"/>
        </w:rPr>
        <w:t>s</w:t>
      </w:r>
      <w:r w:rsidRPr="00EB1AAB">
        <w:rPr>
          <w:rFonts w:ascii="Arial" w:eastAsia="Arial" w:hAnsi="Arial" w:cs="Arial"/>
          <w:spacing w:val="2"/>
        </w:rPr>
        <w:t>e</w:t>
      </w:r>
      <w:r w:rsidRPr="00EB1AAB">
        <w:rPr>
          <w:rFonts w:ascii="Arial" w:eastAsia="Arial" w:hAnsi="Arial" w:cs="Arial"/>
          <w:spacing w:val="-3"/>
        </w:rPr>
        <w:t>d</w:t>
      </w:r>
      <w:r w:rsidRPr="00EB1AAB">
        <w:rPr>
          <w:rFonts w:ascii="Arial" w:eastAsia="Arial" w:hAnsi="Arial" w:cs="Arial"/>
        </w:rPr>
        <w:t>.</w:t>
      </w:r>
      <w:r w:rsidRPr="00EB1AAB">
        <w:rPr>
          <w:rFonts w:ascii="Arial" w:eastAsia="Arial" w:hAnsi="Arial" w:cs="Arial"/>
          <w:spacing w:val="16"/>
        </w:rPr>
        <w:t xml:space="preserve"> </w:t>
      </w:r>
      <w:r w:rsidRPr="00EB1AAB">
        <w:rPr>
          <w:rFonts w:ascii="Arial" w:eastAsia="Arial" w:hAnsi="Arial" w:cs="Arial"/>
          <w:spacing w:val="-1"/>
        </w:rPr>
        <w:t>T</w:t>
      </w:r>
      <w:r w:rsidRPr="00EB1AAB">
        <w:rPr>
          <w:rFonts w:ascii="Arial" w:eastAsia="Arial" w:hAnsi="Arial" w:cs="Arial"/>
        </w:rPr>
        <w:t>h</w:t>
      </w:r>
      <w:r w:rsidRPr="00EB1AAB">
        <w:rPr>
          <w:rFonts w:ascii="Arial" w:eastAsia="Arial" w:hAnsi="Arial" w:cs="Arial"/>
          <w:spacing w:val="1"/>
        </w:rPr>
        <w:t>i</w:t>
      </w:r>
      <w:r w:rsidRPr="00EB1AAB">
        <w:rPr>
          <w:rFonts w:ascii="Arial" w:eastAsia="Arial" w:hAnsi="Arial" w:cs="Arial"/>
        </w:rPr>
        <w:t>s</w:t>
      </w:r>
      <w:r w:rsidRPr="00EB1AAB">
        <w:rPr>
          <w:rFonts w:ascii="Arial" w:eastAsia="Arial" w:hAnsi="Arial" w:cs="Arial"/>
          <w:spacing w:val="6"/>
        </w:rPr>
        <w:t xml:space="preserve"> </w:t>
      </w:r>
      <w:r w:rsidRPr="00EB1AAB">
        <w:rPr>
          <w:rFonts w:ascii="Arial" w:eastAsia="Arial" w:hAnsi="Arial" w:cs="Arial"/>
          <w:spacing w:val="-2"/>
        </w:rPr>
        <w:t>d</w:t>
      </w:r>
      <w:r w:rsidRPr="00EB1AAB">
        <w:rPr>
          <w:rFonts w:ascii="Arial" w:eastAsia="Arial" w:hAnsi="Arial" w:cs="Arial"/>
        </w:rPr>
        <w:t>e</w:t>
      </w:r>
      <w:r w:rsidRPr="00EB1AAB">
        <w:rPr>
          <w:rFonts w:ascii="Arial" w:eastAsia="Arial" w:hAnsi="Arial" w:cs="Arial"/>
          <w:spacing w:val="1"/>
        </w:rPr>
        <w:t>si</w:t>
      </w:r>
      <w:r w:rsidRPr="00EB1AAB">
        <w:rPr>
          <w:rFonts w:ascii="Arial" w:eastAsia="Arial" w:hAnsi="Arial" w:cs="Arial"/>
          <w:spacing w:val="-3"/>
        </w:rPr>
        <w:t>g</w:t>
      </w:r>
      <w:r w:rsidRPr="00EB1AAB">
        <w:rPr>
          <w:rFonts w:ascii="Arial" w:eastAsia="Arial" w:hAnsi="Arial" w:cs="Arial"/>
          <w:spacing w:val="2"/>
        </w:rPr>
        <w:t>n</w:t>
      </w:r>
      <w:r w:rsidRPr="00EB1AAB">
        <w:rPr>
          <w:rFonts w:ascii="Arial" w:eastAsia="Arial" w:hAnsi="Arial" w:cs="Arial"/>
        </w:rPr>
        <w:t>at</w:t>
      </w:r>
      <w:r w:rsidRPr="00EB1AAB">
        <w:rPr>
          <w:rFonts w:ascii="Arial" w:eastAsia="Arial" w:hAnsi="Arial" w:cs="Arial"/>
          <w:spacing w:val="1"/>
        </w:rPr>
        <w:t>i</w:t>
      </w:r>
      <w:r w:rsidRPr="00EB1AAB">
        <w:rPr>
          <w:rFonts w:ascii="Arial" w:eastAsia="Arial" w:hAnsi="Arial" w:cs="Arial"/>
        </w:rPr>
        <w:t>on</w:t>
      </w:r>
      <w:r w:rsidRPr="00EB1AAB">
        <w:rPr>
          <w:rFonts w:ascii="Arial" w:eastAsia="Arial" w:hAnsi="Arial" w:cs="Arial"/>
          <w:spacing w:val="13"/>
        </w:rPr>
        <w:t xml:space="preserve"> </w:t>
      </w:r>
      <w:r w:rsidRPr="00EB1AAB">
        <w:rPr>
          <w:rFonts w:ascii="Arial" w:eastAsia="Arial" w:hAnsi="Arial" w:cs="Arial"/>
          <w:spacing w:val="2"/>
        </w:rPr>
        <w:t>w</w:t>
      </w:r>
      <w:r w:rsidRPr="00EB1AAB">
        <w:rPr>
          <w:rFonts w:ascii="Arial" w:eastAsia="Arial" w:hAnsi="Arial" w:cs="Arial"/>
        </w:rPr>
        <w:t>ou</w:t>
      </w:r>
      <w:r w:rsidRPr="00EB1AAB">
        <w:rPr>
          <w:rFonts w:ascii="Arial" w:eastAsia="Arial" w:hAnsi="Arial" w:cs="Arial"/>
          <w:spacing w:val="1"/>
        </w:rPr>
        <w:t>l</w:t>
      </w:r>
      <w:r w:rsidRPr="00EB1AAB">
        <w:rPr>
          <w:rFonts w:ascii="Arial" w:eastAsia="Arial" w:hAnsi="Arial" w:cs="Arial"/>
        </w:rPr>
        <w:t>d</w:t>
      </w:r>
      <w:r w:rsidRPr="00EB1AAB">
        <w:rPr>
          <w:rFonts w:ascii="Arial" w:eastAsia="Arial" w:hAnsi="Arial" w:cs="Arial"/>
          <w:spacing w:val="7"/>
        </w:rPr>
        <w:t xml:space="preserve"> </w:t>
      </w:r>
      <w:r w:rsidRPr="00EB1AAB">
        <w:rPr>
          <w:rFonts w:ascii="Arial" w:eastAsia="Arial" w:hAnsi="Arial" w:cs="Arial"/>
          <w:spacing w:val="2"/>
        </w:rPr>
        <w:t>m</w:t>
      </w:r>
      <w:r w:rsidRPr="00EB1AAB">
        <w:rPr>
          <w:rFonts w:ascii="Arial" w:eastAsia="Arial" w:hAnsi="Arial" w:cs="Arial"/>
          <w:spacing w:val="-3"/>
        </w:rPr>
        <w:t>e</w:t>
      </w:r>
      <w:r w:rsidRPr="00EB1AAB">
        <w:rPr>
          <w:rFonts w:ascii="Arial" w:eastAsia="Arial" w:hAnsi="Arial" w:cs="Arial"/>
        </w:rPr>
        <w:t>an</w:t>
      </w:r>
      <w:r w:rsidRPr="00EB1AAB">
        <w:rPr>
          <w:rFonts w:ascii="Arial" w:eastAsia="Arial" w:hAnsi="Arial" w:cs="Arial"/>
          <w:spacing w:val="4"/>
        </w:rPr>
        <w:t xml:space="preserve"> </w:t>
      </w:r>
      <w:r w:rsidRPr="00EB1AAB">
        <w:rPr>
          <w:rFonts w:ascii="Arial" w:eastAsia="Arial" w:hAnsi="Arial" w:cs="Arial"/>
          <w:spacing w:val="3"/>
        </w:rPr>
        <w:t>t</w:t>
      </w:r>
      <w:r w:rsidRPr="00EB1AAB">
        <w:rPr>
          <w:rFonts w:ascii="Arial" w:eastAsia="Arial" w:hAnsi="Arial" w:cs="Arial"/>
        </w:rPr>
        <w:t>h</w:t>
      </w:r>
      <w:r w:rsidRPr="00EB1AAB">
        <w:rPr>
          <w:rFonts w:ascii="Arial" w:eastAsia="Arial" w:hAnsi="Arial" w:cs="Arial"/>
          <w:spacing w:val="-1"/>
        </w:rPr>
        <w:t>a</w:t>
      </w:r>
      <w:r w:rsidRPr="00EB1AAB">
        <w:rPr>
          <w:rFonts w:ascii="Arial" w:eastAsia="Arial" w:hAnsi="Arial" w:cs="Arial"/>
        </w:rPr>
        <w:t>t</w:t>
      </w:r>
      <w:r w:rsidRPr="00EB1AAB">
        <w:rPr>
          <w:rFonts w:ascii="Arial" w:eastAsia="Arial" w:hAnsi="Arial" w:cs="Arial"/>
          <w:spacing w:val="5"/>
        </w:rPr>
        <w:t xml:space="preserve"> </w:t>
      </w:r>
      <w:r w:rsidRPr="00EB1AAB">
        <w:rPr>
          <w:rFonts w:ascii="Arial" w:eastAsia="Arial" w:hAnsi="Arial" w:cs="Arial"/>
          <w:spacing w:val="2"/>
        </w:rPr>
        <w:t>a</w:t>
      </w:r>
      <w:r w:rsidRPr="00EB1AAB">
        <w:rPr>
          <w:rFonts w:ascii="Arial" w:eastAsia="Arial" w:hAnsi="Arial" w:cs="Arial"/>
        </w:rPr>
        <w:t>ny</w:t>
      </w:r>
      <w:r w:rsidRPr="00EB1AAB">
        <w:rPr>
          <w:rFonts w:ascii="Arial" w:eastAsia="Arial" w:hAnsi="Arial" w:cs="Arial"/>
          <w:spacing w:val="3"/>
        </w:rPr>
        <w:t xml:space="preserve"> </w:t>
      </w:r>
      <w:r w:rsidRPr="00EB1AAB">
        <w:rPr>
          <w:rFonts w:ascii="Arial" w:eastAsia="Arial" w:hAnsi="Arial" w:cs="Arial"/>
          <w:spacing w:val="2"/>
        </w:rPr>
        <w:t>g</w:t>
      </w:r>
      <w:r w:rsidRPr="00EB1AAB">
        <w:rPr>
          <w:rFonts w:ascii="Arial" w:eastAsia="Arial" w:hAnsi="Arial" w:cs="Arial"/>
          <w:spacing w:val="-2"/>
        </w:rPr>
        <w:t>a</w:t>
      </w:r>
      <w:r w:rsidRPr="00EB1AAB">
        <w:rPr>
          <w:rFonts w:ascii="Arial" w:eastAsia="Arial" w:hAnsi="Arial" w:cs="Arial"/>
          <w:spacing w:val="3"/>
        </w:rPr>
        <w:t>i</w:t>
      </w:r>
      <w:r w:rsidRPr="00EB1AAB">
        <w:rPr>
          <w:rFonts w:ascii="Arial" w:eastAsia="Arial" w:hAnsi="Arial" w:cs="Arial"/>
          <w:spacing w:val="-3"/>
        </w:rPr>
        <w:t>n</w:t>
      </w:r>
      <w:r w:rsidRPr="00EB1AAB">
        <w:rPr>
          <w:rFonts w:ascii="Arial" w:eastAsia="Arial" w:hAnsi="Arial" w:cs="Arial"/>
        </w:rPr>
        <w:t>s</w:t>
      </w:r>
      <w:r w:rsidRPr="00EB1AAB">
        <w:rPr>
          <w:rFonts w:ascii="Arial" w:eastAsia="Arial" w:hAnsi="Arial" w:cs="Arial"/>
          <w:spacing w:val="7"/>
        </w:rPr>
        <w:t xml:space="preserve"> </w:t>
      </w:r>
      <w:r w:rsidRPr="00EB1AAB">
        <w:rPr>
          <w:rFonts w:ascii="Arial" w:eastAsia="Arial" w:hAnsi="Arial" w:cs="Arial"/>
          <w:spacing w:val="2"/>
        </w:rPr>
        <w:t>a</w:t>
      </w:r>
      <w:r w:rsidRPr="00EB1AAB">
        <w:rPr>
          <w:rFonts w:ascii="Arial" w:eastAsia="Arial" w:hAnsi="Arial" w:cs="Arial"/>
          <w:spacing w:val="-3"/>
        </w:rPr>
        <w:t>n</w:t>
      </w:r>
      <w:r w:rsidRPr="00EB1AAB">
        <w:rPr>
          <w:rFonts w:ascii="Arial" w:eastAsia="Arial" w:hAnsi="Arial" w:cs="Arial"/>
        </w:rPr>
        <w:t>d</w:t>
      </w:r>
      <w:r w:rsidRPr="00EB1AAB">
        <w:rPr>
          <w:rFonts w:ascii="Arial" w:eastAsia="Arial" w:hAnsi="Arial" w:cs="Arial"/>
          <w:spacing w:val="5"/>
        </w:rPr>
        <w:t xml:space="preserve"> </w:t>
      </w:r>
      <w:r w:rsidRPr="00EB1AAB">
        <w:rPr>
          <w:rFonts w:ascii="Arial" w:eastAsia="Arial" w:hAnsi="Arial" w:cs="Arial"/>
          <w:spacing w:val="1"/>
        </w:rPr>
        <w:t>l</w:t>
      </w:r>
      <w:r w:rsidRPr="00EB1AAB">
        <w:rPr>
          <w:rFonts w:ascii="Arial" w:eastAsia="Arial" w:hAnsi="Arial" w:cs="Arial"/>
        </w:rPr>
        <w:t>o</w:t>
      </w:r>
      <w:r w:rsidRPr="00EB1AAB">
        <w:rPr>
          <w:rFonts w:ascii="Arial" w:eastAsia="Arial" w:hAnsi="Arial" w:cs="Arial"/>
          <w:spacing w:val="-2"/>
        </w:rPr>
        <w:t>s</w:t>
      </w:r>
      <w:r w:rsidRPr="00EB1AAB">
        <w:rPr>
          <w:rFonts w:ascii="Arial" w:eastAsia="Arial" w:hAnsi="Arial" w:cs="Arial"/>
          <w:spacing w:val="1"/>
        </w:rPr>
        <w:t>s</w:t>
      </w:r>
      <w:r w:rsidRPr="00EB1AAB">
        <w:rPr>
          <w:rFonts w:ascii="Arial" w:eastAsia="Arial" w:hAnsi="Arial" w:cs="Arial"/>
        </w:rPr>
        <w:t>es</w:t>
      </w:r>
      <w:r w:rsidRPr="00EB1AAB">
        <w:rPr>
          <w:rFonts w:ascii="Arial" w:eastAsia="Arial" w:hAnsi="Arial" w:cs="Arial"/>
          <w:spacing w:val="12"/>
        </w:rPr>
        <w:t xml:space="preserve"> </w:t>
      </w:r>
      <w:r w:rsidRPr="00EB1AAB">
        <w:rPr>
          <w:rFonts w:ascii="Arial" w:eastAsia="Arial" w:hAnsi="Arial" w:cs="Arial"/>
          <w:spacing w:val="-1"/>
        </w:rPr>
        <w:t>w</w:t>
      </w:r>
      <w:r w:rsidRPr="00EB1AAB">
        <w:rPr>
          <w:rFonts w:ascii="Arial" w:eastAsia="Arial" w:hAnsi="Arial" w:cs="Arial"/>
        </w:rPr>
        <w:t>o</w:t>
      </w:r>
      <w:r w:rsidRPr="00EB1AAB">
        <w:rPr>
          <w:rFonts w:ascii="Arial" w:eastAsia="Arial" w:hAnsi="Arial" w:cs="Arial"/>
          <w:spacing w:val="-1"/>
        </w:rPr>
        <w:t>u</w:t>
      </w:r>
      <w:r w:rsidRPr="00EB1AAB">
        <w:rPr>
          <w:rFonts w:ascii="Arial" w:eastAsia="Arial" w:hAnsi="Arial" w:cs="Arial"/>
          <w:spacing w:val="1"/>
        </w:rPr>
        <w:t>l</w:t>
      </w:r>
      <w:r w:rsidRPr="00EB1AAB">
        <w:rPr>
          <w:rFonts w:ascii="Arial" w:eastAsia="Arial" w:hAnsi="Arial" w:cs="Arial"/>
        </w:rPr>
        <w:t>d</w:t>
      </w:r>
      <w:r w:rsidRPr="00EB1AAB">
        <w:rPr>
          <w:rFonts w:ascii="Arial" w:eastAsia="Arial" w:hAnsi="Arial" w:cs="Arial"/>
          <w:spacing w:val="7"/>
        </w:rPr>
        <w:t xml:space="preserve"> </w:t>
      </w:r>
      <w:r w:rsidRPr="00EB1AAB">
        <w:rPr>
          <w:rFonts w:ascii="Arial" w:eastAsia="Arial" w:hAnsi="Arial" w:cs="Arial"/>
          <w:w w:val="101"/>
        </w:rPr>
        <w:t xml:space="preserve">be </w:t>
      </w:r>
      <w:r w:rsidRPr="00EB1AAB">
        <w:rPr>
          <w:rFonts w:ascii="Arial" w:eastAsia="Arial" w:hAnsi="Arial" w:cs="Arial"/>
        </w:rPr>
        <w:t>h</w:t>
      </w:r>
      <w:r w:rsidRPr="00EB1AAB">
        <w:rPr>
          <w:rFonts w:ascii="Arial" w:eastAsia="Arial" w:hAnsi="Arial" w:cs="Arial"/>
          <w:spacing w:val="-3"/>
        </w:rPr>
        <w:t>e</w:t>
      </w:r>
      <w:r w:rsidRPr="00EB1AAB">
        <w:rPr>
          <w:rFonts w:ascii="Arial" w:eastAsia="Arial" w:hAnsi="Arial" w:cs="Arial"/>
          <w:spacing w:val="1"/>
        </w:rPr>
        <w:t>l</w:t>
      </w:r>
      <w:r w:rsidRPr="00EB1AAB">
        <w:rPr>
          <w:rFonts w:ascii="Arial" w:eastAsia="Arial" w:hAnsi="Arial" w:cs="Arial"/>
        </w:rPr>
        <w:t>d</w:t>
      </w:r>
      <w:r w:rsidRPr="00EB1AAB">
        <w:rPr>
          <w:rFonts w:ascii="Arial" w:eastAsia="Arial" w:hAnsi="Arial" w:cs="Arial"/>
          <w:spacing w:val="5"/>
        </w:rPr>
        <w:t xml:space="preserve"> </w:t>
      </w:r>
      <w:r w:rsidRPr="00EB1AAB">
        <w:rPr>
          <w:rFonts w:ascii="Arial" w:eastAsia="Arial" w:hAnsi="Arial" w:cs="Arial"/>
          <w:spacing w:val="3"/>
        </w:rPr>
        <w:t>i</w:t>
      </w:r>
      <w:r w:rsidRPr="00EB1AAB">
        <w:rPr>
          <w:rFonts w:ascii="Arial" w:eastAsia="Arial" w:hAnsi="Arial" w:cs="Arial"/>
        </w:rPr>
        <w:t>n</w:t>
      </w:r>
      <w:r w:rsidRPr="00EB1AAB">
        <w:rPr>
          <w:rFonts w:ascii="Arial" w:eastAsia="Arial" w:hAnsi="Arial" w:cs="Arial"/>
          <w:spacing w:val="1"/>
        </w:rPr>
        <w:t xml:space="preserve"> </w:t>
      </w:r>
      <w:r w:rsidRPr="00EB1AAB">
        <w:rPr>
          <w:rFonts w:ascii="Arial" w:eastAsia="Arial" w:hAnsi="Arial" w:cs="Arial"/>
          <w:spacing w:val="2"/>
        </w:rPr>
        <w:t>t</w:t>
      </w:r>
      <w:r w:rsidRPr="00EB1AAB">
        <w:rPr>
          <w:rFonts w:ascii="Arial" w:eastAsia="Arial" w:hAnsi="Arial" w:cs="Arial"/>
        </w:rPr>
        <w:t>he</w:t>
      </w:r>
      <w:r w:rsidRPr="00EB1AAB">
        <w:rPr>
          <w:rFonts w:ascii="Arial" w:eastAsia="Arial" w:hAnsi="Arial" w:cs="Arial"/>
          <w:spacing w:val="3"/>
        </w:rPr>
        <w:t xml:space="preserve"> </w:t>
      </w:r>
      <w:r w:rsidRPr="00EB1AAB">
        <w:rPr>
          <w:rFonts w:ascii="Arial" w:eastAsia="Arial" w:hAnsi="Arial" w:cs="Arial"/>
          <w:spacing w:val="-1"/>
        </w:rPr>
        <w:t>F</w:t>
      </w:r>
      <w:r w:rsidRPr="00EB1AAB">
        <w:rPr>
          <w:rFonts w:ascii="Arial" w:eastAsia="Arial" w:hAnsi="Arial" w:cs="Arial"/>
          <w:spacing w:val="3"/>
        </w:rPr>
        <w:t>i</w:t>
      </w:r>
      <w:r w:rsidRPr="00EB1AAB">
        <w:rPr>
          <w:rFonts w:ascii="Arial" w:eastAsia="Arial" w:hAnsi="Arial" w:cs="Arial"/>
          <w:spacing w:val="-3"/>
        </w:rPr>
        <w:t>n</w:t>
      </w:r>
      <w:r w:rsidRPr="00EB1AAB">
        <w:rPr>
          <w:rFonts w:ascii="Arial" w:eastAsia="Arial" w:hAnsi="Arial" w:cs="Arial"/>
        </w:rPr>
        <w:t>a</w:t>
      </w:r>
      <w:r w:rsidRPr="00EB1AAB">
        <w:rPr>
          <w:rFonts w:ascii="Arial" w:eastAsia="Arial" w:hAnsi="Arial" w:cs="Arial"/>
          <w:spacing w:val="-3"/>
        </w:rPr>
        <w:t>n</w:t>
      </w:r>
      <w:r w:rsidRPr="00EB1AAB">
        <w:rPr>
          <w:rFonts w:ascii="Arial" w:eastAsia="Arial" w:hAnsi="Arial" w:cs="Arial"/>
          <w:spacing w:val="1"/>
        </w:rPr>
        <w:t>ci</w:t>
      </w:r>
      <w:r w:rsidRPr="00EB1AAB">
        <w:rPr>
          <w:rFonts w:ascii="Arial" w:eastAsia="Arial" w:hAnsi="Arial" w:cs="Arial"/>
        </w:rPr>
        <w:t>al</w:t>
      </w:r>
      <w:r w:rsidRPr="00EB1AAB">
        <w:rPr>
          <w:rFonts w:ascii="Arial" w:eastAsia="Arial" w:hAnsi="Arial" w:cs="Arial"/>
          <w:spacing w:val="13"/>
        </w:rPr>
        <w:t xml:space="preserve"> </w:t>
      </w:r>
      <w:r w:rsidRPr="00EB1AAB">
        <w:rPr>
          <w:rFonts w:ascii="Arial" w:eastAsia="Arial" w:hAnsi="Arial" w:cs="Arial"/>
        </w:rPr>
        <w:t>In</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1"/>
        </w:rPr>
        <w:t>r</w:t>
      </w:r>
      <w:r w:rsidRPr="00EB1AAB">
        <w:rPr>
          <w:rFonts w:ascii="Arial" w:eastAsia="Arial" w:hAnsi="Arial" w:cs="Arial"/>
        </w:rPr>
        <w:t>u</w:t>
      </w:r>
      <w:r w:rsidRPr="00EB1AAB">
        <w:rPr>
          <w:rFonts w:ascii="Arial" w:eastAsia="Arial" w:hAnsi="Arial" w:cs="Arial"/>
          <w:spacing w:val="2"/>
        </w:rPr>
        <w:t>m</w:t>
      </w:r>
      <w:r w:rsidRPr="00EB1AAB">
        <w:rPr>
          <w:rFonts w:ascii="Arial" w:eastAsia="Arial" w:hAnsi="Arial" w:cs="Arial"/>
          <w:spacing w:val="-2"/>
        </w:rPr>
        <w:t>e</w:t>
      </w:r>
      <w:r w:rsidRPr="00EB1AAB">
        <w:rPr>
          <w:rFonts w:ascii="Arial" w:eastAsia="Arial" w:hAnsi="Arial" w:cs="Arial"/>
        </w:rPr>
        <w:t>nts</w:t>
      </w:r>
      <w:r w:rsidRPr="00EB1AAB">
        <w:rPr>
          <w:rFonts w:ascii="Arial" w:eastAsia="Arial" w:hAnsi="Arial" w:cs="Arial"/>
          <w:spacing w:val="14"/>
        </w:rPr>
        <w:t xml:space="preserve"> </w:t>
      </w:r>
      <w:r w:rsidRPr="00EB1AAB">
        <w:rPr>
          <w:rFonts w:ascii="Arial" w:eastAsia="Arial" w:hAnsi="Arial" w:cs="Arial"/>
          <w:spacing w:val="2"/>
        </w:rPr>
        <w:t>R</w:t>
      </w:r>
      <w:r w:rsidRPr="00EB1AAB">
        <w:rPr>
          <w:rFonts w:ascii="Arial" w:eastAsia="Arial" w:hAnsi="Arial" w:cs="Arial"/>
          <w:spacing w:val="-3"/>
        </w:rPr>
        <w:t>e</w:t>
      </w:r>
      <w:r w:rsidRPr="00EB1AAB">
        <w:rPr>
          <w:rFonts w:ascii="Arial" w:eastAsia="Arial" w:hAnsi="Arial" w:cs="Arial"/>
          <w:spacing w:val="1"/>
        </w:rPr>
        <w:t>v</w:t>
      </w:r>
      <w:r w:rsidRPr="00EB1AAB">
        <w:rPr>
          <w:rFonts w:ascii="Arial" w:eastAsia="Arial" w:hAnsi="Arial" w:cs="Arial"/>
        </w:rPr>
        <w:t>a</w:t>
      </w:r>
      <w:r w:rsidRPr="00EB1AAB">
        <w:rPr>
          <w:rFonts w:ascii="Arial" w:eastAsia="Arial" w:hAnsi="Arial" w:cs="Arial"/>
          <w:spacing w:val="1"/>
        </w:rPr>
        <w:t>l</w:t>
      </w:r>
      <w:r w:rsidRPr="00EB1AAB">
        <w:rPr>
          <w:rFonts w:ascii="Arial" w:eastAsia="Arial" w:hAnsi="Arial" w:cs="Arial"/>
          <w:spacing w:val="2"/>
        </w:rPr>
        <w:t>u</w:t>
      </w:r>
      <w:r w:rsidRPr="00EB1AAB">
        <w:rPr>
          <w:rFonts w:ascii="Arial" w:eastAsia="Arial" w:hAnsi="Arial" w:cs="Arial"/>
          <w:spacing w:val="-3"/>
        </w:rPr>
        <w:t>a</w:t>
      </w:r>
      <w:r w:rsidRPr="00EB1AAB">
        <w:rPr>
          <w:rFonts w:ascii="Arial" w:eastAsia="Arial" w:hAnsi="Arial" w:cs="Arial"/>
        </w:rPr>
        <w:t>t</w:t>
      </w:r>
      <w:r w:rsidRPr="00EB1AAB">
        <w:rPr>
          <w:rFonts w:ascii="Arial" w:eastAsia="Arial" w:hAnsi="Arial" w:cs="Arial"/>
          <w:spacing w:val="4"/>
        </w:rPr>
        <w:t>i</w:t>
      </w:r>
      <w:r w:rsidRPr="00EB1AAB">
        <w:rPr>
          <w:rFonts w:ascii="Arial" w:eastAsia="Arial" w:hAnsi="Arial" w:cs="Arial"/>
          <w:spacing w:val="-3"/>
        </w:rPr>
        <w:t>o</w:t>
      </w:r>
      <w:r w:rsidRPr="00EB1AAB">
        <w:rPr>
          <w:rFonts w:ascii="Arial" w:eastAsia="Arial" w:hAnsi="Arial" w:cs="Arial"/>
        </w:rPr>
        <w:t>n</w:t>
      </w:r>
      <w:r w:rsidRPr="00EB1AAB">
        <w:rPr>
          <w:rFonts w:ascii="Arial" w:eastAsia="Arial" w:hAnsi="Arial" w:cs="Arial"/>
          <w:spacing w:val="15"/>
        </w:rPr>
        <w:t xml:space="preserve"> </w:t>
      </w:r>
      <w:r w:rsidRPr="00EB1AAB">
        <w:rPr>
          <w:rFonts w:ascii="Arial" w:eastAsia="Arial" w:hAnsi="Arial" w:cs="Arial"/>
          <w:spacing w:val="-1"/>
          <w:w w:val="101"/>
        </w:rPr>
        <w:t>R</w:t>
      </w:r>
      <w:r w:rsidRPr="00EB1AAB">
        <w:rPr>
          <w:rFonts w:ascii="Arial" w:eastAsia="Arial" w:hAnsi="Arial" w:cs="Arial"/>
          <w:w w:val="101"/>
        </w:rPr>
        <w:t>e</w:t>
      </w:r>
      <w:r w:rsidRPr="00EB1AAB">
        <w:rPr>
          <w:rFonts w:ascii="Arial" w:eastAsia="Arial" w:hAnsi="Arial" w:cs="Arial"/>
          <w:spacing w:val="-2"/>
          <w:w w:val="101"/>
        </w:rPr>
        <w:t>s</w:t>
      </w:r>
      <w:r w:rsidRPr="00EB1AAB">
        <w:rPr>
          <w:rFonts w:ascii="Arial" w:eastAsia="Arial" w:hAnsi="Arial" w:cs="Arial"/>
          <w:spacing w:val="2"/>
          <w:w w:val="101"/>
        </w:rPr>
        <w:t>e</w:t>
      </w:r>
      <w:r w:rsidRPr="00EB1AAB">
        <w:rPr>
          <w:rFonts w:ascii="Arial" w:eastAsia="Arial" w:hAnsi="Arial" w:cs="Arial"/>
          <w:spacing w:val="-1"/>
          <w:w w:val="101"/>
        </w:rPr>
        <w:t>r</w:t>
      </w:r>
      <w:r w:rsidRPr="00EB1AAB">
        <w:rPr>
          <w:rFonts w:ascii="Arial" w:eastAsia="Arial" w:hAnsi="Arial" w:cs="Arial"/>
          <w:spacing w:val="1"/>
          <w:w w:val="101"/>
        </w:rPr>
        <w:t>v</w:t>
      </w:r>
      <w:r w:rsidRPr="00EB1AAB">
        <w:rPr>
          <w:rFonts w:ascii="Arial" w:eastAsia="Arial" w:hAnsi="Arial" w:cs="Arial"/>
          <w:spacing w:val="-3"/>
          <w:w w:val="101"/>
        </w:rPr>
        <w:t>e</w:t>
      </w:r>
      <w:r w:rsidRPr="00EB1AAB">
        <w:rPr>
          <w:rFonts w:ascii="Arial" w:eastAsia="Arial" w:hAnsi="Arial" w:cs="Arial"/>
          <w:w w:val="101"/>
        </w:rPr>
        <w:t>.</w:t>
      </w:r>
    </w:p>
    <w:p w14:paraId="7398A436" w14:textId="77777777" w:rsidR="00655E4C" w:rsidRPr="00EB1AAB" w:rsidRDefault="00655E4C" w:rsidP="00655E4C">
      <w:pPr>
        <w:spacing w:before="6"/>
        <w:rPr>
          <w:rFonts w:ascii="Arial" w:hAnsi="Arial" w:cs="Arial"/>
        </w:rPr>
      </w:pPr>
    </w:p>
    <w:p w14:paraId="41E09411" w14:textId="77777777" w:rsidR="00655E4C" w:rsidRPr="00EB1AAB" w:rsidRDefault="00655E4C" w:rsidP="00655E4C">
      <w:pPr>
        <w:pStyle w:val="Heading5underline"/>
      </w:pPr>
      <w:bookmarkStart w:id="84" w:name="_Hlk76058916"/>
      <w:r w:rsidRPr="00EB1AAB">
        <w:t>1.16.4. Cre</w:t>
      </w:r>
      <w:r w:rsidRPr="00EB1AAB">
        <w:rPr>
          <w:spacing w:val="-1"/>
        </w:rPr>
        <w:t>d</w:t>
      </w:r>
      <w:r w:rsidRPr="00EB1AAB">
        <w:t>it</w:t>
      </w:r>
      <w:r w:rsidRPr="00EB1AAB">
        <w:rPr>
          <w:spacing w:val="8"/>
        </w:rPr>
        <w:t xml:space="preserve"> </w:t>
      </w:r>
      <w:r w:rsidRPr="00EB1AAB">
        <w:t>l</w:t>
      </w:r>
      <w:r w:rsidRPr="00EB1AAB">
        <w:rPr>
          <w:spacing w:val="-1"/>
        </w:rPr>
        <w:t>o</w:t>
      </w:r>
      <w:r w:rsidRPr="00EB1AAB">
        <w:rPr>
          <w:spacing w:val="2"/>
        </w:rPr>
        <w:t>s</w:t>
      </w:r>
      <w:r w:rsidRPr="00EB1AAB">
        <w:t>s</w:t>
      </w:r>
    </w:p>
    <w:p w14:paraId="5F9D321B" w14:textId="77777777" w:rsidR="00655E4C" w:rsidRPr="00EB1AAB" w:rsidRDefault="00655E4C" w:rsidP="00655E4C">
      <w:pPr>
        <w:rPr>
          <w:rFonts w:eastAsia="Arial"/>
        </w:rPr>
      </w:pPr>
    </w:p>
    <w:p w14:paraId="2C981F29" w14:textId="77777777" w:rsidR="00655E4C" w:rsidRPr="00EB1AAB" w:rsidRDefault="00655E4C" w:rsidP="00655E4C">
      <w:pPr>
        <w:spacing w:before="6"/>
        <w:ind w:right="54"/>
        <w:rPr>
          <w:rFonts w:ascii="Arial" w:eastAsia="Arial" w:hAnsi="Arial" w:cs="Arial"/>
          <w:w w:val="101"/>
        </w:rPr>
      </w:pPr>
      <w:r w:rsidRPr="00EB1AAB">
        <w:rPr>
          <w:rFonts w:ascii="Arial" w:eastAsia="Arial" w:hAnsi="Arial" w:cs="Arial"/>
          <w:spacing w:val="-1"/>
        </w:rPr>
        <w:lastRenderedPageBreak/>
        <w:t>T</w:t>
      </w:r>
      <w:r w:rsidRPr="00EB1AAB">
        <w:rPr>
          <w:rFonts w:ascii="Arial" w:eastAsia="Arial" w:hAnsi="Arial" w:cs="Arial"/>
        </w:rPr>
        <w:t>he</w:t>
      </w:r>
      <w:r w:rsidRPr="00EB1AAB">
        <w:rPr>
          <w:rFonts w:ascii="Arial" w:eastAsia="Arial" w:hAnsi="Arial" w:cs="Arial"/>
          <w:spacing w:val="4"/>
        </w:rPr>
        <w:t xml:space="preserve"> </w:t>
      </w:r>
      <w:r w:rsidRPr="00EB1AAB">
        <w:rPr>
          <w:rFonts w:ascii="Arial" w:eastAsia="Arial" w:hAnsi="Arial" w:cs="Arial"/>
          <w:spacing w:val="2"/>
        </w:rPr>
        <w:t>Authority</w:t>
      </w:r>
      <w:r w:rsidRPr="00EB1AAB">
        <w:rPr>
          <w:rFonts w:ascii="Arial" w:eastAsia="Arial" w:hAnsi="Arial" w:cs="Arial"/>
          <w:spacing w:val="12"/>
        </w:rPr>
        <w:t xml:space="preserve"> </w:t>
      </w:r>
      <w:r w:rsidRPr="00EB1AAB">
        <w:rPr>
          <w:rFonts w:ascii="Arial" w:eastAsia="Arial" w:hAnsi="Arial" w:cs="Arial"/>
          <w:spacing w:val="-3"/>
        </w:rPr>
        <w:t>w</w:t>
      </w:r>
      <w:r w:rsidRPr="00EB1AAB">
        <w:rPr>
          <w:rFonts w:ascii="Arial" w:eastAsia="Arial" w:hAnsi="Arial" w:cs="Arial"/>
          <w:spacing w:val="3"/>
        </w:rPr>
        <w:t>i</w:t>
      </w:r>
      <w:r w:rsidRPr="00EB1AAB">
        <w:rPr>
          <w:rFonts w:ascii="Arial" w:eastAsia="Arial" w:hAnsi="Arial" w:cs="Arial"/>
          <w:spacing w:val="-1"/>
        </w:rPr>
        <w:t>l</w:t>
      </w:r>
      <w:r w:rsidRPr="00EB1AAB">
        <w:rPr>
          <w:rFonts w:ascii="Arial" w:eastAsia="Arial" w:hAnsi="Arial" w:cs="Arial"/>
        </w:rPr>
        <w:t>l</w:t>
      </w:r>
      <w:r w:rsidRPr="00EB1AAB">
        <w:rPr>
          <w:rFonts w:ascii="Arial" w:eastAsia="Arial" w:hAnsi="Arial" w:cs="Arial"/>
          <w:spacing w:val="7"/>
        </w:rPr>
        <w:t xml:space="preserve"> </w:t>
      </w:r>
      <w:r w:rsidRPr="00EB1AAB">
        <w:rPr>
          <w:rFonts w:ascii="Arial" w:eastAsia="Arial" w:hAnsi="Arial" w:cs="Arial"/>
          <w:spacing w:val="-1"/>
        </w:rPr>
        <w:t>r</w:t>
      </w:r>
      <w:r w:rsidRPr="00EB1AAB">
        <w:rPr>
          <w:rFonts w:ascii="Arial" w:eastAsia="Arial" w:hAnsi="Arial" w:cs="Arial"/>
          <w:spacing w:val="-3"/>
        </w:rPr>
        <w:t>e</w:t>
      </w:r>
      <w:r w:rsidRPr="00EB1AAB">
        <w:rPr>
          <w:rFonts w:ascii="Arial" w:eastAsia="Arial" w:hAnsi="Arial" w:cs="Arial"/>
          <w:spacing w:val="1"/>
        </w:rPr>
        <w:t>c</w:t>
      </w:r>
      <w:r w:rsidRPr="00EB1AAB">
        <w:rPr>
          <w:rFonts w:ascii="Arial" w:eastAsia="Arial" w:hAnsi="Arial" w:cs="Arial"/>
          <w:spacing w:val="-3"/>
        </w:rPr>
        <w:t>o</w:t>
      </w:r>
      <w:r w:rsidRPr="00EB1AAB">
        <w:rPr>
          <w:rFonts w:ascii="Arial" w:eastAsia="Arial" w:hAnsi="Arial" w:cs="Arial"/>
          <w:spacing w:val="2"/>
        </w:rPr>
        <w:t>g</w:t>
      </w:r>
      <w:r w:rsidRPr="00EB1AAB">
        <w:rPr>
          <w:rFonts w:ascii="Arial" w:eastAsia="Arial" w:hAnsi="Arial" w:cs="Arial"/>
          <w:spacing w:val="-3"/>
        </w:rPr>
        <w:t>n</w:t>
      </w:r>
      <w:r w:rsidRPr="00EB1AAB">
        <w:rPr>
          <w:rFonts w:ascii="Arial" w:eastAsia="Arial" w:hAnsi="Arial" w:cs="Arial"/>
          <w:spacing w:val="4"/>
        </w:rPr>
        <w:t>i</w:t>
      </w:r>
      <w:r w:rsidRPr="00EB1AAB">
        <w:rPr>
          <w:rFonts w:ascii="Arial" w:eastAsia="Arial" w:hAnsi="Arial" w:cs="Arial"/>
          <w:spacing w:val="1"/>
        </w:rPr>
        <w:t>s</w:t>
      </w:r>
      <w:r w:rsidRPr="00EB1AAB">
        <w:rPr>
          <w:rFonts w:ascii="Arial" w:eastAsia="Arial" w:hAnsi="Arial" w:cs="Arial"/>
        </w:rPr>
        <w:t>e</w:t>
      </w:r>
      <w:r w:rsidRPr="00EB1AAB">
        <w:rPr>
          <w:rFonts w:ascii="Arial" w:eastAsia="Arial" w:hAnsi="Arial" w:cs="Arial"/>
          <w:spacing w:val="9"/>
        </w:rPr>
        <w:t xml:space="preserve"> </w:t>
      </w:r>
      <w:r w:rsidRPr="00EB1AAB">
        <w:rPr>
          <w:rFonts w:ascii="Arial" w:eastAsia="Arial" w:hAnsi="Arial" w:cs="Arial"/>
        </w:rPr>
        <w:t>a</w:t>
      </w:r>
      <w:r w:rsidRPr="00EB1AAB">
        <w:rPr>
          <w:rFonts w:ascii="Arial" w:eastAsia="Arial" w:hAnsi="Arial" w:cs="Arial"/>
          <w:spacing w:val="2"/>
        </w:rPr>
        <w:t xml:space="preserve"> </w:t>
      </w:r>
      <w:r w:rsidRPr="00EB1AAB">
        <w:rPr>
          <w:rFonts w:ascii="Arial" w:eastAsia="Arial" w:hAnsi="Arial" w:cs="Arial"/>
          <w:spacing w:val="1"/>
        </w:rPr>
        <w:t>l</w:t>
      </w:r>
      <w:r w:rsidRPr="00EB1AAB">
        <w:rPr>
          <w:rFonts w:ascii="Arial" w:eastAsia="Arial" w:hAnsi="Arial" w:cs="Arial"/>
        </w:rPr>
        <w:t>o</w:t>
      </w:r>
      <w:r w:rsidRPr="00EB1AAB">
        <w:rPr>
          <w:rFonts w:ascii="Arial" w:eastAsia="Arial" w:hAnsi="Arial" w:cs="Arial"/>
          <w:spacing w:val="1"/>
        </w:rPr>
        <w:t>s</w:t>
      </w:r>
      <w:r w:rsidRPr="00EB1AAB">
        <w:rPr>
          <w:rFonts w:ascii="Arial" w:eastAsia="Arial" w:hAnsi="Arial" w:cs="Arial"/>
        </w:rPr>
        <w:t>s</w:t>
      </w:r>
      <w:r w:rsidRPr="00EB1AAB">
        <w:rPr>
          <w:rFonts w:ascii="Arial" w:eastAsia="Arial" w:hAnsi="Arial" w:cs="Arial"/>
          <w:spacing w:val="6"/>
        </w:rPr>
        <w:t xml:space="preserve"> </w:t>
      </w:r>
      <w:r w:rsidRPr="00EB1AAB">
        <w:rPr>
          <w:rFonts w:ascii="Arial" w:eastAsia="Arial" w:hAnsi="Arial" w:cs="Arial"/>
          <w:spacing w:val="-3"/>
        </w:rPr>
        <w:t>a</w:t>
      </w:r>
      <w:r w:rsidRPr="00EB1AAB">
        <w:rPr>
          <w:rFonts w:ascii="Arial" w:eastAsia="Arial" w:hAnsi="Arial" w:cs="Arial"/>
          <w:spacing w:val="3"/>
        </w:rPr>
        <w:t>l</w:t>
      </w:r>
      <w:r w:rsidRPr="00EB1AAB">
        <w:rPr>
          <w:rFonts w:ascii="Arial" w:eastAsia="Arial" w:hAnsi="Arial" w:cs="Arial"/>
          <w:spacing w:val="1"/>
        </w:rPr>
        <w:t>l</w:t>
      </w:r>
      <w:r w:rsidRPr="00EB1AAB">
        <w:rPr>
          <w:rFonts w:ascii="Arial" w:eastAsia="Arial" w:hAnsi="Arial" w:cs="Arial"/>
          <w:spacing w:val="-3"/>
        </w:rPr>
        <w:t>o</w:t>
      </w:r>
      <w:r w:rsidRPr="00EB1AAB">
        <w:rPr>
          <w:rFonts w:ascii="Arial" w:eastAsia="Arial" w:hAnsi="Arial" w:cs="Arial"/>
          <w:spacing w:val="2"/>
        </w:rPr>
        <w:t>w</w:t>
      </w:r>
      <w:r w:rsidRPr="00EB1AAB">
        <w:rPr>
          <w:rFonts w:ascii="Arial" w:eastAsia="Arial" w:hAnsi="Arial" w:cs="Arial"/>
          <w:spacing w:val="-2"/>
        </w:rPr>
        <w:t>a</w:t>
      </w:r>
      <w:r w:rsidRPr="00EB1AAB">
        <w:rPr>
          <w:rFonts w:ascii="Arial" w:eastAsia="Arial" w:hAnsi="Arial" w:cs="Arial"/>
        </w:rPr>
        <w:t>n</w:t>
      </w:r>
      <w:r w:rsidRPr="00EB1AAB">
        <w:rPr>
          <w:rFonts w:ascii="Arial" w:eastAsia="Arial" w:hAnsi="Arial" w:cs="Arial"/>
          <w:spacing w:val="1"/>
        </w:rPr>
        <w:t>c</w:t>
      </w:r>
      <w:r w:rsidRPr="00EB1AAB">
        <w:rPr>
          <w:rFonts w:ascii="Arial" w:eastAsia="Arial" w:hAnsi="Arial" w:cs="Arial"/>
        </w:rPr>
        <w:t>e</w:t>
      </w:r>
      <w:r w:rsidRPr="00EB1AAB">
        <w:rPr>
          <w:rFonts w:ascii="Arial" w:eastAsia="Arial" w:hAnsi="Arial" w:cs="Arial"/>
          <w:spacing w:val="11"/>
        </w:rPr>
        <w:t xml:space="preserve"> </w:t>
      </w:r>
      <w:r w:rsidRPr="00EB1AAB">
        <w:rPr>
          <w:rFonts w:ascii="Arial" w:eastAsia="Arial" w:hAnsi="Arial" w:cs="Arial"/>
          <w:spacing w:val="2"/>
        </w:rPr>
        <w:t>f</w:t>
      </w:r>
      <w:r w:rsidRPr="00EB1AAB">
        <w:rPr>
          <w:rFonts w:ascii="Arial" w:eastAsia="Arial" w:hAnsi="Arial" w:cs="Arial"/>
        </w:rPr>
        <w:t>or</w:t>
      </w:r>
      <w:r w:rsidRPr="00EB1AAB">
        <w:rPr>
          <w:rFonts w:ascii="Arial" w:eastAsia="Arial" w:hAnsi="Arial" w:cs="Arial"/>
          <w:spacing w:val="3"/>
        </w:rPr>
        <w:t xml:space="preserve"> </w:t>
      </w:r>
      <w:r w:rsidRPr="00EB1AAB">
        <w:rPr>
          <w:rFonts w:ascii="Arial" w:eastAsia="Arial" w:hAnsi="Arial" w:cs="Arial"/>
        </w:rPr>
        <w:t>e</w:t>
      </w:r>
      <w:r w:rsidRPr="00EB1AAB">
        <w:rPr>
          <w:rFonts w:ascii="Arial" w:eastAsia="Arial" w:hAnsi="Arial" w:cs="Arial"/>
          <w:spacing w:val="1"/>
        </w:rPr>
        <w:t>x</w:t>
      </w:r>
      <w:r w:rsidRPr="00EB1AAB">
        <w:rPr>
          <w:rFonts w:ascii="Arial" w:eastAsia="Arial" w:hAnsi="Arial" w:cs="Arial"/>
          <w:spacing w:val="2"/>
        </w:rPr>
        <w:t>p</w:t>
      </w:r>
      <w:r w:rsidRPr="00EB1AAB">
        <w:rPr>
          <w:rFonts w:ascii="Arial" w:eastAsia="Arial" w:hAnsi="Arial" w:cs="Arial"/>
          <w:spacing w:val="-3"/>
        </w:rPr>
        <w:t>e</w:t>
      </w:r>
      <w:r w:rsidRPr="00EB1AAB">
        <w:rPr>
          <w:rFonts w:ascii="Arial" w:eastAsia="Arial" w:hAnsi="Arial" w:cs="Arial"/>
          <w:spacing w:val="1"/>
        </w:rPr>
        <w:t>c</w:t>
      </w:r>
      <w:r w:rsidRPr="00EB1AAB">
        <w:rPr>
          <w:rFonts w:ascii="Arial" w:eastAsia="Arial" w:hAnsi="Arial" w:cs="Arial"/>
        </w:rPr>
        <w:t>t</w:t>
      </w:r>
      <w:r w:rsidRPr="00EB1AAB">
        <w:rPr>
          <w:rFonts w:ascii="Arial" w:eastAsia="Arial" w:hAnsi="Arial" w:cs="Arial"/>
          <w:spacing w:val="2"/>
        </w:rPr>
        <w:t>e</w:t>
      </w:r>
      <w:r w:rsidRPr="00EB1AAB">
        <w:rPr>
          <w:rFonts w:ascii="Arial" w:eastAsia="Arial" w:hAnsi="Arial" w:cs="Arial"/>
        </w:rPr>
        <w:t>d</w:t>
      </w:r>
      <w:r w:rsidRPr="00EB1AAB">
        <w:rPr>
          <w:rFonts w:ascii="Arial" w:eastAsia="Arial" w:hAnsi="Arial" w:cs="Arial"/>
          <w:spacing w:val="10"/>
        </w:rPr>
        <w:t xml:space="preserve"> </w:t>
      </w:r>
      <w:r w:rsidRPr="00EB1AAB">
        <w:rPr>
          <w:rFonts w:ascii="Arial" w:eastAsia="Arial" w:hAnsi="Arial" w:cs="Arial"/>
          <w:spacing w:val="-1"/>
        </w:rPr>
        <w:t>cr</w:t>
      </w:r>
      <w:r w:rsidRPr="00EB1AAB">
        <w:rPr>
          <w:rFonts w:ascii="Arial" w:eastAsia="Arial" w:hAnsi="Arial" w:cs="Arial"/>
          <w:spacing w:val="2"/>
        </w:rPr>
        <w:t>e</w:t>
      </w:r>
      <w:r w:rsidRPr="00EB1AAB">
        <w:rPr>
          <w:rFonts w:ascii="Arial" w:eastAsia="Arial" w:hAnsi="Arial" w:cs="Arial"/>
          <w:spacing w:val="-3"/>
        </w:rPr>
        <w:t>d</w:t>
      </w:r>
      <w:r w:rsidRPr="00EB1AAB">
        <w:rPr>
          <w:rFonts w:ascii="Arial" w:eastAsia="Arial" w:hAnsi="Arial" w:cs="Arial"/>
          <w:spacing w:val="3"/>
        </w:rPr>
        <w:t>i</w:t>
      </w:r>
      <w:r w:rsidRPr="00EB1AAB">
        <w:rPr>
          <w:rFonts w:ascii="Arial" w:eastAsia="Arial" w:hAnsi="Arial" w:cs="Arial"/>
        </w:rPr>
        <w:t>t</w:t>
      </w:r>
      <w:r w:rsidRPr="00EB1AAB">
        <w:rPr>
          <w:rFonts w:ascii="Arial" w:eastAsia="Arial" w:hAnsi="Arial" w:cs="Arial"/>
          <w:spacing w:val="7"/>
        </w:rPr>
        <w:t xml:space="preserve"> </w:t>
      </w:r>
      <w:r w:rsidRPr="00EB1AAB">
        <w:rPr>
          <w:rFonts w:ascii="Arial" w:eastAsia="Arial" w:hAnsi="Arial" w:cs="Arial"/>
          <w:spacing w:val="3"/>
        </w:rPr>
        <w:t>l</w:t>
      </w:r>
      <w:r w:rsidRPr="00EB1AAB">
        <w:rPr>
          <w:rFonts w:ascii="Arial" w:eastAsia="Arial" w:hAnsi="Arial" w:cs="Arial"/>
          <w:spacing w:val="-2"/>
        </w:rPr>
        <w:t>o</w:t>
      </w:r>
      <w:r w:rsidRPr="00EB1AAB">
        <w:rPr>
          <w:rFonts w:ascii="Arial" w:eastAsia="Arial" w:hAnsi="Arial" w:cs="Arial"/>
          <w:spacing w:val="1"/>
        </w:rPr>
        <w:t>ss</w:t>
      </w:r>
      <w:r w:rsidRPr="00EB1AAB">
        <w:rPr>
          <w:rFonts w:ascii="Arial" w:eastAsia="Arial" w:hAnsi="Arial" w:cs="Arial"/>
          <w:spacing w:val="-3"/>
        </w:rPr>
        <w:t>e</w:t>
      </w:r>
      <w:r w:rsidRPr="00EB1AAB">
        <w:rPr>
          <w:rFonts w:ascii="Arial" w:eastAsia="Arial" w:hAnsi="Arial" w:cs="Arial"/>
          <w:spacing w:val="1"/>
        </w:rPr>
        <w:t>s</w:t>
      </w:r>
      <w:r w:rsidRPr="00EB1AAB">
        <w:rPr>
          <w:rFonts w:ascii="Arial" w:eastAsia="Arial" w:hAnsi="Arial" w:cs="Arial"/>
        </w:rPr>
        <w:t>,</w:t>
      </w:r>
      <w:r w:rsidRPr="00EB1AAB">
        <w:rPr>
          <w:rFonts w:ascii="Arial" w:eastAsia="Arial" w:hAnsi="Arial" w:cs="Arial"/>
          <w:spacing w:val="8"/>
        </w:rPr>
        <w:t xml:space="preserve"> </w:t>
      </w:r>
      <w:r w:rsidRPr="00EB1AAB">
        <w:rPr>
          <w:rFonts w:ascii="Arial" w:eastAsia="Arial" w:hAnsi="Arial" w:cs="Arial"/>
          <w:spacing w:val="1"/>
        </w:rPr>
        <w:t>i</w:t>
      </w:r>
      <w:r w:rsidRPr="00EB1AAB">
        <w:rPr>
          <w:rFonts w:ascii="Arial" w:eastAsia="Arial" w:hAnsi="Arial" w:cs="Arial"/>
        </w:rPr>
        <w:t>f</w:t>
      </w:r>
      <w:r w:rsidRPr="00EB1AAB">
        <w:rPr>
          <w:rFonts w:ascii="Arial" w:eastAsia="Arial" w:hAnsi="Arial" w:cs="Arial"/>
          <w:spacing w:val="5"/>
        </w:rPr>
        <w:t xml:space="preserve"> </w:t>
      </w:r>
      <w:r w:rsidRPr="00EB1AAB">
        <w:rPr>
          <w:rFonts w:ascii="Arial" w:eastAsia="Arial" w:hAnsi="Arial" w:cs="Arial"/>
        </w:rPr>
        <w:t>a</w:t>
      </w:r>
      <w:r w:rsidRPr="00EB1AAB">
        <w:rPr>
          <w:rFonts w:ascii="Arial" w:eastAsia="Arial" w:hAnsi="Arial" w:cs="Arial"/>
          <w:spacing w:val="-3"/>
        </w:rPr>
        <w:t>p</w:t>
      </w:r>
      <w:r w:rsidRPr="00EB1AAB">
        <w:rPr>
          <w:rFonts w:ascii="Arial" w:eastAsia="Arial" w:hAnsi="Arial" w:cs="Arial"/>
        </w:rPr>
        <w:t>p</w:t>
      </w:r>
      <w:r w:rsidRPr="00EB1AAB">
        <w:rPr>
          <w:rFonts w:ascii="Arial" w:eastAsia="Arial" w:hAnsi="Arial" w:cs="Arial"/>
          <w:spacing w:val="1"/>
        </w:rPr>
        <w:t>l</w:t>
      </w:r>
      <w:r w:rsidRPr="00EB1AAB">
        <w:rPr>
          <w:rFonts w:ascii="Arial" w:eastAsia="Arial" w:hAnsi="Arial" w:cs="Arial"/>
          <w:spacing w:val="3"/>
        </w:rPr>
        <w:t>i</w:t>
      </w:r>
      <w:r w:rsidRPr="00EB1AAB">
        <w:rPr>
          <w:rFonts w:ascii="Arial" w:eastAsia="Arial" w:hAnsi="Arial" w:cs="Arial"/>
          <w:spacing w:val="-1"/>
        </w:rPr>
        <w:t>c</w:t>
      </w:r>
      <w:r w:rsidRPr="00EB1AAB">
        <w:rPr>
          <w:rFonts w:ascii="Arial" w:eastAsia="Arial" w:hAnsi="Arial" w:cs="Arial"/>
        </w:rPr>
        <w:t>a</w:t>
      </w:r>
      <w:r w:rsidRPr="00EB1AAB">
        <w:rPr>
          <w:rFonts w:ascii="Arial" w:eastAsia="Arial" w:hAnsi="Arial" w:cs="Arial"/>
          <w:spacing w:val="-3"/>
        </w:rPr>
        <w:t>b</w:t>
      </w:r>
      <w:r w:rsidRPr="00EB1AAB">
        <w:rPr>
          <w:rFonts w:ascii="Arial" w:eastAsia="Arial" w:hAnsi="Arial" w:cs="Arial"/>
          <w:spacing w:val="3"/>
        </w:rPr>
        <w:t>l</w:t>
      </w:r>
      <w:r w:rsidRPr="00EB1AAB">
        <w:rPr>
          <w:rFonts w:ascii="Arial" w:eastAsia="Arial" w:hAnsi="Arial" w:cs="Arial"/>
          <w:spacing w:val="-2"/>
        </w:rPr>
        <w:t>e</w:t>
      </w:r>
      <w:r w:rsidRPr="00EB1AAB">
        <w:rPr>
          <w:rFonts w:ascii="Arial" w:eastAsia="Arial" w:hAnsi="Arial" w:cs="Arial"/>
        </w:rPr>
        <w:t>,</w:t>
      </w:r>
      <w:r w:rsidRPr="00EB1AAB">
        <w:rPr>
          <w:rFonts w:ascii="Arial" w:eastAsia="Arial" w:hAnsi="Arial" w:cs="Arial"/>
          <w:spacing w:val="14"/>
        </w:rPr>
        <w:t xml:space="preserve"> </w:t>
      </w:r>
      <w:r w:rsidRPr="00EB1AAB">
        <w:rPr>
          <w:rFonts w:ascii="Arial" w:eastAsia="Arial" w:hAnsi="Arial" w:cs="Arial"/>
          <w:spacing w:val="-3"/>
          <w:w w:val="101"/>
        </w:rPr>
        <w:t>o</w:t>
      </w:r>
      <w:r w:rsidRPr="00EB1AAB">
        <w:rPr>
          <w:rFonts w:ascii="Arial" w:eastAsia="Arial" w:hAnsi="Arial" w:cs="Arial"/>
          <w:w w:val="101"/>
        </w:rPr>
        <w:t xml:space="preserve">n </w:t>
      </w:r>
      <w:r w:rsidRPr="00EB1AAB">
        <w:rPr>
          <w:rFonts w:ascii="Arial" w:eastAsia="Arial" w:hAnsi="Arial" w:cs="Arial"/>
        </w:rPr>
        <w:t>a</w:t>
      </w:r>
      <w:r w:rsidRPr="00EB1AAB">
        <w:rPr>
          <w:rFonts w:ascii="Arial" w:eastAsia="Arial" w:hAnsi="Arial" w:cs="Arial"/>
          <w:spacing w:val="-2"/>
        </w:rPr>
        <w:t>s</w:t>
      </w:r>
      <w:r w:rsidRPr="00EB1AAB">
        <w:rPr>
          <w:rFonts w:ascii="Arial" w:eastAsia="Arial" w:hAnsi="Arial" w:cs="Arial"/>
          <w:spacing w:val="1"/>
        </w:rPr>
        <w:t>s</w:t>
      </w:r>
      <w:r w:rsidRPr="00EB1AAB">
        <w:rPr>
          <w:rFonts w:ascii="Arial" w:eastAsia="Arial" w:hAnsi="Arial" w:cs="Arial"/>
          <w:spacing w:val="-3"/>
        </w:rPr>
        <w:t>e</w:t>
      </w:r>
      <w:r w:rsidRPr="00EB1AAB">
        <w:rPr>
          <w:rFonts w:ascii="Arial" w:eastAsia="Arial" w:hAnsi="Arial" w:cs="Arial"/>
          <w:spacing w:val="2"/>
        </w:rPr>
        <w:t>t</w:t>
      </w:r>
      <w:r w:rsidRPr="00EB1AAB">
        <w:rPr>
          <w:rFonts w:ascii="Arial" w:eastAsia="Arial" w:hAnsi="Arial" w:cs="Arial"/>
        </w:rPr>
        <w:t>s</w:t>
      </w:r>
      <w:r w:rsidRPr="00EB1AAB">
        <w:rPr>
          <w:rFonts w:ascii="Arial" w:eastAsia="Arial" w:hAnsi="Arial" w:cs="Arial"/>
          <w:spacing w:val="11"/>
        </w:rPr>
        <w:t xml:space="preserve"> </w:t>
      </w:r>
      <w:r w:rsidRPr="00EB1AAB">
        <w:rPr>
          <w:rFonts w:ascii="Arial" w:eastAsia="Arial" w:hAnsi="Arial" w:cs="Arial"/>
          <w:spacing w:val="-1"/>
        </w:rPr>
        <w:t>w</w:t>
      </w:r>
      <w:r w:rsidRPr="00EB1AAB">
        <w:rPr>
          <w:rFonts w:ascii="Arial" w:eastAsia="Arial" w:hAnsi="Arial" w:cs="Arial"/>
          <w:spacing w:val="-2"/>
        </w:rPr>
        <w:t>h</w:t>
      </w:r>
      <w:r w:rsidRPr="00EB1AAB">
        <w:rPr>
          <w:rFonts w:ascii="Arial" w:eastAsia="Arial" w:hAnsi="Arial" w:cs="Arial"/>
          <w:spacing w:val="2"/>
        </w:rPr>
        <w:t>e</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spacing w:val="1"/>
        </w:rPr>
        <w:t>c</w:t>
      </w:r>
      <w:r w:rsidRPr="00EB1AAB">
        <w:rPr>
          <w:rFonts w:ascii="Arial" w:eastAsia="Arial" w:hAnsi="Arial" w:cs="Arial"/>
        </w:rPr>
        <w:t>a</w:t>
      </w:r>
      <w:r w:rsidRPr="00EB1AAB">
        <w:rPr>
          <w:rFonts w:ascii="Arial" w:eastAsia="Arial" w:hAnsi="Arial" w:cs="Arial"/>
          <w:spacing w:val="-2"/>
        </w:rPr>
        <w:t>s</w:t>
      </w:r>
      <w:r w:rsidRPr="00EB1AAB">
        <w:rPr>
          <w:rFonts w:ascii="Arial" w:eastAsia="Arial" w:hAnsi="Arial" w:cs="Arial"/>
        </w:rPr>
        <w:t>h</w:t>
      </w:r>
      <w:r w:rsidRPr="00EB1AAB">
        <w:rPr>
          <w:rFonts w:ascii="Arial" w:eastAsia="Arial" w:hAnsi="Arial" w:cs="Arial"/>
          <w:spacing w:val="6"/>
        </w:rPr>
        <w:t xml:space="preserve"> </w:t>
      </w:r>
      <w:r w:rsidRPr="00EB1AAB">
        <w:rPr>
          <w:rFonts w:ascii="Arial" w:eastAsia="Arial" w:hAnsi="Arial" w:cs="Arial"/>
          <w:spacing w:val="2"/>
        </w:rPr>
        <w:t>f</w:t>
      </w:r>
      <w:r w:rsidRPr="00EB1AAB">
        <w:rPr>
          <w:rFonts w:ascii="Arial" w:eastAsia="Arial" w:hAnsi="Arial" w:cs="Arial"/>
          <w:spacing w:val="3"/>
        </w:rPr>
        <w:t>l</w:t>
      </w:r>
      <w:r w:rsidRPr="00EB1AAB">
        <w:rPr>
          <w:rFonts w:ascii="Arial" w:eastAsia="Arial" w:hAnsi="Arial" w:cs="Arial"/>
          <w:spacing w:val="-3"/>
        </w:rPr>
        <w:t>ow</w:t>
      </w:r>
      <w:r w:rsidRPr="00EB1AAB">
        <w:rPr>
          <w:rFonts w:ascii="Arial" w:eastAsia="Arial" w:hAnsi="Arial" w:cs="Arial"/>
        </w:rPr>
        <w:t>s</w:t>
      </w:r>
      <w:r w:rsidRPr="00EB1AAB">
        <w:rPr>
          <w:rFonts w:ascii="Arial" w:eastAsia="Arial" w:hAnsi="Arial" w:cs="Arial"/>
          <w:spacing w:val="10"/>
        </w:rPr>
        <w:t xml:space="preserve"> </w:t>
      </w:r>
      <w:r w:rsidRPr="00EB1AAB">
        <w:rPr>
          <w:rFonts w:ascii="Arial" w:eastAsia="Arial" w:hAnsi="Arial" w:cs="Arial"/>
        </w:rPr>
        <w:t>a</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spacing w:val="-1"/>
        </w:rPr>
        <w:t>s</w:t>
      </w:r>
      <w:r w:rsidRPr="00EB1AAB">
        <w:rPr>
          <w:rFonts w:ascii="Arial" w:eastAsia="Arial" w:hAnsi="Arial" w:cs="Arial"/>
        </w:rPr>
        <w:t>o</w:t>
      </w:r>
      <w:r w:rsidRPr="00EB1AAB">
        <w:rPr>
          <w:rFonts w:ascii="Arial" w:eastAsia="Arial" w:hAnsi="Arial" w:cs="Arial"/>
          <w:spacing w:val="1"/>
        </w:rPr>
        <w:t>l</w:t>
      </w:r>
      <w:r w:rsidRPr="00EB1AAB">
        <w:rPr>
          <w:rFonts w:ascii="Arial" w:eastAsia="Arial" w:hAnsi="Arial" w:cs="Arial"/>
        </w:rPr>
        <w:t>e</w:t>
      </w:r>
      <w:r w:rsidRPr="00EB1AAB">
        <w:rPr>
          <w:rFonts w:ascii="Arial" w:eastAsia="Arial" w:hAnsi="Arial" w:cs="Arial"/>
          <w:spacing w:val="3"/>
        </w:rPr>
        <w:t>l</w:t>
      </w:r>
      <w:r w:rsidRPr="00EB1AAB">
        <w:rPr>
          <w:rFonts w:ascii="Arial" w:eastAsia="Arial" w:hAnsi="Arial" w:cs="Arial"/>
        </w:rPr>
        <w:t>y</w:t>
      </w:r>
      <w:r w:rsidRPr="00EB1AAB">
        <w:rPr>
          <w:rFonts w:ascii="Arial" w:eastAsia="Arial" w:hAnsi="Arial" w:cs="Arial"/>
          <w:spacing w:val="3"/>
        </w:rPr>
        <w:t xml:space="preserve"> </w:t>
      </w:r>
      <w:r w:rsidRPr="00EB1AAB">
        <w:rPr>
          <w:rFonts w:ascii="Arial" w:eastAsia="Arial" w:hAnsi="Arial" w:cs="Arial"/>
          <w:spacing w:val="2"/>
        </w:rPr>
        <w:t>p</w:t>
      </w:r>
      <w:r w:rsidRPr="00EB1AAB">
        <w:rPr>
          <w:rFonts w:ascii="Arial" w:eastAsia="Arial" w:hAnsi="Arial" w:cs="Arial"/>
          <w:spacing w:val="-1"/>
        </w:rPr>
        <w:t>r</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2"/>
        </w:rPr>
        <w:t>c</w:t>
      </w:r>
      <w:r w:rsidRPr="00EB1AAB">
        <w:rPr>
          <w:rFonts w:ascii="Arial" w:eastAsia="Arial" w:hAnsi="Arial" w:cs="Arial"/>
          <w:spacing w:val="4"/>
        </w:rPr>
        <w:t>i</w:t>
      </w:r>
      <w:r w:rsidRPr="00EB1AAB">
        <w:rPr>
          <w:rFonts w:ascii="Arial" w:eastAsia="Arial" w:hAnsi="Arial" w:cs="Arial"/>
          <w:spacing w:val="-3"/>
        </w:rPr>
        <w:t>p</w:t>
      </w:r>
      <w:r w:rsidRPr="00EB1AAB">
        <w:rPr>
          <w:rFonts w:ascii="Arial" w:eastAsia="Arial" w:hAnsi="Arial" w:cs="Arial"/>
        </w:rPr>
        <w:t>al</w:t>
      </w:r>
      <w:r w:rsidRPr="00EB1AAB">
        <w:rPr>
          <w:rFonts w:ascii="Arial" w:eastAsia="Arial" w:hAnsi="Arial" w:cs="Arial"/>
          <w:spacing w:val="14"/>
        </w:rPr>
        <w:t xml:space="preserve"> </w:t>
      </w:r>
      <w:r w:rsidRPr="00EB1AAB">
        <w:rPr>
          <w:rFonts w:ascii="Arial" w:eastAsia="Arial" w:hAnsi="Arial" w:cs="Arial"/>
          <w:spacing w:val="-3"/>
        </w:rPr>
        <w:t>a</w:t>
      </w:r>
      <w:r w:rsidRPr="00EB1AAB">
        <w:rPr>
          <w:rFonts w:ascii="Arial" w:eastAsia="Arial" w:hAnsi="Arial" w:cs="Arial"/>
          <w:spacing w:val="2"/>
        </w:rPr>
        <w:t>n</w:t>
      </w:r>
      <w:r w:rsidRPr="00EB1AAB">
        <w:rPr>
          <w:rFonts w:ascii="Arial" w:eastAsia="Arial" w:hAnsi="Arial" w:cs="Arial"/>
        </w:rPr>
        <w:t>d</w:t>
      </w:r>
      <w:r w:rsidRPr="00EB1AAB">
        <w:rPr>
          <w:rFonts w:ascii="Arial" w:eastAsia="Arial" w:hAnsi="Arial" w:cs="Arial"/>
          <w:spacing w:val="2"/>
        </w:rPr>
        <w:t xml:space="preserve"> </w:t>
      </w:r>
      <w:r w:rsidRPr="00EB1AAB">
        <w:rPr>
          <w:rFonts w:ascii="Arial" w:eastAsia="Arial" w:hAnsi="Arial" w:cs="Arial"/>
          <w:spacing w:val="4"/>
        </w:rPr>
        <w:t>i</w:t>
      </w:r>
      <w:r w:rsidRPr="00EB1AAB">
        <w:rPr>
          <w:rFonts w:ascii="Arial" w:eastAsia="Arial" w:hAnsi="Arial" w:cs="Arial"/>
          <w:spacing w:val="-3"/>
        </w:rPr>
        <w:t>n</w:t>
      </w:r>
      <w:r w:rsidRPr="00EB1AAB">
        <w:rPr>
          <w:rFonts w:ascii="Arial" w:eastAsia="Arial" w:hAnsi="Arial" w:cs="Arial"/>
          <w:spacing w:val="2"/>
        </w:rPr>
        <w:t>t</w:t>
      </w:r>
      <w:r w:rsidRPr="00EB1AAB">
        <w:rPr>
          <w:rFonts w:ascii="Arial" w:eastAsia="Arial" w:hAnsi="Arial" w:cs="Arial"/>
          <w:spacing w:val="-3"/>
        </w:rPr>
        <w:t>e</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2"/>
        </w:rPr>
        <w:t>s</w:t>
      </w:r>
      <w:r w:rsidRPr="00EB1AAB">
        <w:rPr>
          <w:rFonts w:ascii="Arial" w:eastAsia="Arial" w:hAnsi="Arial" w:cs="Arial"/>
        </w:rPr>
        <w:t>t</w:t>
      </w:r>
      <w:r w:rsidRPr="00EB1AAB">
        <w:rPr>
          <w:rFonts w:ascii="Arial" w:eastAsia="Arial" w:hAnsi="Arial" w:cs="Arial"/>
          <w:spacing w:val="11"/>
        </w:rPr>
        <w:t xml:space="preserve"> </w:t>
      </w:r>
      <w:r w:rsidRPr="00EB1AAB">
        <w:rPr>
          <w:rFonts w:ascii="Arial" w:eastAsia="Arial" w:hAnsi="Arial" w:cs="Arial"/>
          <w:spacing w:val="-1"/>
        </w:rPr>
        <w:t>(</w:t>
      </w:r>
      <w:r w:rsidRPr="00EB1AAB">
        <w:rPr>
          <w:rFonts w:ascii="Arial" w:eastAsia="Arial" w:hAnsi="Arial" w:cs="Arial"/>
          <w:spacing w:val="1"/>
        </w:rPr>
        <w:t>i</w:t>
      </w:r>
      <w:r w:rsidRPr="00EB1AAB">
        <w:rPr>
          <w:rFonts w:ascii="Arial" w:eastAsia="Arial" w:hAnsi="Arial" w:cs="Arial"/>
          <w:spacing w:val="2"/>
        </w:rPr>
        <w:t>.</w:t>
      </w:r>
      <w:r w:rsidRPr="00EB1AAB">
        <w:rPr>
          <w:rFonts w:ascii="Arial" w:eastAsia="Arial" w:hAnsi="Arial" w:cs="Arial"/>
          <w:spacing w:val="-3"/>
        </w:rPr>
        <w:t>e</w:t>
      </w:r>
      <w:r w:rsidRPr="00EB1AAB">
        <w:rPr>
          <w:rFonts w:ascii="Arial" w:eastAsia="Arial" w:hAnsi="Arial" w:cs="Arial"/>
        </w:rPr>
        <w:t>.</w:t>
      </w:r>
      <w:r w:rsidRPr="00EB1AAB">
        <w:rPr>
          <w:rFonts w:ascii="Arial" w:eastAsia="Arial" w:hAnsi="Arial" w:cs="Arial"/>
          <w:spacing w:val="8"/>
        </w:rPr>
        <w:t xml:space="preserve"> </w:t>
      </w:r>
      <w:r w:rsidRPr="00EB1AAB">
        <w:rPr>
          <w:rFonts w:ascii="Arial" w:eastAsia="Arial" w:hAnsi="Arial" w:cs="Arial"/>
        </w:rPr>
        <w:t>f</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3"/>
        </w:rPr>
        <w:t>a</w:t>
      </w:r>
      <w:r w:rsidRPr="00EB1AAB">
        <w:rPr>
          <w:rFonts w:ascii="Arial" w:eastAsia="Arial" w:hAnsi="Arial" w:cs="Arial"/>
        </w:rPr>
        <w:t>n</w:t>
      </w:r>
      <w:r w:rsidRPr="00EB1AAB">
        <w:rPr>
          <w:rFonts w:ascii="Arial" w:eastAsia="Arial" w:hAnsi="Arial" w:cs="Arial"/>
          <w:spacing w:val="3"/>
        </w:rPr>
        <w:t>c</w:t>
      </w:r>
      <w:r w:rsidRPr="00EB1AAB">
        <w:rPr>
          <w:rFonts w:ascii="Arial" w:eastAsia="Arial" w:hAnsi="Arial" w:cs="Arial"/>
          <w:spacing w:val="1"/>
        </w:rPr>
        <w:t>i</w:t>
      </w:r>
      <w:r w:rsidRPr="00EB1AAB">
        <w:rPr>
          <w:rFonts w:ascii="Arial" w:eastAsia="Arial" w:hAnsi="Arial" w:cs="Arial"/>
          <w:spacing w:val="-3"/>
        </w:rPr>
        <w:t>a</w:t>
      </w:r>
      <w:r w:rsidRPr="00EB1AAB">
        <w:rPr>
          <w:rFonts w:ascii="Arial" w:eastAsia="Arial" w:hAnsi="Arial" w:cs="Arial"/>
        </w:rPr>
        <w:t>l</w:t>
      </w:r>
      <w:r w:rsidRPr="00EB1AAB">
        <w:rPr>
          <w:rFonts w:ascii="Arial" w:eastAsia="Arial" w:hAnsi="Arial" w:cs="Arial"/>
          <w:spacing w:val="10"/>
        </w:rPr>
        <w:t xml:space="preserve"> </w:t>
      </w:r>
      <w:r w:rsidRPr="00EB1AAB">
        <w:rPr>
          <w:rFonts w:ascii="Arial" w:eastAsia="Arial" w:hAnsi="Arial" w:cs="Arial"/>
          <w:spacing w:val="3"/>
          <w:w w:val="101"/>
        </w:rPr>
        <w:t>i</w:t>
      </w:r>
      <w:r w:rsidRPr="00EB1AAB">
        <w:rPr>
          <w:rFonts w:ascii="Arial" w:eastAsia="Arial" w:hAnsi="Arial" w:cs="Arial"/>
          <w:spacing w:val="-3"/>
          <w:w w:val="101"/>
        </w:rPr>
        <w:t>n</w:t>
      </w:r>
      <w:r w:rsidRPr="00EB1AAB">
        <w:rPr>
          <w:rFonts w:ascii="Arial" w:eastAsia="Arial" w:hAnsi="Arial" w:cs="Arial"/>
          <w:spacing w:val="1"/>
          <w:w w:val="101"/>
        </w:rPr>
        <w:t>s</w:t>
      </w:r>
      <w:r w:rsidRPr="00EB1AAB">
        <w:rPr>
          <w:rFonts w:ascii="Arial" w:eastAsia="Arial" w:hAnsi="Arial" w:cs="Arial"/>
          <w:w w:val="101"/>
        </w:rPr>
        <w:t>t</w:t>
      </w:r>
      <w:r w:rsidRPr="00EB1AAB">
        <w:rPr>
          <w:rFonts w:ascii="Arial" w:eastAsia="Arial" w:hAnsi="Arial" w:cs="Arial"/>
          <w:spacing w:val="-1"/>
          <w:w w:val="101"/>
        </w:rPr>
        <w:t>r</w:t>
      </w:r>
      <w:r w:rsidRPr="00EB1AAB">
        <w:rPr>
          <w:rFonts w:ascii="Arial" w:eastAsia="Arial" w:hAnsi="Arial" w:cs="Arial"/>
          <w:w w:val="101"/>
        </w:rPr>
        <w:t>u</w:t>
      </w:r>
      <w:r w:rsidRPr="00EB1AAB">
        <w:rPr>
          <w:rFonts w:ascii="Arial" w:eastAsia="Arial" w:hAnsi="Arial" w:cs="Arial"/>
          <w:spacing w:val="-1"/>
          <w:w w:val="101"/>
        </w:rPr>
        <w:t>m</w:t>
      </w:r>
      <w:r w:rsidRPr="00EB1AAB">
        <w:rPr>
          <w:rFonts w:ascii="Arial" w:eastAsia="Arial" w:hAnsi="Arial" w:cs="Arial"/>
          <w:w w:val="101"/>
        </w:rPr>
        <w:t>e</w:t>
      </w:r>
      <w:r w:rsidRPr="00EB1AAB">
        <w:rPr>
          <w:rFonts w:ascii="Arial" w:eastAsia="Arial" w:hAnsi="Arial" w:cs="Arial"/>
          <w:spacing w:val="-3"/>
          <w:w w:val="101"/>
        </w:rPr>
        <w:t>n</w:t>
      </w:r>
      <w:r w:rsidRPr="00EB1AAB">
        <w:rPr>
          <w:rFonts w:ascii="Arial" w:eastAsia="Arial" w:hAnsi="Arial" w:cs="Arial"/>
          <w:spacing w:val="2"/>
          <w:w w:val="101"/>
        </w:rPr>
        <w:t>t</w:t>
      </w:r>
      <w:r w:rsidRPr="00EB1AAB">
        <w:rPr>
          <w:rFonts w:ascii="Arial" w:eastAsia="Arial" w:hAnsi="Arial" w:cs="Arial"/>
          <w:w w:val="101"/>
        </w:rPr>
        <w:t xml:space="preserve">s </w:t>
      </w:r>
      <w:r w:rsidRPr="00EB1AAB">
        <w:rPr>
          <w:rFonts w:ascii="Arial" w:eastAsia="Arial" w:hAnsi="Arial" w:cs="Arial"/>
          <w:spacing w:val="3"/>
        </w:rPr>
        <w:t>m</w:t>
      </w:r>
      <w:r w:rsidRPr="00EB1AAB">
        <w:rPr>
          <w:rFonts w:ascii="Arial" w:eastAsia="Arial" w:hAnsi="Arial" w:cs="Arial"/>
          <w:spacing w:val="-3"/>
        </w:rPr>
        <w:t>e</w:t>
      </w:r>
      <w:r w:rsidRPr="00EB1AAB">
        <w:rPr>
          <w:rFonts w:ascii="Arial" w:eastAsia="Arial" w:hAnsi="Arial" w:cs="Arial"/>
        </w:rPr>
        <w:t>a</w:t>
      </w:r>
      <w:r w:rsidRPr="00EB1AAB">
        <w:rPr>
          <w:rFonts w:ascii="Arial" w:eastAsia="Arial" w:hAnsi="Arial" w:cs="Arial"/>
          <w:spacing w:val="1"/>
        </w:rPr>
        <w:t>s</w:t>
      </w:r>
      <w:r w:rsidRPr="00EB1AAB">
        <w:rPr>
          <w:rFonts w:ascii="Arial" w:eastAsia="Arial" w:hAnsi="Arial" w:cs="Arial"/>
          <w:spacing w:val="-3"/>
        </w:rPr>
        <w:t>u</w:t>
      </w:r>
      <w:r w:rsidRPr="00EB1AAB">
        <w:rPr>
          <w:rFonts w:ascii="Arial" w:eastAsia="Arial" w:hAnsi="Arial" w:cs="Arial"/>
          <w:spacing w:val="1"/>
        </w:rPr>
        <w:t>r</w:t>
      </w:r>
      <w:r w:rsidRPr="00EB1AAB">
        <w:rPr>
          <w:rFonts w:ascii="Arial" w:eastAsia="Arial" w:hAnsi="Arial" w:cs="Arial"/>
          <w:spacing w:val="2"/>
        </w:rPr>
        <w:t>e</w:t>
      </w:r>
      <w:r w:rsidRPr="00EB1AAB">
        <w:rPr>
          <w:rFonts w:ascii="Arial" w:eastAsia="Arial" w:hAnsi="Arial" w:cs="Arial"/>
        </w:rPr>
        <w:t>d</w:t>
      </w:r>
      <w:r w:rsidRPr="00EB1AAB">
        <w:rPr>
          <w:rFonts w:ascii="Arial" w:eastAsia="Arial" w:hAnsi="Arial" w:cs="Arial"/>
          <w:spacing w:val="9"/>
        </w:rPr>
        <w:t xml:space="preserve"> </w:t>
      </w:r>
      <w:r w:rsidRPr="00EB1AAB">
        <w:rPr>
          <w:rFonts w:ascii="Arial" w:eastAsia="Arial" w:hAnsi="Arial" w:cs="Arial"/>
        </w:rPr>
        <w:t>at</w:t>
      </w:r>
      <w:r w:rsidRPr="00EB1AAB">
        <w:rPr>
          <w:rFonts w:ascii="Arial" w:eastAsia="Arial" w:hAnsi="Arial" w:cs="Arial"/>
          <w:spacing w:val="3"/>
        </w:rPr>
        <w:t xml:space="preserve"> </w:t>
      </w:r>
      <w:r w:rsidRPr="00EB1AAB">
        <w:rPr>
          <w:rFonts w:ascii="Arial" w:eastAsia="Arial" w:hAnsi="Arial" w:cs="Arial"/>
        </w:rPr>
        <w:t>a</w:t>
      </w:r>
      <w:r w:rsidRPr="00EB1AAB">
        <w:rPr>
          <w:rFonts w:ascii="Arial" w:eastAsia="Arial" w:hAnsi="Arial" w:cs="Arial"/>
          <w:spacing w:val="2"/>
        </w:rPr>
        <w:t>m</w:t>
      </w:r>
      <w:r w:rsidRPr="00EB1AAB">
        <w:rPr>
          <w:rFonts w:ascii="Arial" w:eastAsia="Arial" w:hAnsi="Arial" w:cs="Arial"/>
        </w:rPr>
        <w:t>o</w:t>
      </w:r>
      <w:r w:rsidRPr="00EB1AAB">
        <w:rPr>
          <w:rFonts w:ascii="Arial" w:eastAsia="Arial" w:hAnsi="Arial" w:cs="Arial"/>
          <w:spacing w:val="-1"/>
        </w:rPr>
        <w:t>r</w:t>
      </w:r>
      <w:r w:rsidRPr="00EB1AAB">
        <w:rPr>
          <w:rFonts w:ascii="Arial" w:eastAsia="Arial" w:hAnsi="Arial" w:cs="Arial"/>
          <w:spacing w:val="2"/>
        </w:rPr>
        <w:t>t</w:t>
      </w:r>
      <w:r w:rsidRPr="00EB1AAB">
        <w:rPr>
          <w:rFonts w:ascii="Arial" w:eastAsia="Arial" w:hAnsi="Arial" w:cs="Arial"/>
          <w:spacing w:val="1"/>
        </w:rPr>
        <w:t>is</w:t>
      </w:r>
      <w:r w:rsidRPr="00EB1AAB">
        <w:rPr>
          <w:rFonts w:ascii="Arial" w:eastAsia="Arial" w:hAnsi="Arial" w:cs="Arial"/>
          <w:spacing w:val="-3"/>
        </w:rPr>
        <w:t>e</w:t>
      </w:r>
      <w:r w:rsidRPr="00EB1AAB">
        <w:rPr>
          <w:rFonts w:ascii="Arial" w:eastAsia="Arial" w:hAnsi="Arial" w:cs="Arial"/>
        </w:rPr>
        <w:t>d</w:t>
      </w:r>
      <w:r w:rsidRPr="00EB1AAB">
        <w:rPr>
          <w:rFonts w:ascii="Arial" w:eastAsia="Arial" w:hAnsi="Arial" w:cs="Arial"/>
          <w:spacing w:val="13"/>
        </w:rPr>
        <w:t xml:space="preserve"> </w:t>
      </w:r>
      <w:r w:rsidRPr="00EB1AAB">
        <w:rPr>
          <w:rFonts w:ascii="Arial" w:eastAsia="Arial" w:hAnsi="Arial" w:cs="Arial"/>
          <w:spacing w:val="1"/>
        </w:rPr>
        <w:t>c</w:t>
      </w:r>
      <w:r w:rsidRPr="00EB1AAB">
        <w:rPr>
          <w:rFonts w:ascii="Arial" w:eastAsia="Arial" w:hAnsi="Arial" w:cs="Arial"/>
          <w:spacing w:val="-3"/>
        </w:rPr>
        <w:t>o</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5"/>
        </w:rPr>
        <w:t xml:space="preserve"> </w:t>
      </w:r>
      <w:r w:rsidRPr="00EB1AAB">
        <w:rPr>
          <w:rFonts w:ascii="Arial" w:eastAsia="Arial" w:hAnsi="Arial" w:cs="Arial"/>
        </w:rPr>
        <w:t>or</w:t>
      </w:r>
      <w:r w:rsidRPr="00EB1AAB">
        <w:rPr>
          <w:rFonts w:ascii="Arial" w:eastAsia="Arial" w:hAnsi="Arial" w:cs="Arial"/>
          <w:spacing w:val="2"/>
        </w:rPr>
        <w:t xml:space="preserve"> </w:t>
      </w:r>
      <w:r w:rsidRPr="00EB1AAB">
        <w:rPr>
          <w:rFonts w:ascii="Arial" w:eastAsia="Arial" w:hAnsi="Arial" w:cs="Arial"/>
          <w:spacing w:val="1"/>
        </w:rPr>
        <w:t>FV</w:t>
      </w:r>
      <w:r w:rsidRPr="00EB1AAB">
        <w:rPr>
          <w:rFonts w:ascii="Arial" w:eastAsia="Arial" w:hAnsi="Arial" w:cs="Arial"/>
          <w:spacing w:val="-2"/>
        </w:rPr>
        <w:t>O</w:t>
      </w:r>
      <w:r w:rsidRPr="00EB1AAB">
        <w:rPr>
          <w:rFonts w:ascii="Arial" w:eastAsia="Arial" w:hAnsi="Arial" w:cs="Arial"/>
          <w:spacing w:val="-1"/>
        </w:rPr>
        <w:t>C</w:t>
      </w:r>
      <w:r w:rsidRPr="00EB1AAB">
        <w:rPr>
          <w:rFonts w:ascii="Arial" w:eastAsia="Arial" w:hAnsi="Arial" w:cs="Arial"/>
        </w:rPr>
        <w:t>I).</w:t>
      </w:r>
      <w:r w:rsidRPr="00EB1AAB">
        <w:rPr>
          <w:rFonts w:ascii="Arial" w:eastAsia="Arial" w:hAnsi="Arial" w:cs="Arial"/>
          <w:spacing w:val="10"/>
        </w:rPr>
        <w:t xml:space="preserve"> </w:t>
      </w:r>
      <w:r w:rsidRPr="00EB1AAB">
        <w:rPr>
          <w:rFonts w:ascii="Arial" w:eastAsia="Arial" w:hAnsi="Arial" w:cs="Arial"/>
          <w:spacing w:val="1"/>
          <w:w w:val="101"/>
        </w:rPr>
        <w:t>T</w:t>
      </w:r>
      <w:r w:rsidRPr="00EB1AAB">
        <w:rPr>
          <w:rFonts w:ascii="Arial" w:eastAsia="Arial" w:hAnsi="Arial" w:cs="Arial"/>
          <w:w w:val="101"/>
        </w:rPr>
        <w:t>h</w:t>
      </w:r>
      <w:r w:rsidRPr="00EB1AAB">
        <w:rPr>
          <w:rFonts w:ascii="Arial" w:eastAsia="Arial" w:hAnsi="Arial" w:cs="Arial"/>
          <w:spacing w:val="1"/>
          <w:w w:val="101"/>
        </w:rPr>
        <w:t>i</w:t>
      </w:r>
      <w:r w:rsidRPr="00EB1AAB">
        <w:rPr>
          <w:rFonts w:ascii="Arial" w:eastAsia="Arial" w:hAnsi="Arial" w:cs="Arial"/>
          <w:w w:val="101"/>
        </w:rPr>
        <w:t xml:space="preserve">s </w:t>
      </w:r>
      <w:r w:rsidRPr="00EB1AAB">
        <w:rPr>
          <w:rFonts w:ascii="Arial" w:eastAsia="Arial" w:hAnsi="Arial" w:cs="Arial"/>
        </w:rPr>
        <w:t>does</w:t>
      </w:r>
      <w:r w:rsidRPr="00EB1AAB">
        <w:rPr>
          <w:rFonts w:ascii="Arial" w:eastAsia="Arial" w:hAnsi="Arial" w:cs="Arial"/>
          <w:spacing w:val="7"/>
        </w:rPr>
        <w:t xml:space="preserve"> </w:t>
      </w:r>
      <w:r w:rsidRPr="00EB1AAB">
        <w:rPr>
          <w:rFonts w:ascii="Arial" w:eastAsia="Arial" w:hAnsi="Arial" w:cs="Arial"/>
        </w:rPr>
        <w:t>not</w:t>
      </w:r>
      <w:r w:rsidRPr="00EB1AAB">
        <w:rPr>
          <w:rFonts w:ascii="Arial" w:eastAsia="Arial" w:hAnsi="Arial" w:cs="Arial"/>
          <w:spacing w:val="4"/>
        </w:rPr>
        <w:t xml:space="preserve"> </w:t>
      </w:r>
      <w:r w:rsidRPr="00EB1AAB">
        <w:rPr>
          <w:rFonts w:ascii="Arial" w:eastAsia="Arial" w:hAnsi="Arial" w:cs="Arial"/>
          <w:spacing w:val="2"/>
        </w:rPr>
        <w:t>a</w:t>
      </w:r>
      <w:r w:rsidRPr="00EB1AAB">
        <w:rPr>
          <w:rFonts w:ascii="Arial" w:eastAsia="Arial" w:hAnsi="Arial" w:cs="Arial"/>
          <w:spacing w:val="-3"/>
        </w:rPr>
        <w:t>p</w:t>
      </w:r>
      <w:r w:rsidRPr="00EB1AAB">
        <w:rPr>
          <w:rFonts w:ascii="Arial" w:eastAsia="Arial" w:hAnsi="Arial" w:cs="Arial"/>
        </w:rPr>
        <w:t>p</w:t>
      </w:r>
      <w:r w:rsidRPr="00EB1AAB">
        <w:rPr>
          <w:rFonts w:ascii="Arial" w:eastAsia="Arial" w:hAnsi="Arial" w:cs="Arial"/>
          <w:spacing w:val="3"/>
        </w:rPr>
        <w:t>l</w:t>
      </w:r>
      <w:r w:rsidRPr="00EB1AAB">
        <w:rPr>
          <w:rFonts w:ascii="Arial" w:eastAsia="Arial" w:hAnsi="Arial" w:cs="Arial"/>
        </w:rPr>
        <w:t>y</w:t>
      </w:r>
      <w:r w:rsidRPr="00EB1AAB">
        <w:rPr>
          <w:rFonts w:ascii="Arial" w:eastAsia="Arial" w:hAnsi="Arial" w:cs="Arial"/>
          <w:spacing w:val="5"/>
        </w:rPr>
        <w:t xml:space="preserve"> </w:t>
      </w:r>
      <w:r w:rsidRPr="00EB1AAB">
        <w:rPr>
          <w:rFonts w:ascii="Arial" w:eastAsia="Arial" w:hAnsi="Arial" w:cs="Arial"/>
          <w:spacing w:val="-1"/>
        </w:rPr>
        <w:t>w</w:t>
      </w:r>
      <w:r w:rsidRPr="00EB1AAB">
        <w:rPr>
          <w:rFonts w:ascii="Arial" w:eastAsia="Arial" w:hAnsi="Arial" w:cs="Arial"/>
          <w:spacing w:val="2"/>
        </w:rPr>
        <w:t>h</w:t>
      </w:r>
      <w:r w:rsidRPr="00EB1AAB">
        <w:rPr>
          <w:rFonts w:ascii="Arial" w:eastAsia="Arial" w:hAnsi="Arial" w:cs="Arial"/>
          <w:spacing w:val="-3"/>
        </w:rPr>
        <w:t>e</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rPr>
        <w:t>the</w:t>
      </w:r>
      <w:r w:rsidRPr="00EB1AAB">
        <w:rPr>
          <w:rFonts w:ascii="Arial" w:eastAsia="Arial" w:hAnsi="Arial" w:cs="Arial"/>
          <w:spacing w:val="4"/>
        </w:rPr>
        <w:t xml:space="preserve"> </w:t>
      </w:r>
      <w:r w:rsidRPr="00EB1AAB">
        <w:rPr>
          <w:rFonts w:ascii="Arial" w:eastAsia="Arial" w:hAnsi="Arial" w:cs="Arial"/>
          <w:spacing w:val="1"/>
        </w:rPr>
        <w:t>c</w:t>
      </w:r>
      <w:r w:rsidRPr="00EB1AAB">
        <w:rPr>
          <w:rFonts w:ascii="Arial" w:eastAsia="Arial" w:hAnsi="Arial" w:cs="Arial"/>
        </w:rPr>
        <w:t>ounte</w:t>
      </w:r>
      <w:r w:rsidRPr="00EB1AAB">
        <w:rPr>
          <w:rFonts w:ascii="Arial" w:eastAsia="Arial" w:hAnsi="Arial" w:cs="Arial"/>
          <w:spacing w:val="1"/>
        </w:rPr>
        <w:t>r</w:t>
      </w:r>
      <w:r w:rsidRPr="00EB1AAB">
        <w:rPr>
          <w:rFonts w:ascii="Arial" w:eastAsia="Arial" w:hAnsi="Arial" w:cs="Arial"/>
        </w:rPr>
        <w:t>pa</w:t>
      </w:r>
      <w:r w:rsidRPr="00EB1AAB">
        <w:rPr>
          <w:rFonts w:ascii="Arial" w:eastAsia="Arial" w:hAnsi="Arial" w:cs="Arial"/>
          <w:spacing w:val="-1"/>
        </w:rPr>
        <w:t>r</w:t>
      </w:r>
      <w:r w:rsidRPr="00EB1AAB">
        <w:rPr>
          <w:rFonts w:ascii="Arial" w:eastAsia="Arial" w:hAnsi="Arial" w:cs="Arial"/>
          <w:spacing w:val="2"/>
        </w:rPr>
        <w:t>t</w:t>
      </w:r>
      <w:r w:rsidRPr="00EB1AAB">
        <w:rPr>
          <w:rFonts w:ascii="Arial" w:eastAsia="Arial" w:hAnsi="Arial" w:cs="Arial"/>
        </w:rPr>
        <w:t>y</w:t>
      </w:r>
      <w:r w:rsidRPr="00EB1AAB">
        <w:rPr>
          <w:rFonts w:ascii="Arial" w:eastAsia="Arial" w:hAnsi="Arial" w:cs="Arial"/>
          <w:spacing w:val="13"/>
        </w:rPr>
        <w:t xml:space="preserve"> </w:t>
      </w:r>
      <w:r w:rsidRPr="00EB1AAB">
        <w:rPr>
          <w:rFonts w:ascii="Arial" w:eastAsia="Arial" w:hAnsi="Arial" w:cs="Arial"/>
          <w:spacing w:val="1"/>
        </w:rPr>
        <w:t>i</w:t>
      </w:r>
      <w:r w:rsidRPr="00EB1AAB">
        <w:rPr>
          <w:rFonts w:ascii="Arial" w:eastAsia="Arial" w:hAnsi="Arial" w:cs="Arial"/>
        </w:rPr>
        <w:t>s</w:t>
      </w:r>
      <w:r w:rsidRPr="00EB1AAB">
        <w:rPr>
          <w:rFonts w:ascii="Arial" w:eastAsia="Arial" w:hAnsi="Arial" w:cs="Arial"/>
          <w:spacing w:val="4"/>
        </w:rPr>
        <w:t xml:space="preserve"> </w:t>
      </w:r>
      <w:r w:rsidRPr="00EB1AAB">
        <w:rPr>
          <w:rFonts w:ascii="Arial" w:eastAsia="Arial" w:hAnsi="Arial" w:cs="Arial"/>
          <w:spacing w:val="1"/>
        </w:rPr>
        <w:t>c</w:t>
      </w:r>
      <w:r w:rsidRPr="00EB1AAB">
        <w:rPr>
          <w:rFonts w:ascii="Arial" w:eastAsia="Arial" w:hAnsi="Arial" w:cs="Arial"/>
          <w:spacing w:val="-2"/>
        </w:rPr>
        <w:t>e</w:t>
      </w:r>
      <w:r w:rsidRPr="00EB1AAB">
        <w:rPr>
          <w:rFonts w:ascii="Arial" w:eastAsia="Arial" w:hAnsi="Arial" w:cs="Arial"/>
        </w:rPr>
        <w:t>n</w:t>
      </w:r>
      <w:r w:rsidRPr="00EB1AAB">
        <w:rPr>
          <w:rFonts w:ascii="Arial" w:eastAsia="Arial" w:hAnsi="Arial" w:cs="Arial"/>
          <w:spacing w:val="2"/>
        </w:rPr>
        <w:t>t</w:t>
      </w:r>
      <w:r w:rsidRPr="00EB1AAB">
        <w:rPr>
          <w:rFonts w:ascii="Arial" w:eastAsia="Arial" w:hAnsi="Arial" w:cs="Arial"/>
          <w:spacing w:val="-1"/>
        </w:rPr>
        <w:t>r</w:t>
      </w:r>
      <w:r w:rsidRPr="00EB1AAB">
        <w:rPr>
          <w:rFonts w:ascii="Arial" w:eastAsia="Arial" w:hAnsi="Arial" w:cs="Arial"/>
        </w:rPr>
        <w:t>al</w:t>
      </w:r>
      <w:r w:rsidRPr="00EB1AAB">
        <w:rPr>
          <w:rFonts w:ascii="Arial" w:eastAsia="Arial" w:hAnsi="Arial" w:cs="Arial"/>
          <w:spacing w:val="11"/>
        </w:rPr>
        <w:t xml:space="preserve"> </w:t>
      </w:r>
      <w:r w:rsidRPr="00EB1AAB">
        <w:rPr>
          <w:rFonts w:ascii="Arial" w:eastAsia="Arial" w:hAnsi="Arial" w:cs="Arial"/>
          <w:spacing w:val="-2"/>
        </w:rPr>
        <w:t>g</w:t>
      </w:r>
      <w:r w:rsidRPr="00EB1AAB">
        <w:rPr>
          <w:rFonts w:ascii="Arial" w:eastAsia="Arial" w:hAnsi="Arial" w:cs="Arial"/>
        </w:rPr>
        <w:t>o</w:t>
      </w:r>
      <w:r w:rsidRPr="00EB1AAB">
        <w:rPr>
          <w:rFonts w:ascii="Arial" w:eastAsia="Arial" w:hAnsi="Arial" w:cs="Arial"/>
          <w:spacing w:val="1"/>
        </w:rPr>
        <w:t>v</w:t>
      </w:r>
      <w:r w:rsidRPr="00EB1AAB">
        <w:rPr>
          <w:rFonts w:ascii="Arial" w:eastAsia="Arial" w:hAnsi="Arial" w:cs="Arial"/>
        </w:rPr>
        <w:t>e</w:t>
      </w:r>
      <w:r w:rsidRPr="00EB1AAB">
        <w:rPr>
          <w:rFonts w:ascii="Arial" w:eastAsia="Arial" w:hAnsi="Arial" w:cs="Arial"/>
          <w:spacing w:val="1"/>
        </w:rPr>
        <w:t>r</w:t>
      </w:r>
      <w:r w:rsidRPr="00EB1AAB">
        <w:rPr>
          <w:rFonts w:ascii="Arial" w:eastAsia="Arial" w:hAnsi="Arial" w:cs="Arial"/>
          <w:spacing w:val="-2"/>
        </w:rPr>
        <w:t>n</w:t>
      </w:r>
      <w:r w:rsidRPr="00EB1AAB">
        <w:rPr>
          <w:rFonts w:ascii="Arial" w:eastAsia="Arial" w:hAnsi="Arial" w:cs="Arial"/>
          <w:spacing w:val="2"/>
        </w:rPr>
        <w:t>m</w:t>
      </w:r>
      <w:r w:rsidRPr="00EB1AAB">
        <w:rPr>
          <w:rFonts w:ascii="Arial" w:eastAsia="Arial" w:hAnsi="Arial" w:cs="Arial"/>
        </w:rPr>
        <w:t>e</w:t>
      </w:r>
      <w:r w:rsidRPr="00EB1AAB">
        <w:rPr>
          <w:rFonts w:ascii="Arial" w:eastAsia="Arial" w:hAnsi="Arial" w:cs="Arial"/>
          <w:spacing w:val="-3"/>
        </w:rPr>
        <w:t>n</w:t>
      </w:r>
      <w:r w:rsidRPr="00EB1AAB">
        <w:rPr>
          <w:rFonts w:ascii="Arial" w:eastAsia="Arial" w:hAnsi="Arial" w:cs="Arial"/>
        </w:rPr>
        <w:t>t</w:t>
      </w:r>
      <w:r w:rsidRPr="00EB1AAB">
        <w:rPr>
          <w:rFonts w:ascii="Arial" w:eastAsia="Arial" w:hAnsi="Arial" w:cs="Arial"/>
          <w:spacing w:val="15"/>
        </w:rPr>
        <w:t xml:space="preserve"> </w:t>
      </w:r>
      <w:r w:rsidRPr="00EB1AAB">
        <w:rPr>
          <w:rFonts w:ascii="Arial" w:eastAsia="Arial" w:hAnsi="Arial" w:cs="Arial"/>
        </w:rPr>
        <w:t>or</w:t>
      </w:r>
      <w:r w:rsidRPr="00EB1AAB">
        <w:rPr>
          <w:rFonts w:ascii="Arial" w:eastAsia="Arial" w:hAnsi="Arial" w:cs="Arial"/>
          <w:spacing w:val="4"/>
        </w:rPr>
        <w:t xml:space="preserve"> </w:t>
      </w:r>
      <w:r w:rsidRPr="00EB1AAB">
        <w:rPr>
          <w:rFonts w:ascii="Arial" w:eastAsia="Arial" w:hAnsi="Arial" w:cs="Arial"/>
        </w:rPr>
        <w:t>an</w:t>
      </w:r>
      <w:r w:rsidRPr="00EB1AAB">
        <w:rPr>
          <w:rFonts w:ascii="Arial" w:eastAsia="Arial" w:hAnsi="Arial" w:cs="Arial"/>
          <w:spacing w:val="-3"/>
        </w:rPr>
        <w:t>o</w:t>
      </w:r>
      <w:r w:rsidRPr="00EB1AAB">
        <w:rPr>
          <w:rFonts w:ascii="Arial" w:eastAsia="Arial" w:hAnsi="Arial" w:cs="Arial"/>
          <w:spacing w:val="2"/>
        </w:rPr>
        <w:t>t</w:t>
      </w:r>
      <w:r w:rsidRPr="00EB1AAB">
        <w:rPr>
          <w:rFonts w:ascii="Arial" w:eastAsia="Arial" w:hAnsi="Arial" w:cs="Arial"/>
        </w:rPr>
        <w:t>her</w:t>
      </w:r>
      <w:r w:rsidRPr="00EB1AAB">
        <w:rPr>
          <w:rFonts w:ascii="Arial" w:eastAsia="Arial" w:hAnsi="Arial" w:cs="Arial"/>
          <w:spacing w:val="11"/>
        </w:rPr>
        <w:t xml:space="preserve"> </w:t>
      </w:r>
      <w:r w:rsidRPr="00EB1AAB">
        <w:rPr>
          <w:rFonts w:ascii="Arial" w:eastAsia="Arial" w:hAnsi="Arial" w:cs="Arial"/>
          <w:spacing w:val="1"/>
        </w:rPr>
        <w:t>l</w:t>
      </w:r>
      <w:r w:rsidRPr="00EB1AAB">
        <w:rPr>
          <w:rFonts w:ascii="Arial" w:eastAsia="Arial" w:hAnsi="Arial" w:cs="Arial"/>
        </w:rPr>
        <w:t>o</w:t>
      </w:r>
      <w:r w:rsidRPr="00EB1AAB">
        <w:rPr>
          <w:rFonts w:ascii="Arial" w:eastAsia="Arial" w:hAnsi="Arial" w:cs="Arial"/>
          <w:spacing w:val="-2"/>
        </w:rPr>
        <w:t>c</w:t>
      </w:r>
      <w:r w:rsidRPr="00EB1AAB">
        <w:rPr>
          <w:rFonts w:ascii="Arial" w:eastAsia="Arial" w:hAnsi="Arial" w:cs="Arial"/>
        </w:rPr>
        <w:t>al</w:t>
      </w:r>
      <w:r w:rsidRPr="00EB1AAB">
        <w:rPr>
          <w:rFonts w:ascii="Arial" w:eastAsia="Arial" w:hAnsi="Arial" w:cs="Arial"/>
          <w:spacing w:val="9"/>
        </w:rPr>
        <w:t xml:space="preserve"> </w:t>
      </w:r>
      <w:r w:rsidRPr="00EB1AAB">
        <w:rPr>
          <w:rFonts w:ascii="Arial" w:eastAsia="Arial" w:hAnsi="Arial" w:cs="Arial"/>
          <w:spacing w:val="-3"/>
          <w:w w:val="101"/>
        </w:rPr>
        <w:t>a</w:t>
      </w:r>
      <w:r w:rsidRPr="00EB1AAB">
        <w:rPr>
          <w:rFonts w:ascii="Arial" w:eastAsia="Arial" w:hAnsi="Arial" w:cs="Arial"/>
          <w:w w:val="101"/>
        </w:rPr>
        <w:t>u</w:t>
      </w:r>
      <w:r w:rsidRPr="00EB1AAB">
        <w:rPr>
          <w:rFonts w:ascii="Arial" w:eastAsia="Arial" w:hAnsi="Arial" w:cs="Arial"/>
          <w:spacing w:val="-1"/>
          <w:w w:val="101"/>
        </w:rPr>
        <w:t>t</w:t>
      </w:r>
      <w:r w:rsidRPr="00EB1AAB">
        <w:rPr>
          <w:rFonts w:ascii="Arial" w:eastAsia="Arial" w:hAnsi="Arial" w:cs="Arial"/>
          <w:w w:val="101"/>
        </w:rPr>
        <w:t>ho</w:t>
      </w:r>
      <w:r w:rsidRPr="00EB1AAB">
        <w:rPr>
          <w:rFonts w:ascii="Arial" w:eastAsia="Arial" w:hAnsi="Arial" w:cs="Arial"/>
          <w:spacing w:val="-1"/>
          <w:w w:val="101"/>
        </w:rPr>
        <w:t>r</w:t>
      </w:r>
      <w:r w:rsidRPr="00EB1AAB">
        <w:rPr>
          <w:rFonts w:ascii="Arial" w:eastAsia="Arial" w:hAnsi="Arial" w:cs="Arial"/>
          <w:spacing w:val="1"/>
          <w:w w:val="101"/>
        </w:rPr>
        <w:t>i</w:t>
      </w:r>
      <w:r w:rsidRPr="00EB1AAB">
        <w:rPr>
          <w:rFonts w:ascii="Arial" w:eastAsia="Arial" w:hAnsi="Arial" w:cs="Arial"/>
          <w:spacing w:val="5"/>
          <w:w w:val="101"/>
        </w:rPr>
        <w:t>t</w:t>
      </w:r>
      <w:r w:rsidRPr="00EB1AAB">
        <w:rPr>
          <w:rFonts w:ascii="Arial" w:eastAsia="Arial" w:hAnsi="Arial" w:cs="Arial"/>
          <w:spacing w:val="-6"/>
          <w:w w:val="101"/>
        </w:rPr>
        <w:t>y</w:t>
      </w:r>
      <w:r w:rsidRPr="00EB1AAB">
        <w:rPr>
          <w:rFonts w:ascii="Arial" w:eastAsia="Arial" w:hAnsi="Arial" w:cs="Arial"/>
          <w:w w:val="101"/>
        </w:rPr>
        <w:t>.</w:t>
      </w:r>
    </w:p>
    <w:p w14:paraId="62F02A34" w14:textId="77777777" w:rsidR="00655E4C" w:rsidRPr="00EB1AAB" w:rsidRDefault="00655E4C" w:rsidP="00655E4C">
      <w:pPr>
        <w:spacing w:before="6"/>
        <w:ind w:right="102"/>
        <w:rPr>
          <w:rFonts w:ascii="Arial" w:eastAsia="Arial" w:hAnsi="Arial" w:cs="Arial"/>
          <w:w w:val="101"/>
        </w:rPr>
      </w:pPr>
    </w:p>
    <w:p w14:paraId="32900394" w14:textId="77777777" w:rsidR="00655E4C" w:rsidRPr="00EB1AAB" w:rsidRDefault="00655E4C" w:rsidP="00655E4C">
      <w:pPr>
        <w:spacing w:before="33"/>
        <w:ind w:right="54"/>
        <w:rPr>
          <w:rFonts w:ascii="Arial" w:eastAsia="Arial" w:hAnsi="Arial" w:cs="Arial"/>
        </w:rPr>
      </w:pPr>
      <w:r w:rsidRPr="00EB1AAB">
        <w:rPr>
          <w:rFonts w:ascii="Arial" w:eastAsia="Arial" w:hAnsi="Arial" w:cs="Arial"/>
        </w:rPr>
        <w:t>At</w:t>
      </w:r>
      <w:r w:rsidRPr="00EB1AAB">
        <w:rPr>
          <w:rFonts w:ascii="Arial" w:eastAsia="Arial" w:hAnsi="Arial" w:cs="Arial"/>
          <w:spacing w:val="6"/>
        </w:rPr>
        <w:t xml:space="preserve"> </w:t>
      </w:r>
      <w:r w:rsidRPr="00EB1AAB">
        <w:rPr>
          <w:rFonts w:ascii="Arial" w:eastAsia="Arial" w:hAnsi="Arial" w:cs="Arial"/>
          <w:spacing w:val="-3"/>
        </w:rPr>
        <w:t>e</w:t>
      </w:r>
      <w:r w:rsidRPr="00EB1AAB">
        <w:rPr>
          <w:rFonts w:ascii="Arial" w:eastAsia="Arial" w:hAnsi="Arial" w:cs="Arial"/>
        </w:rPr>
        <w:t>a</w:t>
      </w:r>
      <w:r w:rsidRPr="00EB1AAB">
        <w:rPr>
          <w:rFonts w:ascii="Arial" w:eastAsia="Arial" w:hAnsi="Arial" w:cs="Arial"/>
          <w:spacing w:val="-2"/>
        </w:rPr>
        <w:t>c</w:t>
      </w:r>
      <w:r w:rsidRPr="00EB1AAB">
        <w:rPr>
          <w:rFonts w:ascii="Arial" w:eastAsia="Arial" w:hAnsi="Arial" w:cs="Arial"/>
        </w:rPr>
        <w:t>h</w:t>
      </w:r>
      <w:r w:rsidRPr="00EB1AAB">
        <w:rPr>
          <w:rFonts w:ascii="Arial" w:eastAsia="Arial" w:hAnsi="Arial" w:cs="Arial"/>
          <w:spacing w:val="9"/>
        </w:rPr>
        <w:t xml:space="preserve"> </w:t>
      </w:r>
      <w:r w:rsidRPr="00EB1AAB">
        <w:rPr>
          <w:rFonts w:ascii="Arial" w:eastAsia="Arial" w:hAnsi="Arial" w:cs="Arial"/>
          <w:spacing w:val="-2"/>
        </w:rPr>
        <w:t>y</w:t>
      </w:r>
      <w:r w:rsidRPr="00EB1AAB">
        <w:rPr>
          <w:rFonts w:ascii="Arial" w:eastAsia="Arial" w:hAnsi="Arial" w:cs="Arial"/>
        </w:rPr>
        <w:t>ear</w:t>
      </w:r>
      <w:r w:rsidRPr="00EB1AAB">
        <w:rPr>
          <w:rFonts w:ascii="Arial" w:eastAsia="Arial" w:hAnsi="Arial" w:cs="Arial"/>
          <w:spacing w:val="6"/>
        </w:rPr>
        <w:t xml:space="preserve"> </w:t>
      </w:r>
      <w:r w:rsidRPr="00EB1AAB">
        <w:rPr>
          <w:rFonts w:ascii="Arial" w:eastAsia="Arial" w:hAnsi="Arial" w:cs="Arial"/>
        </w:rPr>
        <w:t>end,</w:t>
      </w:r>
      <w:r w:rsidRPr="00EB1AAB">
        <w:rPr>
          <w:rFonts w:ascii="Arial" w:eastAsia="Arial" w:hAnsi="Arial" w:cs="Arial"/>
          <w:spacing w:val="4"/>
        </w:rPr>
        <w:t xml:space="preserve"> </w:t>
      </w:r>
      <w:r w:rsidRPr="00EB1AAB">
        <w:rPr>
          <w:rFonts w:ascii="Arial" w:eastAsia="Arial" w:hAnsi="Arial" w:cs="Arial"/>
        </w:rPr>
        <w:t>t</w:t>
      </w:r>
      <w:r w:rsidRPr="00EB1AAB">
        <w:rPr>
          <w:rFonts w:ascii="Arial" w:eastAsia="Arial" w:hAnsi="Arial" w:cs="Arial"/>
          <w:spacing w:val="2"/>
        </w:rPr>
        <w:t>h</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spacing w:val="1"/>
        </w:rPr>
        <w:t>l</w:t>
      </w:r>
      <w:r w:rsidRPr="00EB1AAB">
        <w:rPr>
          <w:rFonts w:ascii="Arial" w:eastAsia="Arial" w:hAnsi="Arial" w:cs="Arial"/>
        </w:rPr>
        <w:t>o</w:t>
      </w:r>
      <w:r w:rsidRPr="00EB1AAB">
        <w:rPr>
          <w:rFonts w:ascii="Arial" w:eastAsia="Arial" w:hAnsi="Arial" w:cs="Arial"/>
          <w:spacing w:val="-2"/>
        </w:rPr>
        <w:t>s</w:t>
      </w:r>
      <w:r w:rsidRPr="00EB1AAB">
        <w:rPr>
          <w:rFonts w:ascii="Arial" w:eastAsia="Arial" w:hAnsi="Arial" w:cs="Arial"/>
        </w:rPr>
        <w:t>s</w:t>
      </w:r>
      <w:r w:rsidRPr="00EB1AAB">
        <w:rPr>
          <w:rFonts w:ascii="Arial" w:eastAsia="Arial" w:hAnsi="Arial" w:cs="Arial"/>
          <w:spacing w:val="6"/>
        </w:rPr>
        <w:t xml:space="preserve"> </w:t>
      </w:r>
      <w:r w:rsidRPr="00EB1AAB">
        <w:rPr>
          <w:rFonts w:ascii="Arial" w:eastAsia="Arial" w:hAnsi="Arial" w:cs="Arial"/>
        </w:rPr>
        <w:t>a</w:t>
      </w:r>
      <w:r w:rsidRPr="00EB1AAB">
        <w:rPr>
          <w:rFonts w:ascii="Arial" w:eastAsia="Arial" w:hAnsi="Arial" w:cs="Arial"/>
          <w:spacing w:val="1"/>
        </w:rPr>
        <w:t>l</w:t>
      </w:r>
      <w:r w:rsidRPr="00EB1AAB">
        <w:rPr>
          <w:rFonts w:ascii="Arial" w:eastAsia="Arial" w:hAnsi="Arial" w:cs="Arial"/>
          <w:spacing w:val="4"/>
        </w:rPr>
        <w:t>l</w:t>
      </w:r>
      <w:r w:rsidRPr="00EB1AAB">
        <w:rPr>
          <w:rFonts w:ascii="Arial" w:eastAsia="Arial" w:hAnsi="Arial" w:cs="Arial"/>
          <w:spacing w:val="-3"/>
        </w:rPr>
        <w:t>o</w:t>
      </w:r>
      <w:r w:rsidRPr="00EB1AAB">
        <w:rPr>
          <w:rFonts w:ascii="Arial" w:eastAsia="Arial" w:hAnsi="Arial" w:cs="Arial"/>
          <w:spacing w:val="-1"/>
        </w:rPr>
        <w:t>w</w:t>
      </w:r>
      <w:r w:rsidRPr="00EB1AAB">
        <w:rPr>
          <w:rFonts w:ascii="Arial" w:eastAsia="Arial" w:hAnsi="Arial" w:cs="Arial"/>
          <w:spacing w:val="2"/>
        </w:rPr>
        <w:t>a</w:t>
      </w:r>
      <w:r w:rsidRPr="00EB1AAB">
        <w:rPr>
          <w:rFonts w:ascii="Arial" w:eastAsia="Arial" w:hAnsi="Arial" w:cs="Arial"/>
          <w:spacing w:val="-3"/>
        </w:rPr>
        <w:t>n</w:t>
      </w:r>
      <w:r w:rsidRPr="00EB1AAB">
        <w:rPr>
          <w:rFonts w:ascii="Arial" w:eastAsia="Arial" w:hAnsi="Arial" w:cs="Arial"/>
          <w:spacing w:val="1"/>
        </w:rPr>
        <w:t>c</w:t>
      </w:r>
      <w:r w:rsidRPr="00EB1AAB">
        <w:rPr>
          <w:rFonts w:ascii="Arial" w:eastAsia="Arial" w:hAnsi="Arial" w:cs="Arial"/>
        </w:rPr>
        <w:t>e</w:t>
      </w:r>
      <w:r w:rsidRPr="00EB1AAB">
        <w:rPr>
          <w:rFonts w:ascii="Arial" w:eastAsia="Arial" w:hAnsi="Arial" w:cs="Arial"/>
          <w:spacing w:val="11"/>
        </w:rPr>
        <w:t xml:space="preserve"> </w:t>
      </w:r>
      <w:r w:rsidRPr="00EB1AAB">
        <w:rPr>
          <w:rFonts w:ascii="Arial" w:eastAsia="Arial" w:hAnsi="Arial" w:cs="Arial"/>
          <w:spacing w:val="2"/>
        </w:rPr>
        <w:t>f</w:t>
      </w:r>
      <w:r w:rsidRPr="00EB1AAB">
        <w:rPr>
          <w:rFonts w:ascii="Arial" w:eastAsia="Arial" w:hAnsi="Arial" w:cs="Arial"/>
          <w:spacing w:val="-3"/>
        </w:rPr>
        <w:t>o</w:t>
      </w:r>
      <w:r w:rsidRPr="00EB1AAB">
        <w:rPr>
          <w:rFonts w:ascii="Arial" w:eastAsia="Arial" w:hAnsi="Arial" w:cs="Arial"/>
        </w:rPr>
        <w:t>r</w:t>
      </w:r>
      <w:r w:rsidRPr="00EB1AAB">
        <w:rPr>
          <w:rFonts w:ascii="Arial" w:eastAsia="Arial" w:hAnsi="Arial" w:cs="Arial"/>
          <w:spacing w:val="5"/>
        </w:rPr>
        <w:t xml:space="preserve"> </w:t>
      </w:r>
      <w:r w:rsidRPr="00EB1AAB">
        <w:rPr>
          <w:rFonts w:ascii="Arial" w:eastAsia="Arial" w:hAnsi="Arial" w:cs="Arial"/>
        </w:rPr>
        <w:t>a</w:t>
      </w:r>
      <w:r w:rsidRPr="00EB1AAB">
        <w:rPr>
          <w:rFonts w:ascii="Arial" w:eastAsia="Arial" w:hAnsi="Arial" w:cs="Arial"/>
          <w:spacing w:val="2"/>
        </w:rPr>
        <w:t xml:space="preserve"> f</w:t>
      </w:r>
      <w:r w:rsidRPr="00EB1AAB">
        <w:rPr>
          <w:rFonts w:ascii="Arial" w:eastAsia="Arial" w:hAnsi="Arial" w:cs="Arial"/>
          <w:spacing w:val="1"/>
        </w:rPr>
        <w:t>i</w:t>
      </w:r>
      <w:r w:rsidRPr="00EB1AAB">
        <w:rPr>
          <w:rFonts w:ascii="Arial" w:eastAsia="Arial" w:hAnsi="Arial" w:cs="Arial"/>
          <w:spacing w:val="-3"/>
        </w:rPr>
        <w:t>na</w:t>
      </w:r>
      <w:r w:rsidRPr="00EB1AAB">
        <w:rPr>
          <w:rFonts w:ascii="Arial" w:eastAsia="Arial" w:hAnsi="Arial" w:cs="Arial"/>
        </w:rPr>
        <w:t>n</w:t>
      </w:r>
      <w:r w:rsidRPr="00EB1AAB">
        <w:rPr>
          <w:rFonts w:ascii="Arial" w:eastAsia="Arial" w:hAnsi="Arial" w:cs="Arial"/>
          <w:spacing w:val="-2"/>
        </w:rPr>
        <w:t>c</w:t>
      </w:r>
      <w:r w:rsidRPr="00EB1AAB">
        <w:rPr>
          <w:rFonts w:ascii="Arial" w:eastAsia="Arial" w:hAnsi="Arial" w:cs="Arial"/>
          <w:spacing w:val="4"/>
        </w:rPr>
        <w:t>i</w:t>
      </w:r>
      <w:r w:rsidRPr="00EB1AAB">
        <w:rPr>
          <w:rFonts w:ascii="Arial" w:eastAsia="Arial" w:hAnsi="Arial" w:cs="Arial"/>
          <w:spacing w:val="-3"/>
        </w:rPr>
        <w:t>a</w:t>
      </w:r>
      <w:r w:rsidRPr="00EB1AAB">
        <w:rPr>
          <w:rFonts w:ascii="Arial" w:eastAsia="Arial" w:hAnsi="Arial" w:cs="Arial"/>
        </w:rPr>
        <w:t>l</w:t>
      </w:r>
      <w:r w:rsidRPr="00EB1AAB">
        <w:rPr>
          <w:rFonts w:ascii="Arial" w:eastAsia="Arial" w:hAnsi="Arial" w:cs="Arial"/>
          <w:spacing w:val="12"/>
        </w:rPr>
        <w:t xml:space="preserve"> </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1"/>
        </w:rPr>
        <w:t>r</w:t>
      </w:r>
      <w:r w:rsidRPr="00EB1AAB">
        <w:rPr>
          <w:rFonts w:ascii="Arial" w:eastAsia="Arial" w:hAnsi="Arial" w:cs="Arial"/>
          <w:spacing w:val="-2"/>
        </w:rPr>
        <w:t>u</w:t>
      </w:r>
      <w:r w:rsidRPr="00EB1AAB">
        <w:rPr>
          <w:rFonts w:ascii="Arial" w:eastAsia="Arial" w:hAnsi="Arial" w:cs="Arial"/>
          <w:spacing w:val="2"/>
        </w:rPr>
        <w:t>m</w:t>
      </w:r>
      <w:r w:rsidRPr="00EB1AAB">
        <w:rPr>
          <w:rFonts w:ascii="Arial" w:eastAsia="Arial" w:hAnsi="Arial" w:cs="Arial"/>
        </w:rPr>
        <w:t>e</w:t>
      </w:r>
      <w:r w:rsidRPr="00EB1AAB">
        <w:rPr>
          <w:rFonts w:ascii="Arial" w:eastAsia="Arial" w:hAnsi="Arial" w:cs="Arial"/>
          <w:spacing w:val="-3"/>
        </w:rPr>
        <w:t>n</w:t>
      </w:r>
      <w:r w:rsidRPr="00EB1AAB">
        <w:rPr>
          <w:rFonts w:ascii="Arial" w:eastAsia="Arial" w:hAnsi="Arial" w:cs="Arial"/>
        </w:rPr>
        <w:t>t</w:t>
      </w:r>
      <w:r w:rsidRPr="00EB1AAB">
        <w:rPr>
          <w:rFonts w:ascii="Arial" w:eastAsia="Arial" w:hAnsi="Arial" w:cs="Arial"/>
          <w:spacing w:val="14"/>
        </w:rPr>
        <w:t xml:space="preserve"> </w:t>
      </w:r>
      <w:r w:rsidRPr="00EB1AAB">
        <w:rPr>
          <w:rFonts w:ascii="Arial" w:eastAsia="Arial" w:hAnsi="Arial" w:cs="Arial"/>
          <w:spacing w:val="1"/>
        </w:rPr>
        <w:t>i</w:t>
      </w:r>
      <w:r w:rsidRPr="00EB1AAB">
        <w:rPr>
          <w:rFonts w:ascii="Arial" w:eastAsia="Arial" w:hAnsi="Arial" w:cs="Arial"/>
        </w:rPr>
        <w:t>s</w:t>
      </w:r>
      <w:r w:rsidRPr="00EB1AAB">
        <w:rPr>
          <w:rFonts w:ascii="Arial" w:eastAsia="Arial" w:hAnsi="Arial" w:cs="Arial"/>
          <w:spacing w:val="4"/>
        </w:rPr>
        <w:t xml:space="preserve"> </w:t>
      </w:r>
      <w:r w:rsidRPr="00EB1AAB">
        <w:rPr>
          <w:rFonts w:ascii="Arial" w:eastAsia="Arial" w:hAnsi="Arial" w:cs="Arial"/>
          <w:spacing w:val="1"/>
        </w:rPr>
        <w:t>c</w:t>
      </w:r>
      <w:r w:rsidRPr="00EB1AAB">
        <w:rPr>
          <w:rFonts w:ascii="Arial" w:eastAsia="Arial" w:hAnsi="Arial" w:cs="Arial"/>
          <w:spacing w:val="-3"/>
        </w:rPr>
        <w:t>a</w:t>
      </w:r>
      <w:r w:rsidRPr="00EB1AAB">
        <w:rPr>
          <w:rFonts w:ascii="Arial" w:eastAsia="Arial" w:hAnsi="Arial" w:cs="Arial"/>
          <w:spacing w:val="4"/>
        </w:rPr>
        <w:t>l</w:t>
      </w:r>
      <w:r w:rsidRPr="00EB1AAB">
        <w:rPr>
          <w:rFonts w:ascii="Arial" w:eastAsia="Arial" w:hAnsi="Arial" w:cs="Arial"/>
          <w:spacing w:val="-2"/>
        </w:rPr>
        <w:t>c</w:t>
      </w:r>
      <w:r w:rsidRPr="00EB1AAB">
        <w:rPr>
          <w:rFonts w:ascii="Arial" w:eastAsia="Arial" w:hAnsi="Arial" w:cs="Arial"/>
        </w:rPr>
        <w:t>u</w:t>
      </w:r>
      <w:r w:rsidRPr="00EB1AAB">
        <w:rPr>
          <w:rFonts w:ascii="Arial" w:eastAsia="Arial" w:hAnsi="Arial" w:cs="Arial"/>
          <w:spacing w:val="1"/>
        </w:rPr>
        <w:t>l</w:t>
      </w:r>
      <w:r w:rsidRPr="00EB1AAB">
        <w:rPr>
          <w:rFonts w:ascii="Arial" w:eastAsia="Arial" w:hAnsi="Arial" w:cs="Arial"/>
        </w:rPr>
        <w:t>ated</w:t>
      </w:r>
      <w:r w:rsidRPr="00EB1AAB">
        <w:rPr>
          <w:rFonts w:ascii="Arial" w:eastAsia="Arial" w:hAnsi="Arial" w:cs="Arial"/>
          <w:spacing w:val="11"/>
        </w:rPr>
        <w:t xml:space="preserve"> </w:t>
      </w:r>
      <w:r w:rsidRPr="00EB1AAB">
        <w:rPr>
          <w:rFonts w:ascii="Arial" w:eastAsia="Arial" w:hAnsi="Arial" w:cs="Arial"/>
        </w:rPr>
        <w:t>as</w:t>
      </w:r>
      <w:r w:rsidRPr="00EB1AAB">
        <w:rPr>
          <w:rFonts w:ascii="Arial" w:eastAsia="Arial" w:hAnsi="Arial" w:cs="Arial"/>
          <w:spacing w:val="3"/>
        </w:rPr>
        <w:t xml:space="preserve"> </w:t>
      </w:r>
      <w:r w:rsidRPr="00EB1AAB">
        <w:rPr>
          <w:rFonts w:ascii="Arial" w:eastAsia="Arial" w:hAnsi="Arial" w:cs="Arial"/>
        </w:rPr>
        <w:t>e</w:t>
      </w:r>
      <w:r w:rsidRPr="00EB1AAB">
        <w:rPr>
          <w:rFonts w:ascii="Arial" w:eastAsia="Arial" w:hAnsi="Arial" w:cs="Arial"/>
          <w:spacing w:val="2"/>
        </w:rPr>
        <w:t>q</w:t>
      </w:r>
      <w:r w:rsidRPr="00EB1AAB">
        <w:rPr>
          <w:rFonts w:ascii="Arial" w:eastAsia="Arial" w:hAnsi="Arial" w:cs="Arial"/>
          <w:spacing w:val="-3"/>
        </w:rPr>
        <w:t>u</w:t>
      </w:r>
      <w:r w:rsidRPr="00EB1AAB">
        <w:rPr>
          <w:rFonts w:ascii="Arial" w:eastAsia="Arial" w:hAnsi="Arial" w:cs="Arial"/>
        </w:rPr>
        <w:t>al</w:t>
      </w:r>
      <w:r w:rsidRPr="00EB1AAB">
        <w:rPr>
          <w:rFonts w:ascii="Arial" w:eastAsia="Arial" w:hAnsi="Arial" w:cs="Arial"/>
          <w:spacing w:val="10"/>
        </w:rPr>
        <w:t xml:space="preserve"> </w:t>
      </w:r>
      <w:r w:rsidRPr="00EB1AAB">
        <w:rPr>
          <w:rFonts w:ascii="Arial" w:eastAsia="Arial" w:hAnsi="Arial" w:cs="Arial"/>
          <w:w w:val="101"/>
        </w:rPr>
        <w:t xml:space="preserve">to </w:t>
      </w:r>
      <w:r w:rsidRPr="00EB1AAB">
        <w:rPr>
          <w:rFonts w:ascii="Arial" w:eastAsia="Arial" w:hAnsi="Arial" w:cs="Arial"/>
        </w:rPr>
        <w:t>the</w:t>
      </w:r>
      <w:r w:rsidRPr="00EB1AAB">
        <w:rPr>
          <w:rFonts w:ascii="Arial" w:eastAsia="Arial" w:hAnsi="Arial" w:cs="Arial"/>
          <w:spacing w:val="4"/>
        </w:rPr>
        <w:t xml:space="preserve"> </w:t>
      </w:r>
      <w:r w:rsidRPr="00EB1AAB">
        <w:rPr>
          <w:rFonts w:ascii="Arial" w:eastAsia="Arial" w:hAnsi="Arial" w:cs="Arial"/>
          <w:spacing w:val="1"/>
        </w:rPr>
        <w:t>l</w:t>
      </w:r>
      <w:r w:rsidRPr="00EB1AAB">
        <w:rPr>
          <w:rFonts w:ascii="Arial" w:eastAsia="Arial" w:hAnsi="Arial" w:cs="Arial"/>
          <w:spacing w:val="-2"/>
        </w:rPr>
        <w:t>i</w:t>
      </w:r>
      <w:r w:rsidRPr="00EB1AAB">
        <w:rPr>
          <w:rFonts w:ascii="Arial" w:eastAsia="Arial" w:hAnsi="Arial" w:cs="Arial"/>
          <w:spacing w:val="5"/>
        </w:rPr>
        <w:t>f</w:t>
      </w:r>
      <w:r w:rsidRPr="00EB1AAB">
        <w:rPr>
          <w:rFonts w:ascii="Arial" w:eastAsia="Arial" w:hAnsi="Arial" w:cs="Arial"/>
          <w:spacing w:val="-3"/>
        </w:rPr>
        <w:t>e</w:t>
      </w:r>
      <w:r w:rsidRPr="00EB1AAB">
        <w:rPr>
          <w:rFonts w:ascii="Arial" w:eastAsia="Arial" w:hAnsi="Arial" w:cs="Arial"/>
        </w:rPr>
        <w:t>t</w:t>
      </w:r>
      <w:r w:rsidRPr="00EB1AAB">
        <w:rPr>
          <w:rFonts w:ascii="Arial" w:eastAsia="Arial" w:hAnsi="Arial" w:cs="Arial"/>
          <w:spacing w:val="1"/>
        </w:rPr>
        <w:t>i</w:t>
      </w:r>
      <w:r w:rsidRPr="00EB1AAB">
        <w:rPr>
          <w:rFonts w:ascii="Arial" w:eastAsia="Arial" w:hAnsi="Arial" w:cs="Arial"/>
          <w:spacing w:val="2"/>
        </w:rPr>
        <w:t>m</w:t>
      </w:r>
      <w:r w:rsidRPr="00EB1AAB">
        <w:rPr>
          <w:rFonts w:ascii="Arial" w:eastAsia="Arial" w:hAnsi="Arial" w:cs="Arial"/>
        </w:rPr>
        <w:t>e</w:t>
      </w:r>
      <w:r w:rsidRPr="00EB1AAB">
        <w:rPr>
          <w:rFonts w:ascii="Arial" w:eastAsia="Arial" w:hAnsi="Arial" w:cs="Arial"/>
          <w:spacing w:val="6"/>
        </w:rPr>
        <w:t xml:space="preserve"> </w:t>
      </w:r>
      <w:r w:rsidRPr="00EB1AAB">
        <w:rPr>
          <w:rFonts w:ascii="Arial" w:eastAsia="Arial" w:hAnsi="Arial" w:cs="Arial"/>
        </w:rPr>
        <w:t>e</w:t>
      </w:r>
      <w:r w:rsidRPr="00EB1AAB">
        <w:rPr>
          <w:rFonts w:ascii="Arial" w:eastAsia="Arial" w:hAnsi="Arial" w:cs="Arial"/>
          <w:spacing w:val="1"/>
        </w:rPr>
        <w:t>x</w:t>
      </w:r>
      <w:r w:rsidRPr="00EB1AAB">
        <w:rPr>
          <w:rFonts w:ascii="Arial" w:eastAsia="Arial" w:hAnsi="Arial" w:cs="Arial"/>
          <w:spacing w:val="-3"/>
        </w:rPr>
        <w:t>p</w:t>
      </w:r>
      <w:r w:rsidRPr="00EB1AAB">
        <w:rPr>
          <w:rFonts w:ascii="Arial" w:eastAsia="Arial" w:hAnsi="Arial" w:cs="Arial"/>
        </w:rPr>
        <w:t>e</w:t>
      </w:r>
      <w:r w:rsidRPr="00EB1AAB">
        <w:rPr>
          <w:rFonts w:ascii="Arial" w:eastAsia="Arial" w:hAnsi="Arial" w:cs="Arial"/>
          <w:spacing w:val="-2"/>
        </w:rPr>
        <w:t>c</w:t>
      </w:r>
      <w:r w:rsidRPr="00EB1AAB">
        <w:rPr>
          <w:rFonts w:ascii="Arial" w:eastAsia="Arial" w:hAnsi="Arial" w:cs="Arial"/>
          <w:spacing w:val="5"/>
        </w:rPr>
        <w:t>t</w:t>
      </w:r>
      <w:r w:rsidRPr="00EB1AAB">
        <w:rPr>
          <w:rFonts w:ascii="Arial" w:eastAsia="Arial" w:hAnsi="Arial" w:cs="Arial"/>
          <w:spacing w:val="-3"/>
        </w:rPr>
        <w:t>e</w:t>
      </w:r>
      <w:r w:rsidRPr="00EB1AAB">
        <w:rPr>
          <w:rFonts w:ascii="Arial" w:eastAsia="Arial" w:hAnsi="Arial" w:cs="Arial"/>
        </w:rPr>
        <w:t>d</w:t>
      </w:r>
      <w:r w:rsidRPr="00EB1AAB">
        <w:rPr>
          <w:rFonts w:ascii="Arial" w:eastAsia="Arial" w:hAnsi="Arial" w:cs="Arial"/>
          <w:spacing w:val="10"/>
        </w:rPr>
        <w:t xml:space="preserve"> </w:t>
      </w:r>
      <w:r w:rsidRPr="00EB1AAB">
        <w:rPr>
          <w:rFonts w:ascii="Arial" w:eastAsia="Arial" w:hAnsi="Arial" w:cs="Arial"/>
          <w:spacing w:val="1"/>
        </w:rPr>
        <w:t>cr</w:t>
      </w:r>
      <w:r w:rsidRPr="00EB1AAB">
        <w:rPr>
          <w:rFonts w:ascii="Arial" w:eastAsia="Arial" w:hAnsi="Arial" w:cs="Arial"/>
        </w:rPr>
        <w:t>ed</w:t>
      </w:r>
      <w:r w:rsidRPr="00EB1AAB">
        <w:rPr>
          <w:rFonts w:ascii="Arial" w:eastAsia="Arial" w:hAnsi="Arial" w:cs="Arial"/>
          <w:spacing w:val="1"/>
        </w:rPr>
        <w:t>i</w:t>
      </w:r>
      <w:r w:rsidRPr="00EB1AAB">
        <w:rPr>
          <w:rFonts w:ascii="Arial" w:eastAsia="Arial" w:hAnsi="Arial" w:cs="Arial"/>
        </w:rPr>
        <w:t>t</w:t>
      </w:r>
      <w:r w:rsidRPr="00EB1AAB">
        <w:rPr>
          <w:rFonts w:ascii="Arial" w:eastAsia="Arial" w:hAnsi="Arial" w:cs="Arial"/>
          <w:spacing w:val="9"/>
        </w:rPr>
        <w:t xml:space="preserve"> </w:t>
      </w:r>
      <w:r w:rsidRPr="00EB1AAB">
        <w:rPr>
          <w:rFonts w:ascii="Arial" w:eastAsia="Arial" w:hAnsi="Arial" w:cs="Arial"/>
          <w:spacing w:val="1"/>
        </w:rPr>
        <w:t>l</w:t>
      </w:r>
      <w:r w:rsidRPr="00EB1AAB">
        <w:rPr>
          <w:rFonts w:ascii="Arial" w:eastAsia="Arial" w:hAnsi="Arial" w:cs="Arial"/>
          <w:spacing w:val="-3"/>
        </w:rPr>
        <w:t>o</w:t>
      </w:r>
      <w:r w:rsidRPr="00EB1AAB">
        <w:rPr>
          <w:rFonts w:ascii="Arial" w:eastAsia="Arial" w:hAnsi="Arial" w:cs="Arial"/>
          <w:spacing w:val="1"/>
        </w:rPr>
        <w:t>ss</w:t>
      </w:r>
      <w:r w:rsidRPr="00EB1AAB">
        <w:rPr>
          <w:rFonts w:ascii="Arial" w:eastAsia="Arial" w:hAnsi="Arial" w:cs="Arial"/>
          <w:spacing w:val="-3"/>
        </w:rPr>
        <w:t>e</w:t>
      </w:r>
      <w:r w:rsidRPr="00EB1AAB">
        <w:rPr>
          <w:rFonts w:ascii="Arial" w:eastAsia="Arial" w:hAnsi="Arial" w:cs="Arial"/>
        </w:rPr>
        <w:t>s</w:t>
      </w:r>
      <w:r w:rsidRPr="00EB1AAB">
        <w:rPr>
          <w:rFonts w:ascii="Arial" w:eastAsia="Arial" w:hAnsi="Arial" w:cs="Arial"/>
          <w:spacing w:val="8"/>
        </w:rPr>
        <w:t xml:space="preserve"> </w:t>
      </w:r>
      <w:r w:rsidRPr="00EB1AAB">
        <w:rPr>
          <w:rFonts w:ascii="Arial" w:eastAsia="Arial" w:hAnsi="Arial" w:cs="Arial"/>
          <w:spacing w:val="1"/>
        </w:rPr>
        <w:t>i</w:t>
      </w:r>
      <w:r w:rsidRPr="00EB1AAB">
        <w:rPr>
          <w:rFonts w:ascii="Arial" w:eastAsia="Arial" w:hAnsi="Arial" w:cs="Arial"/>
        </w:rPr>
        <w:t>f</w:t>
      </w:r>
      <w:r w:rsidRPr="00EB1AAB">
        <w:rPr>
          <w:rFonts w:ascii="Arial" w:eastAsia="Arial" w:hAnsi="Arial" w:cs="Arial"/>
          <w:spacing w:val="2"/>
        </w:rPr>
        <w:t xml:space="preserve"> </w:t>
      </w:r>
      <w:r w:rsidRPr="00EB1AAB">
        <w:rPr>
          <w:rFonts w:ascii="Arial" w:eastAsia="Arial" w:hAnsi="Arial" w:cs="Arial"/>
        </w:rPr>
        <w:t>the</w:t>
      </w:r>
      <w:r w:rsidRPr="00EB1AAB">
        <w:rPr>
          <w:rFonts w:ascii="Arial" w:eastAsia="Arial" w:hAnsi="Arial" w:cs="Arial"/>
          <w:spacing w:val="3"/>
        </w:rPr>
        <w:t xml:space="preserve"> </w:t>
      </w:r>
      <w:r w:rsidRPr="00EB1AAB">
        <w:rPr>
          <w:rFonts w:ascii="Arial" w:eastAsia="Arial" w:hAnsi="Arial" w:cs="Arial"/>
          <w:spacing w:val="-1"/>
        </w:rPr>
        <w:t>c</w:t>
      </w:r>
      <w:r w:rsidRPr="00EB1AAB">
        <w:rPr>
          <w:rFonts w:ascii="Arial" w:eastAsia="Arial" w:hAnsi="Arial" w:cs="Arial"/>
          <w:spacing w:val="1"/>
        </w:rPr>
        <w:t>r</w:t>
      </w:r>
      <w:r w:rsidRPr="00EB1AAB">
        <w:rPr>
          <w:rFonts w:ascii="Arial" w:eastAsia="Arial" w:hAnsi="Arial" w:cs="Arial"/>
        </w:rPr>
        <w:t>ed</w:t>
      </w:r>
      <w:r w:rsidRPr="00EB1AAB">
        <w:rPr>
          <w:rFonts w:ascii="Arial" w:eastAsia="Arial" w:hAnsi="Arial" w:cs="Arial"/>
          <w:spacing w:val="1"/>
        </w:rPr>
        <w:t>i</w:t>
      </w:r>
      <w:r w:rsidRPr="00EB1AAB">
        <w:rPr>
          <w:rFonts w:ascii="Arial" w:eastAsia="Arial" w:hAnsi="Arial" w:cs="Arial"/>
        </w:rPr>
        <w:t>t</w:t>
      </w:r>
      <w:r w:rsidRPr="00EB1AAB">
        <w:rPr>
          <w:rFonts w:ascii="Arial" w:eastAsia="Arial" w:hAnsi="Arial" w:cs="Arial"/>
          <w:spacing w:val="7"/>
        </w:rPr>
        <w:t xml:space="preserve"> </w:t>
      </w:r>
      <w:r w:rsidRPr="00EB1AAB">
        <w:rPr>
          <w:rFonts w:ascii="Arial" w:eastAsia="Arial" w:hAnsi="Arial" w:cs="Arial"/>
          <w:spacing w:val="1"/>
        </w:rPr>
        <w:t>ris</w:t>
      </w:r>
      <w:r w:rsidRPr="00EB1AAB">
        <w:rPr>
          <w:rFonts w:ascii="Arial" w:eastAsia="Arial" w:hAnsi="Arial" w:cs="Arial"/>
        </w:rPr>
        <w:t>k</w:t>
      </w:r>
      <w:r w:rsidRPr="00EB1AAB">
        <w:rPr>
          <w:rFonts w:ascii="Arial" w:eastAsia="Arial" w:hAnsi="Arial" w:cs="Arial"/>
          <w:spacing w:val="6"/>
        </w:rPr>
        <w:t xml:space="preserve"> </w:t>
      </w:r>
      <w:r w:rsidRPr="00EB1AAB">
        <w:rPr>
          <w:rFonts w:ascii="Arial" w:eastAsia="Arial" w:hAnsi="Arial" w:cs="Arial"/>
          <w:spacing w:val="-3"/>
        </w:rPr>
        <w:t>o</w:t>
      </w:r>
      <w:r w:rsidRPr="00EB1AAB">
        <w:rPr>
          <w:rFonts w:ascii="Arial" w:eastAsia="Arial" w:hAnsi="Arial" w:cs="Arial"/>
        </w:rPr>
        <w:t>n</w:t>
      </w:r>
      <w:r w:rsidRPr="00EB1AAB">
        <w:rPr>
          <w:rFonts w:ascii="Arial" w:eastAsia="Arial" w:hAnsi="Arial" w:cs="Arial"/>
          <w:spacing w:val="4"/>
        </w:rPr>
        <w:t xml:space="preserve"> </w:t>
      </w:r>
      <w:r w:rsidRPr="00EB1AAB">
        <w:rPr>
          <w:rFonts w:ascii="Arial" w:eastAsia="Arial" w:hAnsi="Arial" w:cs="Arial"/>
        </w:rPr>
        <w:t>th</w:t>
      </w:r>
      <w:r w:rsidRPr="00EB1AAB">
        <w:rPr>
          <w:rFonts w:ascii="Arial" w:eastAsia="Arial" w:hAnsi="Arial" w:cs="Arial"/>
          <w:spacing w:val="-3"/>
        </w:rPr>
        <w:t>a</w:t>
      </w:r>
      <w:r w:rsidRPr="00EB1AAB">
        <w:rPr>
          <w:rFonts w:ascii="Arial" w:eastAsia="Arial" w:hAnsi="Arial" w:cs="Arial"/>
        </w:rPr>
        <w:t>t</w:t>
      </w:r>
      <w:r w:rsidRPr="00EB1AAB">
        <w:rPr>
          <w:rFonts w:ascii="Arial" w:eastAsia="Arial" w:hAnsi="Arial" w:cs="Arial"/>
          <w:spacing w:val="7"/>
        </w:rPr>
        <w:t xml:space="preserve"> </w:t>
      </w:r>
      <w:r w:rsidRPr="00EB1AAB">
        <w:rPr>
          <w:rFonts w:ascii="Arial" w:eastAsia="Arial" w:hAnsi="Arial" w:cs="Arial"/>
          <w:spacing w:val="2"/>
        </w:rPr>
        <w:t>f</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3"/>
        </w:rPr>
        <w:t>a</w:t>
      </w:r>
      <w:r w:rsidRPr="00EB1AAB">
        <w:rPr>
          <w:rFonts w:ascii="Arial" w:eastAsia="Arial" w:hAnsi="Arial" w:cs="Arial"/>
        </w:rPr>
        <w:t>n</w:t>
      </w:r>
      <w:r w:rsidRPr="00EB1AAB">
        <w:rPr>
          <w:rFonts w:ascii="Arial" w:eastAsia="Arial" w:hAnsi="Arial" w:cs="Arial"/>
          <w:spacing w:val="1"/>
        </w:rPr>
        <w:t>ci</w:t>
      </w:r>
      <w:r w:rsidRPr="00EB1AAB">
        <w:rPr>
          <w:rFonts w:ascii="Arial" w:eastAsia="Arial" w:hAnsi="Arial" w:cs="Arial"/>
        </w:rPr>
        <w:t>al</w:t>
      </w:r>
      <w:r w:rsidRPr="00EB1AAB">
        <w:rPr>
          <w:rFonts w:ascii="Arial" w:eastAsia="Arial" w:hAnsi="Arial" w:cs="Arial"/>
          <w:spacing w:val="10"/>
        </w:rPr>
        <w:t xml:space="preserve"> </w:t>
      </w:r>
      <w:r w:rsidRPr="00EB1AAB">
        <w:rPr>
          <w:rFonts w:ascii="Arial" w:eastAsia="Arial" w:hAnsi="Arial" w:cs="Arial"/>
          <w:spacing w:val="4"/>
        </w:rPr>
        <w:t>i</w:t>
      </w:r>
      <w:r w:rsidRPr="00EB1AAB">
        <w:rPr>
          <w:rFonts w:ascii="Arial" w:eastAsia="Arial" w:hAnsi="Arial" w:cs="Arial"/>
          <w:spacing w:val="-5"/>
        </w:rPr>
        <w:t>n</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1"/>
        </w:rPr>
        <w:t>r</w:t>
      </w:r>
      <w:r w:rsidRPr="00EB1AAB">
        <w:rPr>
          <w:rFonts w:ascii="Arial" w:eastAsia="Arial" w:hAnsi="Arial" w:cs="Arial"/>
        </w:rPr>
        <w:t>um</w:t>
      </w:r>
      <w:r w:rsidRPr="00EB1AAB">
        <w:rPr>
          <w:rFonts w:ascii="Arial" w:eastAsia="Arial" w:hAnsi="Arial" w:cs="Arial"/>
          <w:spacing w:val="-1"/>
        </w:rPr>
        <w:t>e</w:t>
      </w:r>
      <w:r w:rsidRPr="00EB1AAB">
        <w:rPr>
          <w:rFonts w:ascii="Arial" w:eastAsia="Arial" w:hAnsi="Arial" w:cs="Arial"/>
          <w:spacing w:val="-3"/>
        </w:rPr>
        <w:t>n</w:t>
      </w:r>
      <w:r w:rsidRPr="00EB1AAB">
        <w:rPr>
          <w:rFonts w:ascii="Arial" w:eastAsia="Arial" w:hAnsi="Arial" w:cs="Arial"/>
        </w:rPr>
        <w:t>t</w:t>
      </w:r>
      <w:r w:rsidRPr="00EB1AAB">
        <w:rPr>
          <w:rFonts w:ascii="Arial" w:eastAsia="Arial" w:hAnsi="Arial" w:cs="Arial"/>
          <w:spacing w:val="15"/>
        </w:rPr>
        <w:t xml:space="preserve"> </w:t>
      </w:r>
      <w:r w:rsidRPr="00EB1AAB">
        <w:rPr>
          <w:rFonts w:ascii="Arial" w:eastAsia="Arial" w:hAnsi="Arial" w:cs="Arial"/>
          <w:spacing w:val="2"/>
          <w:w w:val="101"/>
        </w:rPr>
        <w:t>h</w:t>
      </w:r>
      <w:r w:rsidRPr="00EB1AAB">
        <w:rPr>
          <w:rFonts w:ascii="Arial" w:eastAsia="Arial" w:hAnsi="Arial" w:cs="Arial"/>
          <w:spacing w:val="-3"/>
          <w:w w:val="101"/>
        </w:rPr>
        <w:t>a</w:t>
      </w:r>
      <w:r w:rsidRPr="00EB1AAB">
        <w:rPr>
          <w:rFonts w:ascii="Arial" w:eastAsia="Arial" w:hAnsi="Arial" w:cs="Arial"/>
          <w:w w:val="101"/>
        </w:rPr>
        <w:t xml:space="preserve">s </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1"/>
        </w:rPr>
        <w:t>c</w:t>
      </w:r>
      <w:r w:rsidRPr="00EB1AAB">
        <w:rPr>
          <w:rFonts w:ascii="Arial" w:eastAsia="Arial" w:hAnsi="Arial" w:cs="Arial"/>
          <w:spacing w:val="-1"/>
        </w:rPr>
        <w:t>r</w:t>
      </w:r>
      <w:r w:rsidRPr="00EB1AAB">
        <w:rPr>
          <w:rFonts w:ascii="Arial" w:eastAsia="Arial" w:hAnsi="Arial" w:cs="Arial"/>
          <w:spacing w:val="-3"/>
        </w:rPr>
        <w:t>e</w:t>
      </w:r>
      <w:r w:rsidRPr="00EB1AAB">
        <w:rPr>
          <w:rFonts w:ascii="Arial" w:eastAsia="Arial" w:hAnsi="Arial" w:cs="Arial"/>
        </w:rPr>
        <w:t>a</w:t>
      </w:r>
      <w:r w:rsidRPr="00EB1AAB">
        <w:rPr>
          <w:rFonts w:ascii="Arial" w:eastAsia="Arial" w:hAnsi="Arial" w:cs="Arial"/>
          <w:spacing w:val="1"/>
        </w:rPr>
        <w:t>s</w:t>
      </w:r>
      <w:r w:rsidRPr="00EB1AAB">
        <w:rPr>
          <w:rFonts w:ascii="Arial" w:eastAsia="Arial" w:hAnsi="Arial" w:cs="Arial"/>
          <w:spacing w:val="2"/>
        </w:rPr>
        <w:t>e</w:t>
      </w:r>
      <w:r w:rsidRPr="00EB1AAB">
        <w:rPr>
          <w:rFonts w:ascii="Arial" w:eastAsia="Arial" w:hAnsi="Arial" w:cs="Arial"/>
        </w:rPr>
        <w:t>d</w:t>
      </w:r>
      <w:r w:rsidRPr="00EB1AAB">
        <w:rPr>
          <w:rFonts w:ascii="Arial" w:eastAsia="Arial" w:hAnsi="Arial" w:cs="Arial"/>
          <w:spacing w:val="11"/>
        </w:rPr>
        <w:t xml:space="preserve"> </w:t>
      </w:r>
      <w:r w:rsidRPr="00EB1AAB">
        <w:rPr>
          <w:rFonts w:ascii="Arial" w:eastAsia="Arial" w:hAnsi="Arial" w:cs="Arial"/>
          <w:spacing w:val="-2"/>
        </w:rPr>
        <w:t>s</w:t>
      </w:r>
      <w:r w:rsidRPr="00EB1AAB">
        <w:rPr>
          <w:rFonts w:ascii="Arial" w:eastAsia="Arial" w:hAnsi="Arial" w:cs="Arial"/>
          <w:spacing w:val="4"/>
        </w:rPr>
        <w:t>i</w:t>
      </w:r>
      <w:r w:rsidRPr="00EB1AAB">
        <w:rPr>
          <w:rFonts w:ascii="Arial" w:eastAsia="Arial" w:hAnsi="Arial" w:cs="Arial"/>
          <w:spacing w:val="-3"/>
        </w:rPr>
        <w:t>g</w:t>
      </w:r>
      <w:r w:rsidRPr="00EB1AAB">
        <w:rPr>
          <w:rFonts w:ascii="Arial" w:eastAsia="Arial" w:hAnsi="Arial" w:cs="Arial"/>
        </w:rPr>
        <w:t>n</w:t>
      </w:r>
      <w:r w:rsidRPr="00EB1AAB">
        <w:rPr>
          <w:rFonts w:ascii="Arial" w:eastAsia="Arial" w:hAnsi="Arial" w:cs="Arial"/>
          <w:spacing w:val="1"/>
        </w:rPr>
        <w:t>i</w:t>
      </w:r>
      <w:r w:rsidRPr="00EB1AAB">
        <w:rPr>
          <w:rFonts w:ascii="Arial" w:eastAsia="Arial" w:hAnsi="Arial" w:cs="Arial"/>
        </w:rPr>
        <w:t>f</w:t>
      </w:r>
      <w:r w:rsidRPr="00EB1AAB">
        <w:rPr>
          <w:rFonts w:ascii="Arial" w:eastAsia="Arial" w:hAnsi="Arial" w:cs="Arial"/>
          <w:spacing w:val="4"/>
        </w:rPr>
        <w:t>i</w:t>
      </w:r>
      <w:r w:rsidRPr="00EB1AAB">
        <w:rPr>
          <w:rFonts w:ascii="Arial" w:eastAsia="Arial" w:hAnsi="Arial" w:cs="Arial"/>
          <w:spacing w:val="1"/>
        </w:rPr>
        <w:t>c</w:t>
      </w:r>
      <w:r w:rsidRPr="00EB1AAB">
        <w:rPr>
          <w:rFonts w:ascii="Arial" w:eastAsia="Arial" w:hAnsi="Arial" w:cs="Arial"/>
          <w:spacing w:val="-3"/>
        </w:rPr>
        <w:t>a</w:t>
      </w:r>
      <w:r w:rsidRPr="00EB1AAB">
        <w:rPr>
          <w:rFonts w:ascii="Arial" w:eastAsia="Arial" w:hAnsi="Arial" w:cs="Arial"/>
        </w:rPr>
        <w:t>nt</w:t>
      </w:r>
      <w:r w:rsidRPr="00EB1AAB">
        <w:rPr>
          <w:rFonts w:ascii="Arial" w:eastAsia="Arial" w:hAnsi="Arial" w:cs="Arial"/>
          <w:spacing w:val="1"/>
        </w:rPr>
        <w:t>l</w:t>
      </w:r>
      <w:r w:rsidRPr="00EB1AAB">
        <w:rPr>
          <w:rFonts w:ascii="Arial" w:eastAsia="Arial" w:hAnsi="Arial" w:cs="Arial"/>
        </w:rPr>
        <w:t>y</w:t>
      </w:r>
      <w:r w:rsidRPr="00EB1AAB">
        <w:rPr>
          <w:rFonts w:ascii="Arial" w:eastAsia="Arial" w:hAnsi="Arial" w:cs="Arial"/>
          <w:spacing w:val="12"/>
        </w:rPr>
        <w:t xml:space="preserve"> </w:t>
      </w:r>
      <w:r w:rsidRPr="00EB1AAB">
        <w:rPr>
          <w:rFonts w:ascii="Arial" w:eastAsia="Arial" w:hAnsi="Arial" w:cs="Arial"/>
          <w:spacing w:val="1"/>
        </w:rPr>
        <w:t>si</w:t>
      </w:r>
      <w:r w:rsidRPr="00EB1AAB">
        <w:rPr>
          <w:rFonts w:ascii="Arial" w:eastAsia="Arial" w:hAnsi="Arial" w:cs="Arial"/>
        </w:rPr>
        <w:t>n</w:t>
      </w:r>
      <w:r w:rsidRPr="00EB1AAB">
        <w:rPr>
          <w:rFonts w:ascii="Arial" w:eastAsia="Arial" w:hAnsi="Arial" w:cs="Arial"/>
          <w:spacing w:val="-2"/>
        </w:rPr>
        <w:t>c</w:t>
      </w:r>
      <w:r w:rsidRPr="00EB1AAB">
        <w:rPr>
          <w:rFonts w:ascii="Arial" w:eastAsia="Arial" w:hAnsi="Arial" w:cs="Arial"/>
        </w:rPr>
        <w:t>e</w:t>
      </w:r>
      <w:r w:rsidRPr="00EB1AAB">
        <w:rPr>
          <w:rFonts w:ascii="Arial" w:eastAsia="Arial" w:hAnsi="Arial" w:cs="Arial"/>
          <w:spacing w:val="6"/>
        </w:rPr>
        <w:t xml:space="preserve"> </w:t>
      </w:r>
      <w:r w:rsidRPr="00EB1AAB">
        <w:rPr>
          <w:rFonts w:ascii="Arial" w:eastAsia="Arial" w:hAnsi="Arial" w:cs="Arial"/>
          <w:spacing w:val="4"/>
        </w:rPr>
        <w:t>i</w:t>
      </w:r>
      <w:r w:rsidRPr="00EB1AAB">
        <w:rPr>
          <w:rFonts w:ascii="Arial" w:eastAsia="Arial" w:hAnsi="Arial" w:cs="Arial"/>
          <w:spacing w:val="-3"/>
        </w:rPr>
        <w:t>n</w:t>
      </w:r>
      <w:r w:rsidRPr="00EB1AAB">
        <w:rPr>
          <w:rFonts w:ascii="Arial" w:eastAsia="Arial" w:hAnsi="Arial" w:cs="Arial"/>
          <w:spacing w:val="3"/>
        </w:rPr>
        <w:t>i</w:t>
      </w:r>
      <w:r w:rsidRPr="00EB1AAB">
        <w:rPr>
          <w:rFonts w:ascii="Arial" w:eastAsia="Arial" w:hAnsi="Arial" w:cs="Arial"/>
          <w:spacing w:val="-3"/>
        </w:rPr>
        <w:t>t</w:t>
      </w:r>
      <w:r w:rsidRPr="00EB1AAB">
        <w:rPr>
          <w:rFonts w:ascii="Arial" w:eastAsia="Arial" w:hAnsi="Arial" w:cs="Arial"/>
          <w:spacing w:val="1"/>
        </w:rPr>
        <w:t>i</w:t>
      </w:r>
      <w:r w:rsidRPr="00EB1AAB">
        <w:rPr>
          <w:rFonts w:ascii="Arial" w:eastAsia="Arial" w:hAnsi="Arial" w:cs="Arial"/>
        </w:rPr>
        <w:t>al</w:t>
      </w:r>
      <w:r w:rsidRPr="00EB1AAB">
        <w:rPr>
          <w:rFonts w:ascii="Arial" w:eastAsia="Arial" w:hAnsi="Arial" w:cs="Arial"/>
          <w:spacing w:val="7"/>
        </w:rPr>
        <w:t xml:space="preserve"> </w:t>
      </w:r>
      <w:r w:rsidRPr="00EB1AAB">
        <w:rPr>
          <w:rFonts w:ascii="Arial" w:eastAsia="Arial" w:hAnsi="Arial" w:cs="Arial"/>
          <w:spacing w:val="2"/>
          <w:w w:val="101"/>
        </w:rPr>
        <w:t>r</w:t>
      </w:r>
      <w:r w:rsidRPr="00EB1AAB">
        <w:rPr>
          <w:rFonts w:ascii="Arial" w:eastAsia="Arial" w:hAnsi="Arial" w:cs="Arial"/>
          <w:spacing w:val="-3"/>
          <w:w w:val="101"/>
        </w:rPr>
        <w:t>e</w:t>
      </w:r>
      <w:r w:rsidRPr="00EB1AAB">
        <w:rPr>
          <w:rFonts w:ascii="Arial" w:eastAsia="Arial" w:hAnsi="Arial" w:cs="Arial"/>
          <w:spacing w:val="1"/>
          <w:w w:val="101"/>
        </w:rPr>
        <w:t>c</w:t>
      </w:r>
      <w:r w:rsidRPr="00EB1AAB">
        <w:rPr>
          <w:rFonts w:ascii="Arial" w:eastAsia="Arial" w:hAnsi="Arial" w:cs="Arial"/>
          <w:spacing w:val="-2"/>
          <w:w w:val="101"/>
        </w:rPr>
        <w:t>o</w:t>
      </w:r>
      <w:r w:rsidRPr="00EB1AAB">
        <w:rPr>
          <w:rFonts w:ascii="Arial" w:eastAsia="Arial" w:hAnsi="Arial" w:cs="Arial"/>
          <w:spacing w:val="2"/>
          <w:w w:val="101"/>
        </w:rPr>
        <w:t>g</w:t>
      </w:r>
      <w:r w:rsidRPr="00EB1AAB">
        <w:rPr>
          <w:rFonts w:ascii="Arial" w:eastAsia="Arial" w:hAnsi="Arial" w:cs="Arial"/>
          <w:spacing w:val="-3"/>
          <w:w w:val="101"/>
        </w:rPr>
        <w:t>n</w:t>
      </w:r>
      <w:r w:rsidRPr="00EB1AAB">
        <w:rPr>
          <w:rFonts w:ascii="Arial" w:eastAsia="Arial" w:hAnsi="Arial" w:cs="Arial"/>
          <w:spacing w:val="4"/>
          <w:w w:val="101"/>
        </w:rPr>
        <w:t>i</w:t>
      </w:r>
      <w:r w:rsidRPr="00EB1AAB">
        <w:rPr>
          <w:rFonts w:ascii="Arial" w:eastAsia="Arial" w:hAnsi="Arial" w:cs="Arial"/>
          <w:w w:val="101"/>
        </w:rPr>
        <w:t>t</w:t>
      </w:r>
      <w:r w:rsidRPr="00EB1AAB">
        <w:rPr>
          <w:rFonts w:ascii="Arial" w:eastAsia="Arial" w:hAnsi="Arial" w:cs="Arial"/>
          <w:spacing w:val="1"/>
          <w:w w:val="101"/>
        </w:rPr>
        <w:t>i</w:t>
      </w:r>
      <w:r w:rsidRPr="00EB1AAB">
        <w:rPr>
          <w:rFonts w:ascii="Arial" w:eastAsia="Arial" w:hAnsi="Arial" w:cs="Arial"/>
          <w:w w:val="101"/>
        </w:rPr>
        <w:t>o</w:t>
      </w:r>
      <w:r w:rsidRPr="00EB1AAB">
        <w:rPr>
          <w:rFonts w:ascii="Arial" w:eastAsia="Arial" w:hAnsi="Arial" w:cs="Arial"/>
          <w:spacing w:val="-3"/>
          <w:w w:val="101"/>
        </w:rPr>
        <w:t>n</w:t>
      </w:r>
      <w:r w:rsidRPr="00EB1AAB">
        <w:rPr>
          <w:rFonts w:ascii="Arial" w:eastAsia="Arial" w:hAnsi="Arial" w:cs="Arial"/>
          <w:w w:val="101"/>
        </w:rPr>
        <w:t>.</w:t>
      </w:r>
    </w:p>
    <w:p w14:paraId="59E613D0" w14:textId="77777777" w:rsidR="00655E4C" w:rsidRPr="00EB1AAB" w:rsidRDefault="00655E4C" w:rsidP="00655E4C">
      <w:pPr>
        <w:spacing w:before="9"/>
        <w:rPr>
          <w:rFonts w:ascii="Arial" w:hAnsi="Arial" w:cs="Arial"/>
        </w:rPr>
      </w:pPr>
    </w:p>
    <w:p w14:paraId="6A93049A" w14:textId="77777777" w:rsidR="00655E4C" w:rsidRPr="00EB1AAB" w:rsidRDefault="00655E4C" w:rsidP="00655E4C">
      <w:pPr>
        <w:ind w:right="103"/>
        <w:rPr>
          <w:rFonts w:ascii="Arial" w:eastAsia="Arial" w:hAnsi="Arial" w:cs="Arial"/>
          <w:w w:val="101"/>
        </w:rPr>
      </w:pPr>
      <w:r w:rsidRPr="00EB1AAB">
        <w:rPr>
          <w:rFonts w:ascii="Arial" w:eastAsia="Arial" w:hAnsi="Arial" w:cs="Arial"/>
        </w:rPr>
        <w:t>If</w:t>
      </w:r>
      <w:r w:rsidRPr="00EB1AAB">
        <w:rPr>
          <w:rFonts w:ascii="Arial" w:eastAsia="Arial" w:hAnsi="Arial" w:cs="Arial"/>
          <w:spacing w:val="5"/>
        </w:rPr>
        <w:t xml:space="preserve"> </w:t>
      </w:r>
      <w:r w:rsidRPr="00EB1AAB">
        <w:rPr>
          <w:rFonts w:ascii="Arial" w:eastAsia="Arial" w:hAnsi="Arial" w:cs="Arial"/>
          <w:spacing w:val="-3"/>
        </w:rPr>
        <w:t>a</w:t>
      </w:r>
      <w:r w:rsidRPr="00EB1AAB">
        <w:rPr>
          <w:rFonts w:ascii="Arial" w:eastAsia="Arial" w:hAnsi="Arial" w:cs="Arial"/>
        </w:rPr>
        <w:t>t</w:t>
      </w:r>
      <w:r w:rsidRPr="00EB1AAB">
        <w:rPr>
          <w:rFonts w:ascii="Arial" w:eastAsia="Arial" w:hAnsi="Arial" w:cs="Arial"/>
          <w:spacing w:val="8"/>
        </w:rPr>
        <w:t xml:space="preserve"> the </w:t>
      </w:r>
      <w:r w:rsidRPr="00EB1AAB">
        <w:rPr>
          <w:rFonts w:ascii="Arial" w:eastAsia="Arial" w:hAnsi="Arial" w:cs="Arial"/>
          <w:spacing w:val="-4"/>
        </w:rPr>
        <w:t>y</w:t>
      </w:r>
      <w:r w:rsidRPr="00EB1AAB">
        <w:rPr>
          <w:rFonts w:ascii="Arial" w:eastAsia="Arial" w:hAnsi="Arial" w:cs="Arial"/>
        </w:rPr>
        <w:t>e</w:t>
      </w:r>
      <w:r w:rsidRPr="00EB1AAB">
        <w:rPr>
          <w:rFonts w:ascii="Arial" w:eastAsia="Arial" w:hAnsi="Arial" w:cs="Arial"/>
          <w:spacing w:val="-1"/>
        </w:rPr>
        <w:t>a</w:t>
      </w:r>
      <w:r w:rsidRPr="00EB1AAB">
        <w:rPr>
          <w:rFonts w:ascii="Arial" w:eastAsia="Arial" w:hAnsi="Arial" w:cs="Arial"/>
        </w:rPr>
        <w:t>r</w:t>
      </w:r>
      <w:r w:rsidRPr="00EB1AAB">
        <w:rPr>
          <w:rFonts w:ascii="Arial" w:eastAsia="Arial" w:hAnsi="Arial" w:cs="Arial"/>
          <w:spacing w:val="4"/>
        </w:rPr>
        <w:t xml:space="preserve"> </w:t>
      </w:r>
      <w:r w:rsidRPr="00EB1AAB">
        <w:rPr>
          <w:rFonts w:ascii="Arial" w:eastAsia="Arial" w:hAnsi="Arial" w:cs="Arial"/>
        </w:rPr>
        <w:t>e</w:t>
      </w:r>
      <w:r w:rsidRPr="00EB1AAB">
        <w:rPr>
          <w:rFonts w:ascii="Arial" w:eastAsia="Arial" w:hAnsi="Arial" w:cs="Arial"/>
          <w:spacing w:val="2"/>
        </w:rPr>
        <w:t>n</w:t>
      </w:r>
      <w:r w:rsidRPr="00EB1AAB">
        <w:rPr>
          <w:rFonts w:ascii="Arial" w:eastAsia="Arial" w:hAnsi="Arial" w:cs="Arial"/>
        </w:rPr>
        <w:t>d,</w:t>
      </w:r>
      <w:r w:rsidRPr="00EB1AAB">
        <w:rPr>
          <w:rFonts w:ascii="Arial" w:eastAsia="Arial" w:hAnsi="Arial" w:cs="Arial"/>
          <w:spacing w:val="5"/>
        </w:rPr>
        <w:t xml:space="preserve"> </w:t>
      </w:r>
      <w:r w:rsidRPr="00EB1AAB">
        <w:rPr>
          <w:rFonts w:ascii="Arial" w:eastAsia="Arial" w:hAnsi="Arial" w:cs="Arial"/>
        </w:rPr>
        <w:t>the</w:t>
      </w:r>
      <w:r w:rsidRPr="00EB1AAB">
        <w:rPr>
          <w:rFonts w:ascii="Arial" w:eastAsia="Arial" w:hAnsi="Arial" w:cs="Arial"/>
          <w:spacing w:val="4"/>
        </w:rPr>
        <w:t xml:space="preserve"> </w:t>
      </w:r>
      <w:r w:rsidRPr="00EB1AAB">
        <w:rPr>
          <w:rFonts w:ascii="Arial" w:eastAsia="Arial" w:hAnsi="Arial" w:cs="Arial"/>
          <w:spacing w:val="1"/>
        </w:rPr>
        <w:t>c</w:t>
      </w:r>
      <w:r w:rsidRPr="00EB1AAB">
        <w:rPr>
          <w:rFonts w:ascii="Arial" w:eastAsia="Arial" w:hAnsi="Arial" w:cs="Arial"/>
          <w:spacing w:val="-1"/>
        </w:rPr>
        <w:t>r</w:t>
      </w:r>
      <w:r w:rsidRPr="00EB1AAB">
        <w:rPr>
          <w:rFonts w:ascii="Arial" w:eastAsia="Arial" w:hAnsi="Arial" w:cs="Arial"/>
          <w:spacing w:val="2"/>
        </w:rPr>
        <w:t>e</w:t>
      </w:r>
      <w:r w:rsidRPr="00EB1AAB">
        <w:rPr>
          <w:rFonts w:ascii="Arial" w:eastAsia="Arial" w:hAnsi="Arial" w:cs="Arial"/>
          <w:spacing w:val="-2"/>
        </w:rPr>
        <w:t>d</w:t>
      </w:r>
      <w:r w:rsidRPr="00EB1AAB">
        <w:rPr>
          <w:rFonts w:ascii="Arial" w:eastAsia="Arial" w:hAnsi="Arial" w:cs="Arial"/>
          <w:spacing w:val="1"/>
        </w:rPr>
        <w:t>i</w:t>
      </w:r>
      <w:r w:rsidRPr="00EB1AAB">
        <w:rPr>
          <w:rFonts w:ascii="Arial" w:eastAsia="Arial" w:hAnsi="Arial" w:cs="Arial"/>
        </w:rPr>
        <w:t>t</w:t>
      </w:r>
      <w:r w:rsidRPr="00EB1AAB">
        <w:rPr>
          <w:rFonts w:ascii="Arial" w:eastAsia="Arial" w:hAnsi="Arial" w:cs="Arial"/>
          <w:spacing w:val="9"/>
        </w:rPr>
        <w:t xml:space="preserve"> </w:t>
      </w:r>
      <w:r w:rsidRPr="00EB1AAB">
        <w:rPr>
          <w:rFonts w:ascii="Arial" w:eastAsia="Arial" w:hAnsi="Arial" w:cs="Arial"/>
          <w:spacing w:val="-1"/>
        </w:rPr>
        <w:t>r</w:t>
      </w:r>
      <w:r w:rsidRPr="00EB1AAB">
        <w:rPr>
          <w:rFonts w:ascii="Arial" w:eastAsia="Arial" w:hAnsi="Arial" w:cs="Arial"/>
          <w:spacing w:val="1"/>
        </w:rPr>
        <w:t>is</w:t>
      </w:r>
      <w:r w:rsidRPr="00EB1AAB">
        <w:rPr>
          <w:rFonts w:ascii="Arial" w:eastAsia="Arial" w:hAnsi="Arial" w:cs="Arial"/>
        </w:rPr>
        <w:t>k</w:t>
      </w:r>
      <w:r w:rsidRPr="00EB1AAB">
        <w:rPr>
          <w:rFonts w:ascii="Arial" w:eastAsia="Arial" w:hAnsi="Arial" w:cs="Arial"/>
          <w:spacing w:val="6"/>
        </w:rPr>
        <w:t xml:space="preserve"> </w:t>
      </w:r>
      <w:r w:rsidRPr="00EB1AAB">
        <w:rPr>
          <w:rFonts w:ascii="Arial" w:eastAsia="Arial" w:hAnsi="Arial" w:cs="Arial"/>
        </w:rPr>
        <w:t>h</w:t>
      </w:r>
      <w:r w:rsidRPr="00EB1AAB">
        <w:rPr>
          <w:rFonts w:ascii="Arial" w:eastAsia="Arial" w:hAnsi="Arial" w:cs="Arial"/>
          <w:spacing w:val="-3"/>
        </w:rPr>
        <w:t>a</w:t>
      </w:r>
      <w:r w:rsidRPr="00EB1AAB">
        <w:rPr>
          <w:rFonts w:ascii="Arial" w:eastAsia="Arial" w:hAnsi="Arial" w:cs="Arial"/>
        </w:rPr>
        <w:t>s</w:t>
      </w:r>
      <w:r w:rsidRPr="00EB1AAB">
        <w:rPr>
          <w:rFonts w:ascii="Arial" w:eastAsia="Arial" w:hAnsi="Arial" w:cs="Arial"/>
          <w:spacing w:val="6"/>
        </w:rPr>
        <w:t xml:space="preserve"> </w:t>
      </w:r>
      <w:r w:rsidRPr="00EB1AAB">
        <w:rPr>
          <w:rFonts w:ascii="Arial" w:eastAsia="Arial" w:hAnsi="Arial" w:cs="Arial"/>
        </w:rPr>
        <w:t>n</w:t>
      </w:r>
      <w:r w:rsidRPr="00EB1AAB">
        <w:rPr>
          <w:rFonts w:ascii="Arial" w:eastAsia="Arial" w:hAnsi="Arial" w:cs="Arial"/>
          <w:spacing w:val="-3"/>
        </w:rPr>
        <w:t>o</w:t>
      </w:r>
      <w:r w:rsidRPr="00EB1AAB">
        <w:rPr>
          <w:rFonts w:ascii="Arial" w:eastAsia="Arial" w:hAnsi="Arial" w:cs="Arial"/>
        </w:rPr>
        <w:t>t</w:t>
      </w:r>
      <w:r w:rsidRPr="00EB1AAB">
        <w:rPr>
          <w:rFonts w:ascii="Arial" w:eastAsia="Arial" w:hAnsi="Arial" w:cs="Arial"/>
          <w:spacing w:val="6"/>
        </w:rPr>
        <w:t xml:space="preserve"> </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2"/>
        </w:rPr>
        <w:t>c</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3"/>
        </w:rPr>
        <w:t>a</w:t>
      </w:r>
      <w:r w:rsidRPr="00EB1AAB">
        <w:rPr>
          <w:rFonts w:ascii="Arial" w:eastAsia="Arial" w:hAnsi="Arial" w:cs="Arial"/>
          <w:spacing w:val="3"/>
        </w:rPr>
        <w:t>s</w:t>
      </w:r>
      <w:r w:rsidRPr="00EB1AAB">
        <w:rPr>
          <w:rFonts w:ascii="Arial" w:eastAsia="Arial" w:hAnsi="Arial" w:cs="Arial"/>
          <w:spacing w:val="2"/>
        </w:rPr>
        <w:t>e</w:t>
      </w:r>
      <w:r w:rsidRPr="00EB1AAB">
        <w:rPr>
          <w:rFonts w:ascii="Arial" w:eastAsia="Arial" w:hAnsi="Arial" w:cs="Arial"/>
        </w:rPr>
        <w:t>d</w:t>
      </w:r>
      <w:r w:rsidRPr="00EB1AAB">
        <w:rPr>
          <w:rFonts w:ascii="Arial" w:eastAsia="Arial" w:hAnsi="Arial" w:cs="Arial"/>
          <w:spacing w:val="11"/>
        </w:rPr>
        <w:t xml:space="preserve"> </w:t>
      </w:r>
      <w:r w:rsidRPr="00EB1AAB">
        <w:rPr>
          <w:rFonts w:ascii="Arial" w:eastAsia="Arial" w:hAnsi="Arial" w:cs="Arial"/>
          <w:spacing w:val="1"/>
        </w:rPr>
        <w:t>si</w:t>
      </w:r>
      <w:r w:rsidRPr="00EB1AAB">
        <w:rPr>
          <w:rFonts w:ascii="Arial" w:eastAsia="Arial" w:hAnsi="Arial" w:cs="Arial"/>
        </w:rPr>
        <w:t>g</w:t>
      </w:r>
      <w:r w:rsidRPr="00EB1AAB">
        <w:rPr>
          <w:rFonts w:ascii="Arial" w:eastAsia="Arial" w:hAnsi="Arial" w:cs="Arial"/>
          <w:spacing w:val="-3"/>
        </w:rPr>
        <w:t>n</w:t>
      </w:r>
      <w:r w:rsidRPr="00EB1AAB">
        <w:rPr>
          <w:rFonts w:ascii="Arial" w:eastAsia="Arial" w:hAnsi="Arial" w:cs="Arial"/>
          <w:spacing w:val="1"/>
        </w:rPr>
        <w:t>i</w:t>
      </w:r>
      <w:r w:rsidRPr="00EB1AAB">
        <w:rPr>
          <w:rFonts w:ascii="Arial" w:eastAsia="Arial" w:hAnsi="Arial" w:cs="Arial"/>
        </w:rPr>
        <w:t>f</w:t>
      </w:r>
      <w:r w:rsidRPr="00EB1AAB">
        <w:rPr>
          <w:rFonts w:ascii="Arial" w:eastAsia="Arial" w:hAnsi="Arial" w:cs="Arial"/>
          <w:spacing w:val="1"/>
        </w:rPr>
        <w:t>ic</w:t>
      </w:r>
      <w:r w:rsidRPr="00EB1AAB">
        <w:rPr>
          <w:rFonts w:ascii="Arial" w:eastAsia="Arial" w:hAnsi="Arial" w:cs="Arial"/>
        </w:rPr>
        <w:t>a</w:t>
      </w:r>
      <w:r w:rsidRPr="00EB1AAB">
        <w:rPr>
          <w:rFonts w:ascii="Arial" w:eastAsia="Arial" w:hAnsi="Arial" w:cs="Arial"/>
          <w:spacing w:val="-3"/>
        </w:rPr>
        <w:t>n</w:t>
      </w:r>
      <w:r w:rsidRPr="00EB1AAB">
        <w:rPr>
          <w:rFonts w:ascii="Arial" w:eastAsia="Arial" w:hAnsi="Arial" w:cs="Arial"/>
        </w:rPr>
        <w:t>t</w:t>
      </w:r>
      <w:r w:rsidRPr="00EB1AAB">
        <w:rPr>
          <w:rFonts w:ascii="Arial" w:eastAsia="Arial" w:hAnsi="Arial" w:cs="Arial"/>
          <w:spacing w:val="6"/>
        </w:rPr>
        <w:t>l</w:t>
      </w:r>
      <w:r w:rsidRPr="00EB1AAB">
        <w:rPr>
          <w:rFonts w:ascii="Arial" w:eastAsia="Arial" w:hAnsi="Arial" w:cs="Arial"/>
        </w:rPr>
        <w:t>y</w:t>
      </w:r>
      <w:r w:rsidRPr="00EB1AAB">
        <w:rPr>
          <w:rFonts w:ascii="Arial" w:eastAsia="Arial" w:hAnsi="Arial" w:cs="Arial"/>
          <w:spacing w:val="9"/>
        </w:rPr>
        <w:t xml:space="preserve"> </w:t>
      </w:r>
      <w:r w:rsidRPr="00EB1AAB">
        <w:rPr>
          <w:rFonts w:ascii="Arial" w:eastAsia="Arial" w:hAnsi="Arial" w:cs="Arial"/>
          <w:spacing w:val="-2"/>
        </w:rPr>
        <w:t>s</w:t>
      </w:r>
      <w:r w:rsidRPr="00EB1AAB">
        <w:rPr>
          <w:rFonts w:ascii="Arial" w:eastAsia="Arial" w:hAnsi="Arial" w:cs="Arial"/>
          <w:spacing w:val="3"/>
        </w:rPr>
        <w:t>i</w:t>
      </w:r>
      <w:r w:rsidRPr="00EB1AAB">
        <w:rPr>
          <w:rFonts w:ascii="Arial" w:eastAsia="Arial" w:hAnsi="Arial" w:cs="Arial"/>
          <w:spacing w:val="-3"/>
        </w:rPr>
        <w:t>n</w:t>
      </w:r>
      <w:r w:rsidRPr="00EB1AAB">
        <w:rPr>
          <w:rFonts w:ascii="Arial" w:eastAsia="Arial" w:hAnsi="Arial" w:cs="Arial"/>
          <w:spacing w:val="1"/>
        </w:rPr>
        <w:t>c</w:t>
      </w:r>
      <w:r w:rsidRPr="00EB1AAB">
        <w:rPr>
          <w:rFonts w:ascii="Arial" w:eastAsia="Arial" w:hAnsi="Arial" w:cs="Arial"/>
        </w:rPr>
        <w:t>e</w:t>
      </w:r>
      <w:r w:rsidRPr="00EB1AAB">
        <w:rPr>
          <w:rFonts w:ascii="Arial" w:eastAsia="Arial" w:hAnsi="Arial" w:cs="Arial"/>
          <w:spacing w:val="6"/>
        </w:rPr>
        <w:t xml:space="preserve"> </w:t>
      </w:r>
      <w:r w:rsidRPr="00EB1AAB">
        <w:rPr>
          <w:rFonts w:ascii="Arial" w:eastAsia="Arial" w:hAnsi="Arial" w:cs="Arial"/>
          <w:spacing w:val="1"/>
        </w:rPr>
        <w:t>i</w:t>
      </w:r>
      <w:r w:rsidRPr="00EB1AAB">
        <w:rPr>
          <w:rFonts w:ascii="Arial" w:eastAsia="Arial" w:hAnsi="Arial" w:cs="Arial"/>
        </w:rPr>
        <w:t>nit</w:t>
      </w:r>
      <w:r w:rsidRPr="00EB1AAB">
        <w:rPr>
          <w:rFonts w:ascii="Arial" w:eastAsia="Arial" w:hAnsi="Arial" w:cs="Arial"/>
          <w:spacing w:val="1"/>
        </w:rPr>
        <w:t>i</w:t>
      </w:r>
      <w:r w:rsidRPr="00EB1AAB">
        <w:rPr>
          <w:rFonts w:ascii="Arial" w:eastAsia="Arial" w:hAnsi="Arial" w:cs="Arial"/>
          <w:spacing w:val="-3"/>
        </w:rPr>
        <w:t>a</w:t>
      </w:r>
      <w:r w:rsidRPr="00EB1AAB">
        <w:rPr>
          <w:rFonts w:ascii="Arial" w:eastAsia="Arial" w:hAnsi="Arial" w:cs="Arial"/>
        </w:rPr>
        <w:t>l</w:t>
      </w:r>
      <w:r w:rsidRPr="00EB1AAB">
        <w:rPr>
          <w:rFonts w:ascii="Arial" w:eastAsia="Arial" w:hAnsi="Arial" w:cs="Arial"/>
          <w:spacing w:val="9"/>
        </w:rPr>
        <w:t xml:space="preserve"> </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2"/>
        </w:rPr>
        <w:t>c</w:t>
      </w:r>
      <w:r w:rsidRPr="00EB1AAB">
        <w:rPr>
          <w:rFonts w:ascii="Arial" w:eastAsia="Arial" w:hAnsi="Arial" w:cs="Arial"/>
          <w:spacing w:val="2"/>
        </w:rPr>
        <w:t>o</w:t>
      </w:r>
      <w:r w:rsidRPr="00EB1AAB">
        <w:rPr>
          <w:rFonts w:ascii="Arial" w:eastAsia="Arial" w:hAnsi="Arial" w:cs="Arial"/>
          <w:spacing w:val="-3"/>
        </w:rPr>
        <w:t>g</w:t>
      </w:r>
      <w:r w:rsidRPr="00EB1AAB">
        <w:rPr>
          <w:rFonts w:ascii="Arial" w:eastAsia="Arial" w:hAnsi="Arial" w:cs="Arial"/>
        </w:rPr>
        <w:t>n</w:t>
      </w:r>
      <w:r w:rsidRPr="00EB1AAB">
        <w:rPr>
          <w:rFonts w:ascii="Arial" w:eastAsia="Arial" w:hAnsi="Arial" w:cs="Arial"/>
          <w:spacing w:val="1"/>
        </w:rPr>
        <w:t>i</w:t>
      </w:r>
      <w:r w:rsidRPr="00EB1AAB">
        <w:rPr>
          <w:rFonts w:ascii="Arial" w:eastAsia="Arial" w:hAnsi="Arial" w:cs="Arial"/>
          <w:spacing w:val="2"/>
        </w:rPr>
        <w:t>t</w:t>
      </w:r>
      <w:r w:rsidRPr="00EB1AAB">
        <w:rPr>
          <w:rFonts w:ascii="Arial" w:eastAsia="Arial" w:hAnsi="Arial" w:cs="Arial"/>
          <w:spacing w:val="1"/>
        </w:rPr>
        <w:t>i</w:t>
      </w:r>
      <w:r w:rsidRPr="00EB1AAB">
        <w:rPr>
          <w:rFonts w:ascii="Arial" w:eastAsia="Arial" w:hAnsi="Arial" w:cs="Arial"/>
          <w:spacing w:val="-3"/>
        </w:rPr>
        <w:t>o</w:t>
      </w:r>
      <w:r w:rsidRPr="00EB1AAB">
        <w:rPr>
          <w:rFonts w:ascii="Arial" w:eastAsia="Arial" w:hAnsi="Arial" w:cs="Arial"/>
        </w:rPr>
        <w:t>n</w:t>
      </w:r>
      <w:r w:rsidRPr="00EB1AAB">
        <w:rPr>
          <w:rFonts w:ascii="Arial" w:eastAsia="Arial" w:hAnsi="Arial" w:cs="Arial"/>
          <w:spacing w:val="12"/>
        </w:rPr>
        <w:t xml:space="preserve"> </w:t>
      </w:r>
      <w:r w:rsidRPr="00EB1AAB">
        <w:rPr>
          <w:rFonts w:ascii="Arial" w:eastAsia="Arial" w:hAnsi="Arial" w:cs="Arial"/>
          <w:w w:val="101"/>
        </w:rPr>
        <w:t>t</w:t>
      </w:r>
      <w:r w:rsidRPr="00EB1AAB">
        <w:rPr>
          <w:rFonts w:ascii="Arial" w:eastAsia="Arial" w:hAnsi="Arial" w:cs="Arial"/>
          <w:spacing w:val="2"/>
          <w:w w:val="101"/>
        </w:rPr>
        <w:t>h</w:t>
      </w:r>
      <w:r w:rsidRPr="00EB1AAB">
        <w:rPr>
          <w:rFonts w:ascii="Arial" w:eastAsia="Arial" w:hAnsi="Arial" w:cs="Arial"/>
          <w:w w:val="101"/>
        </w:rPr>
        <w:t xml:space="preserve">e </w:t>
      </w:r>
      <w:r w:rsidRPr="00EB1AAB">
        <w:rPr>
          <w:rFonts w:ascii="Arial" w:eastAsia="Arial" w:hAnsi="Arial" w:cs="Arial"/>
          <w:spacing w:val="1"/>
        </w:rPr>
        <w:t>l</w:t>
      </w:r>
      <w:r w:rsidRPr="00EB1AAB">
        <w:rPr>
          <w:rFonts w:ascii="Arial" w:eastAsia="Arial" w:hAnsi="Arial" w:cs="Arial"/>
        </w:rPr>
        <w:t>o</w:t>
      </w:r>
      <w:r w:rsidRPr="00EB1AAB">
        <w:rPr>
          <w:rFonts w:ascii="Arial" w:eastAsia="Arial" w:hAnsi="Arial" w:cs="Arial"/>
          <w:spacing w:val="1"/>
        </w:rPr>
        <w:t>s</w:t>
      </w:r>
      <w:r w:rsidRPr="00EB1AAB">
        <w:rPr>
          <w:rFonts w:ascii="Arial" w:eastAsia="Arial" w:hAnsi="Arial" w:cs="Arial"/>
        </w:rPr>
        <w:t>s</w:t>
      </w:r>
      <w:r w:rsidRPr="00EB1AAB">
        <w:rPr>
          <w:rFonts w:ascii="Arial" w:eastAsia="Arial" w:hAnsi="Arial" w:cs="Arial"/>
          <w:spacing w:val="6"/>
        </w:rPr>
        <w:t xml:space="preserve"> </w:t>
      </w:r>
      <w:r w:rsidRPr="00EB1AAB">
        <w:rPr>
          <w:rFonts w:ascii="Arial" w:eastAsia="Arial" w:hAnsi="Arial" w:cs="Arial"/>
          <w:spacing w:val="-3"/>
        </w:rPr>
        <w:t>a</w:t>
      </w:r>
      <w:r w:rsidRPr="00EB1AAB">
        <w:rPr>
          <w:rFonts w:ascii="Arial" w:eastAsia="Arial" w:hAnsi="Arial" w:cs="Arial"/>
          <w:spacing w:val="1"/>
        </w:rPr>
        <w:t>l</w:t>
      </w:r>
      <w:r w:rsidRPr="00EB1AAB">
        <w:rPr>
          <w:rFonts w:ascii="Arial" w:eastAsia="Arial" w:hAnsi="Arial" w:cs="Arial"/>
          <w:spacing w:val="4"/>
        </w:rPr>
        <w:t>l</w:t>
      </w:r>
      <w:r w:rsidRPr="00EB1AAB">
        <w:rPr>
          <w:rFonts w:ascii="Arial" w:eastAsia="Arial" w:hAnsi="Arial" w:cs="Arial"/>
          <w:spacing w:val="-3"/>
        </w:rPr>
        <w:t>ow</w:t>
      </w:r>
      <w:r w:rsidRPr="00EB1AAB">
        <w:rPr>
          <w:rFonts w:ascii="Arial" w:eastAsia="Arial" w:hAnsi="Arial" w:cs="Arial"/>
          <w:spacing w:val="2"/>
        </w:rPr>
        <w:t>a</w:t>
      </w:r>
      <w:r w:rsidRPr="00EB1AAB">
        <w:rPr>
          <w:rFonts w:ascii="Arial" w:eastAsia="Arial" w:hAnsi="Arial" w:cs="Arial"/>
        </w:rPr>
        <w:t>n</w:t>
      </w:r>
      <w:r w:rsidRPr="00EB1AAB">
        <w:rPr>
          <w:rFonts w:ascii="Arial" w:eastAsia="Arial" w:hAnsi="Arial" w:cs="Arial"/>
          <w:spacing w:val="-2"/>
        </w:rPr>
        <w:t>c</w:t>
      </w:r>
      <w:r w:rsidRPr="00EB1AAB">
        <w:rPr>
          <w:rFonts w:ascii="Arial" w:eastAsia="Arial" w:hAnsi="Arial" w:cs="Arial"/>
        </w:rPr>
        <w:t>e</w:t>
      </w:r>
      <w:r w:rsidRPr="00EB1AAB">
        <w:rPr>
          <w:rFonts w:ascii="Arial" w:eastAsia="Arial" w:hAnsi="Arial" w:cs="Arial"/>
          <w:spacing w:val="11"/>
        </w:rPr>
        <w:t xml:space="preserve"> </w:t>
      </w:r>
      <w:r w:rsidRPr="00EB1AAB">
        <w:rPr>
          <w:rFonts w:ascii="Arial" w:eastAsia="Arial" w:hAnsi="Arial" w:cs="Arial"/>
          <w:spacing w:val="1"/>
        </w:rPr>
        <w:t>i</w:t>
      </w:r>
      <w:r w:rsidRPr="00EB1AAB">
        <w:rPr>
          <w:rFonts w:ascii="Arial" w:eastAsia="Arial" w:hAnsi="Arial" w:cs="Arial"/>
        </w:rPr>
        <w:t>s</w:t>
      </w:r>
      <w:r w:rsidRPr="00EB1AAB">
        <w:rPr>
          <w:rFonts w:ascii="Arial" w:eastAsia="Arial" w:hAnsi="Arial" w:cs="Arial"/>
          <w:spacing w:val="4"/>
        </w:rPr>
        <w:t xml:space="preserve"> </w:t>
      </w:r>
      <w:r w:rsidRPr="00EB1AAB">
        <w:rPr>
          <w:rFonts w:ascii="Arial" w:eastAsia="Arial" w:hAnsi="Arial" w:cs="Arial"/>
          <w:spacing w:val="2"/>
        </w:rPr>
        <w:t>m</w:t>
      </w:r>
      <w:r w:rsidRPr="00EB1AAB">
        <w:rPr>
          <w:rFonts w:ascii="Arial" w:eastAsia="Arial" w:hAnsi="Arial" w:cs="Arial"/>
        </w:rPr>
        <w:t>e</w:t>
      </w:r>
      <w:r w:rsidRPr="00EB1AAB">
        <w:rPr>
          <w:rFonts w:ascii="Arial" w:eastAsia="Arial" w:hAnsi="Arial" w:cs="Arial"/>
          <w:spacing w:val="-2"/>
        </w:rPr>
        <w:t>a</w:t>
      </w:r>
      <w:r w:rsidRPr="00EB1AAB">
        <w:rPr>
          <w:rFonts w:ascii="Arial" w:eastAsia="Arial" w:hAnsi="Arial" w:cs="Arial"/>
          <w:spacing w:val="3"/>
        </w:rPr>
        <w:t>s</w:t>
      </w:r>
      <w:r w:rsidRPr="00EB1AAB">
        <w:rPr>
          <w:rFonts w:ascii="Arial" w:eastAsia="Arial" w:hAnsi="Arial" w:cs="Arial"/>
          <w:spacing w:val="-3"/>
        </w:rPr>
        <w:t>u</w:t>
      </w:r>
      <w:r w:rsidRPr="00EB1AAB">
        <w:rPr>
          <w:rFonts w:ascii="Arial" w:eastAsia="Arial" w:hAnsi="Arial" w:cs="Arial"/>
          <w:spacing w:val="1"/>
        </w:rPr>
        <w:t>r</w:t>
      </w:r>
      <w:r w:rsidRPr="00EB1AAB">
        <w:rPr>
          <w:rFonts w:ascii="Arial" w:eastAsia="Arial" w:hAnsi="Arial" w:cs="Arial"/>
        </w:rPr>
        <w:t>ed</w:t>
      </w:r>
      <w:r w:rsidRPr="00EB1AAB">
        <w:rPr>
          <w:rFonts w:ascii="Arial" w:eastAsia="Arial" w:hAnsi="Arial" w:cs="Arial"/>
          <w:spacing w:val="13"/>
        </w:rPr>
        <w:t xml:space="preserve"> </w:t>
      </w:r>
      <w:r w:rsidRPr="00EB1AAB">
        <w:rPr>
          <w:rFonts w:ascii="Arial" w:eastAsia="Arial" w:hAnsi="Arial" w:cs="Arial"/>
          <w:spacing w:val="-2"/>
        </w:rPr>
        <w:t>a</w:t>
      </w:r>
      <w:r w:rsidRPr="00EB1AAB">
        <w:rPr>
          <w:rFonts w:ascii="Arial" w:eastAsia="Arial" w:hAnsi="Arial" w:cs="Arial"/>
        </w:rPr>
        <w:t>t</w:t>
      </w:r>
      <w:r w:rsidRPr="00EB1AAB">
        <w:rPr>
          <w:rFonts w:ascii="Arial" w:eastAsia="Arial" w:hAnsi="Arial" w:cs="Arial"/>
          <w:spacing w:val="5"/>
        </w:rPr>
        <w:t xml:space="preserve"> </w:t>
      </w:r>
      <w:r w:rsidRPr="00EB1AAB">
        <w:rPr>
          <w:rFonts w:ascii="Arial" w:eastAsia="Arial" w:hAnsi="Arial" w:cs="Arial"/>
          <w:spacing w:val="-3"/>
        </w:rPr>
        <w:t>a</w:t>
      </w:r>
      <w:r w:rsidRPr="00EB1AAB">
        <w:rPr>
          <w:rFonts w:ascii="Arial" w:eastAsia="Arial" w:hAnsi="Arial" w:cs="Arial"/>
        </w:rPr>
        <w:t>n</w:t>
      </w:r>
      <w:r w:rsidRPr="00EB1AAB">
        <w:rPr>
          <w:rFonts w:ascii="Arial" w:eastAsia="Arial" w:hAnsi="Arial" w:cs="Arial"/>
          <w:spacing w:val="6"/>
        </w:rPr>
        <w:t xml:space="preserve"> </w:t>
      </w:r>
      <w:r w:rsidRPr="00EB1AAB">
        <w:rPr>
          <w:rFonts w:ascii="Arial" w:eastAsia="Arial" w:hAnsi="Arial" w:cs="Arial"/>
        </w:rPr>
        <w:t>amount</w:t>
      </w:r>
      <w:r w:rsidRPr="00EB1AAB">
        <w:rPr>
          <w:rFonts w:ascii="Arial" w:eastAsia="Arial" w:hAnsi="Arial" w:cs="Arial"/>
          <w:spacing w:val="9"/>
        </w:rPr>
        <w:t xml:space="preserve"> </w:t>
      </w:r>
      <w:r w:rsidRPr="00EB1AAB">
        <w:rPr>
          <w:rFonts w:ascii="Arial" w:eastAsia="Arial" w:hAnsi="Arial" w:cs="Arial"/>
          <w:spacing w:val="2"/>
        </w:rPr>
        <w:t>e</w:t>
      </w:r>
      <w:r w:rsidRPr="00EB1AAB">
        <w:rPr>
          <w:rFonts w:ascii="Arial" w:eastAsia="Arial" w:hAnsi="Arial" w:cs="Arial"/>
          <w:spacing w:val="-3"/>
        </w:rPr>
        <w:t>q</w:t>
      </w:r>
      <w:r w:rsidRPr="00EB1AAB">
        <w:rPr>
          <w:rFonts w:ascii="Arial" w:eastAsia="Arial" w:hAnsi="Arial" w:cs="Arial"/>
          <w:spacing w:val="2"/>
        </w:rPr>
        <w:t>u</w:t>
      </w:r>
      <w:r w:rsidRPr="00EB1AAB">
        <w:rPr>
          <w:rFonts w:ascii="Arial" w:eastAsia="Arial" w:hAnsi="Arial" w:cs="Arial"/>
          <w:spacing w:val="-2"/>
        </w:rPr>
        <w:t>a</w:t>
      </w:r>
      <w:r w:rsidRPr="00EB1AAB">
        <w:rPr>
          <w:rFonts w:ascii="Arial" w:eastAsia="Arial" w:hAnsi="Arial" w:cs="Arial"/>
        </w:rPr>
        <w:t>l</w:t>
      </w:r>
      <w:r w:rsidRPr="00EB1AAB">
        <w:rPr>
          <w:rFonts w:ascii="Arial" w:eastAsia="Arial" w:hAnsi="Arial" w:cs="Arial"/>
          <w:spacing w:val="10"/>
        </w:rPr>
        <w:t xml:space="preserve"> </w:t>
      </w:r>
      <w:r w:rsidRPr="00EB1AAB">
        <w:rPr>
          <w:rFonts w:ascii="Arial" w:eastAsia="Arial" w:hAnsi="Arial" w:cs="Arial"/>
        </w:rPr>
        <w:t>to</w:t>
      </w:r>
      <w:r w:rsidRPr="00EB1AAB">
        <w:rPr>
          <w:rFonts w:ascii="Arial" w:eastAsia="Arial" w:hAnsi="Arial" w:cs="Arial"/>
          <w:spacing w:val="3"/>
        </w:rPr>
        <w:t xml:space="preserve"> </w:t>
      </w:r>
      <w:r w:rsidRPr="00EB1AAB">
        <w:rPr>
          <w:rFonts w:ascii="Arial" w:eastAsia="Arial" w:hAnsi="Arial" w:cs="Arial"/>
        </w:rPr>
        <w:t>t</w:t>
      </w:r>
      <w:r w:rsidRPr="00EB1AAB">
        <w:rPr>
          <w:rFonts w:ascii="Arial" w:eastAsia="Arial" w:hAnsi="Arial" w:cs="Arial"/>
          <w:spacing w:val="-3"/>
        </w:rPr>
        <w:t>w</w:t>
      </w:r>
      <w:r w:rsidRPr="00EB1AAB">
        <w:rPr>
          <w:rFonts w:ascii="Arial" w:eastAsia="Arial" w:hAnsi="Arial" w:cs="Arial"/>
        </w:rPr>
        <w:t>e</w:t>
      </w:r>
      <w:r w:rsidRPr="00EB1AAB">
        <w:rPr>
          <w:rFonts w:ascii="Arial" w:eastAsia="Arial" w:hAnsi="Arial" w:cs="Arial"/>
          <w:spacing w:val="1"/>
        </w:rPr>
        <w:t>lv</w:t>
      </w:r>
      <w:r w:rsidRPr="00EB1AAB">
        <w:rPr>
          <w:rFonts w:ascii="Arial" w:eastAsia="Arial" w:hAnsi="Arial" w:cs="Arial"/>
        </w:rPr>
        <w:t>e</w:t>
      </w:r>
      <w:r w:rsidRPr="00EB1AAB">
        <w:rPr>
          <w:rFonts w:ascii="Arial" w:eastAsia="Arial" w:hAnsi="Arial" w:cs="Arial"/>
          <w:spacing w:val="8"/>
        </w:rPr>
        <w:t xml:space="preserve"> </w:t>
      </w:r>
      <w:r w:rsidRPr="00EB1AAB">
        <w:rPr>
          <w:rFonts w:ascii="Arial" w:eastAsia="Arial" w:hAnsi="Arial" w:cs="Arial"/>
          <w:spacing w:val="2"/>
        </w:rPr>
        <w:t>m</w:t>
      </w:r>
      <w:r w:rsidRPr="00EB1AAB">
        <w:rPr>
          <w:rFonts w:ascii="Arial" w:eastAsia="Arial" w:hAnsi="Arial" w:cs="Arial"/>
        </w:rPr>
        <w:t>onth</w:t>
      </w:r>
      <w:r w:rsidRPr="00EB1AAB">
        <w:rPr>
          <w:rFonts w:ascii="Arial" w:eastAsia="Arial" w:hAnsi="Arial" w:cs="Arial"/>
          <w:spacing w:val="7"/>
        </w:rPr>
        <w:t xml:space="preserve"> </w:t>
      </w:r>
      <w:r w:rsidRPr="00EB1AAB">
        <w:rPr>
          <w:rFonts w:ascii="Arial" w:eastAsia="Arial" w:hAnsi="Arial" w:cs="Arial"/>
          <w:spacing w:val="-2"/>
        </w:rPr>
        <w:t>e</w:t>
      </w:r>
      <w:r w:rsidRPr="00EB1AAB">
        <w:rPr>
          <w:rFonts w:ascii="Arial" w:eastAsia="Arial" w:hAnsi="Arial" w:cs="Arial"/>
          <w:spacing w:val="3"/>
        </w:rPr>
        <w:t>x</w:t>
      </w:r>
      <w:r w:rsidRPr="00EB1AAB">
        <w:rPr>
          <w:rFonts w:ascii="Arial" w:eastAsia="Arial" w:hAnsi="Arial" w:cs="Arial"/>
        </w:rPr>
        <w:t>pe</w:t>
      </w:r>
      <w:r w:rsidRPr="00EB1AAB">
        <w:rPr>
          <w:rFonts w:ascii="Arial" w:eastAsia="Arial" w:hAnsi="Arial" w:cs="Arial"/>
          <w:spacing w:val="1"/>
        </w:rPr>
        <w:t>c</w:t>
      </w:r>
      <w:r w:rsidRPr="00EB1AAB">
        <w:rPr>
          <w:rFonts w:ascii="Arial" w:eastAsia="Arial" w:hAnsi="Arial" w:cs="Arial"/>
        </w:rPr>
        <w:t>ted</w:t>
      </w:r>
      <w:r w:rsidRPr="00EB1AAB">
        <w:rPr>
          <w:rFonts w:ascii="Arial" w:eastAsia="Arial" w:hAnsi="Arial" w:cs="Arial"/>
          <w:spacing w:val="10"/>
        </w:rPr>
        <w:t xml:space="preserve"> </w:t>
      </w:r>
      <w:r w:rsidRPr="00EB1AAB">
        <w:rPr>
          <w:rFonts w:ascii="Arial" w:eastAsia="Arial" w:hAnsi="Arial" w:cs="Arial"/>
          <w:spacing w:val="1"/>
        </w:rPr>
        <w:t>c</w:t>
      </w:r>
      <w:r w:rsidRPr="00EB1AAB">
        <w:rPr>
          <w:rFonts w:ascii="Arial" w:eastAsia="Arial" w:hAnsi="Arial" w:cs="Arial"/>
          <w:spacing w:val="-1"/>
        </w:rPr>
        <w:t>r</w:t>
      </w:r>
      <w:r w:rsidRPr="00EB1AAB">
        <w:rPr>
          <w:rFonts w:ascii="Arial" w:eastAsia="Arial" w:hAnsi="Arial" w:cs="Arial"/>
        </w:rPr>
        <w:t>ed</w:t>
      </w:r>
      <w:r w:rsidRPr="00EB1AAB">
        <w:rPr>
          <w:rFonts w:ascii="Arial" w:eastAsia="Arial" w:hAnsi="Arial" w:cs="Arial"/>
          <w:spacing w:val="1"/>
        </w:rPr>
        <w:t>i</w:t>
      </w:r>
      <w:r w:rsidRPr="00EB1AAB">
        <w:rPr>
          <w:rFonts w:ascii="Arial" w:eastAsia="Arial" w:hAnsi="Arial" w:cs="Arial"/>
        </w:rPr>
        <w:t>t</w:t>
      </w:r>
      <w:r w:rsidRPr="00EB1AAB">
        <w:rPr>
          <w:rFonts w:ascii="Arial" w:eastAsia="Arial" w:hAnsi="Arial" w:cs="Arial"/>
          <w:spacing w:val="10"/>
        </w:rPr>
        <w:t xml:space="preserve"> </w:t>
      </w:r>
      <w:r w:rsidRPr="00EB1AAB">
        <w:rPr>
          <w:rFonts w:ascii="Arial" w:eastAsia="Arial" w:hAnsi="Arial" w:cs="Arial"/>
          <w:spacing w:val="1"/>
          <w:w w:val="101"/>
        </w:rPr>
        <w:t>l</w:t>
      </w:r>
      <w:r w:rsidRPr="00EB1AAB">
        <w:rPr>
          <w:rFonts w:ascii="Arial" w:eastAsia="Arial" w:hAnsi="Arial" w:cs="Arial"/>
          <w:w w:val="101"/>
        </w:rPr>
        <w:t>o</w:t>
      </w:r>
      <w:r w:rsidRPr="00EB1AAB">
        <w:rPr>
          <w:rFonts w:ascii="Arial" w:eastAsia="Arial" w:hAnsi="Arial" w:cs="Arial"/>
          <w:spacing w:val="-1"/>
          <w:w w:val="101"/>
        </w:rPr>
        <w:t>s</w:t>
      </w:r>
      <w:r w:rsidRPr="00EB1AAB">
        <w:rPr>
          <w:rFonts w:ascii="Arial" w:eastAsia="Arial" w:hAnsi="Arial" w:cs="Arial"/>
          <w:spacing w:val="1"/>
          <w:w w:val="101"/>
        </w:rPr>
        <w:t>s</w:t>
      </w:r>
      <w:r w:rsidRPr="00EB1AAB">
        <w:rPr>
          <w:rFonts w:ascii="Arial" w:eastAsia="Arial" w:hAnsi="Arial" w:cs="Arial"/>
          <w:w w:val="101"/>
        </w:rPr>
        <w:t>e</w:t>
      </w:r>
      <w:r w:rsidRPr="00EB1AAB">
        <w:rPr>
          <w:rFonts w:ascii="Arial" w:eastAsia="Arial" w:hAnsi="Arial" w:cs="Arial"/>
          <w:spacing w:val="-2"/>
          <w:w w:val="101"/>
        </w:rPr>
        <w:t>s</w:t>
      </w:r>
      <w:r w:rsidRPr="00EB1AAB">
        <w:rPr>
          <w:rFonts w:ascii="Arial" w:eastAsia="Arial" w:hAnsi="Arial" w:cs="Arial"/>
          <w:w w:val="101"/>
        </w:rPr>
        <w:t>.</w:t>
      </w:r>
    </w:p>
    <w:p w14:paraId="25247352" w14:textId="77777777" w:rsidR="00655E4C" w:rsidRPr="00EB1AAB" w:rsidRDefault="00655E4C" w:rsidP="00655E4C">
      <w:pPr>
        <w:ind w:right="103"/>
        <w:rPr>
          <w:rFonts w:ascii="Arial" w:eastAsia="Arial" w:hAnsi="Arial" w:cs="Arial"/>
          <w:w w:val="101"/>
        </w:rPr>
      </w:pPr>
    </w:p>
    <w:p w14:paraId="0268CF6F" w14:textId="77777777" w:rsidR="00655E4C" w:rsidRPr="00EB1AAB" w:rsidRDefault="00655E4C" w:rsidP="00655E4C">
      <w:pPr>
        <w:ind w:right="76"/>
        <w:rPr>
          <w:rFonts w:ascii="Arial" w:eastAsia="Arial" w:hAnsi="Arial" w:cs="Arial"/>
          <w:w w:val="101"/>
        </w:rPr>
      </w:pPr>
      <w:r w:rsidRPr="00EB1AAB">
        <w:rPr>
          <w:rFonts w:ascii="Arial" w:eastAsia="Arial" w:hAnsi="Arial" w:cs="Arial"/>
          <w:w w:val="101"/>
        </w:rPr>
        <w:t>The Authority has chosen not to adopt a simplified approach for impairment loss allowances on loan related trade receivables, including interest due. At each year end these loss allowances are calculated using the expected credit loss approach, and an assessment of changes in credit risk.</w:t>
      </w:r>
    </w:p>
    <w:p w14:paraId="09EA831C" w14:textId="77777777" w:rsidR="00655E4C" w:rsidRPr="00EB1AAB" w:rsidRDefault="00655E4C" w:rsidP="00655E4C">
      <w:pPr>
        <w:spacing w:before="9"/>
        <w:rPr>
          <w:rFonts w:ascii="Arial" w:hAnsi="Arial" w:cs="Arial"/>
        </w:rPr>
      </w:pPr>
    </w:p>
    <w:p w14:paraId="04B47BFB" w14:textId="77777777" w:rsidR="00655E4C" w:rsidRPr="00EB1AAB" w:rsidRDefault="00655E4C" w:rsidP="00655E4C">
      <w:pPr>
        <w:ind w:right="76"/>
        <w:rPr>
          <w:rFonts w:ascii="Arial" w:eastAsia="Arial" w:hAnsi="Arial" w:cs="Arial"/>
        </w:rPr>
      </w:pPr>
      <w:r w:rsidRPr="00EB1AAB">
        <w:rPr>
          <w:rFonts w:ascii="Arial" w:eastAsia="Arial" w:hAnsi="Arial" w:cs="Arial"/>
          <w:spacing w:val="8"/>
        </w:rPr>
        <w:t>W</w:t>
      </w:r>
      <w:r w:rsidRPr="00EB1AAB">
        <w:rPr>
          <w:rFonts w:ascii="Arial" w:eastAsia="Arial" w:hAnsi="Arial" w:cs="Arial"/>
          <w:spacing w:val="-3"/>
        </w:rPr>
        <w:t>h</w:t>
      </w:r>
      <w:r w:rsidRPr="00EB1AAB">
        <w:rPr>
          <w:rFonts w:ascii="Arial" w:eastAsia="Arial" w:hAnsi="Arial" w:cs="Arial"/>
        </w:rPr>
        <w:t>e</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5"/>
        </w:rPr>
        <w:t xml:space="preserve"> </w:t>
      </w:r>
      <w:r w:rsidRPr="00EB1AAB">
        <w:rPr>
          <w:rFonts w:ascii="Arial" w:eastAsia="Arial" w:hAnsi="Arial" w:cs="Arial"/>
          <w:spacing w:val="2"/>
        </w:rPr>
        <w:t>t</w:t>
      </w:r>
      <w:r w:rsidRPr="00EB1AAB">
        <w:rPr>
          <w:rFonts w:ascii="Arial" w:eastAsia="Arial" w:hAnsi="Arial" w:cs="Arial"/>
          <w:spacing w:val="-3"/>
        </w:rPr>
        <w:t>h</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rPr>
        <w:t>f</w:t>
      </w:r>
      <w:r w:rsidRPr="00EB1AAB">
        <w:rPr>
          <w:rFonts w:ascii="Arial" w:eastAsia="Arial" w:hAnsi="Arial" w:cs="Arial"/>
          <w:spacing w:val="3"/>
        </w:rPr>
        <w:t>i</w:t>
      </w:r>
      <w:r w:rsidRPr="00EB1AAB">
        <w:rPr>
          <w:rFonts w:ascii="Arial" w:eastAsia="Arial" w:hAnsi="Arial" w:cs="Arial"/>
          <w:spacing w:val="-3"/>
        </w:rPr>
        <w:t>n</w:t>
      </w:r>
      <w:r w:rsidRPr="00EB1AAB">
        <w:rPr>
          <w:rFonts w:ascii="Arial" w:eastAsia="Arial" w:hAnsi="Arial" w:cs="Arial"/>
        </w:rPr>
        <w:t>a</w:t>
      </w:r>
      <w:r w:rsidRPr="00EB1AAB">
        <w:rPr>
          <w:rFonts w:ascii="Arial" w:eastAsia="Arial" w:hAnsi="Arial" w:cs="Arial"/>
          <w:spacing w:val="-3"/>
        </w:rPr>
        <w:t>n</w:t>
      </w:r>
      <w:r w:rsidRPr="00EB1AAB">
        <w:rPr>
          <w:rFonts w:ascii="Arial" w:eastAsia="Arial" w:hAnsi="Arial" w:cs="Arial"/>
          <w:spacing w:val="1"/>
        </w:rPr>
        <w:t>ci</w:t>
      </w:r>
      <w:r w:rsidRPr="00EB1AAB">
        <w:rPr>
          <w:rFonts w:ascii="Arial" w:eastAsia="Arial" w:hAnsi="Arial" w:cs="Arial"/>
        </w:rPr>
        <w:t>al</w:t>
      </w:r>
      <w:r w:rsidRPr="00EB1AAB">
        <w:rPr>
          <w:rFonts w:ascii="Arial" w:eastAsia="Arial" w:hAnsi="Arial" w:cs="Arial"/>
          <w:spacing w:val="10"/>
        </w:rPr>
        <w:t xml:space="preserve"> </w:t>
      </w:r>
      <w:r w:rsidRPr="00EB1AAB">
        <w:rPr>
          <w:rFonts w:ascii="Arial" w:eastAsia="Arial" w:hAnsi="Arial" w:cs="Arial"/>
        </w:rPr>
        <w:t>a</w:t>
      </w:r>
      <w:r w:rsidRPr="00EB1AAB">
        <w:rPr>
          <w:rFonts w:ascii="Arial" w:eastAsia="Arial" w:hAnsi="Arial" w:cs="Arial"/>
          <w:spacing w:val="1"/>
        </w:rPr>
        <w:t>s</w:t>
      </w:r>
      <w:r w:rsidRPr="00EB1AAB">
        <w:rPr>
          <w:rFonts w:ascii="Arial" w:eastAsia="Arial" w:hAnsi="Arial" w:cs="Arial"/>
          <w:spacing w:val="-2"/>
        </w:rPr>
        <w:t>s</w:t>
      </w:r>
      <w:r w:rsidRPr="00EB1AAB">
        <w:rPr>
          <w:rFonts w:ascii="Arial" w:eastAsia="Arial" w:hAnsi="Arial" w:cs="Arial"/>
        </w:rPr>
        <w:t>et</w:t>
      </w:r>
      <w:r w:rsidRPr="00EB1AAB">
        <w:rPr>
          <w:rFonts w:ascii="Arial" w:eastAsia="Arial" w:hAnsi="Arial" w:cs="Arial"/>
          <w:spacing w:val="6"/>
        </w:rPr>
        <w:t xml:space="preserve"> </w:t>
      </w:r>
      <w:r w:rsidRPr="00EB1AAB">
        <w:rPr>
          <w:rFonts w:ascii="Arial" w:eastAsia="Arial" w:hAnsi="Arial" w:cs="Arial"/>
        </w:rPr>
        <w:t>was</w:t>
      </w:r>
      <w:r w:rsidRPr="00EB1AAB">
        <w:rPr>
          <w:rFonts w:ascii="Arial" w:eastAsia="Arial" w:hAnsi="Arial" w:cs="Arial"/>
          <w:spacing w:val="6"/>
        </w:rPr>
        <w:t xml:space="preserve"> </w:t>
      </w:r>
      <w:r w:rsidRPr="00EB1AAB">
        <w:rPr>
          <w:rFonts w:ascii="Arial" w:eastAsia="Arial" w:hAnsi="Arial" w:cs="Arial"/>
        </w:rPr>
        <w:t>t</w:t>
      </w:r>
      <w:r w:rsidRPr="00EB1AAB">
        <w:rPr>
          <w:rFonts w:ascii="Arial" w:eastAsia="Arial" w:hAnsi="Arial" w:cs="Arial"/>
          <w:spacing w:val="2"/>
        </w:rPr>
        <w:t>r</w:t>
      </w:r>
      <w:r w:rsidRPr="00EB1AAB">
        <w:rPr>
          <w:rFonts w:ascii="Arial" w:eastAsia="Arial" w:hAnsi="Arial" w:cs="Arial"/>
        </w:rPr>
        <w:t>e</w:t>
      </w:r>
      <w:r w:rsidRPr="00EB1AAB">
        <w:rPr>
          <w:rFonts w:ascii="Arial" w:eastAsia="Arial" w:hAnsi="Arial" w:cs="Arial"/>
          <w:spacing w:val="-3"/>
        </w:rPr>
        <w:t>a</w:t>
      </w:r>
      <w:r w:rsidRPr="00EB1AAB">
        <w:rPr>
          <w:rFonts w:ascii="Arial" w:eastAsia="Arial" w:hAnsi="Arial" w:cs="Arial"/>
          <w:spacing w:val="5"/>
        </w:rPr>
        <w:t>t</w:t>
      </w:r>
      <w:r w:rsidRPr="00EB1AAB">
        <w:rPr>
          <w:rFonts w:ascii="Arial" w:eastAsia="Arial" w:hAnsi="Arial" w:cs="Arial"/>
          <w:spacing w:val="-3"/>
        </w:rPr>
        <w:t>e</w:t>
      </w:r>
      <w:r w:rsidRPr="00EB1AAB">
        <w:rPr>
          <w:rFonts w:ascii="Arial" w:eastAsia="Arial" w:hAnsi="Arial" w:cs="Arial"/>
        </w:rPr>
        <w:t>d</w:t>
      </w:r>
      <w:r w:rsidRPr="00EB1AAB">
        <w:rPr>
          <w:rFonts w:ascii="Arial" w:eastAsia="Arial" w:hAnsi="Arial" w:cs="Arial"/>
          <w:spacing w:val="10"/>
        </w:rPr>
        <w:t xml:space="preserve"> </w:t>
      </w:r>
      <w:r w:rsidRPr="00EB1AAB">
        <w:rPr>
          <w:rFonts w:ascii="Arial" w:eastAsia="Arial" w:hAnsi="Arial" w:cs="Arial"/>
          <w:spacing w:val="-2"/>
        </w:rPr>
        <w:t>a</w:t>
      </w:r>
      <w:r w:rsidRPr="00EB1AAB">
        <w:rPr>
          <w:rFonts w:ascii="Arial" w:eastAsia="Arial" w:hAnsi="Arial" w:cs="Arial"/>
        </w:rPr>
        <w:t>s</w:t>
      </w:r>
      <w:r w:rsidRPr="00EB1AAB">
        <w:rPr>
          <w:rFonts w:ascii="Arial" w:eastAsia="Arial" w:hAnsi="Arial" w:cs="Arial"/>
          <w:spacing w:val="4"/>
        </w:rPr>
        <w:t xml:space="preserve"> </w:t>
      </w:r>
      <w:r w:rsidRPr="00EB1AAB">
        <w:rPr>
          <w:rFonts w:ascii="Arial" w:eastAsia="Arial" w:hAnsi="Arial" w:cs="Arial"/>
          <w:spacing w:val="1"/>
        </w:rPr>
        <w:t>c</w:t>
      </w:r>
      <w:r w:rsidRPr="00EB1AAB">
        <w:rPr>
          <w:rFonts w:ascii="Arial" w:eastAsia="Arial" w:hAnsi="Arial" w:cs="Arial"/>
        </w:rPr>
        <w:t>a</w:t>
      </w:r>
      <w:r w:rsidRPr="00EB1AAB">
        <w:rPr>
          <w:rFonts w:ascii="Arial" w:eastAsia="Arial" w:hAnsi="Arial" w:cs="Arial"/>
          <w:spacing w:val="-1"/>
        </w:rPr>
        <w:t>p</w:t>
      </w:r>
      <w:r w:rsidRPr="00EB1AAB">
        <w:rPr>
          <w:rFonts w:ascii="Arial" w:eastAsia="Arial" w:hAnsi="Arial" w:cs="Arial"/>
          <w:spacing w:val="1"/>
        </w:rPr>
        <w:t>i</w:t>
      </w:r>
      <w:r w:rsidRPr="00EB1AAB">
        <w:rPr>
          <w:rFonts w:ascii="Arial" w:eastAsia="Arial" w:hAnsi="Arial" w:cs="Arial"/>
          <w:spacing w:val="2"/>
        </w:rPr>
        <w:t>t</w:t>
      </w:r>
      <w:r w:rsidRPr="00EB1AAB">
        <w:rPr>
          <w:rFonts w:ascii="Arial" w:eastAsia="Arial" w:hAnsi="Arial" w:cs="Arial"/>
          <w:spacing w:val="-2"/>
        </w:rPr>
        <w:t>a</w:t>
      </w:r>
      <w:r w:rsidRPr="00EB1AAB">
        <w:rPr>
          <w:rFonts w:ascii="Arial" w:eastAsia="Arial" w:hAnsi="Arial" w:cs="Arial"/>
        </w:rPr>
        <w:t>l</w:t>
      </w:r>
      <w:r w:rsidRPr="00EB1AAB">
        <w:rPr>
          <w:rFonts w:ascii="Arial" w:eastAsia="Arial" w:hAnsi="Arial" w:cs="Arial"/>
          <w:spacing w:val="11"/>
        </w:rPr>
        <w:t xml:space="preserve"> </w:t>
      </w:r>
      <w:r w:rsidRPr="00EB1AAB">
        <w:rPr>
          <w:rFonts w:ascii="Arial" w:eastAsia="Arial" w:hAnsi="Arial" w:cs="Arial"/>
          <w:spacing w:val="-3"/>
        </w:rPr>
        <w:t>e</w:t>
      </w:r>
      <w:r w:rsidRPr="00EB1AAB">
        <w:rPr>
          <w:rFonts w:ascii="Arial" w:eastAsia="Arial" w:hAnsi="Arial" w:cs="Arial"/>
          <w:spacing w:val="1"/>
        </w:rPr>
        <w:t>x</w:t>
      </w:r>
      <w:r w:rsidRPr="00EB1AAB">
        <w:rPr>
          <w:rFonts w:ascii="Arial" w:eastAsia="Arial" w:hAnsi="Arial" w:cs="Arial"/>
        </w:rPr>
        <w:t>pe</w:t>
      </w:r>
      <w:r w:rsidRPr="00EB1AAB">
        <w:rPr>
          <w:rFonts w:ascii="Arial" w:eastAsia="Arial" w:hAnsi="Arial" w:cs="Arial"/>
          <w:spacing w:val="2"/>
        </w:rPr>
        <w:t>n</w:t>
      </w:r>
      <w:r w:rsidRPr="00EB1AAB">
        <w:rPr>
          <w:rFonts w:ascii="Arial" w:eastAsia="Arial" w:hAnsi="Arial" w:cs="Arial"/>
          <w:spacing w:val="-2"/>
        </w:rPr>
        <w:t>d</w:t>
      </w:r>
      <w:r w:rsidRPr="00EB1AAB">
        <w:rPr>
          <w:rFonts w:ascii="Arial" w:eastAsia="Arial" w:hAnsi="Arial" w:cs="Arial"/>
          <w:spacing w:val="1"/>
        </w:rPr>
        <w:t>i</w:t>
      </w:r>
      <w:r w:rsidRPr="00EB1AAB">
        <w:rPr>
          <w:rFonts w:ascii="Arial" w:eastAsia="Arial" w:hAnsi="Arial" w:cs="Arial"/>
          <w:spacing w:val="3"/>
        </w:rPr>
        <w:t>t</w:t>
      </w:r>
      <w:r w:rsidRPr="00EB1AAB">
        <w:rPr>
          <w:rFonts w:ascii="Arial" w:eastAsia="Arial" w:hAnsi="Arial" w:cs="Arial"/>
          <w:spacing w:val="-3"/>
        </w:rPr>
        <w:t>u</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13"/>
        </w:rPr>
        <w:t xml:space="preserve"> </w:t>
      </w:r>
      <w:r w:rsidRPr="00EB1AAB">
        <w:rPr>
          <w:rFonts w:ascii="Arial" w:eastAsia="Arial" w:hAnsi="Arial" w:cs="Arial"/>
          <w:spacing w:val="2"/>
        </w:rPr>
        <w:t>a</w:t>
      </w:r>
      <w:r w:rsidRPr="00EB1AAB">
        <w:rPr>
          <w:rFonts w:ascii="Arial" w:eastAsia="Arial" w:hAnsi="Arial" w:cs="Arial"/>
        </w:rPr>
        <w:t>ny</w:t>
      </w:r>
      <w:r w:rsidRPr="00EB1AAB">
        <w:rPr>
          <w:rFonts w:ascii="Arial" w:eastAsia="Arial" w:hAnsi="Arial" w:cs="Arial"/>
          <w:spacing w:val="3"/>
        </w:rPr>
        <w:t xml:space="preserve"> l</w:t>
      </w:r>
      <w:r w:rsidRPr="00EB1AAB">
        <w:rPr>
          <w:rFonts w:ascii="Arial" w:eastAsia="Arial" w:hAnsi="Arial" w:cs="Arial"/>
          <w:spacing w:val="-3"/>
        </w:rPr>
        <w:t>o</w:t>
      </w:r>
      <w:r w:rsidRPr="00EB1AAB">
        <w:rPr>
          <w:rFonts w:ascii="Arial" w:eastAsia="Arial" w:hAnsi="Arial" w:cs="Arial"/>
          <w:spacing w:val="3"/>
        </w:rPr>
        <w:t>s</w:t>
      </w:r>
      <w:r w:rsidRPr="00EB1AAB">
        <w:rPr>
          <w:rFonts w:ascii="Arial" w:eastAsia="Arial" w:hAnsi="Arial" w:cs="Arial"/>
          <w:spacing w:val="-1"/>
        </w:rPr>
        <w:t>s</w:t>
      </w:r>
      <w:r w:rsidRPr="00EB1AAB">
        <w:rPr>
          <w:rFonts w:ascii="Arial" w:eastAsia="Arial" w:hAnsi="Arial" w:cs="Arial"/>
        </w:rPr>
        <w:t>es</w:t>
      </w:r>
      <w:r w:rsidRPr="00EB1AAB">
        <w:rPr>
          <w:rFonts w:ascii="Arial" w:eastAsia="Arial" w:hAnsi="Arial" w:cs="Arial"/>
          <w:spacing w:val="10"/>
        </w:rPr>
        <w:t xml:space="preserve"> </w:t>
      </w:r>
      <w:r w:rsidRPr="00EB1AAB">
        <w:rPr>
          <w:rFonts w:ascii="Arial" w:eastAsia="Arial" w:hAnsi="Arial" w:cs="Arial"/>
          <w:spacing w:val="-3"/>
        </w:rPr>
        <w:t>w</w:t>
      </w:r>
      <w:r w:rsidRPr="00EB1AAB">
        <w:rPr>
          <w:rFonts w:ascii="Arial" w:eastAsia="Arial" w:hAnsi="Arial" w:cs="Arial"/>
          <w:spacing w:val="1"/>
        </w:rPr>
        <w:t>il</w:t>
      </w:r>
      <w:r w:rsidRPr="00EB1AAB">
        <w:rPr>
          <w:rFonts w:ascii="Arial" w:eastAsia="Arial" w:hAnsi="Arial" w:cs="Arial"/>
        </w:rPr>
        <w:t>l</w:t>
      </w:r>
      <w:r w:rsidRPr="00EB1AAB">
        <w:rPr>
          <w:rFonts w:ascii="Arial" w:eastAsia="Arial" w:hAnsi="Arial" w:cs="Arial"/>
          <w:spacing w:val="5"/>
        </w:rPr>
        <w:t xml:space="preserve"> </w:t>
      </w:r>
      <w:r w:rsidRPr="00EB1AAB">
        <w:rPr>
          <w:rFonts w:ascii="Arial" w:eastAsia="Arial" w:hAnsi="Arial" w:cs="Arial"/>
        </w:rPr>
        <w:t>be</w:t>
      </w:r>
      <w:r w:rsidRPr="00EB1AAB">
        <w:rPr>
          <w:rFonts w:ascii="Arial" w:eastAsia="Arial" w:hAnsi="Arial" w:cs="Arial"/>
          <w:spacing w:val="3"/>
        </w:rPr>
        <w:t xml:space="preserve"> </w:t>
      </w:r>
      <w:r w:rsidRPr="00EB1AAB">
        <w:rPr>
          <w:rFonts w:ascii="Arial" w:eastAsia="Arial" w:hAnsi="Arial" w:cs="Arial"/>
          <w:spacing w:val="-1"/>
          <w:w w:val="101"/>
        </w:rPr>
        <w:t>r</w:t>
      </w:r>
      <w:r w:rsidRPr="00EB1AAB">
        <w:rPr>
          <w:rFonts w:ascii="Arial" w:eastAsia="Arial" w:hAnsi="Arial" w:cs="Arial"/>
          <w:spacing w:val="-3"/>
          <w:w w:val="101"/>
        </w:rPr>
        <w:t>e</w:t>
      </w:r>
      <w:r w:rsidRPr="00EB1AAB">
        <w:rPr>
          <w:rFonts w:ascii="Arial" w:eastAsia="Arial" w:hAnsi="Arial" w:cs="Arial"/>
          <w:spacing w:val="3"/>
          <w:w w:val="101"/>
        </w:rPr>
        <w:t>v</w:t>
      </w:r>
      <w:r w:rsidRPr="00EB1AAB">
        <w:rPr>
          <w:rFonts w:ascii="Arial" w:eastAsia="Arial" w:hAnsi="Arial" w:cs="Arial"/>
          <w:spacing w:val="-3"/>
          <w:w w:val="101"/>
        </w:rPr>
        <w:t>e</w:t>
      </w:r>
      <w:r w:rsidRPr="00EB1AAB">
        <w:rPr>
          <w:rFonts w:ascii="Arial" w:eastAsia="Arial" w:hAnsi="Arial" w:cs="Arial"/>
          <w:spacing w:val="1"/>
          <w:w w:val="101"/>
        </w:rPr>
        <w:t>rs</w:t>
      </w:r>
      <w:r w:rsidRPr="00EB1AAB">
        <w:rPr>
          <w:rFonts w:ascii="Arial" w:eastAsia="Arial" w:hAnsi="Arial" w:cs="Arial"/>
          <w:w w:val="101"/>
        </w:rPr>
        <w:t xml:space="preserve">ed </w:t>
      </w:r>
      <w:r w:rsidRPr="00EB1AAB">
        <w:rPr>
          <w:rFonts w:ascii="Arial" w:eastAsia="Arial" w:hAnsi="Arial" w:cs="Arial"/>
          <w:spacing w:val="1"/>
        </w:rPr>
        <w:t>vi</w:t>
      </w:r>
      <w:r w:rsidRPr="00EB1AAB">
        <w:rPr>
          <w:rFonts w:ascii="Arial" w:eastAsia="Arial" w:hAnsi="Arial" w:cs="Arial"/>
        </w:rPr>
        <w:t>a</w:t>
      </w:r>
      <w:r w:rsidRPr="00EB1AAB">
        <w:rPr>
          <w:rFonts w:ascii="Arial" w:eastAsia="Arial" w:hAnsi="Arial" w:cs="Arial"/>
          <w:spacing w:val="4"/>
        </w:rPr>
        <w:t xml:space="preserve"> </w:t>
      </w:r>
      <w:r w:rsidRPr="00EB1AAB">
        <w:rPr>
          <w:rFonts w:ascii="Arial" w:eastAsia="Arial" w:hAnsi="Arial" w:cs="Arial"/>
        </w:rPr>
        <w:t>the</w:t>
      </w:r>
      <w:r w:rsidRPr="00EB1AAB">
        <w:rPr>
          <w:rFonts w:ascii="Arial" w:eastAsia="Arial" w:hAnsi="Arial" w:cs="Arial"/>
          <w:spacing w:val="1"/>
        </w:rPr>
        <w:t xml:space="preserve"> </w:t>
      </w:r>
      <w:r w:rsidRPr="00EB1AAB">
        <w:rPr>
          <w:rFonts w:ascii="Arial" w:eastAsia="Arial" w:hAnsi="Arial" w:cs="Arial"/>
        </w:rPr>
        <w:t>M</w:t>
      </w:r>
      <w:r w:rsidRPr="00EB1AAB">
        <w:rPr>
          <w:rFonts w:ascii="Arial" w:eastAsia="Arial" w:hAnsi="Arial" w:cs="Arial"/>
          <w:spacing w:val="-1"/>
        </w:rPr>
        <w:t>o</w:t>
      </w:r>
      <w:r w:rsidRPr="00EB1AAB">
        <w:rPr>
          <w:rFonts w:ascii="Arial" w:eastAsia="Arial" w:hAnsi="Arial" w:cs="Arial"/>
          <w:spacing w:val="1"/>
        </w:rPr>
        <w:t>v</w:t>
      </w:r>
      <w:r w:rsidRPr="00EB1AAB">
        <w:rPr>
          <w:rFonts w:ascii="Arial" w:eastAsia="Arial" w:hAnsi="Arial" w:cs="Arial"/>
        </w:rPr>
        <w:t>e</w:t>
      </w:r>
      <w:r w:rsidRPr="00EB1AAB">
        <w:rPr>
          <w:rFonts w:ascii="Arial" w:eastAsia="Arial" w:hAnsi="Arial" w:cs="Arial"/>
          <w:spacing w:val="2"/>
        </w:rPr>
        <w:t>m</w:t>
      </w:r>
      <w:r w:rsidRPr="00EB1AAB">
        <w:rPr>
          <w:rFonts w:ascii="Arial" w:eastAsia="Arial" w:hAnsi="Arial" w:cs="Arial"/>
        </w:rPr>
        <w:t>ent</w:t>
      </w:r>
      <w:r w:rsidRPr="00EB1AAB">
        <w:rPr>
          <w:rFonts w:ascii="Arial" w:eastAsia="Arial" w:hAnsi="Arial" w:cs="Arial"/>
          <w:spacing w:val="12"/>
        </w:rPr>
        <w:t xml:space="preserve"> </w:t>
      </w:r>
      <w:r w:rsidRPr="00EB1AAB">
        <w:rPr>
          <w:rFonts w:ascii="Arial" w:eastAsia="Arial" w:hAnsi="Arial" w:cs="Arial"/>
          <w:spacing w:val="3"/>
        </w:rPr>
        <w:t>i</w:t>
      </w:r>
      <w:r w:rsidRPr="00EB1AAB">
        <w:rPr>
          <w:rFonts w:ascii="Arial" w:eastAsia="Arial" w:hAnsi="Arial" w:cs="Arial"/>
        </w:rPr>
        <w:t>n</w:t>
      </w:r>
      <w:r w:rsidRPr="00EB1AAB">
        <w:rPr>
          <w:rFonts w:ascii="Arial" w:eastAsia="Arial" w:hAnsi="Arial" w:cs="Arial"/>
          <w:spacing w:val="1"/>
        </w:rPr>
        <w:t xml:space="preserve"> </w:t>
      </w:r>
      <w:r w:rsidRPr="00EB1AAB">
        <w:rPr>
          <w:rFonts w:ascii="Arial" w:eastAsia="Arial" w:hAnsi="Arial" w:cs="Arial"/>
          <w:spacing w:val="2"/>
        </w:rPr>
        <w:t>R</w:t>
      </w:r>
      <w:r w:rsidRPr="00EB1AAB">
        <w:rPr>
          <w:rFonts w:ascii="Arial" w:eastAsia="Arial" w:hAnsi="Arial" w:cs="Arial"/>
          <w:spacing w:val="-3"/>
        </w:rPr>
        <w:t>e</w:t>
      </w:r>
      <w:r w:rsidRPr="00EB1AAB">
        <w:rPr>
          <w:rFonts w:ascii="Arial" w:eastAsia="Arial" w:hAnsi="Arial" w:cs="Arial"/>
          <w:spacing w:val="1"/>
        </w:rPr>
        <w:t>s</w:t>
      </w:r>
      <w:r w:rsidRPr="00EB1AAB">
        <w:rPr>
          <w:rFonts w:ascii="Arial" w:eastAsia="Arial" w:hAnsi="Arial" w:cs="Arial"/>
        </w:rPr>
        <w:t>e</w:t>
      </w:r>
      <w:r w:rsidRPr="00EB1AAB">
        <w:rPr>
          <w:rFonts w:ascii="Arial" w:eastAsia="Arial" w:hAnsi="Arial" w:cs="Arial"/>
          <w:spacing w:val="-1"/>
        </w:rPr>
        <w:t>r</w:t>
      </w:r>
      <w:r w:rsidRPr="00EB1AAB">
        <w:rPr>
          <w:rFonts w:ascii="Arial" w:eastAsia="Arial" w:hAnsi="Arial" w:cs="Arial"/>
          <w:spacing w:val="1"/>
        </w:rPr>
        <w:t>v</w:t>
      </w:r>
      <w:r w:rsidRPr="00EB1AAB">
        <w:rPr>
          <w:rFonts w:ascii="Arial" w:eastAsia="Arial" w:hAnsi="Arial" w:cs="Arial"/>
        </w:rPr>
        <w:t>es</w:t>
      </w:r>
      <w:r w:rsidRPr="00EB1AAB">
        <w:rPr>
          <w:rFonts w:ascii="Arial" w:eastAsia="Arial" w:hAnsi="Arial" w:cs="Arial"/>
          <w:spacing w:val="9"/>
        </w:rPr>
        <w:t xml:space="preserve"> </w:t>
      </w:r>
      <w:r w:rsidRPr="00EB1AAB">
        <w:rPr>
          <w:rFonts w:ascii="Arial" w:eastAsia="Arial" w:hAnsi="Arial" w:cs="Arial"/>
          <w:spacing w:val="3"/>
        </w:rPr>
        <w:t>S</w:t>
      </w:r>
      <w:r w:rsidRPr="00EB1AAB">
        <w:rPr>
          <w:rFonts w:ascii="Arial" w:eastAsia="Arial" w:hAnsi="Arial" w:cs="Arial"/>
        </w:rPr>
        <w:t>t</w:t>
      </w:r>
      <w:r w:rsidRPr="00EB1AAB">
        <w:rPr>
          <w:rFonts w:ascii="Arial" w:eastAsia="Arial" w:hAnsi="Arial" w:cs="Arial"/>
          <w:spacing w:val="-2"/>
        </w:rPr>
        <w:t>a</w:t>
      </w:r>
      <w:r w:rsidRPr="00EB1AAB">
        <w:rPr>
          <w:rFonts w:ascii="Arial" w:eastAsia="Arial" w:hAnsi="Arial" w:cs="Arial"/>
          <w:spacing w:val="2"/>
        </w:rPr>
        <w:t>t</w:t>
      </w:r>
      <w:r w:rsidRPr="00EB1AAB">
        <w:rPr>
          <w:rFonts w:ascii="Arial" w:eastAsia="Arial" w:hAnsi="Arial" w:cs="Arial"/>
          <w:spacing w:val="-3"/>
        </w:rPr>
        <w:t>e</w:t>
      </w:r>
      <w:r w:rsidRPr="00EB1AAB">
        <w:rPr>
          <w:rFonts w:ascii="Arial" w:eastAsia="Arial" w:hAnsi="Arial" w:cs="Arial"/>
          <w:spacing w:val="2"/>
        </w:rPr>
        <w:t>me</w:t>
      </w:r>
      <w:r w:rsidRPr="00EB1AAB">
        <w:rPr>
          <w:rFonts w:ascii="Arial" w:eastAsia="Arial" w:hAnsi="Arial" w:cs="Arial"/>
          <w:spacing w:val="-3"/>
        </w:rPr>
        <w:t>n</w:t>
      </w:r>
      <w:r w:rsidRPr="00EB1AAB">
        <w:rPr>
          <w:rFonts w:ascii="Arial" w:eastAsia="Arial" w:hAnsi="Arial" w:cs="Arial"/>
        </w:rPr>
        <w:t>t</w:t>
      </w:r>
      <w:r w:rsidRPr="00EB1AAB">
        <w:rPr>
          <w:rFonts w:ascii="Arial" w:eastAsia="Arial" w:hAnsi="Arial" w:cs="Arial"/>
          <w:spacing w:val="13"/>
        </w:rPr>
        <w:t xml:space="preserve"> </w:t>
      </w:r>
      <w:r w:rsidRPr="00EB1AAB">
        <w:rPr>
          <w:rFonts w:ascii="Arial" w:eastAsia="Arial" w:hAnsi="Arial" w:cs="Arial"/>
        </w:rPr>
        <w:t>to</w:t>
      </w:r>
      <w:r w:rsidRPr="00EB1AAB">
        <w:rPr>
          <w:rFonts w:ascii="Arial" w:eastAsia="Arial" w:hAnsi="Arial" w:cs="Arial"/>
          <w:spacing w:val="2"/>
        </w:rPr>
        <w:t xml:space="preserve"> t</w:t>
      </w:r>
      <w:r w:rsidRPr="00EB1AAB">
        <w:rPr>
          <w:rFonts w:ascii="Arial" w:eastAsia="Arial" w:hAnsi="Arial" w:cs="Arial"/>
          <w:spacing w:val="-2"/>
        </w:rPr>
        <w:t>h</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spacing w:val="2"/>
        </w:rPr>
        <w:t>C</w:t>
      </w:r>
      <w:r w:rsidRPr="00EB1AAB">
        <w:rPr>
          <w:rFonts w:ascii="Arial" w:eastAsia="Arial" w:hAnsi="Arial" w:cs="Arial"/>
        </w:rPr>
        <w:t>a</w:t>
      </w:r>
      <w:r w:rsidRPr="00EB1AAB">
        <w:rPr>
          <w:rFonts w:ascii="Arial" w:eastAsia="Arial" w:hAnsi="Arial" w:cs="Arial"/>
          <w:spacing w:val="-3"/>
        </w:rPr>
        <w:t>p</w:t>
      </w:r>
      <w:r w:rsidRPr="00EB1AAB">
        <w:rPr>
          <w:rFonts w:ascii="Arial" w:eastAsia="Arial" w:hAnsi="Arial" w:cs="Arial"/>
          <w:spacing w:val="4"/>
        </w:rPr>
        <w:t>i</w:t>
      </w:r>
      <w:r w:rsidRPr="00EB1AAB">
        <w:rPr>
          <w:rFonts w:ascii="Arial" w:eastAsia="Arial" w:hAnsi="Arial" w:cs="Arial"/>
        </w:rPr>
        <w:t>t</w:t>
      </w:r>
      <w:r w:rsidRPr="00EB1AAB">
        <w:rPr>
          <w:rFonts w:ascii="Arial" w:eastAsia="Arial" w:hAnsi="Arial" w:cs="Arial"/>
          <w:spacing w:val="-3"/>
        </w:rPr>
        <w:t>a</w:t>
      </w:r>
      <w:r w:rsidRPr="00EB1AAB">
        <w:rPr>
          <w:rFonts w:ascii="Arial" w:eastAsia="Arial" w:hAnsi="Arial" w:cs="Arial"/>
        </w:rPr>
        <w:t>l</w:t>
      </w:r>
      <w:r w:rsidRPr="00EB1AAB">
        <w:rPr>
          <w:rFonts w:ascii="Arial" w:eastAsia="Arial" w:hAnsi="Arial" w:cs="Arial"/>
          <w:spacing w:val="11"/>
        </w:rPr>
        <w:t xml:space="preserve"> </w:t>
      </w:r>
      <w:r w:rsidRPr="00EB1AAB">
        <w:rPr>
          <w:rFonts w:ascii="Arial" w:eastAsia="Arial" w:hAnsi="Arial" w:cs="Arial"/>
        </w:rPr>
        <w:t>Ad</w:t>
      </w:r>
      <w:r w:rsidRPr="00EB1AAB">
        <w:rPr>
          <w:rFonts w:ascii="Arial" w:eastAsia="Arial" w:hAnsi="Arial" w:cs="Arial"/>
          <w:spacing w:val="1"/>
        </w:rPr>
        <w:t>j</w:t>
      </w:r>
      <w:r w:rsidRPr="00EB1AAB">
        <w:rPr>
          <w:rFonts w:ascii="Arial" w:eastAsia="Arial" w:hAnsi="Arial" w:cs="Arial"/>
        </w:rPr>
        <w:t>u</w:t>
      </w:r>
      <w:r w:rsidRPr="00EB1AAB">
        <w:rPr>
          <w:rFonts w:ascii="Arial" w:eastAsia="Arial" w:hAnsi="Arial" w:cs="Arial"/>
          <w:spacing w:val="-2"/>
        </w:rPr>
        <w:t>s</w:t>
      </w:r>
      <w:r w:rsidRPr="00EB1AAB">
        <w:rPr>
          <w:rFonts w:ascii="Arial" w:eastAsia="Arial" w:hAnsi="Arial" w:cs="Arial"/>
          <w:spacing w:val="2"/>
        </w:rPr>
        <w:t>t</w:t>
      </w:r>
      <w:r w:rsidRPr="00EB1AAB">
        <w:rPr>
          <w:rFonts w:ascii="Arial" w:eastAsia="Arial" w:hAnsi="Arial" w:cs="Arial"/>
        </w:rPr>
        <w:t>me</w:t>
      </w:r>
      <w:r w:rsidRPr="00EB1AAB">
        <w:rPr>
          <w:rFonts w:ascii="Arial" w:eastAsia="Arial" w:hAnsi="Arial" w:cs="Arial"/>
          <w:spacing w:val="-2"/>
        </w:rPr>
        <w:t>n</w:t>
      </w:r>
      <w:r w:rsidRPr="00EB1AAB">
        <w:rPr>
          <w:rFonts w:ascii="Arial" w:eastAsia="Arial" w:hAnsi="Arial" w:cs="Arial"/>
        </w:rPr>
        <w:t>t</w:t>
      </w:r>
      <w:r w:rsidRPr="00EB1AAB">
        <w:rPr>
          <w:rFonts w:ascii="Arial" w:eastAsia="Arial" w:hAnsi="Arial" w:cs="Arial"/>
          <w:spacing w:val="14"/>
        </w:rPr>
        <w:t xml:space="preserve"> </w:t>
      </w:r>
      <w:r w:rsidRPr="00EB1AAB">
        <w:rPr>
          <w:rFonts w:ascii="Arial" w:eastAsia="Arial" w:hAnsi="Arial" w:cs="Arial"/>
          <w:w w:val="101"/>
        </w:rPr>
        <w:t>A</w:t>
      </w:r>
      <w:r w:rsidRPr="00EB1AAB">
        <w:rPr>
          <w:rFonts w:ascii="Arial" w:eastAsia="Arial" w:hAnsi="Arial" w:cs="Arial"/>
          <w:spacing w:val="1"/>
          <w:w w:val="101"/>
        </w:rPr>
        <w:t>cc</w:t>
      </w:r>
      <w:r w:rsidRPr="00EB1AAB">
        <w:rPr>
          <w:rFonts w:ascii="Arial" w:eastAsia="Arial" w:hAnsi="Arial" w:cs="Arial"/>
          <w:spacing w:val="-3"/>
          <w:w w:val="101"/>
        </w:rPr>
        <w:t>o</w:t>
      </w:r>
      <w:r w:rsidRPr="00EB1AAB">
        <w:rPr>
          <w:rFonts w:ascii="Arial" w:eastAsia="Arial" w:hAnsi="Arial" w:cs="Arial"/>
          <w:spacing w:val="2"/>
          <w:w w:val="101"/>
        </w:rPr>
        <w:t>u</w:t>
      </w:r>
      <w:r w:rsidRPr="00EB1AAB">
        <w:rPr>
          <w:rFonts w:ascii="Arial" w:eastAsia="Arial" w:hAnsi="Arial" w:cs="Arial"/>
          <w:spacing w:val="-2"/>
          <w:w w:val="101"/>
        </w:rPr>
        <w:t>n</w:t>
      </w:r>
      <w:r w:rsidRPr="00EB1AAB">
        <w:rPr>
          <w:rFonts w:ascii="Arial" w:eastAsia="Arial" w:hAnsi="Arial" w:cs="Arial"/>
          <w:w w:val="101"/>
        </w:rPr>
        <w:t>t.</w:t>
      </w:r>
    </w:p>
    <w:bookmarkEnd w:id="84"/>
    <w:p w14:paraId="1B04F623" w14:textId="77777777" w:rsidR="00655E4C" w:rsidRPr="00EB1AAB" w:rsidRDefault="00655E4C" w:rsidP="00655E4C">
      <w:pPr>
        <w:pStyle w:val="Normal0"/>
        <w:spacing w:line="240" w:lineRule="auto"/>
        <w:rPr>
          <w:rFonts w:ascii="Arial" w:hAnsi="Arial" w:cs="Arial"/>
          <w:b/>
          <w:bCs/>
          <w:sz w:val="24"/>
          <w:szCs w:val="24"/>
          <w:lang w:eastAsia="en-GB"/>
        </w:rPr>
      </w:pPr>
    </w:p>
    <w:p w14:paraId="28635C82" w14:textId="77777777" w:rsidR="00655E4C" w:rsidRPr="00EB1AAB" w:rsidRDefault="00655E4C" w:rsidP="00655E4C">
      <w:pPr>
        <w:pStyle w:val="Heading4bold"/>
        <w:rPr>
          <w:lang w:eastAsia="en-GB"/>
        </w:rPr>
      </w:pPr>
      <w:r w:rsidRPr="00EB1AAB">
        <w:rPr>
          <w:lang w:eastAsia="en-GB"/>
        </w:rPr>
        <w:t>1.17. Financial Liabilities</w:t>
      </w:r>
    </w:p>
    <w:p w14:paraId="06E0B83A" w14:textId="77777777" w:rsidR="00655E4C" w:rsidRPr="00EB1AAB" w:rsidRDefault="00655E4C" w:rsidP="00655E4C">
      <w:pPr>
        <w:pStyle w:val="Normal0"/>
        <w:spacing w:line="240" w:lineRule="auto"/>
        <w:rPr>
          <w:rFonts w:ascii="Arial" w:hAnsi="Arial" w:cs="Arial"/>
          <w:bCs/>
          <w:sz w:val="24"/>
          <w:szCs w:val="24"/>
          <w:lang w:eastAsia="en-GB"/>
        </w:rPr>
      </w:pPr>
      <w:r w:rsidRPr="00EB1AAB">
        <w:rPr>
          <w:rFonts w:ascii="Arial" w:hAnsi="Arial" w:cs="Arial"/>
          <w:bCs/>
          <w:sz w:val="24"/>
          <w:szCs w:val="24"/>
          <w:lang w:eastAsia="en-GB"/>
        </w:rPr>
        <w:t xml:space="preserve">Financial liabilities are recognised on the Balance Sheet when the Authority becomes a party to the contractual provisions of a financial instrument and are initially measured at fair value and carried at their amortised cost. Annual charges to the Financing and Investment Income and Expenditure line in the Comprehensive Income and Expenditure Statement for interest payable are based on the carrying amount of the liability, multiplied by the effective rate of interest for the instrument. The effective interest rate is the rate that exactly discounts estimated future cash payments over the life of the instrument to the amount at which it was originally recognised. </w:t>
      </w:r>
    </w:p>
    <w:p w14:paraId="76084A1B" w14:textId="77777777" w:rsidR="00655E4C" w:rsidRPr="00EB1AAB" w:rsidRDefault="00655E4C" w:rsidP="00655E4C">
      <w:pPr>
        <w:pStyle w:val="Normal0"/>
        <w:spacing w:line="240" w:lineRule="auto"/>
        <w:rPr>
          <w:rFonts w:ascii="Arial" w:hAnsi="Arial" w:cs="Arial"/>
          <w:bCs/>
          <w:sz w:val="24"/>
          <w:szCs w:val="24"/>
          <w:lang w:eastAsia="en-GB"/>
        </w:rPr>
      </w:pPr>
    </w:p>
    <w:p w14:paraId="370FE120" w14:textId="77777777" w:rsidR="00655E4C" w:rsidRPr="00EB1AAB" w:rsidRDefault="00655E4C" w:rsidP="00655E4C">
      <w:pPr>
        <w:pStyle w:val="Normal0"/>
        <w:spacing w:line="240" w:lineRule="auto"/>
        <w:rPr>
          <w:rFonts w:ascii="Arial" w:hAnsi="Arial" w:cs="Arial"/>
          <w:bCs/>
          <w:sz w:val="24"/>
          <w:szCs w:val="24"/>
          <w:lang w:eastAsia="en-GB"/>
        </w:rPr>
      </w:pPr>
      <w:r w:rsidRPr="00EB1AAB">
        <w:rPr>
          <w:rFonts w:ascii="Arial" w:hAnsi="Arial" w:cs="Arial"/>
          <w:bCs/>
          <w:sz w:val="24"/>
          <w:szCs w:val="24"/>
          <w:lang w:eastAsia="en-GB"/>
        </w:rPr>
        <w:t>For most of the borrowings that the Authority has, this means that the amount presented in the Balance Sheet is the outstanding principal repayable plus accrued interest. The interest charged to the Comprehensive Income and Expenditure Statement is the amount payable for the year according to the loan agreement.</w:t>
      </w:r>
    </w:p>
    <w:p w14:paraId="773C5114" w14:textId="77777777" w:rsidR="00655E4C" w:rsidRPr="00EB1AAB" w:rsidRDefault="00655E4C" w:rsidP="00655E4C">
      <w:pPr>
        <w:pStyle w:val="Normal0"/>
        <w:spacing w:line="240" w:lineRule="auto"/>
        <w:rPr>
          <w:rFonts w:ascii="Arial" w:hAnsi="Arial" w:cs="Arial"/>
          <w:bCs/>
          <w:sz w:val="24"/>
          <w:szCs w:val="24"/>
          <w:lang w:eastAsia="en-GB"/>
        </w:rPr>
      </w:pPr>
    </w:p>
    <w:p w14:paraId="5FFF5EE8" w14:textId="77777777" w:rsidR="00655E4C" w:rsidRPr="0007572B" w:rsidRDefault="00655E4C" w:rsidP="00655E4C">
      <w:pPr>
        <w:pStyle w:val="Normal0"/>
        <w:spacing w:line="240" w:lineRule="auto"/>
        <w:rPr>
          <w:rFonts w:ascii="Arial" w:hAnsi="Arial" w:cs="Arial"/>
          <w:bCs/>
          <w:sz w:val="24"/>
          <w:szCs w:val="24"/>
          <w:lang w:eastAsia="en-GB"/>
        </w:rPr>
      </w:pPr>
      <w:r w:rsidRPr="00EB1AAB">
        <w:rPr>
          <w:rFonts w:ascii="Arial" w:hAnsi="Arial" w:cs="Arial"/>
          <w:bCs/>
          <w:sz w:val="24"/>
          <w:szCs w:val="24"/>
          <w:lang w:eastAsia="en-GB"/>
        </w:rPr>
        <w:t>For Lender Option Borrower Option (LOBO) loans, the effective interest rate has been calculated over the life of the loan. This is an average and differs from the amounts actually paid in the year. The difference between the calculated interest charge and interest paid has been adjusted in the carrying amount of the loan and the amount charged in the Comprehensive Income and Expenditure Statement is the effective interest rate for the life of the loan rather than the amount payable per the loan agreement. A statutory over-ride allows the reversal of this difference through the Movement in Reserves Statement in order to charge the actual interest payable to the General Fund.</w:t>
      </w:r>
    </w:p>
    <w:p w14:paraId="62E8C0D2" w14:textId="77777777" w:rsidR="00655E4C" w:rsidRPr="0007572B" w:rsidRDefault="00655E4C" w:rsidP="00655E4C">
      <w:pPr>
        <w:pStyle w:val="Normal0"/>
        <w:spacing w:line="240" w:lineRule="auto"/>
        <w:rPr>
          <w:rFonts w:ascii="Arial" w:hAnsi="Arial" w:cs="Arial"/>
          <w:bCs/>
          <w:sz w:val="24"/>
          <w:szCs w:val="24"/>
          <w:lang w:eastAsia="en-GB"/>
        </w:rPr>
      </w:pPr>
    </w:p>
    <w:p w14:paraId="163A30A0" w14:textId="77777777" w:rsidR="00655E4C" w:rsidRPr="0097099A" w:rsidRDefault="00655E4C" w:rsidP="00655E4C">
      <w:pPr>
        <w:pStyle w:val="Heading4bold"/>
        <w:rPr>
          <w:lang w:eastAsia="en-GB"/>
        </w:rPr>
      </w:pPr>
      <w:r w:rsidRPr="0097099A">
        <w:rPr>
          <w:lang w:eastAsia="en-GB"/>
        </w:rPr>
        <w:lastRenderedPageBreak/>
        <w:t>1.18. Impairment of non-financial assets</w:t>
      </w:r>
    </w:p>
    <w:p w14:paraId="51683906" w14:textId="77777777" w:rsidR="00655E4C" w:rsidRPr="0097099A" w:rsidRDefault="00655E4C" w:rsidP="00655E4C">
      <w:pPr>
        <w:pStyle w:val="Normal0"/>
        <w:spacing w:line="240" w:lineRule="auto"/>
        <w:rPr>
          <w:rFonts w:ascii="Arial" w:hAnsi="Arial" w:cs="Arial"/>
          <w:bCs/>
          <w:sz w:val="24"/>
          <w:szCs w:val="24"/>
          <w:lang w:eastAsia="en-GB"/>
        </w:rPr>
      </w:pPr>
      <w:r w:rsidRPr="0097099A">
        <w:rPr>
          <w:rFonts w:ascii="Arial" w:hAnsi="Arial" w:cs="Arial"/>
          <w:bCs/>
          <w:sz w:val="24"/>
          <w:szCs w:val="24"/>
          <w:lang w:eastAsia="en-GB"/>
        </w:rPr>
        <w:t>Assets are assessed at each year-end as to whether there is any indication that an asset may be impaired. Where indications exist and any possible differences are estimated to be material, the recoverable amount of the asset is estimated and, where this is less than the carrying amount of the asset, an impairment loss is recognised for the shortfall.</w:t>
      </w:r>
    </w:p>
    <w:p w14:paraId="26607F49" w14:textId="77777777" w:rsidR="00655E4C" w:rsidRPr="0097099A" w:rsidRDefault="00655E4C" w:rsidP="00655E4C">
      <w:pPr>
        <w:pStyle w:val="Normal0"/>
        <w:spacing w:line="240" w:lineRule="auto"/>
        <w:rPr>
          <w:rFonts w:ascii="Arial" w:hAnsi="Arial" w:cs="Arial"/>
          <w:bCs/>
          <w:sz w:val="24"/>
          <w:szCs w:val="24"/>
          <w:lang w:eastAsia="en-GB"/>
        </w:rPr>
      </w:pPr>
    </w:p>
    <w:p w14:paraId="5EFFE0C5" w14:textId="77777777" w:rsidR="00655E4C" w:rsidRPr="0097099A" w:rsidRDefault="00655E4C" w:rsidP="00655E4C">
      <w:pPr>
        <w:pStyle w:val="Normal0"/>
        <w:spacing w:line="240" w:lineRule="auto"/>
        <w:rPr>
          <w:rFonts w:ascii="Arial" w:hAnsi="Arial" w:cs="Arial"/>
          <w:bCs/>
          <w:sz w:val="24"/>
          <w:szCs w:val="24"/>
          <w:lang w:eastAsia="en-GB"/>
        </w:rPr>
      </w:pPr>
      <w:r w:rsidRPr="0097099A">
        <w:rPr>
          <w:rFonts w:ascii="Arial" w:hAnsi="Arial" w:cs="Arial"/>
          <w:bCs/>
          <w:sz w:val="24"/>
          <w:szCs w:val="24"/>
          <w:lang w:eastAsia="en-GB"/>
        </w:rPr>
        <w:t>Where impairment losses are identified, they are accounted for as follows:</w:t>
      </w:r>
    </w:p>
    <w:p w14:paraId="195EC9D3" w14:textId="77777777" w:rsidR="00655E4C" w:rsidRPr="0097099A" w:rsidRDefault="00655E4C" w:rsidP="00655E4C">
      <w:pPr>
        <w:pStyle w:val="Normal0"/>
        <w:spacing w:line="240" w:lineRule="auto"/>
        <w:rPr>
          <w:rFonts w:ascii="Arial" w:hAnsi="Arial" w:cs="Arial"/>
          <w:bCs/>
          <w:sz w:val="24"/>
          <w:szCs w:val="24"/>
          <w:lang w:eastAsia="en-GB"/>
        </w:rPr>
      </w:pPr>
    </w:p>
    <w:p w14:paraId="6471587A" w14:textId="77777777" w:rsidR="00655E4C" w:rsidRPr="0097099A" w:rsidRDefault="00655E4C" w:rsidP="00EB27EB">
      <w:pPr>
        <w:pStyle w:val="ListParagraph"/>
        <w:numPr>
          <w:ilvl w:val="0"/>
          <w:numId w:val="26"/>
        </w:numPr>
        <w:spacing w:line="240" w:lineRule="auto"/>
        <w:rPr>
          <w:rFonts w:ascii="Arial" w:hAnsi="Arial" w:cs="Arial"/>
          <w:bCs/>
          <w:sz w:val="24"/>
          <w:szCs w:val="24"/>
        </w:rPr>
      </w:pPr>
      <w:r w:rsidRPr="0097099A">
        <w:rPr>
          <w:rFonts w:ascii="Arial" w:hAnsi="Arial" w:cs="Arial"/>
          <w:bCs/>
          <w:sz w:val="24"/>
          <w:szCs w:val="24"/>
        </w:rPr>
        <w:t>Where there is a balance of revaluation gains for the asset in the Revaluation Reserve, the carrying amount of the asset is written down against that balance (up to the amount of the accumulated gains)</w:t>
      </w:r>
    </w:p>
    <w:p w14:paraId="6B5C1C54" w14:textId="77777777" w:rsidR="00655E4C" w:rsidRPr="0097099A" w:rsidRDefault="00655E4C" w:rsidP="00EB27EB">
      <w:pPr>
        <w:pStyle w:val="ListParagraph"/>
        <w:numPr>
          <w:ilvl w:val="0"/>
          <w:numId w:val="26"/>
        </w:numPr>
        <w:spacing w:line="240" w:lineRule="auto"/>
        <w:rPr>
          <w:rFonts w:ascii="Arial" w:hAnsi="Arial" w:cs="Arial"/>
          <w:bCs/>
          <w:sz w:val="24"/>
          <w:szCs w:val="24"/>
        </w:rPr>
      </w:pPr>
      <w:r w:rsidRPr="0097099A">
        <w:rPr>
          <w:rFonts w:ascii="Arial" w:hAnsi="Arial" w:cs="Arial"/>
          <w:bCs/>
          <w:sz w:val="24"/>
          <w:szCs w:val="24"/>
        </w:rPr>
        <w:t>Where there is no balance in the Revaluation Reserve or an insufficient balance, the carrying amount of the asset is written down against the relevant service line(s) in the Comprehensive Income and Expenditure Statement.</w:t>
      </w:r>
    </w:p>
    <w:p w14:paraId="47B7C4D1" w14:textId="77777777" w:rsidR="00655E4C" w:rsidRPr="0007572B" w:rsidRDefault="00655E4C" w:rsidP="00655E4C">
      <w:pPr>
        <w:pStyle w:val="Normal0"/>
        <w:spacing w:line="240" w:lineRule="auto"/>
        <w:rPr>
          <w:rFonts w:ascii="Arial" w:hAnsi="Arial" w:cs="Arial"/>
          <w:bCs/>
          <w:sz w:val="24"/>
          <w:szCs w:val="24"/>
          <w:lang w:eastAsia="en-GB"/>
        </w:rPr>
      </w:pPr>
      <w:r w:rsidRPr="0097099A">
        <w:rPr>
          <w:rFonts w:ascii="Arial" w:hAnsi="Arial" w:cs="Arial"/>
          <w:bCs/>
          <w:sz w:val="24"/>
          <w:szCs w:val="24"/>
          <w:lang w:eastAsia="en-GB"/>
        </w:rPr>
        <w:t>Where an impairment loss is subsequently reversed, the reversal is credited to the relevant service line(s) in the Comprehensive Income and Expenditure Statement, up to the amount of the original loss, adjusted for depreciation that would have been charged if the loss had not been recognised.</w:t>
      </w:r>
    </w:p>
    <w:p w14:paraId="70065AF7" w14:textId="77777777" w:rsidR="00655E4C" w:rsidRPr="0007572B" w:rsidRDefault="00655E4C" w:rsidP="00655E4C">
      <w:pPr>
        <w:pStyle w:val="Normal0"/>
        <w:spacing w:line="240" w:lineRule="auto"/>
        <w:rPr>
          <w:rFonts w:ascii="Arial" w:hAnsi="Arial" w:cs="Arial"/>
          <w:bCs/>
          <w:sz w:val="24"/>
          <w:szCs w:val="24"/>
          <w:lang w:eastAsia="en-GB"/>
        </w:rPr>
      </w:pPr>
    </w:p>
    <w:p w14:paraId="3EDCBC27" w14:textId="77777777" w:rsidR="00655E4C" w:rsidRPr="0007572B" w:rsidRDefault="00655E4C" w:rsidP="00655E4C">
      <w:pPr>
        <w:pStyle w:val="Heading4bold"/>
        <w:rPr>
          <w:lang w:eastAsia="en-GB"/>
        </w:rPr>
      </w:pPr>
      <w:r w:rsidRPr="0007572B">
        <w:rPr>
          <w:lang w:eastAsia="en-GB"/>
        </w:rPr>
        <w:t>1.19. Value Added Tax (VAT)</w:t>
      </w:r>
    </w:p>
    <w:p w14:paraId="352AF8EA" w14:textId="77777777" w:rsidR="00655E4C" w:rsidRPr="0007572B" w:rsidRDefault="00655E4C" w:rsidP="00655E4C">
      <w:pPr>
        <w:pStyle w:val="Normal0"/>
        <w:spacing w:line="240" w:lineRule="auto"/>
        <w:rPr>
          <w:rFonts w:ascii="Arial" w:hAnsi="Arial" w:cs="Arial"/>
          <w:bCs/>
          <w:sz w:val="24"/>
          <w:szCs w:val="24"/>
          <w:lang w:eastAsia="en-GB"/>
        </w:rPr>
      </w:pPr>
      <w:r w:rsidRPr="0007572B">
        <w:rPr>
          <w:rFonts w:ascii="Arial" w:hAnsi="Arial" w:cs="Arial"/>
          <w:bCs/>
          <w:sz w:val="24"/>
          <w:szCs w:val="24"/>
          <w:lang w:eastAsia="en-GB"/>
        </w:rPr>
        <w:t>VAT payable is included as an expense only to the extent that it is not recoverable from Her Majesty’s Revenue and Customs. VAT receivable is excluded from income.</w:t>
      </w:r>
    </w:p>
    <w:p w14:paraId="4C9BED31" w14:textId="77777777" w:rsidR="00655E4C" w:rsidRPr="0007572B" w:rsidRDefault="00655E4C" w:rsidP="00655E4C">
      <w:pPr>
        <w:pStyle w:val="Normal0"/>
        <w:spacing w:line="240" w:lineRule="auto"/>
        <w:rPr>
          <w:rFonts w:ascii="Arial" w:hAnsi="Arial" w:cs="Arial"/>
          <w:b/>
          <w:bCs/>
          <w:sz w:val="24"/>
          <w:szCs w:val="24"/>
          <w:lang w:eastAsia="en-GB"/>
        </w:rPr>
      </w:pPr>
    </w:p>
    <w:p w14:paraId="14E755E2" w14:textId="77777777" w:rsidR="00655E4C" w:rsidRPr="0007572B" w:rsidRDefault="00655E4C" w:rsidP="00655E4C">
      <w:pPr>
        <w:pStyle w:val="Heading4bold"/>
        <w:rPr>
          <w:lang w:eastAsia="en-GB"/>
        </w:rPr>
      </w:pPr>
      <w:r w:rsidRPr="0007572B">
        <w:rPr>
          <w:lang w:eastAsia="en-GB"/>
        </w:rPr>
        <w:t>1.20. Reserves and Balances</w:t>
      </w:r>
    </w:p>
    <w:p w14:paraId="09D673DB" w14:textId="77777777" w:rsidR="00655E4C" w:rsidRPr="0007572B" w:rsidRDefault="00655E4C" w:rsidP="00655E4C">
      <w:pPr>
        <w:pStyle w:val="Normal0"/>
        <w:spacing w:line="240" w:lineRule="auto"/>
        <w:rPr>
          <w:rFonts w:ascii="Arial" w:hAnsi="Arial" w:cs="Arial"/>
          <w:bCs/>
          <w:sz w:val="24"/>
          <w:szCs w:val="24"/>
          <w:lang w:eastAsia="en-GB"/>
        </w:rPr>
      </w:pPr>
      <w:r w:rsidRPr="0007572B">
        <w:rPr>
          <w:rFonts w:ascii="Arial" w:hAnsi="Arial" w:cs="Arial"/>
          <w:bCs/>
          <w:sz w:val="24"/>
          <w:szCs w:val="24"/>
          <w:lang w:eastAsia="en-GB"/>
        </w:rPr>
        <w:t>The Authority sets aside specific amounts as reserves for future policy purposes or to cover contingencies. Reserves are created by appropriating amounts out of the General Fund Balance in the Movement in Reserves Statement. When expenditure to be financed from a reserve is incurred, it is charged to the appropriate service in that year to score against the Surplus and Deficit on the Provision of Services in the Comprehensive Income and Expenditure Statement. The reserve is then appropriated back into the General Fund Balance in the Movement in Reserves Statement so that there is no net charge for the expenditure.</w:t>
      </w:r>
    </w:p>
    <w:p w14:paraId="0327473E" w14:textId="77777777" w:rsidR="00655E4C" w:rsidRPr="0007572B" w:rsidRDefault="00655E4C" w:rsidP="00655E4C">
      <w:pPr>
        <w:pStyle w:val="Normal0"/>
        <w:spacing w:line="240" w:lineRule="auto"/>
        <w:rPr>
          <w:rFonts w:ascii="Arial" w:hAnsi="Arial" w:cs="Arial"/>
          <w:bCs/>
          <w:sz w:val="24"/>
          <w:szCs w:val="24"/>
          <w:lang w:eastAsia="en-GB"/>
        </w:rPr>
      </w:pPr>
    </w:p>
    <w:p w14:paraId="14E4CF39" w14:textId="77777777" w:rsidR="00655E4C" w:rsidRPr="0007572B" w:rsidRDefault="00655E4C" w:rsidP="00655E4C">
      <w:pPr>
        <w:pStyle w:val="Normal0"/>
        <w:spacing w:line="240" w:lineRule="auto"/>
        <w:rPr>
          <w:rFonts w:ascii="Arial" w:hAnsi="Arial" w:cs="Arial"/>
          <w:bCs/>
          <w:sz w:val="24"/>
          <w:szCs w:val="24"/>
          <w:lang w:eastAsia="en-GB"/>
        </w:rPr>
      </w:pPr>
      <w:r w:rsidRPr="0007572B">
        <w:rPr>
          <w:rFonts w:ascii="Arial" w:hAnsi="Arial" w:cs="Arial"/>
          <w:bCs/>
          <w:sz w:val="24"/>
          <w:szCs w:val="24"/>
          <w:lang w:eastAsia="en-GB"/>
        </w:rPr>
        <w:t>Certain reserves are kept to manage the accounting processes for non-current assets, financial instruments and retirement and employee benefits and they do not represent usable resources for the Authority.</w:t>
      </w:r>
    </w:p>
    <w:p w14:paraId="28EE6BF1" w14:textId="77777777" w:rsidR="00655E4C" w:rsidRPr="0007572B" w:rsidRDefault="00655E4C" w:rsidP="00655E4C">
      <w:pPr>
        <w:pStyle w:val="Normal0"/>
        <w:spacing w:line="240" w:lineRule="auto"/>
        <w:rPr>
          <w:rFonts w:ascii="Arial" w:hAnsi="Arial" w:cs="Arial"/>
          <w:bCs/>
          <w:sz w:val="24"/>
          <w:szCs w:val="24"/>
          <w:lang w:eastAsia="en-GB"/>
        </w:rPr>
      </w:pPr>
    </w:p>
    <w:p w14:paraId="5DAFC9CD" w14:textId="464D4A1E" w:rsidR="00655E4C" w:rsidRPr="0007572B" w:rsidRDefault="00655E4C" w:rsidP="00655E4C">
      <w:pPr>
        <w:pStyle w:val="Normal0"/>
        <w:spacing w:line="240" w:lineRule="auto"/>
        <w:rPr>
          <w:rFonts w:ascii="Arial" w:hAnsi="Arial" w:cs="Arial"/>
          <w:bCs/>
          <w:sz w:val="24"/>
          <w:szCs w:val="24"/>
          <w:lang w:eastAsia="en-GB"/>
        </w:rPr>
      </w:pPr>
      <w:r w:rsidRPr="0007572B">
        <w:rPr>
          <w:rFonts w:ascii="Arial" w:hAnsi="Arial" w:cs="Arial"/>
          <w:bCs/>
          <w:sz w:val="24"/>
          <w:szCs w:val="24"/>
          <w:lang w:eastAsia="en-GB"/>
        </w:rPr>
        <w:t xml:space="preserve">The Authority produces memorandum accounts to hold the </w:t>
      </w:r>
      <w:r w:rsidR="00203B09" w:rsidRPr="0007572B">
        <w:rPr>
          <w:rFonts w:ascii="Arial" w:hAnsi="Arial" w:cs="Arial"/>
          <w:bCs/>
          <w:sz w:val="24"/>
          <w:szCs w:val="24"/>
          <w:lang w:eastAsia="en-GB"/>
        </w:rPr>
        <w:t>ring-fenced</w:t>
      </w:r>
      <w:r w:rsidRPr="0007572B">
        <w:rPr>
          <w:rFonts w:ascii="Arial" w:hAnsi="Arial" w:cs="Arial"/>
          <w:bCs/>
          <w:sz w:val="24"/>
          <w:szCs w:val="24"/>
          <w:lang w:eastAsia="en-GB"/>
        </w:rPr>
        <w:t xml:space="preserve"> reserves and balances relating to the Mayoral General Fund and the Mayoral Police Fund. </w:t>
      </w:r>
    </w:p>
    <w:p w14:paraId="3BDDA1BA" w14:textId="77777777" w:rsidR="00655E4C" w:rsidRPr="0007572B" w:rsidRDefault="00655E4C" w:rsidP="00655E4C">
      <w:pPr>
        <w:pStyle w:val="Normal0"/>
        <w:spacing w:line="240" w:lineRule="auto"/>
        <w:rPr>
          <w:rFonts w:ascii="Arial" w:hAnsi="Arial" w:cs="Arial"/>
          <w:b/>
          <w:bCs/>
          <w:sz w:val="24"/>
          <w:szCs w:val="24"/>
          <w:lang w:eastAsia="en-GB"/>
        </w:rPr>
      </w:pPr>
    </w:p>
    <w:p w14:paraId="409237C2" w14:textId="77777777" w:rsidR="00655E4C" w:rsidRPr="0007572B" w:rsidRDefault="00655E4C" w:rsidP="00655E4C">
      <w:pPr>
        <w:pStyle w:val="Heading4bold"/>
        <w:rPr>
          <w:lang w:eastAsia="en-GB"/>
        </w:rPr>
      </w:pPr>
      <w:r w:rsidRPr="0007572B">
        <w:rPr>
          <w:lang w:eastAsia="en-GB"/>
        </w:rPr>
        <w:t>1.21. Revenue</w:t>
      </w:r>
    </w:p>
    <w:p w14:paraId="4471E97D" w14:textId="77777777" w:rsidR="00655E4C" w:rsidRPr="0007572B" w:rsidRDefault="00655E4C" w:rsidP="00655E4C">
      <w:pPr>
        <w:pStyle w:val="Normal0"/>
        <w:spacing w:line="240" w:lineRule="auto"/>
        <w:rPr>
          <w:rFonts w:ascii="Arial" w:hAnsi="Arial" w:cs="Arial"/>
          <w:bCs/>
          <w:sz w:val="24"/>
          <w:szCs w:val="24"/>
          <w:lang w:eastAsia="en-GB"/>
        </w:rPr>
      </w:pPr>
      <w:r w:rsidRPr="0007572B">
        <w:rPr>
          <w:rFonts w:ascii="Arial" w:hAnsi="Arial" w:cs="Arial"/>
          <w:bCs/>
          <w:sz w:val="24"/>
          <w:szCs w:val="24"/>
          <w:lang w:eastAsia="en-GB"/>
        </w:rPr>
        <w:t>Revenue is a sub-set of income and is defined as the gross inflow of economic benefits or service potential during the reporting period when those inflows result in an increase in net worth.</w:t>
      </w:r>
    </w:p>
    <w:p w14:paraId="61173C58" w14:textId="77777777" w:rsidR="00655E4C" w:rsidRPr="0007572B" w:rsidRDefault="00655E4C" w:rsidP="00655E4C">
      <w:pPr>
        <w:pStyle w:val="Normal0"/>
        <w:spacing w:line="240" w:lineRule="auto"/>
        <w:rPr>
          <w:rFonts w:ascii="Arial" w:hAnsi="Arial" w:cs="Arial"/>
          <w:bCs/>
          <w:sz w:val="24"/>
          <w:szCs w:val="24"/>
          <w:lang w:eastAsia="en-GB"/>
        </w:rPr>
      </w:pPr>
    </w:p>
    <w:p w14:paraId="5372F74D" w14:textId="77777777" w:rsidR="00655E4C" w:rsidRPr="0007572B" w:rsidRDefault="00655E4C" w:rsidP="00655E4C">
      <w:pPr>
        <w:pStyle w:val="Normal0"/>
        <w:spacing w:line="240" w:lineRule="auto"/>
        <w:rPr>
          <w:rFonts w:ascii="Arial" w:hAnsi="Arial" w:cs="Arial"/>
          <w:bCs/>
          <w:sz w:val="24"/>
          <w:szCs w:val="24"/>
          <w:lang w:eastAsia="en-GB"/>
        </w:rPr>
      </w:pPr>
      <w:r w:rsidRPr="0007572B">
        <w:rPr>
          <w:rFonts w:ascii="Arial" w:hAnsi="Arial" w:cs="Arial"/>
          <w:bCs/>
          <w:sz w:val="24"/>
          <w:szCs w:val="24"/>
          <w:lang w:eastAsia="en-GB"/>
        </w:rPr>
        <w:lastRenderedPageBreak/>
        <w:t xml:space="preserve">Revenue from contracts with service recipients, whether for services or the provision of goods, is recognised when (or as) the goods or services are transferred to the service recipient in accordance with the performance obligations in the contract. </w:t>
      </w:r>
    </w:p>
    <w:p w14:paraId="7C861E0F" w14:textId="77777777" w:rsidR="00655E4C" w:rsidRPr="0007572B" w:rsidRDefault="00655E4C" w:rsidP="00655E4C">
      <w:pPr>
        <w:pStyle w:val="Normal0"/>
        <w:spacing w:line="240" w:lineRule="auto"/>
        <w:rPr>
          <w:rFonts w:ascii="Arial" w:hAnsi="Arial" w:cs="Arial"/>
          <w:bCs/>
          <w:sz w:val="24"/>
          <w:szCs w:val="24"/>
          <w:lang w:eastAsia="en-GB"/>
        </w:rPr>
      </w:pPr>
      <w:r w:rsidRPr="0007572B">
        <w:rPr>
          <w:rFonts w:ascii="Arial" w:hAnsi="Arial" w:cs="Arial"/>
          <w:bCs/>
          <w:sz w:val="24"/>
          <w:szCs w:val="24"/>
          <w:lang w:eastAsia="en-GB"/>
        </w:rPr>
        <w:t>Interest receivable on investments and payable on borrowings is accounted for respectively as income and expenditure on the basis of the effective interest rate for the relevant financial instrument rather than the cash flows fixed or determined by the contract.</w:t>
      </w:r>
    </w:p>
    <w:p w14:paraId="403C2487" w14:textId="77777777" w:rsidR="00655E4C" w:rsidRPr="0007572B" w:rsidRDefault="00655E4C" w:rsidP="00655E4C">
      <w:pPr>
        <w:pStyle w:val="Normal0"/>
        <w:spacing w:line="240" w:lineRule="auto"/>
        <w:rPr>
          <w:rFonts w:ascii="Arial" w:hAnsi="Arial" w:cs="Arial"/>
          <w:bCs/>
          <w:sz w:val="24"/>
          <w:szCs w:val="24"/>
          <w:lang w:eastAsia="en-GB"/>
        </w:rPr>
      </w:pPr>
    </w:p>
    <w:p w14:paraId="5E522B47" w14:textId="77777777" w:rsidR="00655E4C" w:rsidRPr="0007572B" w:rsidRDefault="00655E4C" w:rsidP="00655E4C">
      <w:pPr>
        <w:pStyle w:val="Normal0"/>
        <w:spacing w:line="240" w:lineRule="auto"/>
        <w:rPr>
          <w:rFonts w:ascii="Arial" w:hAnsi="Arial" w:cs="Arial"/>
          <w:bCs/>
          <w:sz w:val="24"/>
          <w:szCs w:val="24"/>
          <w:lang w:eastAsia="en-GB"/>
        </w:rPr>
      </w:pPr>
      <w:r w:rsidRPr="0007572B">
        <w:rPr>
          <w:rFonts w:ascii="Arial" w:hAnsi="Arial" w:cs="Arial"/>
          <w:bCs/>
          <w:sz w:val="24"/>
          <w:szCs w:val="24"/>
          <w:lang w:eastAsia="en-GB"/>
        </w:rPr>
        <w:t>Where revenue has been recognised but cash has not been received or paid, a debtor for the relevant amount is recorded in the Balance Sheet. Where debts may not be settled, the balance of debtors is written down and a charge made to revenue for the income that might not be collected.</w:t>
      </w:r>
    </w:p>
    <w:p w14:paraId="115333A3" w14:textId="77777777" w:rsidR="00655E4C" w:rsidRPr="0007572B" w:rsidRDefault="00655E4C" w:rsidP="00655E4C">
      <w:pPr>
        <w:pStyle w:val="Normal0"/>
        <w:spacing w:line="240" w:lineRule="auto"/>
        <w:rPr>
          <w:rFonts w:ascii="Arial" w:hAnsi="Arial" w:cs="Arial"/>
          <w:bCs/>
          <w:sz w:val="24"/>
          <w:szCs w:val="24"/>
          <w:lang w:eastAsia="en-GB"/>
        </w:rPr>
      </w:pPr>
    </w:p>
    <w:p w14:paraId="3FF0BCD2" w14:textId="77777777" w:rsidR="00655E4C" w:rsidRPr="0007572B" w:rsidRDefault="00655E4C" w:rsidP="00655E4C">
      <w:pPr>
        <w:pStyle w:val="Normal0"/>
        <w:spacing w:line="240" w:lineRule="auto"/>
        <w:rPr>
          <w:rFonts w:ascii="Arial" w:hAnsi="Arial" w:cs="Arial"/>
          <w:bCs/>
          <w:sz w:val="24"/>
          <w:szCs w:val="24"/>
          <w:lang w:eastAsia="en-GB"/>
        </w:rPr>
      </w:pPr>
      <w:r w:rsidRPr="0007572B">
        <w:rPr>
          <w:rFonts w:ascii="Arial" w:hAnsi="Arial" w:cs="Arial"/>
          <w:bCs/>
          <w:sz w:val="24"/>
          <w:szCs w:val="24"/>
          <w:lang w:eastAsia="en-GB"/>
        </w:rPr>
        <w:t>Rentals receivable under operating leases and secondary rentals received and retained by the group under finance leases are credited to income as they arise. Any premia or incentives within the lease are recognised within income on an equal basis over the term of the lease.</w:t>
      </w:r>
    </w:p>
    <w:p w14:paraId="11889E82" w14:textId="77777777" w:rsidR="00655E4C" w:rsidRPr="0007572B" w:rsidRDefault="00655E4C" w:rsidP="00655E4C">
      <w:pPr>
        <w:pStyle w:val="Normal0"/>
        <w:spacing w:line="240" w:lineRule="auto"/>
        <w:rPr>
          <w:rFonts w:ascii="Arial" w:hAnsi="Arial" w:cs="Arial"/>
          <w:bCs/>
          <w:sz w:val="24"/>
          <w:szCs w:val="24"/>
          <w:lang w:eastAsia="en-GB"/>
        </w:rPr>
      </w:pPr>
    </w:p>
    <w:p w14:paraId="41358904" w14:textId="77777777" w:rsidR="00655E4C" w:rsidRPr="0007572B" w:rsidRDefault="00655E4C" w:rsidP="00655E4C">
      <w:pPr>
        <w:pStyle w:val="Heading4bold"/>
        <w:rPr>
          <w:lang w:eastAsia="en-GB"/>
        </w:rPr>
      </w:pPr>
      <w:r w:rsidRPr="0007572B">
        <w:rPr>
          <w:lang w:eastAsia="en-GB"/>
        </w:rPr>
        <w:t>1.22. Contingent assets</w:t>
      </w:r>
    </w:p>
    <w:p w14:paraId="3DD6233D" w14:textId="77777777" w:rsidR="00655E4C" w:rsidRPr="0007572B" w:rsidRDefault="00655E4C" w:rsidP="00655E4C">
      <w:pPr>
        <w:pStyle w:val="Normal0"/>
        <w:spacing w:line="240" w:lineRule="auto"/>
        <w:rPr>
          <w:rFonts w:ascii="Arial" w:hAnsi="Arial" w:cs="Arial"/>
          <w:bCs/>
          <w:sz w:val="24"/>
          <w:szCs w:val="24"/>
          <w:lang w:eastAsia="en-GB"/>
        </w:rPr>
      </w:pPr>
      <w:r w:rsidRPr="0007572B">
        <w:rPr>
          <w:rFonts w:ascii="Arial" w:hAnsi="Arial" w:cs="Arial"/>
          <w:bCs/>
          <w:sz w:val="24"/>
          <w:szCs w:val="24"/>
          <w:lang w:eastAsia="en-GB"/>
        </w:rPr>
        <w:t>A contingent asset arises where an event has taken place that gives the Authority a possible asset whose existence will only be confirmed by the occurrence or otherwise of uncertain future events not wholly within the control of the Authority.</w:t>
      </w:r>
    </w:p>
    <w:p w14:paraId="5B12AB42" w14:textId="77777777" w:rsidR="00655E4C" w:rsidRPr="0007572B" w:rsidRDefault="00655E4C" w:rsidP="00655E4C">
      <w:pPr>
        <w:pStyle w:val="Normal0"/>
        <w:spacing w:line="240" w:lineRule="auto"/>
        <w:rPr>
          <w:rFonts w:ascii="Arial" w:hAnsi="Arial" w:cs="Arial"/>
          <w:bCs/>
          <w:sz w:val="24"/>
          <w:szCs w:val="24"/>
          <w:lang w:eastAsia="en-GB"/>
        </w:rPr>
      </w:pPr>
    </w:p>
    <w:p w14:paraId="7640E37B" w14:textId="77777777" w:rsidR="00655E4C" w:rsidRPr="0007572B" w:rsidRDefault="00655E4C" w:rsidP="00655E4C">
      <w:pPr>
        <w:pStyle w:val="Normal0"/>
        <w:spacing w:line="240" w:lineRule="auto"/>
        <w:rPr>
          <w:rFonts w:ascii="Arial" w:hAnsi="Arial" w:cs="Arial"/>
          <w:bCs/>
          <w:sz w:val="24"/>
          <w:szCs w:val="24"/>
          <w:lang w:eastAsia="en-GB"/>
        </w:rPr>
      </w:pPr>
      <w:r w:rsidRPr="0007572B">
        <w:rPr>
          <w:rFonts w:ascii="Arial" w:hAnsi="Arial" w:cs="Arial"/>
          <w:bCs/>
          <w:sz w:val="24"/>
          <w:szCs w:val="24"/>
          <w:lang w:eastAsia="en-GB"/>
        </w:rPr>
        <w:t>Contingent assets are not recognised in the Balance Sheet but disclosed in a note to the accounts where it is probable that there will be an inflow of economic benefits or service potential.</w:t>
      </w:r>
    </w:p>
    <w:p w14:paraId="3263E417" w14:textId="77777777" w:rsidR="00655E4C" w:rsidRPr="0007572B" w:rsidRDefault="00655E4C" w:rsidP="00655E4C">
      <w:pPr>
        <w:pStyle w:val="Normal0"/>
        <w:spacing w:line="240" w:lineRule="auto"/>
        <w:rPr>
          <w:rFonts w:ascii="Arial" w:hAnsi="Arial" w:cs="Arial"/>
          <w:bCs/>
          <w:sz w:val="24"/>
          <w:szCs w:val="24"/>
          <w:lang w:eastAsia="en-GB"/>
        </w:rPr>
      </w:pPr>
    </w:p>
    <w:p w14:paraId="3D320A51" w14:textId="77777777" w:rsidR="00655E4C" w:rsidRPr="0007572B" w:rsidRDefault="00655E4C" w:rsidP="00655E4C">
      <w:pPr>
        <w:pStyle w:val="Heading4bold"/>
        <w:rPr>
          <w:lang w:eastAsia="en-GB"/>
        </w:rPr>
      </w:pPr>
      <w:r w:rsidRPr="0007572B">
        <w:rPr>
          <w:lang w:eastAsia="en-GB"/>
        </w:rPr>
        <w:t>1.23. Contingent liabilities</w:t>
      </w:r>
    </w:p>
    <w:p w14:paraId="43C29599" w14:textId="1D8F5720" w:rsidR="00655E4C" w:rsidRPr="0007572B" w:rsidRDefault="00655E4C" w:rsidP="00655E4C">
      <w:pPr>
        <w:pStyle w:val="Normal0"/>
        <w:spacing w:line="240" w:lineRule="auto"/>
        <w:rPr>
          <w:rFonts w:ascii="Arial" w:hAnsi="Arial" w:cs="Arial"/>
          <w:bCs/>
          <w:sz w:val="24"/>
          <w:szCs w:val="24"/>
          <w:lang w:eastAsia="en-GB"/>
        </w:rPr>
      </w:pPr>
      <w:r w:rsidRPr="0007572B">
        <w:rPr>
          <w:rFonts w:ascii="Arial" w:hAnsi="Arial" w:cs="Arial"/>
          <w:bCs/>
          <w:sz w:val="24"/>
          <w:szCs w:val="24"/>
          <w:lang w:eastAsia="en-GB"/>
        </w:rPr>
        <w:t xml:space="preserve">A contingent liability arises where an event has taken place that gives the Authority a possible obligation whose existence will only be confirmed by the occurrence or otherwise of uncertain future events not wholly within the control of the Authority. Contingent liabilities also arise in circumstances where a provision would otherwise be made but either it is not probable that an outflow of resources will be </w:t>
      </w:r>
      <w:r w:rsidR="00203B09" w:rsidRPr="0007572B">
        <w:rPr>
          <w:rFonts w:ascii="Arial" w:hAnsi="Arial" w:cs="Arial"/>
          <w:bCs/>
          <w:sz w:val="24"/>
          <w:szCs w:val="24"/>
          <w:lang w:eastAsia="en-GB"/>
        </w:rPr>
        <w:t>required,</w:t>
      </w:r>
      <w:r w:rsidRPr="0007572B">
        <w:rPr>
          <w:rFonts w:ascii="Arial" w:hAnsi="Arial" w:cs="Arial"/>
          <w:bCs/>
          <w:sz w:val="24"/>
          <w:szCs w:val="24"/>
          <w:lang w:eastAsia="en-GB"/>
        </w:rPr>
        <w:t xml:space="preserve"> or the amount of the obligation cannot be measured reliably.</w:t>
      </w:r>
    </w:p>
    <w:p w14:paraId="1AF1F610" w14:textId="77777777" w:rsidR="00655E4C" w:rsidRPr="0007572B" w:rsidRDefault="00655E4C" w:rsidP="00655E4C">
      <w:pPr>
        <w:pStyle w:val="Normal0"/>
        <w:spacing w:line="240" w:lineRule="auto"/>
        <w:rPr>
          <w:rFonts w:ascii="Arial" w:hAnsi="Arial" w:cs="Arial"/>
          <w:bCs/>
          <w:sz w:val="24"/>
          <w:szCs w:val="24"/>
          <w:lang w:eastAsia="en-GB"/>
        </w:rPr>
      </w:pPr>
    </w:p>
    <w:p w14:paraId="4F79715E" w14:textId="77777777" w:rsidR="00655E4C" w:rsidRPr="0007572B" w:rsidRDefault="00655E4C" w:rsidP="00655E4C">
      <w:pPr>
        <w:pStyle w:val="Normal0"/>
        <w:spacing w:line="240" w:lineRule="auto"/>
        <w:rPr>
          <w:rFonts w:ascii="Arial" w:hAnsi="Arial" w:cs="Arial"/>
          <w:bCs/>
          <w:sz w:val="24"/>
          <w:szCs w:val="24"/>
          <w:lang w:eastAsia="en-GB"/>
        </w:rPr>
      </w:pPr>
      <w:r w:rsidRPr="0007572B">
        <w:rPr>
          <w:rFonts w:ascii="Arial" w:hAnsi="Arial" w:cs="Arial"/>
          <w:bCs/>
          <w:sz w:val="24"/>
          <w:szCs w:val="24"/>
          <w:lang w:eastAsia="en-GB"/>
        </w:rPr>
        <w:t>Contingent liabilities are not recognised in the Balance Sheet but disclosed in a note to the accounts.</w:t>
      </w:r>
    </w:p>
    <w:p w14:paraId="00FF0DC7" w14:textId="77777777" w:rsidR="00655E4C" w:rsidRPr="0007572B" w:rsidRDefault="00655E4C" w:rsidP="00655E4C">
      <w:pPr>
        <w:pStyle w:val="Normal0"/>
        <w:spacing w:line="240" w:lineRule="auto"/>
        <w:rPr>
          <w:rFonts w:ascii="Arial" w:hAnsi="Arial" w:cs="Arial"/>
          <w:bCs/>
          <w:sz w:val="24"/>
          <w:szCs w:val="24"/>
          <w:lang w:eastAsia="en-GB"/>
        </w:rPr>
      </w:pPr>
    </w:p>
    <w:p w14:paraId="53C02A9D" w14:textId="77777777" w:rsidR="00655E4C" w:rsidRPr="0007572B" w:rsidRDefault="00655E4C" w:rsidP="00655E4C">
      <w:pPr>
        <w:pStyle w:val="Heading4bold"/>
        <w:rPr>
          <w:lang w:eastAsia="en-GB"/>
        </w:rPr>
      </w:pPr>
      <w:r w:rsidRPr="0007572B">
        <w:rPr>
          <w:lang w:eastAsia="en-GB"/>
        </w:rPr>
        <w:t>1.24. Provisions</w:t>
      </w:r>
    </w:p>
    <w:p w14:paraId="0E2FA008" w14:textId="77777777" w:rsidR="00655E4C" w:rsidRPr="0007572B" w:rsidRDefault="00655E4C" w:rsidP="00655E4C">
      <w:pPr>
        <w:pStyle w:val="Normal0"/>
        <w:spacing w:line="240" w:lineRule="auto"/>
        <w:rPr>
          <w:rFonts w:ascii="Arial" w:hAnsi="Arial" w:cs="Arial"/>
          <w:bCs/>
          <w:sz w:val="24"/>
          <w:szCs w:val="24"/>
          <w:lang w:eastAsia="en-GB"/>
        </w:rPr>
      </w:pPr>
      <w:r w:rsidRPr="0007572B">
        <w:rPr>
          <w:rFonts w:ascii="Arial" w:hAnsi="Arial" w:cs="Arial"/>
          <w:bCs/>
          <w:sz w:val="24"/>
          <w:szCs w:val="24"/>
          <w:lang w:eastAsia="en-GB"/>
        </w:rPr>
        <w:t xml:space="preserve">Provisions are made where an event has taken place that gives the Authority a legal or constructive obligation that probably requires settlement by a transfer of economic benefits or service potential, and a reliable estimate can be made of the amount of the obligation. For instance, the Authority may be involved in a court case that could eventually result in the making of a settlement or the payment of compensation. </w:t>
      </w:r>
    </w:p>
    <w:p w14:paraId="541B0D6D" w14:textId="77777777" w:rsidR="00655E4C" w:rsidRPr="0007572B" w:rsidRDefault="00655E4C" w:rsidP="00655E4C">
      <w:pPr>
        <w:pStyle w:val="Normal0"/>
        <w:spacing w:line="240" w:lineRule="auto"/>
        <w:rPr>
          <w:rFonts w:ascii="Arial" w:hAnsi="Arial" w:cs="Arial"/>
          <w:bCs/>
          <w:sz w:val="24"/>
          <w:szCs w:val="24"/>
          <w:lang w:eastAsia="en-GB"/>
        </w:rPr>
      </w:pPr>
    </w:p>
    <w:p w14:paraId="2CDEE31E" w14:textId="7ABBACBC" w:rsidR="00655E4C" w:rsidRPr="0007572B" w:rsidRDefault="00655E4C" w:rsidP="00655E4C">
      <w:pPr>
        <w:pStyle w:val="Normal0"/>
        <w:spacing w:line="240" w:lineRule="auto"/>
        <w:rPr>
          <w:rFonts w:ascii="Arial" w:hAnsi="Arial" w:cs="Arial"/>
          <w:bCs/>
          <w:sz w:val="24"/>
          <w:szCs w:val="24"/>
          <w:lang w:eastAsia="en-GB"/>
        </w:rPr>
      </w:pPr>
      <w:r w:rsidRPr="0007572B">
        <w:rPr>
          <w:rFonts w:ascii="Arial" w:hAnsi="Arial" w:cs="Arial"/>
          <w:bCs/>
          <w:sz w:val="24"/>
          <w:szCs w:val="24"/>
          <w:lang w:eastAsia="en-GB"/>
        </w:rPr>
        <w:t xml:space="preserve">Provisions are charged as an expense to the appropriate service line in the Comprehensive Income and Expenditure Statement in the year that the authority becomes aware of the </w:t>
      </w:r>
      <w:r w:rsidR="00203B09" w:rsidRPr="0007572B">
        <w:rPr>
          <w:rFonts w:ascii="Arial" w:hAnsi="Arial" w:cs="Arial"/>
          <w:bCs/>
          <w:sz w:val="24"/>
          <w:szCs w:val="24"/>
          <w:lang w:eastAsia="en-GB"/>
        </w:rPr>
        <w:t>obligation and</w:t>
      </w:r>
      <w:r w:rsidRPr="0007572B">
        <w:rPr>
          <w:rFonts w:ascii="Arial" w:hAnsi="Arial" w:cs="Arial"/>
          <w:bCs/>
          <w:sz w:val="24"/>
          <w:szCs w:val="24"/>
          <w:lang w:eastAsia="en-GB"/>
        </w:rPr>
        <w:t xml:space="preserve"> are measured at the best estimate at the balance </w:t>
      </w:r>
      <w:r w:rsidRPr="0007572B">
        <w:rPr>
          <w:rFonts w:ascii="Arial" w:hAnsi="Arial" w:cs="Arial"/>
          <w:bCs/>
          <w:sz w:val="24"/>
          <w:szCs w:val="24"/>
          <w:lang w:eastAsia="en-GB"/>
        </w:rPr>
        <w:lastRenderedPageBreak/>
        <w:t>sheet date of the expenditure required to settle the obligation, taking into account relevant risks and uncertainties.</w:t>
      </w:r>
    </w:p>
    <w:p w14:paraId="7DBBCB8A" w14:textId="77777777" w:rsidR="00655E4C" w:rsidRPr="0007572B" w:rsidRDefault="00655E4C" w:rsidP="00655E4C">
      <w:pPr>
        <w:pStyle w:val="Normal0"/>
        <w:spacing w:line="240" w:lineRule="auto"/>
        <w:rPr>
          <w:rFonts w:ascii="Arial" w:hAnsi="Arial" w:cs="Arial"/>
          <w:bCs/>
          <w:sz w:val="24"/>
          <w:szCs w:val="24"/>
          <w:lang w:eastAsia="en-GB"/>
        </w:rPr>
      </w:pPr>
    </w:p>
    <w:p w14:paraId="287C5E93" w14:textId="77777777" w:rsidR="00655E4C" w:rsidRPr="0007572B" w:rsidRDefault="00655E4C" w:rsidP="00655E4C">
      <w:pPr>
        <w:pStyle w:val="Normal0"/>
        <w:spacing w:line="240" w:lineRule="auto"/>
        <w:rPr>
          <w:rFonts w:ascii="Arial" w:hAnsi="Arial" w:cs="Arial"/>
          <w:bCs/>
          <w:sz w:val="24"/>
          <w:szCs w:val="24"/>
          <w:lang w:eastAsia="en-GB"/>
        </w:rPr>
      </w:pPr>
      <w:r w:rsidRPr="0007572B">
        <w:rPr>
          <w:rFonts w:ascii="Arial" w:hAnsi="Arial" w:cs="Arial"/>
          <w:bCs/>
          <w:sz w:val="24"/>
          <w:szCs w:val="24"/>
          <w:lang w:eastAsia="en-GB"/>
        </w:rPr>
        <w:t>When payments are eventually made, they are charged to the provision carried in the Balance Sheet. Estimated settlements are reviewed at the end of each financial year – where it becomes less than probable that a transfer of economic benefits will now be required (or a lower settlement than anticipated is made), the provision is reversed and credited back to the relevant service.</w:t>
      </w:r>
    </w:p>
    <w:p w14:paraId="4645078B" w14:textId="77777777" w:rsidR="00655E4C" w:rsidRPr="0007572B" w:rsidRDefault="00655E4C" w:rsidP="00655E4C">
      <w:pPr>
        <w:pStyle w:val="Normal0"/>
        <w:spacing w:line="240" w:lineRule="auto"/>
        <w:rPr>
          <w:rFonts w:ascii="Arial" w:hAnsi="Arial" w:cs="Arial"/>
          <w:bCs/>
          <w:sz w:val="24"/>
          <w:szCs w:val="24"/>
          <w:lang w:eastAsia="en-GB"/>
        </w:rPr>
      </w:pPr>
    </w:p>
    <w:p w14:paraId="613F26AD" w14:textId="77777777" w:rsidR="00655E4C" w:rsidRPr="0007572B" w:rsidRDefault="00655E4C" w:rsidP="00655E4C">
      <w:pPr>
        <w:pStyle w:val="Normal0"/>
        <w:spacing w:line="240" w:lineRule="auto"/>
        <w:rPr>
          <w:rFonts w:ascii="Arial" w:hAnsi="Arial" w:cs="Arial"/>
          <w:bCs/>
          <w:sz w:val="24"/>
          <w:szCs w:val="24"/>
          <w:lang w:eastAsia="en-GB"/>
        </w:rPr>
      </w:pPr>
      <w:r w:rsidRPr="0007572B">
        <w:rPr>
          <w:rFonts w:ascii="Arial" w:hAnsi="Arial" w:cs="Arial"/>
          <w:bCs/>
          <w:sz w:val="24"/>
          <w:szCs w:val="24"/>
          <w:lang w:eastAsia="en-GB"/>
        </w:rPr>
        <w:t>Where some or all of the payment required to settle a provision is expected to be recovered from another party (e.g. from an insurance claim), this is only recognised as income for the relevant service if it is virtually certain that reimbursement will be received if the authority settles the obligation.</w:t>
      </w:r>
    </w:p>
    <w:p w14:paraId="4EBBAA1E" w14:textId="77777777" w:rsidR="00655E4C" w:rsidRPr="0007572B" w:rsidRDefault="00655E4C" w:rsidP="00655E4C">
      <w:pPr>
        <w:rPr>
          <w:rFonts w:ascii="Arial" w:eastAsiaTheme="minorHAnsi" w:hAnsi="Arial" w:cs="Arial"/>
          <w:b/>
          <w:bCs/>
          <w:lang w:val="en-US" w:eastAsia="en-GB"/>
        </w:rPr>
      </w:pPr>
    </w:p>
    <w:p w14:paraId="107A10A0" w14:textId="77777777" w:rsidR="00655E4C" w:rsidRPr="0007572B" w:rsidRDefault="00655E4C" w:rsidP="00655E4C">
      <w:pPr>
        <w:pStyle w:val="Heading4bold"/>
        <w:rPr>
          <w:lang w:eastAsia="en-GB"/>
        </w:rPr>
      </w:pPr>
      <w:r w:rsidRPr="0007572B">
        <w:rPr>
          <w:lang w:eastAsia="en-GB"/>
        </w:rPr>
        <w:t>1.25. Events after the Reporting Period</w:t>
      </w:r>
    </w:p>
    <w:p w14:paraId="35DC87CB" w14:textId="77777777" w:rsidR="00655E4C" w:rsidRPr="0007572B" w:rsidRDefault="00655E4C" w:rsidP="00655E4C">
      <w:pPr>
        <w:pStyle w:val="Normal0"/>
        <w:spacing w:line="240" w:lineRule="auto"/>
        <w:rPr>
          <w:rFonts w:ascii="Arial" w:hAnsi="Arial" w:cs="Arial"/>
          <w:bCs/>
          <w:sz w:val="24"/>
          <w:szCs w:val="24"/>
          <w:lang w:eastAsia="en-GB"/>
        </w:rPr>
      </w:pPr>
      <w:r w:rsidRPr="0007572B">
        <w:rPr>
          <w:rFonts w:ascii="Arial" w:hAnsi="Arial" w:cs="Arial"/>
          <w:bCs/>
          <w:sz w:val="24"/>
          <w:szCs w:val="24"/>
          <w:lang w:eastAsia="en-GB"/>
        </w:rPr>
        <w:t>Events after the reporting period are those events that occur between the balance sheet date and the date when the Statement of Accounts is authorised for issue.</w:t>
      </w:r>
    </w:p>
    <w:p w14:paraId="68523D07" w14:textId="77777777" w:rsidR="00655E4C" w:rsidRPr="0007572B" w:rsidRDefault="00655E4C" w:rsidP="00655E4C">
      <w:pPr>
        <w:pStyle w:val="Normal0"/>
        <w:spacing w:line="240" w:lineRule="auto"/>
        <w:rPr>
          <w:rFonts w:ascii="Arial" w:hAnsi="Arial" w:cs="Arial"/>
          <w:bCs/>
          <w:sz w:val="24"/>
          <w:szCs w:val="24"/>
          <w:lang w:eastAsia="en-GB"/>
        </w:rPr>
      </w:pPr>
    </w:p>
    <w:p w14:paraId="35FC1DEB" w14:textId="77777777" w:rsidR="00655E4C" w:rsidRPr="0007572B" w:rsidRDefault="00655E4C" w:rsidP="00655E4C">
      <w:pPr>
        <w:pStyle w:val="Normal0"/>
        <w:spacing w:line="240" w:lineRule="auto"/>
        <w:rPr>
          <w:rFonts w:ascii="Arial" w:hAnsi="Arial" w:cs="Arial"/>
          <w:bCs/>
          <w:sz w:val="24"/>
          <w:szCs w:val="24"/>
          <w:lang w:eastAsia="en-GB"/>
        </w:rPr>
      </w:pPr>
      <w:r w:rsidRPr="0007572B">
        <w:rPr>
          <w:rFonts w:ascii="Arial" w:hAnsi="Arial" w:cs="Arial"/>
          <w:bCs/>
          <w:sz w:val="24"/>
          <w:szCs w:val="24"/>
          <w:lang w:eastAsia="en-GB"/>
        </w:rPr>
        <w:t xml:space="preserve">Where these provide evidence of conditions in existence at the balance sheet date, the amounts recognised in the accounts are adjusted. </w:t>
      </w:r>
    </w:p>
    <w:p w14:paraId="24149B30" w14:textId="77777777" w:rsidR="00655E4C" w:rsidRPr="0007572B" w:rsidRDefault="00655E4C" w:rsidP="00655E4C">
      <w:pPr>
        <w:pStyle w:val="Normal0"/>
        <w:spacing w:line="240" w:lineRule="auto"/>
        <w:rPr>
          <w:rFonts w:ascii="Arial" w:hAnsi="Arial" w:cs="Arial"/>
          <w:bCs/>
          <w:sz w:val="24"/>
          <w:szCs w:val="24"/>
          <w:lang w:eastAsia="en-GB"/>
        </w:rPr>
      </w:pPr>
    </w:p>
    <w:p w14:paraId="4592399C" w14:textId="77777777" w:rsidR="00655E4C" w:rsidRPr="0007572B" w:rsidRDefault="00655E4C" w:rsidP="00655E4C">
      <w:pPr>
        <w:pStyle w:val="Normal0"/>
        <w:spacing w:line="240" w:lineRule="auto"/>
        <w:rPr>
          <w:rFonts w:ascii="Arial" w:hAnsi="Arial" w:cs="Arial"/>
          <w:bCs/>
          <w:sz w:val="24"/>
          <w:szCs w:val="24"/>
          <w:lang w:eastAsia="en-GB"/>
        </w:rPr>
      </w:pPr>
      <w:r w:rsidRPr="0007572B">
        <w:rPr>
          <w:rFonts w:ascii="Arial" w:hAnsi="Arial" w:cs="Arial"/>
          <w:bCs/>
          <w:sz w:val="24"/>
          <w:szCs w:val="24"/>
          <w:lang w:eastAsia="en-GB"/>
        </w:rPr>
        <w:t>Where these are indicative of conditions that arose after the balance sheet date the amounts in the accounts are not adjusted. This is known as a non-adjusting event and is disclosed as a note to the accounts.</w:t>
      </w:r>
    </w:p>
    <w:p w14:paraId="15B8DFDB" w14:textId="77777777" w:rsidR="00655E4C" w:rsidRPr="0007572B" w:rsidRDefault="00655E4C" w:rsidP="00655E4C">
      <w:pPr>
        <w:pStyle w:val="Normal0"/>
        <w:spacing w:line="240" w:lineRule="auto"/>
        <w:rPr>
          <w:rFonts w:ascii="Arial" w:hAnsi="Arial" w:cs="Arial"/>
          <w:bCs/>
          <w:sz w:val="24"/>
          <w:szCs w:val="24"/>
          <w:lang w:eastAsia="en-GB"/>
        </w:rPr>
      </w:pPr>
    </w:p>
    <w:p w14:paraId="7070814A" w14:textId="77777777" w:rsidR="00655E4C" w:rsidRPr="0007572B" w:rsidRDefault="00655E4C" w:rsidP="00655E4C">
      <w:pPr>
        <w:pStyle w:val="Normal0"/>
        <w:spacing w:line="240" w:lineRule="auto"/>
        <w:rPr>
          <w:rFonts w:ascii="Arial" w:hAnsi="Arial" w:cs="Arial"/>
          <w:bCs/>
          <w:sz w:val="24"/>
          <w:szCs w:val="24"/>
          <w:lang w:eastAsia="en-GB"/>
        </w:rPr>
      </w:pPr>
      <w:r w:rsidRPr="0007572B">
        <w:rPr>
          <w:rFonts w:ascii="Arial" w:hAnsi="Arial" w:cs="Arial"/>
          <w:bCs/>
          <w:sz w:val="24"/>
          <w:szCs w:val="24"/>
          <w:lang w:eastAsia="en-GB"/>
        </w:rPr>
        <w:t>Events taking place after the date of authorisation for issue are not reflected in the Statement of Accounts.</w:t>
      </w:r>
    </w:p>
    <w:p w14:paraId="271CDE95" w14:textId="77777777" w:rsidR="00655E4C" w:rsidRPr="0007572B" w:rsidRDefault="00655E4C" w:rsidP="00655E4C">
      <w:pPr>
        <w:pStyle w:val="Normal0"/>
        <w:spacing w:line="240" w:lineRule="auto"/>
        <w:rPr>
          <w:rFonts w:ascii="Arial" w:hAnsi="Arial" w:cs="Arial"/>
          <w:bCs/>
          <w:sz w:val="24"/>
          <w:szCs w:val="24"/>
          <w:lang w:eastAsia="en-GB"/>
        </w:rPr>
      </w:pPr>
    </w:p>
    <w:p w14:paraId="1993C6C9" w14:textId="77777777" w:rsidR="00655E4C" w:rsidRPr="0007572B" w:rsidRDefault="00655E4C" w:rsidP="00655E4C">
      <w:pPr>
        <w:pStyle w:val="Heading4bold"/>
        <w:rPr>
          <w:lang w:eastAsia="en-GB"/>
        </w:rPr>
      </w:pPr>
      <w:r w:rsidRPr="0007572B">
        <w:rPr>
          <w:lang w:eastAsia="en-GB"/>
        </w:rPr>
        <w:t>1.26. Interests in Companies and Other Entities - Group Accounts</w:t>
      </w:r>
    </w:p>
    <w:p w14:paraId="553DB987" w14:textId="77777777" w:rsidR="00655E4C" w:rsidRPr="0007572B" w:rsidRDefault="00655E4C" w:rsidP="00655E4C">
      <w:pPr>
        <w:pStyle w:val="Normal0"/>
        <w:spacing w:line="240" w:lineRule="auto"/>
        <w:rPr>
          <w:rFonts w:ascii="Arial" w:hAnsi="Arial" w:cs="Arial"/>
          <w:bCs/>
          <w:sz w:val="24"/>
          <w:szCs w:val="24"/>
          <w:lang w:eastAsia="en-GB"/>
        </w:rPr>
      </w:pPr>
      <w:r w:rsidRPr="0007572B">
        <w:rPr>
          <w:rFonts w:ascii="Arial" w:hAnsi="Arial" w:cs="Arial"/>
          <w:bCs/>
          <w:sz w:val="24"/>
          <w:szCs w:val="24"/>
          <w:lang w:eastAsia="en-GB"/>
        </w:rPr>
        <w:t>The Authority is required to produce group accounts where it has interests in subsidiaries, associates and/or joint ventures unless interest is considered not material. The group boundary is dependent upon the extent of the Authority’s control or significant influence over the entity, which is based on the requirements of IFRS10, IFRS11 and IAS 28.</w:t>
      </w:r>
    </w:p>
    <w:p w14:paraId="3C0345D6" w14:textId="77777777" w:rsidR="00655E4C" w:rsidRPr="0007572B" w:rsidRDefault="00655E4C" w:rsidP="00655E4C">
      <w:pPr>
        <w:pStyle w:val="Normal0"/>
        <w:spacing w:line="240" w:lineRule="auto"/>
        <w:rPr>
          <w:rFonts w:ascii="Arial" w:hAnsi="Arial" w:cs="Arial"/>
          <w:bCs/>
          <w:sz w:val="24"/>
          <w:szCs w:val="24"/>
          <w:lang w:eastAsia="en-GB"/>
        </w:rPr>
      </w:pPr>
    </w:p>
    <w:p w14:paraId="649AFBC1" w14:textId="77777777" w:rsidR="00655E4C" w:rsidRPr="0007572B" w:rsidRDefault="00655E4C" w:rsidP="00655E4C">
      <w:pPr>
        <w:pStyle w:val="Normal0"/>
        <w:spacing w:line="240" w:lineRule="auto"/>
        <w:rPr>
          <w:rFonts w:ascii="Arial" w:hAnsi="Arial" w:cs="Arial"/>
          <w:bCs/>
          <w:sz w:val="24"/>
          <w:szCs w:val="24"/>
          <w:lang w:eastAsia="en-GB"/>
        </w:rPr>
      </w:pPr>
      <w:r w:rsidRPr="0007572B">
        <w:rPr>
          <w:rFonts w:ascii="Arial" w:hAnsi="Arial" w:cs="Arial"/>
          <w:bCs/>
          <w:sz w:val="24"/>
          <w:szCs w:val="24"/>
          <w:lang w:eastAsia="en-GB"/>
        </w:rPr>
        <w:t>Inclusion in the group is dependent upon the extent of the Authority’s interest and power to influence an entity. The Authority is considered to control an entity if it has power over the entity, exposure or rights to variable returns from its interest with the entity and the ability to use its power to affect the level of returns. The determining factor for assessing the extent of interest and power to influence is either through ownership of an entity, or representation on an entity’s board of directors/trustees.</w:t>
      </w:r>
    </w:p>
    <w:p w14:paraId="28B9133A" w14:textId="77777777" w:rsidR="00655E4C" w:rsidRPr="0007572B" w:rsidRDefault="00655E4C" w:rsidP="00655E4C">
      <w:pPr>
        <w:pStyle w:val="Normal0"/>
        <w:spacing w:line="240" w:lineRule="auto"/>
        <w:rPr>
          <w:rFonts w:ascii="Arial" w:hAnsi="Arial" w:cs="Arial"/>
          <w:bCs/>
          <w:sz w:val="24"/>
          <w:szCs w:val="24"/>
          <w:lang w:eastAsia="en-GB"/>
        </w:rPr>
      </w:pPr>
    </w:p>
    <w:p w14:paraId="5F235210" w14:textId="77777777" w:rsidR="00655E4C" w:rsidRPr="0007572B" w:rsidRDefault="00655E4C" w:rsidP="00655E4C">
      <w:pPr>
        <w:pStyle w:val="Normal0"/>
        <w:spacing w:line="240" w:lineRule="auto"/>
        <w:rPr>
          <w:rFonts w:ascii="Arial" w:hAnsi="Arial" w:cs="Arial"/>
          <w:bCs/>
          <w:sz w:val="24"/>
          <w:szCs w:val="24"/>
          <w:lang w:eastAsia="en-GB"/>
        </w:rPr>
      </w:pPr>
      <w:r w:rsidRPr="0007572B">
        <w:rPr>
          <w:rFonts w:ascii="Arial" w:hAnsi="Arial" w:cs="Arial"/>
          <w:bCs/>
          <w:sz w:val="24"/>
          <w:szCs w:val="24"/>
          <w:lang w:eastAsia="en-GB"/>
        </w:rPr>
        <w:t xml:space="preserve">An assessment of all the Authority’s interests has been carried out during the year, in accordance with the Code of Practice, to determine the relationships that exist and whether they should be included within the Authority’s group accounts. As such, group accounts have been prepared for the Authority to include Transport for Greater Manchester, Greater Manchester Police, NW Evergreen Holdings LP and GM Fund of Funds LP. </w:t>
      </w:r>
    </w:p>
    <w:p w14:paraId="69102047" w14:textId="77777777" w:rsidR="00655E4C" w:rsidRPr="0007572B" w:rsidRDefault="00655E4C" w:rsidP="00655E4C">
      <w:pPr>
        <w:pStyle w:val="Normal0"/>
        <w:spacing w:line="240" w:lineRule="auto"/>
        <w:rPr>
          <w:rFonts w:ascii="Arial" w:hAnsi="Arial" w:cs="Arial"/>
          <w:bCs/>
          <w:sz w:val="24"/>
          <w:szCs w:val="24"/>
          <w:lang w:eastAsia="en-GB"/>
        </w:rPr>
      </w:pPr>
    </w:p>
    <w:p w14:paraId="2AB33649" w14:textId="77777777" w:rsidR="00655E4C" w:rsidRPr="0007572B" w:rsidRDefault="00655E4C" w:rsidP="00655E4C">
      <w:pPr>
        <w:pStyle w:val="Heading4bold"/>
        <w:rPr>
          <w:lang w:eastAsia="en-GB"/>
        </w:rPr>
      </w:pPr>
      <w:r w:rsidRPr="0007572B">
        <w:rPr>
          <w:lang w:eastAsia="en-GB"/>
        </w:rPr>
        <w:lastRenderedPageBreak/>
        <w:t>1.27. Discretionary Benefits</w:t>
      </w:r>
    </w:p>
    <w:p w14:paraId="383656FA" w14:textId="77777777" w:rsidR="00655E4C" w:rsidRPr="0007572B" w:rsidRDefault="00655E4C" w:rsidP="00655E4C">
      <w:pPr>
        <w:pStyle w:val="Normal0"/>
        <w:spacing w:line="240" w:lineRule="auto"/>
        <w:rPr>
          <w:rFonts w:ascii="Arial" w:hAnsi="Arial" w:cs="Arial"/>
          <w:bCs/>
          <w:sz w:val="24"/>
          <w:szCs w:val="24"/>
          <w:lang w:eastAsia="en-GB"/>
        </w:rPr>
      </w:pPr>
      <w:r w:rsidRPr="0007572B">
        <w:rPr>
          <w:rFonts w:ascii="Arial" w:hAnsi="Arial" w:cs="Arial"/>
          <w:bCs/>
          <w:sz w:val="24"/>
          <w:szCs w:val="24"/>
          <w:lang w:eastAsia="en-GB"/>
        </w:rPr>
        <w:t>The Authority also has restricted powers to make discretionary awards of retirement benefits in the event of early retirements. Any liabilities estimated to arise as a result of an award to any member of staff are accrued in the year of the decision to make the award and accounted for using the same policies that are applied to the Local Government Pension Scheme.</w:t>
      </w:r>
    </w:p>
    <w:p w14:paraId="17B3811A" w14:textId="77777777" w:rsidR="00655E4C" w:rsidRPr="0007572B" w:rsidRDefault="00655E4C" w:rsidP="00655E4C">
      <w:pPr>
        <w:rPr>
          <w:rFonts w:ascii="Arial" w:eastAsiaTheme="minorHAnsi" w:hAnsi="Arial" w:cs="Arial"/>
          <w:b/>
          <w:bCs/>
          <w:lang w:val="en-US" w:eastAsia="en-GB"/>
        </w:rPr>
      </w:pPr>
    </w:p>
    <w:p w14:paraId="5C6C7279" w14:textId="77777777" w:rsidR="00655E4C" w:rsidRPr="0007572B" w:rsidRDefault="00655E4C" w:rsidP="00655E4C">
      <w:pPr>
        <w:pStyle w:val="Heading4bold"/>
        <w:rPr>
          <w:lang w:eastAsia="en-GB"/>
        </w:rPr>
      </w:pPr>
      <w:r w:rsidRPr="0007572B">
        <w:rPr>
          <w:lang w:eastAsia="en-GB"/>
        </w:rPr>
        <w:t>1.28. Benefits Payable During Employment</w:t>
      </w:r>
    </w:p>
    <w:p w14:paraId="4770765B" w14:textId="77777777" w:rsidR="00655E4C" w:rsidRPr="0007572B" w:rsidRDefault="00655E4C" w:rsidP="00655E4C">
      <w:pPr>
        <w:pStyle w:val="Normal0"/>
        <w:spacing w:line="240" w:lineRule="auto"/>
        <w:rPr>
          <w:rFonts w:ascii="Arial" w:hAnsi="Arial" w:cs="Arial"/>
          <w:bCs/>
          <w:sz w:val="24"/>
          <w:szCs w:val="24"/>
          <w:lang w:eastAsia="en-GB"/>
        </w:rPr>
      </w:pPr>
      <w:r w:rsidRPr="0007572B">
        <w:rPr>
          <w:rFonts w:ascii="Arial" w:hAnsi="Arial" w:cs="Arial"/>
          <w:bCs/>
          <w:sz w:val="24"/>
          <w:szCs w:val="24"/>
          <w:lang w:eastAsia="en-GB"/>
        </w:rPr>
        <w:t xml:space="preserve">Short-term employee benefits are those due to be settled within 12 months of the year-end. They include such benefits as wages and salaries, paid annual leave and paid sick leave, bonuses and non-monetary benefits (e.g. cars) for current employees, and are recognised as an expense for services in the year in which employees render service to the Authority. </w:t>
      </w:r>
    </w:p>
    <w:p w14:paraId="40795833" w14:textId="77777777" w:rsidR="00655E4C" w:rsidRPr="0007572B" w:rsidRDefault="00655E4C" w:rsidP="00655E4C">
      <w:pPr>
        <w:pStyle w:val="Normal0"/>
        <w:spacing w:line="240" w:lineRule="auto"/>
        <w:rPr>
          <w:rFonts w:ascii="Arial" w:hAnsi="Arial" w:cs="Arial"/>
          <w:bCs/>
          <w:sz w:val="24"/>
          <w:szCs w:val="24"/>
          <w:lang w:eastAsia="en-GB"/>
        </w:rPr>
      </w:pPr>
    </w:p>
    <w:p w14:paraId="0A397FE3" w14:textId="2FF4A190" w:rsidR="00655E4C" w:rsidRPr="0007572B" w:rsidRDefault="00655E4C" w:rsidP="00655E4C">
      <w:pPr>
        <w:pStyle w:val="Normal0"/>
        <w:spacing w:line="240" w:lineRule="auto"/>
        <w:rPr>
          <w:rFonts w:ascii="Arial" w:hAnsi="Arial" w:cs="Arial"/>
          <w:bCs/>
          <w:sz w:val="24"/>
          <w:szCs w:val="24"/>
          <w:lang w:eastAsia="en-GB"/>
        </w:rPr>
      </w:pPr>
      <w:r w:rsidRPr="0007572B">
        <w:rPr>
          <w:rFonts w:ascii="Arial" w:hAnsi="Arial" w:cs="Arial"/>
          <w:bCs/>
          <w:sz w:val="24"/>
          <w:szCs w:val="24"/>
          <w:lang w:eastAsia="en-GB"/>
        </w:rPr>
        <w:t xml:space="preserve">In 2018/19, the Authority adopted a policy of not accruing for employee benefits if the value of the adjustment was considered immaterial. An annual assessment will be made each </w:t>
      </w:r>
      <w:r w:rsidR="00C028B4" w:rsidRPr="0007572B">
        <w:rPr>
          <w:rFonts w:ascii="Arial" w:hAnsi="Arial" w:cs="Arial"/>
          <w:bCs/>
          <w:sz w:val="24"/>
          <w:szCs w:val="24"/>
          <w:lang w:eastAsia="en-GB"/>
        </w:rPr>
        <w:t>year and</w:t>
      </w:r>
      <w:r w:rsidRPr="0007572B">
        <w:rPr>
          <w:rFonts w:ascii="Arial" w:hAnsi="Arial" w:cs="Arial"/>
          <w:bCs/>
          <w:sz w:val="24"/>
          <w:szCs w:val="24"/>
          <w:lang w:eastAsia="en-GB"/>
        </w:rPr>
        <w:t xml:space="preserve"> should this result in an adjustment that would be material then these benefits will be accrued</w:t>
      </w:r>
      <w:r w:rsidRPr="006E29C3">
        <w:rPr>
          <w:rFonts w:ascii="Arial" w:hAnsi="Arial" w:cs="Arial"/>
          <w:bCs/>
          <w:sz w:val="24"/>
          <w:szCs w:val="24"/>
          <w:lang w:eastAsia="en-GB"/>
        </w:rPr>
        <w:t>. In the 2021/22 accounts the employee benefit accrual was calculated and considered not to be material, therefore the accounts have not been adjusted.</w:t>
      </w:r>
    </w:p>
    <w:p w14:paraId="5AEBD565" w14:textId="77777777" w:rsidR="00655E4C" w:rsidRPr="0007572B" w:rsidRDefault="00655E4C" w:rsidP="00655E4C">
      <w:pPr>
        <w:pStyle w:val="Normal0"/>
        <w:spacing w:line="240" w:lineRule="auto"/>
        <w:rPr>
          <w:rFonts w:ascii="Arial" w:hAnsi="Arial" w:cs="Arial"/>
          <w:bCs/>
          <w:sz w:val="24"/>
          <w:szCs w:val="24"/>
          <w:lang w:eastAsia="en-GB"/>
        </w:rPr>
      </w:pPr>
    </w:p>
    <w:p w14:paraId="24666ACB" w14:textId="77777777" w:rsidR="00655E4C" w:rsidRPr="0007572B" w:rsidRDefault="00655E4C" w:rsidP="00655E4C">
      <w:pPr>
        <w:pStyle w:val="Heading4bold"/>
        <w:rPr>
          <w:lang w:eastAsia="en-GB"/>
        </w:rPr>
      </w:pPr>
      <w:r w:rsidRPr="0007572B">
        <w:rPr>
          <w:lang w:eastAsia="en-GB"/>
        </w:rPr>
        <w:t>1.29. Private Finance Initiative (PFI)</w:t>
      </w:r>
    </w:p>
    <w:p w14:paraId="081BC531" w14:textId="77777777" w:rsidR="00655E4C" w:rsidRPr="0007572B" w:rsidRDefault="00655E4C" w:rsidP="00655E4C">
      <w:pPr>
        <w:pStyle w:val="Normal0"/>
        <w:spacing w:line="240" w:lineRule="auto"/>
        <w:rPr>
          <w:rFonts w:ascii="Arial" w:hAnsi="Arial" w:cs="Arial"/>
          <w:bCs/>
          <w:sz w:val="24"/>
          <w:szCs w:val="24"/>
          <w:lang w:eastAsia="en-GB"/>
        </w:rPr>
      </w:pPr>
      <w:r w:rsidRPr="0007572B">
        <w:rPr>
          <w:rFonts w:ascii="Arial" w:hAnsi="Arial" w:cs="Arial"/>
          <w:bCs/>
          <w:sz w:val="24"/>
          <w:szCs w:val="24"/>
          <w:lang w:eastAsia="en-GB"/>
        </w:rPr>
        <w:t xml:space="preserve">PFI and similar contracts are agreements to receive services, where the responsibility for making available the property, plant and equipment needed to provide the services passes to the PFI contractor. As the Authority is deemed to control the services that are provided under these PFI schemes, and as ownership of the property, plant and equipment will pass to the Authority at the end of the contracts for no additional charge, the Authority carries the assets used under the contracts on </w:t>
      </w:r>
      <w:r>
        <w:rPr>
          <w:rFonts w:ascii="Arial" w:hAnsi="Arial" w:cs="Arial"/>
          <w:bCs/>
          <w:sz w:val="24"/>
          <w:szCs w:val="24"/>
          <w:lang w:eastAsia="en-GB"/>
        </w:rPr>
        <w:t>the</w:t>
      </w:r>
      <w:r w:rsidRPr="0007572B">
        <w:rPr>
          <w:rFonts w:ascii="Arial" w:hAnsi="Arial" w:cs="Arial"/>
          <w:bCs/>
          <w:sz w:val="24"/>
          <w:szCs w:val="24"/>
          <w:lang w:eastAsia="en-GB"/>
        </w:rPr>
        <w:t xml:space="preserve"> Balance Sheet as part of Property, Plant and Equipment. </w:t>
      </w:r>
    </w:p>
    <w:p w14:paraId="2C689B4E" w14:textId="77777777" w:rsidR="00655E4C" w:rsidRPr="0007572B" w:rsidRDefault="00655E4C" w:rsidP="00655E4C">
      <w:pPr>
        <w:pStyle w:val="Normal0"/>
        <w:spacing w:line="240" w:lineRule="auto"/>
        <w:rPr>
          <w:rFonts w:ascii="Arial" w:hAnsi="Arial" w:cs="Arial"/>
          <w:bCs/>
          <w:sz w:val="24"/>
          <w:szCs w:val="24"/>
          <w:lang w:eastAsia="en-GB"/>
        </w:rPr>
      </w:pPr>
    </w:p>
    <w:p w14:paraId="441AC325" w14:textId="77777777" w:rsidR="00655E4C" w:rsidRPr="0007572B" w:rsidRDefault="00655E4C" w:rsidP="00655E4C">
      <w:pPr>
        <w:pStyle w:val="Normal0"/>
        <w:spacing w:line="240" w:lineRule="auto"/>
        <w:rPr>
          <w:rFonts w:ascii="Arial" w:hAnsi="Arial" w:cs="Arial"/>
          <w:bCs/>
          <w:sz w:val="24"/>
          <w:szCs w:val="24"/>
          <w:lang w:eastAsia="en-GB"/>
        </w:rPr>
      </w:pPr>
      <w:r w:rsidRPr="0007572B">
        <w:rPr>
          <w:rFonts w:ascii="Arial" w:hAnsi="Arial" w:cs="Arial"/>
          <w:bCs/>
          <w:sz w:val="24"/>
          <w:szCs w:val="24"/>
          <w:lang w:eastAsia="en-GB"/>
        </w:rPr>
        <w:t>The original recognition of these assets at fair value (based on the cost to purchase the property, plant and equipment) is balanced by the recognition of a liability for amounts due to the scheme operator to pay for the capital investment. When establishing the recognition point of an asset, the Authority considers when probable and future benefits of the asset will flow to it and the extent to which the cost of the asset can be reliably measured.</w:t>
      </w:r>
    </w:p>
    <w:p w14:paraId="51BD4B0A" w14:textId="77777777" w:rsidR="00655E4C" w:rsidRPr="0007572B" w:rsidRDefault="00655E4C" w:rsidP="00655E4C">
      <w:pPr>
        <w:pStyle w:val="Normal0"/>
        <w:spacing w:line="240" w:lineRule="auto"/>
        <w:rPr>
          <w:rFonts w:ascii="Arial" w:hAnsi="Arial" w:cs="Arial"/>
          <w:bCs/>
          <w:sz w:val="24"/>
          <w:szCs w:val="24"/>
          <w:lang w:eastAsia="en-GB"/>
        </w:rPr>
      </w:pPr>
    </w:p>
    <w:p w14:paraId="65F4AE59" w14:textId="77777777" w:rsidR="00655E4C" w:rsidRPr="0007572B" w:rsidRDefault="00655E4C" w:rsidP="00655E4C">
      <w:pPr>
        <w:pStyle w:val="Normal0"/>
        <w:spacing w:line="240" w:lineRule="auto"/>
        <w:rPr>
          <w:rFonts w:ascii="Arial" w:hAnsi="Arial" w:cs="Arial"/>
          <w:bCs/>
          <w:sz w:val="24"/>
          <w:szCs w:val="24"/>
          <w:lang w:eastAsia="en-GB"/>
        </w:rPr>
      </w:pPr>
      <w:r w:rsidRPr="0007572B">
        <w:rPr>
          <w:rFonts w:ascii="Arial" w:hAnsi="Arial" w:cs="Arial"/>
          <w:bCs/>
          <w:sz w:val="24"/>
          <w:szCs w:val="24"/>
          <w:lang w:eastAsia="en-GB"/>
        </w:rPr>
        <w:t>PFI and similar contracts recognised on the Balance Sheet are revalued and depreciated in the same way as property, plant and equipment owned by the Authority.</w:t>
      </w:r>
    </w:p>
    <w:p w14:paraId="76D185DD" w14:textId="77777777" w:rsidR="00655E4C" w:rsidRPr="0007572B" w:rsidRDefault="00655E4C" w:rsidP="00655E4C">
      <w:pPr>
        <w:pStyle w:val="Normal0"/>
        <w:spacing w:line="240" w:lineRule="auto"/>
        <w:rPr>
          <w:rFonts w:ascii="Arial" w:hAnsi="Arial" w:cs="Arial"/>
          <w:bCs/>
          <w:sz w:val="24"/>
          <w:szCs w:val="24"/>
          <w:lang w:eastAsia="en-GB"/>
        </w:rPr>
      </w:pPr>
    </w:p>
    <w:p w14:paraId="5F0960F3" w14:textId="77777777" w:rsidR="00655E4C" w:rsidRPr="0007572B" w:rsidRDefault="00655E4C" w:rsidP="00655E4C">
      <w:pPr>
        <w:pStyle w:val="Normal0"/>
        <w:spacing w:line="240" w:lineRule="auto"/>
        <w:rPr>
          <w:rFonts w:ascii="Arial" w:hAnsi="Arial" w:cs="Arial"/>
          <w:bCs/>
          <w:sz w:val="24"/>
          <w:szCs w:val="24"/>
          <w:lang w:eastAsia="en-GB"/>
        </w:rPr>
      </w:pPr>
      <w:r w:rsidRPr="0007572B">
        <w:rPr>
          <w:rFonts w:ascii="Arial" w:hAnsi="Arial" w:cs="Arial"/>
          <w:bCs/>
          <w:sz w:val="24"/>
          <w:szCs w:val="24"/>
          <w:lang w:eastAsia="en-GB"/>
        </w:rPr>
        <w:t>The amounts payable to the PFI operators each year are analysed into the following elements:</w:t>
      </w:r>
    </w:p>
    <w:p w14:paraId="05D93940" w14:textId="77777777" w:rsidR="00655E4C" w:rsidRPr="0007572B" w:rsidRDefault="00655E4C" w:rsidP="00655E4C">
      <w:pPr>
        <w:pStyle w:val="Normal0"/>
        <w:spacing w:line="240" w:lineRule="auto"/>
        <w:rPr>
          <w:rFonts w:ascii="Arial" w:hAnsi="Arial" w:cs="Arial"/>
          <w:bCs/>
          <w:sz w:val="24"/>
          <w:szCs w:val="24"/>
          <w:lang w:eastAsia="en-GB"/>
        </w:rPr>
      </w:pPr>
    </w:p>
    <w:p w14:paraId="79760019" w14:textId="77777777" w:rsidR="00655E4C" w:rsidRPr="0007572B" w:rsidRDefault="00655E4C" w:rsidP="00EB27EB">
      <w:pPr>
        <w:pStyle w:val="ListParagraph"/>
        <w:numPr>
          <w:ilvl w:val="0"/>
          <w:numId w:val="27"/>
        </w:numPr>
        <w:spacing w:line="240" w:lineRule="auto"/>
        <w:rPr>
          <w:rFonts w:ascii="Arial" w:hAnsi="Arial" w:cs="Arial"/>
          <w:bCs/>
          <w:sz w:val="24"/>
          <w:szCs w:val="24"/>
        </w:rPr>
      </w:pPr>
      <w:r w:rsidRPr="0007572B">
        <w:rPr>
          <w:rFonts w:ascii="Arial" w:hAnsi="Arial" w:cs="Arial"/>
          <w:b/>
          <w:bCs/>
          <w:sz w:val="24"/>
          <w:szCs w:val="24"/>
        </w:rPr>
        <w:t>Fair value of the services received during the year</w:t>
      </w:r>
      <w:r w:rsidRPr="0007572B">
        <w:rPr>
          <w:rFonts w:ascii="Arial" w:hAnsi="Arial" w:cs="Arial"/>
          <w:bCs/>
          <w:sz w:val="24"/>
          <w:szCs w:val="24"/>
        </w:rPr>
        <w:t xml:space="preserve"> – debited to the relevant service in the Comprehensive Income and Expenditure Statement;</w:t>
      </w:r>
    </w:p>
    <w:p w14:paraId="3EEEB399" w14:textId="77777777" w:rsidR="00655E4C" w:rsidRPr="0007572B" w:rsidRDefault="00655E4C" w:rsidP="00EB27EB">
      <w:pPr>
        <w:pStyle w:val="ListParagraph"/>
        <w:numPr>
          <w:ilvl w:val="0"/>
          <w:numId w:val="27"/>
        </w:numPr>
        <w:spacing w:line="240" w:lineRule="auto"/>
        <w:rPr>
          <w:rFonts w:ascii="Arial" w:hAnsi="Arial" w:cs="Arial"/>
          <w:bCs/>
          <w:sz w:val="24"/>
          <w:szCs w:val="24"/>
        </w:rPr>
      </w:pPr>
      <w:r w:rsidRPr="0007572B">
        <w:rPr>
          <w:rFonts w:ascii="Arial" w:hAnsi="Arial" w:cs="Arial"/>
          <w:b/>
          <w:bCs/>
          <w:sz w:val="24"/>
          <w:szCs w:val="24"/>
        </w:rPr>
        <w:t>Finance costs</w:t>
      </w:r>
      <w:r w:rsidRPr="0007572B">
        <w:rPr>
          <w:rFonts w:ascii="Arial" w:hAnsi="Arial" w:cs="Arial"/>
          <w:bCs/>
          <w:sz w:val="24"/>
          <w:szCs w:val="24"/>
        </w:rPr>
        <w:t xml:space="preserve"> – an interest charge on the outstanding Balance Sheet liability, debited to the Financing and Investment Income and Expenditure line in the Comprehensive Income and Expenditure Statement;</w:t>
      </w:r>
    </w:p>
    <w:p w14:paraId="666CB970" w14:textId="77777777" w:rsidR="00655E4C" w:rsidRPr="0007572B" w:rsidRDefault="00655E4C" w:rsidP="00EB27EB">
      <w:pPr>
        <w:pStyle w:val="ListParagraph"/>
        <w:numPr>
          <w:ilvl w:val="0"/>
          <w:numId w:val="27"/>
        </w:numPr>
        <w:spacing w:line="240" w:lineRule="auto"/>
        <w:rPr>
          <w:rFonts w:ascii="Arial" w:hAnsi="Arial" w:cs="Arial"/>
          <w:bCs/>
          <w:sz w:val="24"/>
          <w:szCs w:val="24"/>
        </w:rPr>
      </w:pPr>
      <w:r w:rsidRPr="0007572B">
        <w:rPr>
          <w:rFonts w:ascii="Arial" w:hAnsi="Arial" w:cs="Arial"/>
          <w:b/>
          <w:bCs/>
          <w:sz w:val="24"/>
          <w:szCs w:val="24"/>
        </w:rPr>
        <w:lastRenderedPageBreak/>
        <w:t>Contingent Rents</w:t>
      </w:r>
      <w:r w:rsidRPr="0007572B">
        <w:rPr>
          <w:rFonts w:ascii="Arial" w:hAnsi="Arial" w:cs="Arial"/>
          <w:bCs/>
          <w:sz w:val="24"/>
          <w:szCs w:val="24"/>
        </w:rPr>
        <w:t xml:space="preserve"> – Increases in the amount to be paid for the property arising during the contract, debited to the Financing and Investment Income and Expenditure line in the Comprehensive Income and Expenditure Statement;</w:t>
      </w:r>
    </w:p>
    <w:p w14:paraId="7412FB1D" w14:textId="77777777" w:rsidR="00655E4C" w:rsidRPr="0007572B" w:rsidRDefault="00655E4C" w:rsidP="00EB27EB">
      <w:pPr>
        <w:pStyle w:val="ListParagraph"/>
        <w:numPr>
          <w:ilvl w:val="0"/>
          <w:numId w:val="27"/>
        </w:numPr>
        <w:spacing w:line="240" w:lineRule="auto"/>
        <w:rPr>
          <w:rFonts w:ascii="Arial" w:hAnsi="Arial" w:cs="Arial"/>
          <w:bCs/>
          <w:sz w:val="24"/>
          <w:szCs w:val="24"/>
        </w:rPr>
      </w:pPr>
      <w:r w:rsidRPr="0007572B">
        <w:rPr>
          <w:rFonts w:ascii="Arial" w:hAnsi="Arial" w:cs="Arial"/>
          <w:b/>
          <w:bCs/>
          <w:sz w:val="24"/>
          <w:szCs w:val="24"/>
        </w:rPr>
        <w:t>Payment towards liability</w:t>
      </w:r>
      <w:r w:rsidRPr="0007572B">
        <w:rPr>
          <w:rFonts w:ascii="Arial" w:hAnsi="Arial" w:cs="Arial"/>
          <w:bCs/>
          <w:sz w:val="24"/>
          <w:szCs w:val="24"/>
        </w:rPr>
        <w:t xml:space="preserve"> – applied to write down the Balance Sheet liability towards the PFI operator (the profile of write-downs is calculated using the same principles as for a finance lease);</w:t>
      </w:r>
    </w:p>
    <w:p w14:paraId="17388A4A" w14:textId="77777777" w:rsidR="00655E4C" w:rsidRPr="0007572B" w:rsidRDefault="00655E4C" w:rsidP="00EB27EB">
      <w:pPr>
        <w:pStyle w:val="ListParagraph"/>
        <w:numPr>
          <w:ilvl w:val="0"/>
          <w:numId w:val="27"/>
        </w:numPr>
        <w:spacing w:line="240" w:lineRule="auto"/>
        <w:rPr>
          <w:rFonts w:ascii="Arial" w:hAnsi="Arial" w:cs="Arial"/>
          <w:bCs/>
          <w:sz w:val="24"/>
          <w:szCs w:val="24"/>
        </w:rPr>
      </w:pPr>
      <w:r w:rsidRPr="0007572B">
        <w:rPr>
          <w:rFonts w:ascii="Arial" w:hAnsi="Arial" w:cs="Arial"/>
          <w:b/>
          <w:bCs/>
          <w:sz w:val="24"/>
          <w:szCs w:val="24"/>
        </w:rPr>
        <w:t>Lifecycle replacement costs</w:t>
      </w:r>
      <w:r w:rsidRPr="0007572B">
        <w:rPr>
          <w:rFonts w:ascii="Arial" w:hAnsi="Arial" w:cs="Arial"/>
          <w:bCs/>
          <w:sz w:val="24"/>
          <w:szCs w:val="24"/>
        </w:rPr>
        <w:t xml:space="preserve"> – proportion of the amounts payable is posted to the Balance Sheet as a prepayment and then recognised as additions to Property, Plant and Equipment when the relevant works are eventually carried out. </w:t>
      </w:r>
    </w:p>
    <w:p w14:paraId="6F1DEB02" w14:textId="77777777" w:rsidR="00655E4C" w:rsidRDefault="00655E4C" w:rsidP="00655E4C">
      <w:pPr>
        <w:pStyle w:val="Normal0"/>
        <w:spacing w:line="240" w:lineRule="auto"/>
        <w:rPr>
          <w:rFonts w:ascii="Arial" w:hAnsi="Arial" w:cs="Arial"/>
          <w:bCs/>
          <w:sz w:val="24"/>
          <w:szCs w:val="24"/>
          <w:lang w:eastAsia="en-GB"/>
        </w:rPr>
      </w:pPr>
      <w:r w:rsidRPr="0007572B">
        <w:rPr>
          <w:rFonts w:ascii="Arial" w:hAnsi="Arial" w:cs="Arial"/>
          <w:bCs/>
          <w:sz w:val="24"/>
          <w:szCs w:val="24"/>
          <w:lang w:eastAsia="en-GB"/>
        </w:rPr>
        <w:t>The Authority is deemed to control the services provided under its PFI arrangement for the Stretford Fire Station site. The Authority also has a PFI contract for the construction and maintenance of 17 police stations across Greater Manchester whereby the contractor will operate and service the stations for 25 years after which ownership will revert to the Mayor of Greater Manchester for nil consideration. The accounting policy for PFIs and similar arrangements has been applied to these arrangements and the assets are recognised as Property, Plant and Equipment in the Balance Sheet.</w:t>
      </w:r>
    </w:p>
    <w:p w14:paraId="69CD996B" w14:textId="77777777" w:rsidR="00655E4C" w:rsidRPr="006F573A" w:rsidRDefault="00655E4C" w:rsidP="00655E4C">
      <w:pPr>
        <w:spacing w:after="160" w:line="259" w:lineRule="auto"/>
        <w:rPr>
          <w:rFonts w:ascii="Arial" w:eastAsiaTheme="minorHAnsi" w:hAnsi="Arial" w:cs="Arial"/>
          <w:bCs/>
          <w:lang w:val="en-US" w:eastAsia="en-GB"/>
        </w:rPr>
      </w:pPr>
      <w:r w:rsidRPr="006F573A">
        <w:rPr>
          <w:rFonts w:ascii="Arial" w:eastAsiaTheme="minorHAnsi" w:hAnsi="Arial" w:cs="Arial"/>
          <w:bCs/>
          <w:lang w:val="en-US" w:eastAsia="en-GB"/>
        </w:rPr>
        <w:t xml:space="preserve">Appendix </w:t>
      </w:r>
      <w:r>
        <w:rPr>
          <w:rFonts w:ascii="Arial" w:eastAsiaTheme="minorHAnsi" w:hAnsi="Arial" w:cs="Arial"/>
          <w:bCs/>
          <w:lang w:val="en-US" w:eastAsia="en-GB"/>
        </w:rPr>
        <w:t>2</w:t>
      </w:r>
    </w:p>
    <w:p w14:paraId="0F839B14" w14:textId="4A587D11" w:rsidR="00655E4C" w:rsidRPr="0007572B" w:rsidRDefault="00655E4C" w:rsidP="00655E4C">
      <w:pPr>
        <w:pStyle w:val="Heading3greennumbered"/>
      </w:pPr>
      <w:bookmarkStart w:id="85" w:name="_Toc109922611"/>
      <w:r w:rsidRPr="0007572B">
        <w:t>2 Critical Accounting</w:t>
      </w:r>
      <w:r w:rsidRPr="0007572B">
        <w:rPr>
          <w:spacing w:val="2"/>
        </w:rPr>
        <w:t xml:space="preserve"> </w:t>
      </w:r>
      <w:r w:rsidRPr="0007572B">
        <w:t>Judgements</w:t>
      </w:r>
      <w:bookmarkEnd w:id="85"/>
    </w:p>
    <w:p w14:paraId="46E115BF" w14:textId="77777777" w:rsidR="00655E4C" w:rsidRDefault="00655E4C" w:rsidP="00655E4C">
      <w:pPr>
        <w:pStyle w:val="Normal0"/>
        <w:autoSpaceDE w:val="0"/>
        <w:autoSpaceDN w:val="0"/>
        <w:adjustRightInd w:val="0"/>
        <w:spacing w:line="240" w:lineRule="auto"/>
        <w:rPr>
          <w:rFonts w:ascii="Arial" w:hAnsi="Arial" w:cs="Arial"/>
          <w:sz w:val="24"/>
          <w:szCs w:val="24"/>
        </w:rPr>
      </w:pPr>
    </w:p>
    <w:p w14:paraId="440C252A" w14:textId="77777777" w:rsidR="00655E4C" w:rsidRPr="0007572B" w:rsidRDefault="00655E4C" w:rsidP="00655E4C">
      <w:pPr>
        <w:pStyle w:val="Normal0"/>
        <w:autoSpaceDE w:val="0"/>
        <w:autoSpaceDN w:val="0"/>
        <w:adjustRightInd w:val="0"/>
        <w:spacing w:line="240" w:lineRule="auto"/>
        <w:rPr>
          <w:rFonts w:ascii="Arial" w:hAnsi="Arial" w:cs="Arial"/>
          <w:sz w:val="24"/>
          <w:szCs w:val="24"/>
        </w:rPr>
      </w:pPr>
      <w:r w:rsidRPr="0007572B">
        <w:rPr>
          <w:rFonts w:ascii="Arial" w:hAnsi="Arial" w:cs="Arial"/>
          <w:sz w:val="24"/>
          <w:szCs w:val="24"/>
        </w:rPr>
        <w:t>In applying the accounting policies set out in the notes to the accounts, the Authority has had to make certain judgements about complex in year transactions or those involving uncertainty about future events. The following are significant management judgements made in applying the accounting policies of the Authority that have the most significant effect on the Statement of Accounts. Material estimation uncertainties are described in the notes to the accounts.</w:t>
      </w:r>
    </w:p>
    <w:p w14:paraId="20FAA1DD" w14:textId="77777777" w:rsidR="00655E4C" w:rsidRPr="0007572B" w:rsidRDefault="00655E4C" w:rsidP="00655E4C">
      <w:pPr>
        <w:pStyle w:val="Normal0"/>
        <w:autoSpaceDE w:val="0"/>
        <w:autoSpaceDN w:val="0"/>
        <w:spacing w:line="240" w:lineRule="auto"/>
        <w:rPr>
          <w:rFonts w:ascii="Arial" w:hAnsi="Arial" w:cs="Arial"/>
          <w:b/>
          <w:sz w:val="24"/>
          <w:szCs w:val="24"/>
        </w:rPr>
      </w:pPr>
    </w:p>
    <w:p w14:paraId="4A205A73" w14:textId="77777777" w:rsidR="00655E4C" w:rsidRPr="0007572B" w:rsidRDefault="00655E4C" w:rsidP="00655E4C">
      <w:pPr>
        <w:pStyle w:val="Heading4bold"/>
      </w:pPr>
      <w:r w:rsidRPr="0007572B">
        <w:t>Government Funding</w:t>
      </w:r>
    </w:p>
    <w:p w14:paraId="563ACC56" w14:textId="0EDEC3AF" w:rsidR="00655E4C" w:rsidRDefault="00655E4C" w:rsidP="00655E4C">
      <w:pPr>
        <w:pStyle w:val="Normal0"/>
        <w:autoSpaceDE w:val="0"/>
        <w:autoSpaceDN w:val="0"/>
        <w:spacing w:line="240" w:lineRule="auto"/>
        <w:rPr>
          <w:rFonts w:ascii="Arial" w:hAnsi="Arial" w:cs="Arial"/>
          <w:sz w:val="24"/>
          <w:szCs w:val="24"/>
        </w:rPr>
      </w:pPr>
      <w:r>
        <w:rPr>
          <w:rFonts w:ascii="Arial" w:hAnsi="Arial" w:cs="Arial"/>
          <w:sz w:val="24"/>
          <w:szCs w:val="24"/>
        </w:rPr>
        <w:t>There is an inherent degree of uncertainty about future levels of funding for major Government programmes devolved to GMCA and Local Government funding as a whole</w:t>
      </w:r>
      <w:r w:rsidR="00BB1644">
        <w:rPr>
          <w:rFonts w:ascii="Arial" w:hAnsi="Arial" w:cs="Arial"/>
          <w:sz w:val="24"/>
          <w:szCs w:val="24"/>
        </w:rPr>
        <w:t xml:space="preserve">. </w:t>
      </w:r>
      <w:r>
        <w:rPr>
          <w:rFonts w:ascii="Arial" w:hAnsi="Arial" w:cs="Arial"/>
          <w:sz w:val="24"/>
          <w:szCs w:val="24"/>
        </w:rPr>
        <w:t>As part of the going concern assessment, the Authority has had to consider a range of options on how to continue to provide some elements of its services with a reduced level of funding.</w:t>
      </w:r>
    </w:p>
    <w:p w14:paraId="28BDE1ED" w14:textId="77777777" w:rsidR="00655E4C" w:rsidRDefault="00655E4C" w:rsidP="00655E4C">
      <w:pPr>
        <w:pStyle w:val="Normal0"/>
        <w:autoSpaceDE w:val="0"/>
        <w:autoSpaceDN w:val="0"/>
        <w:spacing w:line="240" w:lineRule="auto"/>
        <w:rPr>
          <w:rFonts w:ascii="Arial" w:hAnsi="Arial" w:cs="Arial"/>
          <w:sz w:val="24"/>
          <w:szCs w:val="24"/>
        </w:rPr>
      </w:pPr>
    </w:p>
    <w:p w14:paraId="1790FD0B" w14:textId="77777777" w:rsidR="00655E4C" w:rsidRDefault="00655E4C" w:rsidP="00655E4C">
      <w:pPr>
        <w:pStyle w:val="Normal0"/>
        <w:autoSpaceDE w:val="0"/>
        <w:autoSpaceDN w:val="0"/>
        <w:spacing w:line="240" w:lineRule="auto"/>
        <w:rPr>
          <w:rFonts w:ascii="Arial" w:hAnsi="Arial" w:cs="Arial"/>
          <w:sz w:val="24"/>
          <w:szCs w:val="24"/>
        </w:rPr>
      </w:pPr>
      <w:r>
        <w:rPr>
          <w:rFonts w:ascii="Arial" w:hAnsi="Arial" w:cs="Arial"/>
          <w:sz w:val="24"/>
          <w:szCs w:val="24"/>
        </w:rPr>
        <w:t>The asset base across Police and Crime, Fire and Rescue and Transport functions is considered as part of the financial planning process and there is not currently a sufficient indication that the assets of the Authority might be impaired as a result of a need to close facilities and reduce levels of service provision.</w:t>
      </w:r>
    </w:p>
    <w:p w14:paraId="30484E76" w14:textId="77777777" w:rsidR="00655E4C" w:rsidRPr="0007572B" w:rsidRDefault="00655E4C" w:rsidP="00655E4C">
      <w:pPr>
        <w:rPr>
          <w:rFonts w:ascii="Arial" w:eastAsiaTheme="minorHAnsi" w:hAnsi="Arial" w:cs="Arial"/>
          <w:b/>
          <w:lang w:val="en-US"/>
        </w:rPr>
      </w:pPr>
    </w:p>
    <w:p w14:paraId="60F6D8EF" w14:textId="77777777" w:rsidR="00655E4C" w:rsidRPr="0007572B" w:rsidRDefault="00655E4C" w:rsidP="00655E4C">
      <w:pPr>
        <w:pStyle w:val="Heading4bold"/>
      </w:pPr>
      <w:r w:rsidRPr="0007572B">
        <w:t>Private Finance Initiative (PFI)</w:t>
      </w:r>
    </w:p>
    <w:p w14:paraId="78ED4161" w14:textId="77777777" w:rsidR="00655E4C" w:rsidRPr="0007572B" w:rsidRDefault="00655E4C" w:rsidP="00655E4C">
      <w:pPr>
        <w:rPr>
          <w:rFonts w:ascii="Arial" w:hAnsi="Arial" w:cs="Arial"/>
        </w:rPr>
      </w:pPr>
      <w:r w:rsidRPr="0007572B">
        <w:rPr>
          <w:rFonts w:ascii="Arial" w:hAnsi="Arial" w:cs="Arial"/>
        </w:rPr>
        <w:t>The Authority has entered into Private Finance Initiative (PFI) agreements for the Stretford Fire Station and 17 new Police Stations across 16 sites. The ownership of the buildings is determined by who holds the balance of control in line with accounting standards. The Authority considers the buildings and equipment associated with these sites should be included on its Balance Sheet because:</w:t>
      </w:r>
    </w:p>
    <w:p w14:paraId="40F23068" w14:textId="77777777" w:rsidR="00655E4C" w:rsidRPr="0007572B" w:rsidRDefault="00655E4C" w:rsidP="00EB27EB">
      <w:pPr>
        <w:pStyle w:val="ListParagraph"/>
        <w:numPr>
          <w:ilvl w:val="0"/>
          <w:numId w:val="27"/>
        </w:numPr>
        <w:spacing w:line="240" w:lineRule="auto"/>
        <w:rPr>
          <w:rFonts w:ascii="Arial" w:hAnsi="Arial" w:cs="Arial"/>
          <w:b/>
          <w:bCs/>
          <w:sz w:val="24"/>
          <w:szCs w:val="24"/>
        </w:rPr>
      </w:pPr>
      <w:r w:rsidRPr="0007572B">
        <w:rPr>
          <w:rFonts w:ascii="Arial" w:hAnsi="Arial" w:cs="Arial"/>
          <w:bCs/>
          <w:sz w:val="24"/>
          <w:szCs w:val="24"/>
        </w:rPr>
        <w:t>The reversion clause within the PFI agreement results in the Authority having a residual interest in the buildings at the end of the agreement;</w:t>
      </w:r>
    </w:p>
    <w:p w14:paraId="2637DD86" w14:textId="77777777" w:rsidR="00655E4C" w:rsidRPr="0007572B" w:rsidRDefault="00655E4C" w:rsidP="00EB27EB">
      <w:pPr>
        <w:pStyle w:val="ListParagraph"/>
        <w:numPr>
          <w:ilvl w:val="0"/>
          <w:numId w:val="27"/>
        </w:numPr>
        <w:spacing w:line="240" w:lineRule="auto"/>
        <w:rPr>
          <w:rFonts w:ascii="Arial" w:hAnsi="Arial" w:cs="Arial"/>
          <w:b/>
          <w:bCs/>
          <w:sz w:val="24"/>
          <w:szCs w:val="24"/>
        </w:rPr>
      </w:pPr>
      <w:r w:rsidRPr="0007572B">
        <w:rPr>
          <w:rFonts w:ascii="Arial" w:hAnsi="Arial" w:cs="Arial"/>
          <w:bCs/>
          <w:sz w:val="24"/>
          <w:szCs w:val="24"/>
        </w:rPr>
        <w:lastRenderedPageBreak/>
        <w:t>The services provided and the use of the building is controlled by the Authority through the PFI agreement; and</w:t>
      </w:r>
    </w:p>
    <w:p w14:paraId="483A2C0E" w14:textId="77777777" w:rsidR="00655E4C" w:rsidRPr="0007572B" w:rsidRDefault="00655E4C" w:rsidP="00EB27EB">
      <w:pPr>
        <w:pStyle w:val="ListParagraph"/>
        <w:numPr>
          <w:ilvl w:val="0"/>
          <w:numId w:val="27"/>
        </w:numPr>
        <w:spacing w:line="240" w:lineRule="auto"/>
        <w:rPr>
          <w:rFonts w:ascii="Arial" w:hAnsi="Arial" w:cs="Arial"/>
          <w:sz w:val="24"/>
          <w:szCs w:val="24"/>
        </w:rPr>
      </w:pPr>
      <w:r w:rsidRPr="0007572B">
        <w:rPr>
          <w:rFonts w:ascii="Arial" w:hAnsi="Arial" w:cs="Arial"/>
          <w:bCs/>
          <w:sz w:val="24"/>
          <w:szCs w:val="24"/>
        </w:rPr>
        <w:t>The PFI agreement</w:t>
      </w:r>
      <w:r w:rsidRPr="0007572B">
        <w:rPr>
          <w:rFonts w:ascii="Arial" w:hAnsi="Arial" w:cs="Arial"/>
          <w:sz w:val="24"/>
          <w:szCs w:val="24"/>
        </w:rPr>
        <w:t xml:space="preserve"> is between the PFI contractor and the Authority.</w:t>
      </w:r>
    </w:p>
    <w:p w14:paraId="7AB8EEC6" w14:textId="77777777" w:rsidR="00655E4C" w:rsidRPr="0007572B" w:rsidRDefault="00655E4C" w:rsidP="00655E4C">
      <w:pPr>
        <w:rPr>
          <w:rFonts w:ascii="Arial" w:hAnsi="Arial" w:cs="Arial"/>
        </w:rPr>
      </w:pPr>
    </w:p>
    <w:p w14:paraId="23AD0C08" w14:textId="77777777" w:rsidR="00655E4C" w:rsidRPr="0007572B" w:rsidRDefault="00655E4C" w:rsidP="00655E4C">
      <w:pPr>
        <w:pStyle w:val="Heading4bold"/>
      </w:pPr>
      <w:r w:rsidRPr="0007572B">
        <w:t>Group Accounts Considerations</w:t>
      </w:r>
    </w:p>
    <w:p w14:paraId="40B34A2D" w14:textId="77777777" w:rsidR="00655E4C" w:rsidRPr="0007572B" w:rsidRDefault="00655E4C" w:rsidP="00655E4C">
      <w:pPr>
        <w:pStyle w:val="Normal0"/>
        <w:autoSpaceDE w:val="0"/>
        <w:autoSpaceDN w:val="0"/>
        <w:adjustRightInd w:val="0"/>
        <w:spacing w:line="240" w:lineRule="auto"/>
        <w:rPr>
          <w:rFonts w:ascii="Arial" w:hAnsi="Arial" w:cs="Arial"/>
          <w:sz w:val="24"/>
          <w:szCs w:val="24"/>
        </w:rPr>
      </w:pPr>
      <w:r w:rsidRPr="0007572B">
        <w:rPr>
          <w:rFonts w:ascii="Arial" w:hAnsi="Arial" w:cs="Arial"/>
          <w:sz w:val="24"/>
          <w:szCs w:val="24"/>
        </w:rPr>
        <w:t xml:space="preserve">A review of the entities related to the Authority in </w:t>
      </w:r>
      <w:r>
        <w:rPr>
          <w:rFonts w:ascii="Arial" w:hAnsi="Arial" w:cs="Arial"/>
          <w:sz w:val="24"/>
          <w:szCs w:val="24"/>
        </w:rPr>
        <w:t>2021/22</w:t>
      </w:r>
      <w:r w:rsidRPr="0007572B">
        <w:rPr>
          <w:rFonts w:ascii="Arial" w:hAnsi="Arial" w:cs="Arial"/>
          <w:sz w:val="24"/>
          <w:szCs w:val="24"/>
        </w:rPr>
        <w:t xml:space="preserve"> has taken place and the conclusions are provided below:</w:t>
      </w:r>
    </w:p>
    <w:p w14:paraId="39316DD3" w14:textId="77777777" w:rsidR="00655E4C" w:rsidRPr="0007572B" w:rsidRDefault="00655E4C" w:rsidP="00655E4C">
      <w:pPr>
        <w:pStyle w:val="Normal0"/>
        <w:autoSpaceDE w:val="0"/>
        <w:autoSpaceDN w:val="0"/>
        <w:adjustRightInd w:val="0"/>
        <w:spacing w:line="240" w:lineRule="auto"/>
        <w:rPr>
          <w:rFonts w:ascii="Arial" w:hAnsi="Arial" w:cs="Arial"/>
          <w:b/>
          <w:sz w:val="24"/>
          <w:szCs w:val="24"/>
        </w:rPr>
      </w:pPr>
    </w:p>
    <w:p w14:paraId="384F0A73" w14:textId="77777777" w:rsidR="00655E4C" w:rsidRPr="0007572B" w:rsidRDefault="00655E4C" w:rsidP="00655E4C">
      <w:pPr>
        <w:pStyle w:val="Heading4bold"/>
      </w:pPr>
      <w:r w:rsidRPr="0007572B">
        <w:t>Chief Constable of Greater Manchester Police (GMP)</w:t>
      </w:r>
    </w:p>
    <w:p w14:paraId="4B50AC9A" w14:textId="77777777" w:rsidR="00655E4C" w:rsidRPr="0007572B" w:rsidRDefault="00655E4C" w:rsidP="00655E4C">
      <w:pPr>
        <w:pStyle w:val="Normal0"/>
        <w:autoSpaceDE w:val="0"/>
        <w:autoSpaceDN w:val="0"/>
        <w:adjustRightInd w:val="0"/>
        <w:spacing w:line="240" w:lineRule="auto"/>
        <w:rPr>
          <w:rFonts w:ascii="Arial" w:hAnsi="Arial" w:cs="Arial"/>
          <w:sz w:val="24"/>
          <w:szCs w:val="24"/>
        </w:rPr>
      </w:pPr>
      <w:r w:rsidRPr="0007572B">
        <w:rPr>
          <w:rFonts w:ascii="Arial" w:hAnsi="Arial" w:cs="Arial"/>
          <w:b/>
          <w:sz w:val="24"/>
          <w:szCs w:val="24"/>
        </w:rPr>
        <w:t>GMP is included</w:t>
      </w:r>
      <w:r w:rsidRPr="0007572B">
        <w:rPr>
          <w:rFonts w:ascii="Arial" w:hAnsi="Arial" w:cs="Arial"/>
          <w:sz w:val="24"/>
          <w:szCs w:val="24"/>
        </w:rPr>
        <w:t xml:space="preserve"> in the Authority’s group accounts from 8 May 2017. The Mayor is responsible for the formal oversight of GMP, including provision of all funding, budget setting, performance scrutiny and strategic policy development, and for ensuring GMP is run efficiently and effectively. Operational decision-making on day-to-day policing including the employment of police staff remains the responsibility of the Chief Constable.</w:t>
      </w:r>
    </w:p>
    <w:p w14:paraId="70FA6D14" w14:textId="77777777" w:rsidR="00655E4C" w:rsidRPr="0007572B" w:rsidRDefault="00655E4C" w:rsidP="00655E4C">
      <w:pPr>
        <w:pStyle w:val="Normal0"/>
        <w:autoSpaceDE w:val="0"/>
        <w:autoSpaceDN w:val="0"/>
        <w:adjustRightInd w:val="0"/>
        <w:spacing w:line="240" w:lineRule="auto"/>
        <w:rPr>
          <w:rFonts w:ascii="Arial" w:hAnsi="Arial" w:cs="Arial"/>
          <w:sz w:val="24"/>
          <w:szCs w:val="24"/>
        </w:rPr>
      </w:pPr>
    </w:p>
    <w:p w14:paraId="52379000" w14:textId="77777777" w:rsidR="00655E4C" w:rsidRPr="0007572B" w:rsidRDefault="00655E4C" w:rsidP="00655E4C">
      <w:pPr>
        <w:pStyle w:val="Normal0"/>
        <w:autoSpaceDE w:val="0"/>
        <w:autoSpaceDN w:val="0"/>
        <w:adjustRightInd w:val="0"/>
        <w:spacing w:line="240" w:lineRule="auto"/>
        <w:rPr>
          <w:rFonts w:ascii="Arial" w:hAnsi="Arial" w:cs="Arial"/>
          <w:sz w:val="24"/>
          <w:szCs w:val="24"/>
        </w:rPr>
      </w:pPr>
      <w:r w:rsidRPr="0007572B">
        <w:rPr>
          <w:rFonts w:ascii="Arial" w:hAnsi="Arial" w:cs="Arial"/>
          <w:sz w:val="24"/>
          <w:szCs w:val="24"/>
        </w:rPr>
        <w:t>Under the legislative framework and local arrangements, the Authority under sole instruction from the Mayor, is responsible for the finances of the Mayoral Police Fund including assets, liabilities and reserves. The Authority has responsibility for entering into contracts and establishing the contractual framework under which the Chief Constable’s officers and staff operate. The Authority receives all income and funding and makes all the payments for the policing activity from the Mayoral Police Fund. Details of the Mayoral Police Fund are disclosed in the notes to the accounts.</w:t>
      </w:r>
    </w:p>
    <w:p w14:paraId="389C3408" w14:textId="77777777" w:rsidR="00655E4C" w:rsidRPr="0007572B" w:rsidRDefault="00655E4C" w:rsidP="00655E4C">
      <w:pPr>
        <w:pStyle w:val="Normal0"/>
        <w:autoSpaceDE w:val="0"/>
        <w:autoSpaceDN w:val="0"/>
        <w:adjustRightInd w:val="0"/>
        <w:spacing w:line="240" w:lineRule="auto"/>
        <w:rPr>
          <w:rFonts w:ascii="Arial" w:hAnsi="Arial" w:cs="Arial"/>
          <w:sz w:val="24"/>
          <w:szCs w:val="24"/>
        </w:rPr>
      </w:pPr>
    </w:p>
    <w:p w14:paraId="5B84DD30" w14:textId="77777777" w:rsidR="00655E4C" w:rsidRPr="0007572B" w:rsidRDefault="00655E4C" w:rsidP="00655E4C">
      <w:pPr>
        <w:pStyle w:val="Heading4bold"/>
      </w:pPr>
      <w:r w:rsidRPr="0007572B">
        <w:t>Transport for Greater Manchester (TfGM)</w:t>
      </w:r>
    </w:p>
    <w:p w14:paraId="132662D1" w14:textId="77777777" w:rsidR="00655E4C" w:rsidRPr="0007572B" w:rsidRDefault="00655E4C" w:rsidP="00655E4C">
      <w:pPr>
        <w:pStyle w:val="Normal0"/>
        <w:autoSpaceDE w:val="0"/>
        <w:autoSpaceDN w:val="0"/>
        <w:adjustRightInd w:val="0"/>
        <w:spacing w:line="240" w:lineRule="auto"/>
        <w:rPr>
          <w:rFonts w:ascii="Arial" w:hAnsi="Arial" w:cs="Arial"/>
          <w:sz w:val="24"/>
          <w:szCs w:val="24"/>
        </w:rPr>
      </w:pPr>
      <w:r w:rsidRPr="0007572B">
        <w:rPr>
          <w:rFonts w:ascii="Arial" w:hAnsi="Arial" w:cs="Arial"/>
          <w:b/>
          <w:sz w:val="24"/>
          <w:szCs w:val="24"/>
        </w:rPr>
        <w:t>TfGM will continue to be included</w:t>
      </w:r>
      <w:r w:rsidRPr="0007572B">
        <w:rPr>
          <w:rFonts w:ascii="Arial" w:hAnsi="Arial" w:cs="Arial"/>
          <w:sz w:val="24"/>
          <w:szCs w:val="24"/>
        </w:rPr>
        <w:t xml:space="preserve"> in the Authority’s group accounts. The Authority and/or the Mayor sets local public transport policy and is responsible for deciding how funds are spent on supporting and improving Greater Manchester’s public transport network. The decisions of the Authority and/or the Mayor are implemented by TfGM and TfGM is responsible for implementing the policies of the Authority. TfGM’s net expenditure after taking into account all sources of income and expenditure is financed by way of a Revenue Grant from the Authority. TfGM’s corporate objectives are derived from the Authority’s policy priorities, stakeholder consultation and its principal statutory obligations. Strategic objectives and targets are set out in the Authority/TfGM Business and Performance Plan.</w:t>
      </w:r>
    </w:p>
    <w:p w14:paraId="42A9A060" w14:textId="77777777" w:rsidR="00655E4C" w:rsidRPr="0007572B" w:rsidRDefault="00655E4C" w:rsidP="00655E4C">
      <w:pPr>
        <w:pStyle w:val="Normal0"/>
        <w:autoSpaceDE w:val="0"/>
        <w:autoSpaceDN w:val="0"/>
        <w:adjustRightInd w:val="0"/>
        <w:spacing w:line="240" w:lineRule="auto"/>
        <w:rPr>
          <w:rFonts w:ascii="Arial" w:hAnsi="Arial" w:cs="Arial"/>
          <w:sz w:val="24"/>
          <w:szCs w:val="24"/>
        </w:rPr>
      </w:pPr>
    </w:p>
    <w:p w14:paraId="007A626A" w14:textId="77777777" w:rsidR="00655E4C" w:rsidRPr="0007572B" w:rsidRDefault="00655E4C" w:rsidP="00655E4C">
      <w:pPr>
        <w:pStyle w:val="Normal0"/>
        <w:autoSpaceDE w:val="0"/>
        <w:autoSpaceDN w:val="0"/>
        <w:adjustRightInd w:val="0"/>
        <w:spacing w:line="240" w:lineRule="auto"/>
        <w:rPr>
          <w:rFonts w:ascii="Arial" w:hAnsi="Arial" w:cs="Arial"/>
          <w:sz w:val="24"/>
          <w:szCs w:val="24"/>
        </w:rPr>
      </w:pPr>
      <w:r w:rsidRPr="0007572B">
        <w:rPr>
          <w:rFonts w:ascii="Arial" w:hAnsi="Arial" w:cs="Arial"/>
          <w:sz w:val="24"/>
          <w:szCs w:val="24"/>
        </w:rPr>
        <w:t>For information, details of transactions with TfGM will be included within the related parties note.</w:t>
      </w:r>
    </w:p>
    <w:p w14:paraId="721E2052" w14:textId="77777777" w:rsidR="00655E4C" w:rsidRPr="0007572B" w:rsidRDefault="00655E4C" w:rsidP="00655E4C">
      <w:pPr>
        <w:pStyle w:val="Normal0"/>
        <w:autoSpaceDE w:val="0"/>
        <w:autoSpaceDN w:val="0"/>
        <w:adjustRightInd w:val="0"/>
        <w:spacing w:line="240" w:lineRule="auto"/>
        <w:rPr>
          <w:rFonts w:ascii="Arial" w:hAnsi="Arial" w:cs="Arial"/>
          <w:sz w:val="24"/>
          <w:szCs w:val="24"/>
        </w:rPr>
      </w:pPr>
    </w:p>
    <w:p w14:paraId="08CAE341" w14:textId="77777777" w:rsidR="00655E4C" w:rsidRPr="0007572B" w:rsidRDefault="00655E4C" w:rsidP="00655E4C">
      <w:pPr>
        <w:pStyle w:val="Heading4bold"/>
      </w:pPr>
      <w:r w:rsidRPr="000A0695">
        <w:t>Greater Manchester Fund of Funds Limited Partnership (FoFLP</w:t>
      </w:r>
      <w:r w:rsidRPr="0007572B">
        <w:t>)</w:t>
      </w:r>
    </w:p>
    <w:p w14:paraId="6A7CDE32" w14:textId="77777777" w:rsidR="00655E4C" w:rsidRPr="0007572B" w:rsidRDefault="00655E4C" w:rsidP="00655E4C">
      <w:pPr>
        <w:pStyle w:val="Normal0"/>
        <w:autoSpaceDE w:val="0"/>
        <w:autoSpaceDN w:val="0"/>
        <w:adjustRightInd w:val="0"/>
        <w:spacing w:line="240" w:lineRule="auto"/>
        <w:rPr>
          <w:rFonts w:ascii="Arial" w:hAnsi="Arial" w:cs="Arial"/>
          <w:sz w:val="24"/>
          <w:szCs w:val="24"/>
        </w:rPr>
      </w:pPr>
      <w:r w:rsidRPr="0007572B">
        <w:rPr>
          <w:rFonts w:ascii="Arial" w:hAnsi="Arial" w:cs="Arial"/>
          <w:sz w:val="24"/>
          <w:szCs w:val="24"/>
        </w:rPr>
        <w:t xml:space="preserve">In November 2016 the Authority established FoFLP to act as a holding fund for ERDF funding. </w:t>
      </w:r>
      <w:r>
        <w:rPr>
          <w:rFonts w:ascii="Arial" w:hAnsi="Arial" w:cs="Arial"/>
          <w:sz w:val="24"/>
          <w:szCs w:val="24"/>
        </w:rPr>
        <w:t xml:space="preserve">As at 31 March 2022, the fund had drawn down £30m of ERDF </w:t>
      </w:r>
      <w:r w:rsidRPr="007C5045">
        <w:rPr>
          <w:rFonts w:ascii="Arial" w:hAnsi="Arial" w:cs="Arial"/>
          <w:sz w:val="24"/>
          <w:szCs w:val="24"/>
        </w:rPr>
        <w:t xml:space="preserve">funding from Department for Levelling Up, Housing and Communities, and £0.6m from the Authority. FoFLP invest in sub-funds that seek to support the shift towards a low carbon economy and for research and innovation workspace. The fund has a further £30m of ERDF funding awarded which can be drawn </w:t>
      </w:r>
      <w:r>
        <w:rPr>
          <w:rFonts w:ascii="Arial" w:hAnsi="Arial" w:cs="Arial"/>
          <w:sz w:val="24"/>
          <w:szCs w:val="24"/>
        </w:rPr>
        <w:t xml:space="preserve">down </w:t>
      </w:r>
      <w:r w:rsidRPr="007C5045">
        <w:rPr>
          <w:rFonts w:ascii="Arial" w:hAnsi="Arial" w:cs="Arial"/>
          <w:sz w:val="24"/>
          <w:szCs w:val="24"/>
        </w:rPr>
        <w:t xml:space="preserve">upon the achievement of certain milestones. </w:t>
      </w:r>
      <w:r w:rsidRPr="007C5045">
        <w:rPr>
          <w:rFonts w:ascii="Arial" w:hAnsi="Arial" w:cs="Arial"/>
          <w:sz w:val="24"/>
          <w:szCs w:val="24"/>
        </w:rPr>
        <w:lastRenderedPageBreak/>
        <w:t xml:space="preserve">On the grounds of materiality, </w:t>
      </w:r>
      <w:r w:rsidRPr="007C5045">
        <w:rPr>
          <w:rFonts w:ascii="Arial" w:hAnsi="Arial" w:cs="Arial"/>
          <w:b/>
          <w:bCs/>
          <w:sz w:val="24"/>
          <w:szCs w:val="24"/>
        </w:rPr>
        <w:t>FoFLP will continue to be included</w:t>
      </w:r>
      <w:r w:rsidRPr="007C5045">
        <w:rPr>
          <w:rFonts w:ascii="Arial" w:hAnsi="Arial" w:cs="Arial"/>
          <w:sz w:val="24"/>
          <w:szCs w:val="24"/>
        </w:rPr>
        <w:t xml:space="preserve"> in the group accounts.</w:t>
      </w:r>
    </w:p>
    <w:p w14:paraId="53651D19" w14:textId="77777777" w:rsidR="00655E4C" w:rsidRPr="0007572B" w:rsidRDefault="00655E4C" w:rsidP="00655E4C">
      <w:pPr>
        <w:pStyle w:val="Normal0"/>
        <w:autoSpaceDE w:val="0"/>
        <w:autoSpaceDN w:val="0"/>
        <w:adjustRightInd w:val="0"/>
        <w:spacing w:line="240" w:lineRule="auto"/>
        <w:rPr>
          <w:rFonts w:ascii="Arial" w:hAnsi="Arial" w:cs="Arial"/>
          <w:sz w:val="24"/>
          <w:szCs w:val="24"/>
        </w:rPr>
      </w:pPr>
    </w:p>
    <w:p w14:paraId="691A285D" w14:textId="77777777" w:rsidR="00655E4C" w:rsidRPr="0007572B" w:rsidRDefault="00655E4C" w:rsidP="00655E4C">
      <w:pPr>
        <w:pStyle w:val="Heading4bold"/>
      </w:pPr>
      <w:r w:rsidRPr="0007572B">
        <w:t>NW Evergreen Holdings Limited Partnership (NWEH)</w:t>
      </w:r>
    </w:p>
    <w:p w14:paraId="2B8B6149" w14:textId="77777777" w:rsidR="00655E4C" w:rsidRPr="0007572B" w:rsidRDefault="00655E4C" w:rsidP="00655E4C">
      <w:pPr>
        <w:pStyle w:val="Normal0"/>
        <w:autoSpaceDE w:val="0"/>
        <w:autoSpaceDN w:val="0"/>
        <w:adjustRightInd w:val="0"/>
        <w:spacing w:line="240" w:lineRule="auto"/>
        <w:rPr>
          <w:rFonts w:ascii="Arial" w:hAnsi="Arial" w:cs="Arial"/>
          <w:sz w:val="24"/>
          <w:szCs w:val="24"/>
        </w:rPr>
      </w:pPr>
      <w:r w:rsidRPr="0007572B">
        <w:rPr>
          <w:rFonts w:ascii="Arial" w:hAnsi="Arial" w:cs="Arial"/>
          <w:sz w:val="24"/>
          <w:szCs w:val="24"/>
        </w:rPr>
        <w:t xml:space="preserve">In September 2016 the Authority established NWEH to act as a holding fund for </w:t>
      </w:r>
      <w:r>
        <w:rPr>
          <w:rFonts w:ascii="Arial" w:hAnsi="Arial" w:cs="Arial"/>
          <w:sz w:val="24"/>
          <w:szCs w:val="24"/>
        </w:rPr>
        <w:t xml:space="preserve">the ERDF funding attributed to the North West Evergreen Fund, an urban development </w:t>
      </w:r>
      <w:r w:rsidRPr="007C5045">
        <w:rPr>
          <w:rFonts w:ascii="Arial" w:hAnsi="Arial" w:cs="Arial"/>
          <w:sz w:val="24"/>
          <w:szCs w:val="24"/>
        </w:rPr>
        <w:t>fund established under the 2007-13 European Operational Programme. NWEH received over £60m of funding from ERDF and matched funding sources and invest</w:t>
      </w:r>
      <w:r>
        <w:rPr>
          <w:rFonts w:ascii="Arial" w:hAnsi="Arial" w:cs="Arial"/>
          <w:sz w:val="24"/>
          <w:szCs w:val="24"/>
        </w:rPr>
        <w:t>s</w:t>
      </w:r>
      <w:r w:rsidRPr="007C5045">
        <w:rPr>
          <w:rFonts w:ascii="Arial" w:hAnsi="Arial" w:cs="Arial"/>
          <w:sz w:val="24"/>
          <w:szCs w:val="24"/>
        </w:rPr>
        <w:t xml:space="preserve"> </w:t>
      </w:r>
      <w:r>
        <w:rPr>
          <w:rFonts w:ascii="Arial" w:hAnsi="Arial" w:cs="Arial"/>
          <w:sz w:val="24"/>
          <w:szCs w:val="24"/>
        </w:rPr>
        <w:t xml:space="preserve">via its </w:t>
      </w:r>
      <w:r w:rsidRPr="007C5045">
        <w:rPr>
          <w:rFonts w:ascii="Arial" w:hAnsi="Arial" w:cs="Arial"/>
          <w:sz w:val="24"/>
          <w:szCs w:val="24"/>
        </w:rPr>
        <w:t>sub</w:t>
      </w:r>
      <w:r>
        <w:rPr>
          <w:rFonts w:ascii="Arial" w:hAnsi="Arial" w:cs="Arial"/>
          <w:sz w:val="24"/>
          <w:szCs w:val="24"/>
        </w:rPr>
        <w:t>-</w:t>
      </w:r>
      <w:r w:rsidRPr="007C5045">
        <w:rPr>
          <w:rFonts w:ascii="Arial" w:hAnsi="Arial" w:cs="Arial"/>
          <w:sz w:val="24"/>
          <w:szCs w:val="24"/>
        </w:rPr>
        <w:t xml:space="preserve">fund </w:t>
      </w:r>
      <w:r>
        <w:rPr>
          <w:rFonts w:ascii="Arial" w:hAnsi="Arial" w:cs="Arial"/>
          <w:sz w:val="24"/>
          <w:szCs w:val="24"/>
        </w:rPr>
        <w:t xml:space="preserve">in commercial development projects in the North West of England. </w:t>
      </w:r>
      <w:r w:rsidRPr="0007572B">
        <w:rPr>
          <w:rFonts w:ascii="Arial" w:hAnsi="Arial" w:cs="Arial"/>
          <w:b/>
          <w:sz w:val="24"/>
          <w:szCs w:val="24"/>
        </w:rPr>
        <w:t>NWEH will continue to be included</w:t>
      </w:r>
      <w:r w:rsidRPr="0007572B">
        <w:rPr>
          <w:rFonts w:ascii="Arial" w:hAnsi="Arial" w:cs="Arial"/>
          <w:sz w:val="24"/>
          <w:szCs w:val="24"/>
        </w:rPr>
        <w:t xml:space="preserve"> in the Authority’s group accounts.</w:t>
      </w:r>
    </w:p>
    <w:p w14:paraId="1D1FFDC5" w14:textId="77777777" w:rsidR="00655E4C" w:rsidRPr="0007572B" w:rsidRDefault="00655E4C" w:rsidP="00655E4C">
      <w:pPr>
        <w:pStyle w:val="Normal0"/>
        <w:autoSpaceDE w:val="0"/>
        <w:autoSpaceDN w:val="0"/>
        <w:adjustRightInd w:val="0"/>
        <w:spacing w:line="240" w:lineRule="auto"/>
        <w:rPr>
          <w:rFonts w:ascii="Arial" w:hAnsi="Arial" w:cs="Arial"/>
          <w:sz w:val="24"/>
          <w:szCs w:val="24"/>
        </w:rPr>
      </w:pPr>
    </w:p>
    <w:p w14:paraId="6F5736A5" w14:textId="77777777" w:rsidR="00655E4C" w:rsidRPr="0007572B" w:rsidRDefault="00655E4C" w:rsidP="00655E4C">
      <w:pPr>
        <w:pStyle w:val="Heading4bold"/>
      </w:pPr>
      <w:r w:rsidRPr="0007572B">
        <w:t>NW Fire Control Company</w:t>
      </w:r>
    </w:p>
    <w:p w14:paraId="7FD84E1A" w14:textId="77777777" w:rsidR="00655E4C" w:rsidRPr="0007572B" w:rsidRDefault="00655E4C" w:rsidP="00655E4C">
      <w:pPr>
        <w:pStyle w:val="Normal0"/>
        <w:autoSpaceDE w:val="0"/>
        <w:autoSpaceDN w:val="0"/>
        <w:adjustRightInd w:val="0"/>
        <w:spacing w:line="240" w:lineRule="auto"/>
        <w:rPr>
          <w:rFonts w:ascii="Arial" w:hAnsi="Arial" w:cs="Arial"/>
          <w:sz w:val="24"/>
          <w:szCs w:val="24"/>
        </w:rPr>
      </w:pPr>
      <w:r w:rsidRPr="0007572B">
        <w:rPr>
          <w:rFonts w:ascii="Arial" w:hAnsi="Arial" w:cs="Arial"/>
          <w:sz w:val="24"/>
          <w:szCs w:val="24"/>
        </w:rPr>
        <w:t>The NW Fire Control Limited Company (NWFCC) operates a regional control centre based in Warrington. The company has four equal partners namely: Greater Manchester Combined Authority, Cheshire, Cumbria County Council and Lancashire Fire and Rescue Authorities.</w:t>
      </w:r>
    </w:p>
    <w:p w14:paraId="28392685" w14:textId="77777777" w:rsidR="00655E4C" w:rsidRPr="0007572B" w:rsidRDefault="00655E4C" w:rsidP="00655E4C">
      <w:pPr>
        <w:pStyle w:val="Normal0"/>
        <w:autoSpaceDE w:val="0"/>
        <w:autoSpaceDN w:val="0"/>
        <w:adjustRightInd w:val="0"/>
        <w:spacing w:line="240" w:lineRule="auto"/>
        <w:rPr>
          <w:rFonts w:ascii="Arial" w:hAnsi="Arial" w:cs="Arial"/>
          <w:sz w:val="24"/>
          <w:szCs w:val="24"/>
        </w:rPr>
      </w:pPr>
    </w:p>
    <w:p w14:paraId="33878586" w14:textId="77777777" w:rsidR="00655E4C" w:rsidRPr="0007572B" w:rsidRDefault="00655E4C" w:rsidP="00655E4C">
      <w:pPr>
        <w:pStyle w:val="Normal0"/>
        <w:autoSpaceDE w:val="0"/>
        <w:autoSpaceDN w:val="0"/>
        <w:adjustRightInd w:val="0"/>
        <w:spacing w:line="240" w:lineRule="auto"/>
        <w:rPr>
          <w:rFonts w:ascii="Arial" w:hAnsi="Arial" w:cs="Arial"/>
          <w:sz w:val="24"/>
          <w:szCs w:val="24"/>
        </w:rPr>
      </w:pPr>
      <w:r w:rsidRPr="0007572B">
        <w:rPr>
          <w:rFonts w:ascii="Arial" w:hAnsi="Arial" w:cs="Arial"/>
          <w:sz w:val="24"/>
          <w:szCs w:val="24"/>
        </w:rPr>
        <w:t xml:space="preserve">NWFCC became operational during 2014/15 and it meets with the definition of a joint operation for group accounts purposes. However, on the grounds of immateriality it has been decided that </w:t>
      </w:r>
      <w:r w:rsidRPr="0007572B">
        <w:rPr>
          <w:rFonts w:ascii="Arial" w:hAnsi="Arial" w:cs="Arial"/>
          <w:b/>
          <w:sz w:val="24"/>
          <w:szCs w:val="24"/>
        </w:rPr>
        <w:t>NWFCC will not be included</w:t>
      </w:r>
      <w:r w:rsidRPr="0007572B">
        <w:rPr>
          <w:rFonts w:ascii="Arial" w:hAnsi="Arial" w:cs="Arial"/>
          <w:sz w:val="24"/>
          <w:szCs w:val="24"/>
        </w:rPr>
        <w:t xml:space="preserve"> in the group accounts.</w:t>
      </w:r>
    </w:p>
    <w:p w14:paraId="711A2AE9" w14:textId="77777777" w:rsidR="00655E4C" w:rsidRPr="0007572B" w:rsidRDefault="00655E4C" w:rsidP="00655E4C">
      <w:pPr>
        <w:rPr>
          <w:rFonts w:ascii="Arial" w:eastAsiaTheme="minorHAnsi" w:hAnsi="Arial" w:cs="Arial"/>
          <w:b/>
          <w:lang w:val="en-US"/>
        </w:rPr>
      </w:pPr>
    </w:p>
    <w:p w14:paraId="13ED268E" w14:textId="77777777" w:rsidR="00655E4C" w:rsidRPr="0007572B" w:rsidRDefault="00655E4C" w:rsidP="00655E4C">
      <w:pPr>
        <w:pStyle w:val="Heading4bold"/>
      </w:pPr>
      <w:r w:rsidRPr="0007572B">
        <w:t>Greater Manchester Accessible Transport Limited (GMATL)</w:t>
      </w:r>
    </w:p>
    <w:p w14:paraId="0BECDD72" w14:textId="77777777" w:rsidR="00655E4C" w:rsidRPr="0007572B" w:rsidRDefault="00655E4C" w:rsidP="00655E4C">
      <w:pPr>
        <w:pStyle w:val="Normal0"/>
        <w:autoSpaceDE w:val="0"/>
        <w:autoSpaceDN w:val="0"/>
        <w:adjustRightInd w:val="0"/>
        <w:spacing w:line="240" w:lineRule="auto"/>
        <w:rPr>
          <w:rFonts w:ascii="Arial" w:hAnsi="Arial" w:cs="Arial"/>
          <w:sz w:val="24"/>
          <w:szCs w:val="24"/>
        </w:rPr>
      </w:pPr>
      <w:r w:rsidRPr="0007572B">
        <w:rPr>
          <w:rFonts w:ascii="Arial" w:hAnsi="Arial" w:cs="Arial"/>
          <w:sz w:val="24"/>
          <w:szCs w:val="24"/>
        </w:rPr>
        <w:t xml:space="preserve">GMATL is a private company limited by guarantee without share capital. The Authority is the person with significant control and has previously included GMATL in its group accounts. The balance sheet value is </w:t>
      </w:r>
      <w:r w:rsidRPr="001043ED">
        <w:rPr>
          <w:rFonts w:ascii="Arial" w:hAnsi="Arial" w:cs="Arial"/>
          <w:sz w:val="24"/>
          <w:szCs w:val="24"/>
        </w:rPr>
        <w:t>approximately £2.6m.</w:t>
      </w:r>
      <w:r w:rsidRPr="0007572B">
        <w:rPr>
          <w:rFonts w:ascii="Arial" w:hAnsi="Arial" w:cs="Arial"/>
          <w:sz w:val="24"/>
          <w:szCs w:val="24"/>
        </w:rPr>
        <w:t xml:space="preserve"> On the grounds of immateriality, it has been decided that </w:t>
      </w:r>
      <w:r w:rsidRPr="0007572B">
        <w:rPr>
          <w:rFonts w:ascii="Arial" w:hAnsi="Arial" w:cs="Arial"/>
          <w:b/>
          <w:sz w:val="24"/>
          <w:szCs w:val="24"/>
        </w:rPr>
        <w:t>GMATL will not be included</w:t>
      </w:r>
      <w:r w:rsidRPr="0007572B">
        <w:rPr>
          <w:rFonts w:ascii="Arial" w:hAnsi="Arial" w:cs="Arial"/>
          <w:sz w:val="24"/>
          <w:szCs w:val="24"/>
        </w:rPr>
        <w:t xml:space="preserve"> in the group accounts. </w:t>
      </w:r>
    </w:p>
    <w:p w14:paraId="18F8194F" w14:textId="77777777" w:rsidR="00655E4C" w:rsidRPr="0007572B" w:rsidRDefault="00655E4C" w:rsidP="00655E4C">
      <w:pPr>
        <w:pStyle w:val="BodyText3"/>
        <w:rPr>
          <w:rFonts w:ascii="Arial" w:hAnsi="Arial" w:cs="Arial"/>
          <w:b/>
          <w:sz w:val="24"/>
          <w:szCs w:val="24"/>
        </w:rPr>
      </w:pPr>
    </w:p>
    <w:p w14:paraId="00EFBCB3" w14:textId="77777777" w:rsidR="00655E4C" w:rsidRPr="0007572B" w:rsidRDefault="00655E4C" w:rsidP="00655E4C">
      <w:pPr>
        <w:pStyle w:val="Heading4bold"/>
      </w:pPr>
      <w:r w:rsidRPr="0007572B">
        <w:t>Manchester Investment and Development Agency Service (MIDAS)</w:t>
      </w:r>
    </w:p>
    <w:p w14:paraId="0826E012" w14:textId="77777777" w:rsidR="00655E4C" w:rsidRPr="0007572B" w:rsidRDefault="00655E4C" w:rsidP="00655E4C">
      <w:pPr>
        <w:pStyle w:val="BodyText3"/>
        <w:spacing w:after="0"/>
        <w:rPr>
          <w:rFonts w:ascii="Arial" w:hAnsi="Arial" w:cs="Arial"/>
          <w:sz w:val="24"/>
          <w:szCs w:val="24"/>
        </w:rPr>
      </w:pPr>
      <w:r w:rsidRPr="0007572B">
        <w:rPr>
          <w:rFonts w:ascii="Arial" w:hAnsi="Arial" w:cs="Arial"/>
          <w:sz w:val="24"/>
          <w:szCs w:val="24"/>
        </w:rPr>
        <w:t xml:space="preserve">MIDAS is a private company limited by guarantee without share capital. The Authority is the person with significant control and has previously included MIDAS in its group accounts. The balance sheet value is approximately </w:t>
      </w:r>
      <w:r w:rsidRPr="001043ED">
        <w:rPr>
          <w:rFonts w:ascii="Arial" w:hAnsi="Arial" w:cs="Arial"/>
          <w:sz w:val="24"/>
          <w:szCs w:val="24"/>
        </w:rPr>
        <w:t>£3.3m.</w:t>
      </w:r>
      <w:r w:rsidRPr="0007572B">
        <w:rPr>
          <w:rFonts w:ascii="Arial" w:hAnsi="Arial" w:cs="Arial"/>
          <w:sz w:val="24"/>
          <w:szCs w:val="24"/>
        </w:rPr>
        <w:t xml:space="preserve"> On the grounds of immateriality, it has been decided that </w:t>
      </w:r>
      <w:r w:rsidRPr="0007572B">
        <w:rPr>
          <w:rFonts w:ascii="Arial" w:hAnsi="Arial" w:cs="Arial"/>
          <w:b/>
          <w:sz w:val="24"/>
          <w:szCs w:val="24"/>
        </w:rPr>
        <w:t xml:space="preserve">MIDAS will not be included </w:t>
      </w:r>
      <w:r w:rsidRPr="0007572B">
        <w:rPr>
          <w:rFonts w:ascii="Arial" w:hAnsi="Arial" w:cs="Arial"/>
          <w:sz w:val="24"/>
          <w:szCs w:val="24"/>
        </w:rPr>
        <w:t xml:space="preserve">in the group accounts. </w:t>
      </w:r>
    </w:p>
    <w:p w14:paraId="566EB921" w14:textId="77777777" w:rsidR="00655E4C" w:rsidRPr="0007572B" w:rsidRDefault="00655E4C" w:rsidP="00655E4C">
      <w:pPr>
        <w:pStyle w:val="BodyText3"/>
        <w:spacing w:after="0"/>
        <w:rPr>
          <w:rFonts w:ascii="Arial" w:hAnsi="Arial" w:cs="Arial"/>
          <w:sz w:val="24"/>
          <w:szCs w:val="24"/>
        </w:rPr>
      </w:pPr>
    </w:p>
    <w:p w14:paraId="70C0FADE" w14:textId="77777777" w:rsidR="00655E4C" w:rsidRPr="0007572B" w:rsidRDefault="00655E4C" w:rsidP="00655E4C">
      <w:pPr>
        <w:pStyle w:val="Heading4bold"/>
      </w:pPr>
      <w:r w:rsidRPr="0007572B">
        <w:t xml:space="preserve">HIVE Homes </w:t>
      </w:r>
    </w:p>
    <w:p w14:paraId="366510EF" w14:textId="77777777" w:rsidR="00655E4C" w:rsidRPr="0007572B" w:rsidRDefault="00655E4C" w:rsidP="00655E4C">
      <w:pPr>
        <w:pStyle w:val="BodyText3"/>
        <w:rPr>
          <w:rFonts w:ascii="Arial" w:hAnsi="Arial" w:cs="Arial"/>
          <w:sz w:val="24"/>
          <w:szCs w:val="24"/>
        </w:rPr>
      </w:pPr>
      <w:r w:rsidRPr="0007572B">
        <w:rPr>
          <w:rFonts w:ascii="Arial" w:hAnsi="Arial" w:cs="Arial"/>
          <w:sz w:val="24"/>
          <w:szCs w:val="24"/>
        </w:rPr>
        <w:t xml:space="preserve">HIVE Homes is a joint venture with 10 Registered Housing providers and has been incorporated to acquire sites in Greater Manchester and then develop them for sale as residential use. From March 2019 </w:t>
      </w:r>
      <w:r w:rsidRPr="006F573A">
        <w:rPr>
          <w:rFonts w:ascii="Arial" w:hAnsi="Arial" w:cs="Arial"/>
          <w:sz w:val="24"/>
          <w:szCs w:val="24"/>
        </w:rPr>
        <w:t>the Authority has a 20% share</w:t>
      </w:r>
      <w:r w:rsidRPr="0007572B">
        <w:rPr>
          <w:rFonts w:ascii="Arial" w:hAnsi="Arial" w:cs="Arial"/>
          <w:sz w:val="24"/>
          <w:szCs w:val="24"/>
        </w:rPr>
        <w:t xml:space="preserve"> within the company, </w:t>
      </w:r>
      <w:r>
        <w:rPr>
          <w:rFonts w:ascii="Arial" w:hAnsi="Arial" w:cs="Arial"/>
          <w:sz w:val="24"/>
          <w:szCs w:val="24"/>
        </w:rPr>
        <w:t>and</w:t>
      </w:r>
      <w:r w:rsidRPr="00E77DF4">
        <w:rPr>
          <w:rFonts w:ascii="Arial" w:hAnsi="Arial" w:cs="Arial"/>
          <w:sz w:val="24"/>
          <w:szCs w:val="24"/>
        </w:rPr>
        <w:t xml:space="preserve"> £2m has been invested</w:t>
      </w:r>
      <w:r>
        <w:rPr>
          <w:rFonts w:ascii="Arial" w:hAnsi="Arial" w:cs="Arial"/>
          <w:sz w:val="24"/>
          <w:szCs w:val="24"/>
        </w:rPr>
        <w:t xml:space="preserve"> to date</w:t>
      </w:r>
      <w:r w:rsidRPr="00E77DF4">
        <w:rPr>
          <w:rFonts w:ascii="Arial" w:hAnsi="Arial" w:cs="Arial"/>
          <w:sz w:val="24"/>
          <w:szCs w:val="24"/>
        </w:rPr>
        <w:t>.</w:t>
      </w:r>
      <w:r w:rsidRPr="0007572B">
        <w:rPr>
          <w:rFonts w:ascii="Arial" w:hAnsi="Arial" w:cs="Arial"/>
          <w:sz w:val="24"/>
          <w:szCs w:val="24"/>
        </w:rPr>
        <w:t xml:space="preserve"> On the grounds of immateriality, it has been decided that </w:t>
      </w:r>
      <w:r w:rsidRPr="0007572B">
        <w:rPr>
          <w:rFonts w:ascii="Arial" w:hAnsi="Arial" w:cs="Arial"/>
          <w:b/>
          <w:sz w:val="24"/>
          <w:szCs w:val="24"/>
        </w:rPr>
        <w:t>HIVE Homes will not be included</w:t>
      </w:r>
      <w:r w:rsidRPr="0007572B">
        <w:rPr>
          <w:rFonts w:ascii="Arial" w:hAnsi="Arial" w:cs="Arial"/>
          <w:sz w:val="24"/>
          <w:szCs w:val="24"/>
        </w:rPr>
        <w:t xml:space="preserve"> in the group accounts.</w:t>
      </w:r>
    </w:p>
    <w:p w14:paraId="0346D0C4" w14:textId="77777777" w:rsidR="00F8422C" w:rsidRPr="0007572B" w:rsidRDefault="00F8422C" w:rsidP="0038082E">
      <w:pPr>
        <w:spacing w:after="120"/>
        <w:jc w:val="both"/>
        <w:rPr>
          <w:rFonts w:ascii="Arial" w:hAnsi="Arial" w:cs="Arial"/>
          <w:color w:val="000000"/>
          <w:sz w:val="22"/>
          <w:szCs w:val="22"/>
          <w:lang w:val="en-US"/>
        </w:rPr>
      </w:pPr>
    </w:p>
    <w:p w14:paraId="5C5DCFF7" w14:textId="77777777" w:rsidR="00AF0D29" w:rsidRDefault="00AF0D29">
      <w:pPr>
        <w:rPr>
          <w:rFonts w:ascii="Arial" w:eastAsia="Palatino Linotype" w:hAnsi="Arial" w:cs="Arial"/>
          <w:b/>
          <w:bCs/>
          <w:szCs w:val="28"/>
          <w:lang w:val="en-US"/>
        </w:rPr>
      </w:pPr>
      <w:bookmarkStart w:id="86" w:name="_Toc92894874"/>
      <w:bookmarkStart w:id="87" w:name="_Toc92895178"/>
      <w:r>
        <w:br w:type="page"/>
      </w:r>
    </w:p>
    <w:p w14:paraId="4EC3908C" w14:textId="0C3246B3" w:rsidR="00317E52" w:rsidRPr="000A0695" w:rsidRDefault="00317E52" w:rsidP="0038082E">
      <w:pPr>
        <w:pStyle w:val="Heading3greennumbered"/>
      </w:pPr>
      <w:bookmarkStart w:id="88" w:name="_Toc109922612"/>
      <w:r w:rsidRPr="000A0695">
        <w:lastRenderedPageBreak/>
        <w:t>3 Key Sources of Estimation and</w:t>
      </w:r>
      <w:r w:rsidRPr="000A0695">
        <w:rPr>
          <w:spacing w:val="-5"/>
        </w:rPr>
        <w:t xml:space="preserve"> </w:t>
      </w:r>
      <w:r w:rsidRPr="000A0695">
        <w:t>Uncertainty</w:t>
      </w:r>
      <w:bookmarkEnd w:id="86"/>
      <w:bookmarkEnd w:id="87"/>
      <w:bookmarkEnd w:id="88"/>
    </w:p>
    <w:p w14:paraId="3F8D1E2F" w14:textId="77777777" w:rsidR="00986BB0" w:rsidRPr="0007572B" w:rsidRDefault="00986BB0" w:rsidP="0038082E">
      <w:pPr>
        <w:autoSpaceDE w:val="0"/>
        <w:autoSpaceDN w:val="0"/>
        <w:adjustRightInd w:val="0"/>
        <w:jc w:val="both"/>
        <w:rPr>
          <w:rFonts w:ascii="Arial" w:hAnsi="Arial" w:cs="Arial"/>
          <w:color w:val="000000"/>
          <w:lang w:val="en-US"/>
        </w:rPr>
      </w:pPr>
    </w:p>
    <w:p w14:paraId="23CBBAF5" w14:textId="77777777" w:rsidR="009F03CF" w:rsidRPr="0007572B" w:rsidRDefault="002D2F17" w:rsidP="0038082E">
      <w:pPr>
        <w:pStyle w:val="Normal0"/>
        <w:spacing w:line="240" w:lineRule="auto"/>
        <w:rPr>
          <w:rFonts w:ascii="Arial" w:hAnsi="Arial" w:cs="Arial"/>
          <w:b/>
          <w:sz w:val="24"/>
          <w:szCs w:val="24"/>
        </w:rPr>
      </w:pPr>
      <w:r w:rsidRPr="0007572B">
        <w:rPr>
          <w:rFonts w:ascii="Arial" w:eastAsia="Arial" w:hAnsi="Arial" w:cs="Arial"/>
          <w:sz w:val="24"/>
          <w:szCs w:val="24"/>
          <w:lang w:val="en-GB" w:eastAsia="en-GB"/>
        </w:rPr>
        <w:t>In preparing the annual A</w:t>
      </w:r>
      <w:r w:rsidR="009F03CF" w:rsidRPr="0007572B">
        <w:rPr>
          <w:rFonts w:ascii="Arial" w:eastAsia="Arial" w:hAnsi="Arial" w:cs="Arial"/>
          <w:sz w:val="24"/>
          <w:szCs w:val="24"/>
          <w:lang w:val="en-GB" w:eastAsia="en-GB"/>
        </w:rPr>
        <w:t>ccounts there are areas where estimates are made. These include:</w:t>
      </w:r>
    </w:p>
    <w:p w14:paraId="59D0003A" w14:textId="77777777" w:rsidR="009F03CF" w:rsidRPr="0007572B" w:rsidRDefault="009F03CF" w:rsidP="0038082E">
      <w:pPr>
        <w:pStyle w:val="ListParagraph"/>
        <w:spacing w:line="240" w:lineRule="auto"/>
        <w:ind w:left="709"/>
        <w:rPr>
          <w:rFonts w:ascii="Arial" w:eastAsia="Arial" w:hAnsi="Arial" w:cs="Arial"/>
          <w:sz w:val="24"/>
          <w:szCs w:val="24"/>
        </w:rPr>
      </w:pPr>
    </w:p>
    <w:p w14:paraId="56F837FC" w14:textId="3454338B" w:rsidR="004D1A81" w:rsidRPr="004D1A81" w:rsidRDefault="004D1A81" w:rsidP="0038082E">
      <w:pPr>
        <w:pStyle w:val="Heading4bold"/>
        <w:rPr>
          <w:rFonts w:eastAsia="Arial"/>
        </w:rPr>
      </w:pPr>
      <w:r>
        <w:rPr>
          <w:rFonts w:eastAsia="Arial"/>
        </w:rPr>
        <w:t>3.1</w:t>
      </w:r>
      <w:r>
        <w:rPr>
          <w:rFonts w:eastAsia="Arial"/>
        </w:rPr>
        <w:tab/>
      </w:r>
      <w:bookmarkStart w:id="89" w:name="_Hlk109141531"/>
      <w:r>
        <w:rPr>
          <w:rFonts w:eastAsia="Arial"/>
        </w:rPr>
        <w:t>V</w:t>
      </w:r>
      <w:r w:rsidR="009F03CF" w:rsidRPr="004D1A81">
        <w:rPr>
          <w:rFonts w:eastAsia="Arial"/>
        </w:rPr>
        <w:t>aluation of investments</w:t>
      </w:r>
    </w:p>
    <w:p w14:paraId="7556E5DC" w14:textId="3977EEDF" w:rsidR="00615FB7" w:rsidRPr="00615FB7" w:rsidRDefault="004D1A81" w:rsidP="0038082E">
      <w:pPr>
        <w:pStyle w:val="ListParagraph"/>
        <w:spacing w:after="5" w:line="240" w:lineRule="auto"/>
        <w:rPr>
          <w:rFonts w:ascii="Arial" w:eastAsia="Arial" w:hAnsi="Arial" w:cs="Arial"/>
          <w:sz w:val="24"/>
          <w:szCs w:val="24"/>
        </w:rPr>
      </w:pPr>
      <w:r w:rsidRPr="00615FB7">
        <w:rPr>
          <w:rFonts w:ascii="Arial" w:eastAsia="Arial" w:hAnsi="Arial" w:cs="Arial"/>
          <w:sz w:val="24"/>
          <w:szCs w:val="24"/>
        </w:rPr>
        <w:t xml:space="preserve">The authority keeps its long term investments under review and recognises impairment losses as appropriate. In </w:t>
      </w:r>
      <w:r w:rsidR="00863EF6" w:rsidRPr="00615FB7">
        <w:rPr>
          <w:rFonts w:ascii="Arial" w:eastAsia="Arial" w:hAnsi="Arial" w:cs="Arial"/>
          <w:sz w:val="24"/>
          <w:szCs w:val="24"/>
        </w:rPr>
        <w:t>2021/22</w:t>
      </w:r>
      <w:r w:rsidRPr="00615FB7">
        <w:rPr>
          <w:rFonts w:ascii="Arial" w:eastAsia="Arial" w:hAnsi="Arial" w:cs="Arial"/>
          <w:sz w:val="24"/>
          <w:szCs w:val="24"/>
        </w:rPr>
        <w:t xml:space="preserve"> the Authority recognised impairment losses of £0</w:t>
      </w:r>
      <w:r w:rsidR="00615FB7" w:rsidRPr="00615FB7">
        <w:rPr>
          <w:rFonts w:ascii="Arial" w:eastAsia="Arial" w:hAnsi="Arial" w:cs="Arial"/>
          <w:sz w:val="24"/>
          <w:szCs w:val="24"/>
        </w:rPr>
        <w:t>.065</w:t>
      </w:r>
      <w:r w:rsidRPr="00615FB7">
        <w:rPr>
          <w:rFonts w:ascii="Arial" w:eastAsia="Arial" w:hAnsi="Arial" w:cs="Arial"/>
          <w:sz w:val="24"/>
          <w:szCs w:val="24"/>
        </w:rPr>
        <w:t xml:space="preserve">m </w:t>
      </w:r>
      <w:r w:rsidR="00615FB7" w:rsidRPr="00615FB7">
        <w:rPr>
          <w:rFonts w:ascii="Arial" w:eastAsia="Arial" w:hAnsi="Arial" w:cs="Arial"/>
          <w:sz w:val="24"/>
          <w:szCs w:val="24"/>
        </w:rPr>
        <w:t>across the investment portfolio</w:t>
      </w:r>
      <w:r w:rsidRPr="00615FB7">
        <w:rPr>
          <w:rFonts w:ascii="Arial" w:eastAsia="Arial" w:hAnsi="Arial" w:cs="Arial"/>
          <w:sz w:val="24"/>
          <w:szCs w:val="24"/>
        </w:rPr>
        <w:t>. One investment</w:t>
      </w:r>
      <w:r w:rsidR="00615FB7" w:rsidRPr="00615FB7">
        <w:rPr>
          <w:rFonts w:ascii="Arial" w:eastAsia="Arial" w:hAnsi="Arial" w:cs="Arial"/>
          <w:sz w:val="24"/>
          <w:szCs w:val="24"/>
        </w:rPr>
        <w:t xml:space="preserve"> has resulted in a realised impairment loss in the year (£0.546m), and four investments have had prior year impairment provisions reversed (£1.323m) to reflect revised forecasts and the expectation of positive investment returns.</w:t>
      </w:r>
    </w:p>
    <w:p w14:paraId="624C2AA2" w14:textId="77777777" w:rsidR="00615FB7" w:rsidRDefault="00615FB7" w:rsidP="0038082E">
      <w:pPr>
        <w:pStyle w:val="ListParagraph"/>
        <w:spacing w:after="5" w:line="240" w:lineRule="auto"/>
        <w:rPr>
          <w:rFonts w:ascii="Arial" w:eastAsia="Arial" w:hAnsi="Arial" w:cs="Arial"/>
          <w:sz w:val="24"/>
          <w:szCs w:val="24"/>
          <w:highlight w:val="yellow"/>
        </w:rPr>
      </w:pPr>
    </w:p>
    <w:bookmarkEnd w:id="89"/>
    <w:p w14:paraId="4C58AB73" w14:textId="32DBCB19" w:rsidR="00615FB7" w:rsidRDefault="00615FB7" w:rsidP="00615FB7">
      <w:pPr>
        <w:pStyle w:val="ListParagraph"/>
        <w:spacing w:after="5" w:line="240" w:lineRule="auto"/>
        <w:rPr>
          <w:rFonts w:ascii="Arial" w:hAnsi="Arial" w:cs="Arial"/>
          <w:sz w:val="24"/>
          <w:szCs w:val="24"/>
        </w:rPr>
      </w:pPr>
      <w:r>
        <w:rPr>
          <w:rFonts w:ascii="Arial" w:hAnsi="Arial" w:cs="Arial"/>
          <w:sz w:val="24"/>
          <w:szCs w:val="24"/>
        </w:rPr>
        <w:t>Five investments have been subject to additional impairment of £1.935m, based on fund valuations and future forecasts which reflect the risk stage of the investments at the 31 March 2022. The year-end carrying amount of these investments was £9.652m. If these investments were impaired by a further 1% the additional charge would be £0.118m.</w:t>
      </w:r>
    </w:p>
    <w:p w14:paraId="661790A9" w14:textId="00B62CFA" w:rsidR="004D1A81" w:rsidRDefault="004D1A81" w:rsidP="0038082E">
      <w:pPr>
        <w:pStyle w:val="ListParagraph"/>
        <w:spacing w:after="5" w:line="240" w:lineRule="auto"/>
        <w:rPr>
          <w:rFonts w:ascii="Arial" w:eastAsia="Arial" w:hAnsi="Arial" w:cs="Arial"/>
          <w:sz w:val="24"/>
          <w:szCs w:val="24"/>
        </w:rPr>
      </w:pPr>
    </w:p>
    <w:p w14:paraId="36202912" w14:textId="50B59635" w:rsidR="004D1A81" w:rsidRPr="00F722ED" w:rsidRDefault="004D1A81" w:rsidP="0038082E">
      <w:pPr>
        <w:pStyle w:val="Heading4bold"/>
        <w:rPr>
          <w:rFonts w:eastAsia="Arial"/>
        </w:rPr>
      </w:pPr>
      <w:r>
        <w:rPr>
          <w:rFonts w:eastAsia="Arial"/>
        </w:rPr>
        <w:t>3.2</w:t>
      </w:r>
      <w:bookmarkStart w:id="90" w:name="_Hlk109141825"/>
      <w:r>
        <w:rPr>
          <w:rFonts w:eastAsia="Arial"/>
        </w:rPr>
        <w:tab/>
      </w:r>
      <w:bookmarkStart w:id="91" w:name="_Hlk109202798"/>
      <w:r w:rsidRPr="00F722ED">
        <w:rPr>
          <w:rFonts w:eastAsia="Arial"/>
        </w:rPr>
        <w:t>Useful life of building assets</w:t>
      </w:r>
    </w:p>
    <w:p w14:paraId="64B29329" w14:textId="6D35ACC7" w:rsidR="009F2EA3" w:rsidRDefault="004D1A81" w:rsidP="0038082E">
      <w:pPr>
        <w:ind w:left="709" w:hanging="709"/>
        <w:rPr>
          <w:rFonts w:ascii="Arial" w:eastAsia="Arial" w:hAnsi="Arial" w:cs="Arial"/>
          <w:lang w:eastAsia="en-GB"/>
        </w:rPr>
      </w:pPr>
      <w:r w:rsidRPr="00F722ED">
        <w:rPr>
          <w:rFonts w:eastAsia="Arial"/>
        </w:rPr>
        <w:tab/>
      </w:r>
      <w:r w:rsidRPr="00F722ED">
        <w:rPr>
          <w:rFonts w:ascii="Arial" w:eastAsia="Arial" w:hAnsi="Arial" w:cs="Arial"/>
          <w:lang w:eastAsia="en-GB"/>
        </w:rPr>
        <w:t xml:space="preserve">If the useful life of an asset is reduced, depreciation increases and the carrying amount of the asset falls. The depreciation charge for buildings in </w:t>
      </w:r>
      <w:r w:rsidR="00863EF6" w:rsidRPr="00F722ED">
        <w:rPr>
          <w:rFonts w:ascii="Arial" w:eastAsia="Arial" w:hAnsi="Arial" w:cs="Arial"/>
          <w:lang w:eastAsia="en-GB"/>
        </w:rPr>
        <w:t>2021/22</w:t>
      </w:r>
      <w:r w:rsidRPr="00F722ED">
        <w:rPr>
          <w:rFonts w:ascii="Arial" w:eastAsia="Arial" w:hAnsi="Arial" w:cs="Arial"/>
          <w:lang w:eastAsia="en-GB"/>
        </w:rPr>
        <w:t xml:space="preserve"> was £1</w:t>
      </w:r>
      <w:r w:rsidR="00F722ED" w:rsidRPr="00F722ED">
        <w:rPr>
          <w:rFonts w:ascii="Arial" w:eastAsia="Arial" w:hAnsi="Arial" w:cs="Arial"/>
          <w:lang w:eastAsia="en-GB"/>
        </w:rPr>
        <w:t>4</w:t>
      </w:r>
      <w:r w:rsidRPr="00F722ED">
        <w:rPr>
          <w:rFonts w:ascii="Arial" w:eastAsia="Arial" w:hAnsi="Arial" w:cs="Arial"/>
          <w:lang w:eastAsia="en-GB"/>
        </w:rPr>
        <w:t>.</w:t>
      </w:r>
      <w:r w:rsidR="00F722ED" w:rsidRPr="00F722ED">
        <w:rPr>
          <w:rFonts w:ascii="Arial" w:eastAsia="Arial" w:hAnsi="Arial" w:cs="Arial"/>
          <w:lang w:eastAsia="en-GB"/>
        </w:rPr>
        <w:t>6</w:t>
      </w:r>
      <w:r w:rsidRPr="00F722ED">
        <w:rPr>
          <w:rFonts w:ascii="Arial" w:eastAsia="Arial" w:hAnsi="Arial" w:cs="Arial"/>
          <w:lang w:eastAsia="en-GB"/>
        </w:rPr>
        <w:t xml:space="preserve">m. </w:t>
      </w:r>
      <w:r w:rsidR="009F2EA3" w:rsidRPr="00F722ED">
        <w:rPr>
          <w:rFonts w:ascii="Arial" w:eastAsia="Arial" w:hAnsi="Arial" w:cs="Arial"/>
          <w:lang w:eastAsia="en-GB"/>
        </w:rPr>
        <w:t>It is estimated that the annual depreciation charge would increase by £</w:t>
      </w:r>
      <w:r w:rsidR="00A013EE">
        <w:rPr>
          <w:rFonts w:ascii="Arial" w:eastAsia="Arial" w:hAnsi="Arial" w:cs="Arial"/>
          <w:lang w:eastAsia="en-GB"/>
        </w:rPr>
        <w:t>0.7</w:t>
      </w:r>
      <w:r w:rsidR="009F2EA3" w:rsidRPr="00F722ED">
        <w:rPr>
          <w:rFonts w:ascii="Arial" w:eastAsia="Arial" w:hAnsi="Arial" w:cs="Arial"/>
          <w:lang w:eastAsia="en-GB"/>
        </w:rPr>
        <w:t>m for e</w:t>
      </w:r>
      <w:r w:rsidR="009B463D" w:rsidRPr="00F722ED">
        <w:rPr>
          <w:rFonts w:ascii="Arial" w:eastAsia="Arial" w:hAnsi="Arial" w:cs="Arial"/>
          <w:lang w:eastAsia="en-GB"/>
        </w:rPr>
        <w:t>ach</w:t>
      </w:r>
      <w:r w:rsidR="009F2EA3" w:rsidRPr="00F722ED">
        <w:rPr>
          <w:rFonts w:ascii="Arial" w:eastAsia="Arial" w:hAnsi="Arial" w:cs="Arial"/>
          <w:lang w:eastAsia="en-GB"/>
        </w:rPr>
        <w:t xml:space="preserve"> year the useful lives are reduced.</w:t>
      </w:r>
    </w:p>
    <w:bookmarkEnd w:id="90"/>
    <w:bookmarkEnd w:id="91"/>
    <w:p w14:paraId="22D0BD2F" w14:textId="77777777" w:rsidR="004D1A81" w:rsidRPr="0007572B" w:rsidRDefault="004D1A81" w:rsidP="0038082E">
      <w:pPr>
        <w:pStyle w:val="ListParagraph"/>
        <w:spacing w:after="5" w:line="240" w:lineRule="auto"/>
        <w:rPr>
          <w:rFonts w:ascii="Arial" w:eastAsia="Arial" w:hAnsi="Arial" w:cs="Arial"/>
          <w:sz w:val="24"/>
          <w:szCs w:val="24"/>
        </w:rPr>
      </w:pPr>
    </w:p>
    <w:p w14:paraId="16C5EC25" w14:textId="76823685" w:rsidR="009F03CF" w:rsidRPr="00093337" w:rsidRDefault="004D1A81" w:rsidP="0038082E">
      <w:pPr>
        <w:pStyle w:val="Heading4bold"/>
        <w:ind w:left="709" w:hanging="709"/>
        <w:rPr>
          <w:rFonts w:eastAsia="Arial"/>
        </w:rPr>
      </w:pPr>
      <w:r w:rsidRPr="00093337">
        <w:rPr>
          <w:rFonts w:eastAsia="Arial"/>
        </w:rPr>
        <w:t>3.3</w:t>
      </w:r>
      <w:r w:rsidRPr="00093337">
        <w:rPr>
          <w:rFonts w:eastAsia="Arial"/>
        </w:rPr>
        <w:tab/>
        <w:t>P</w:t>
      </w:r>
      <w:r w:rsidR="009F03CF" w:rsidRPr="00093337">
        <w:rPr>
          <w:rFonts w:eastAsia="Arial"/>
        </w:rPr>
        <w:t>rovisions for known compensation claims which are estimated based on experience of similar claims</w:t>
      </w:r>
    </w:p>
    <w:p w14:paraId="7C7272F7" w14:textId="021E6CF7" w:rsidR="004D1A81" w:rsidRDefault="004D1A81" w:rsidP="0038082E">
      <w:pPr>
        <w:spacing w:after="5"/>
        <w:ind w:left="709"/>
        <w:rPr>
          <w:rFonts w:ascii="Arial" w:eastAsia="Arial" w:hAnsi="Arial"/>
        </w:rPr>
      </w:pPr>
      <w:r w:rsidRPr="00C8634E">
        <w:rPr>
          <w:rFonts w:ascii="Arial" w:eastAsia="Arial" w:hAnsi="Arial"/>
        </w:rPr>
        <w:t>The value of known compensation claims at 31 March 202</w:t>
      </w:r>
      <w:r w:rsidR="007575E1" w:rsidRPr="00C8634E">
        <w:rPr>
          <w:rFonts w:ascii="Arial" w:eastAsia="Arial" w:hAnsi="Arial"/>
        </w:rPr>
        <w:t>2</w:t>
      </w:r>
      <w:r w:rsidRPr="00C8634E">
        <w:rPr>
          <w:rFonts w:ascii="Arial" w:eastAsia="Arial" w:hAnsi="Arial"/>
        </w:rPr>
        <w:t xml:space="preserve"> was £1</w:t>
      </w:r>
      <w:r w:rsidR="00DC58DC" w:rsidRPr="00C8634E">
        <w:rPr>
          <w:rFonts w:ascii="Arial" w:eastAsia="Arial" w:hAnsi="Arial"/>
        </w:rPr>
        <w:t>9</w:t>
      </w:r>
      <w:r w:rsidRPr="00C8634E">
        <w:rPr>
          <w:rFonts w:ascii="Arial" w:eastAsia="Arial" w:hAnsi="Arial"/>
        </w:rPr>
        <w:t>.</w:t>
      </w:r>
      <w:r w:rsidR="00DC58DC" w:rsidRPr="00C8634E">
        <w:rPr>
          <w:rFonts w:ascii="Arial" w:eastAsia="Arial" w:hAnsi="Arial"/>
        </w:rPr>
        <w:t>3</w:t>
      </w:r>
      <w:r w:rsidRPr="00C8634E">
        <w:rPr>
          <w:rFonts w:ascii="Arial" w:eastAsia="Arial" w:hAnsi="Arial"/>
        </w:rPr>
        <w:t>m. The</w:t>
      </w:r>
      <w:r w:rsidR="009367E1" w:rsidRPr="00C8634E">
        <w:rPr>
          <w:rFonts w:ascii="Arial" w:eastAsia="Arial" w:hAnsi="Arial"/>
        </w:rPr>
        <w:t xml:space="preserve"> majority of this balance relates to the</w:t>
      </w:r>
      <w:r w:rsidRPr="00C8634E">
        <w:rPr>
          <w:rFonts w:ascii="Arial" w:eastAsia="Arial" w:hAnsi="Arial"/>
        </w:rPr>
        <w:t xml:space="preserve"> police insurance provision </w:t>
      </w:r>
      <w:r w:rsidR="009367E1" w:rsidRPr="00C8634E">
        <w:rPr>
          <w:rFonts w:ascii="Arial" w:eastAsia="Arial" w:hAnsi="Arial"/>
        </w:rPr>
        <w:t>which is</w:t>
      </w:r>
      <w:r w:rsidRPr="00C8634E">
        <w:rPr>
          <w:rFonts w:ascii="Arial" w:eastAsia="Arial" w:hAnsi="Arial"/>
        </w:rPr>
        <w:t xml:space="preserve"> disclosed </w:t>
      </w:r>
      <w:r w:rsidR="009367E1" w:rsidRPr="00C8634E">
        <w:rPr>
          <w:rFonts w:ascii="Arial" w:eastAsia="Arial" w:hAnsi="Arial"/>
        </w:rPr>
        <w:t>in the balance sheet at the pessimistic amount</w:t>
      </w:r>
      <w:r w:rsidR="00A42574" w:rsidRPr="00C8634E">
        <w:rPr>
          <w:rFonts w:ascii="Arial" w:eastAsia="Arial" w:hAnsi="Arial"/>
        </w:rPr>
        <w:t xml:space="preserve"> of £</w:t>
      </w:r>
      <w:r w:rsidR="00DC58DC" w:rsidRPr="00C8634E">
        <w:rPr>
          <w:rFonts w:ascii="Arial" w:eastAsia="Arial" w:hAnsi="Arial"/>
        </w:rPr>
        <w:t>13</w:t>
      </w:r>
      <w:r w:rsidR="00A42574" w:rsidRPr="00C8634E">
        <w:rPr>
          <w:rFonts w:ascii="Arial" w:eastAsia="Arial" w:hAnsi="Arial"/>
        </w:rPr>
        <w:t>.</w:t>
      </w:r>
      <w:r w:rsidR="00DC58DC" w:rsidRPr="00C8634E">
        <w:rPr>
          <w:rFonts w:ascii="Arial" w:eastAsia="Arial" w:hAnsi="Arial"/>
        </w:rPr>
        <w:t>3</w:t>
      </w:r>
      <w:r w:rsidR="00A42574" w:rsidRPr="00C8634E">
        <w:rPr>
          <w:rFonts w:ascii="Arial" w:eastAsia="Arial" w:hAnsi="Arial"/>
        </w:rPr>
        <w:t>m (25%)</w:t>
      </w:r>
      <w:r w:rsidR="009367E1" w:rsidRPr="00C8634E">
        <w:rPr>
          <w:rFonts w:ascii="Arial" w:eastAsia="Arial" w:hAnsi="Arial"/>
        </w:rPr>
        <w:t>.</w:t>
      </w:r>
      <w:r w:rsidR="00A42574" w:rsidRPr="00C8634E">
        <w:rPr>
          <w:rFonts w:ascii="Arial" w:eastAsia="Arial" w:hAnsi="Arial"/>
        </w:rPr>
        <w:t xml:space="preserve"> </w:t>
      </w:r>
    </w:p>
    <w:p w14:paraId="69E29A09" w14:textId="77777777" w:rsidR="00093337" w:rsidRPr="004D1A81" w:rsidRDefault="00093337" w:rsidP="0038082E">
      <w:pPr>
        <w:spacing w:after="5"/>
        <w:ind w:left="709"/>
        <w:rPr>
          <w:rFonts w:ascii="Arial" w:eastAsia="Arial" w:hAnsi="Arial"/>
        </w:rPr>
      </w:pPr>
    </w:p>
    <w:p w14:paraId="4200FC91" w14:textId="1849275A" w:rsidR="009F03CF" w:rsidRPr="00093337" w:rsidRDefault="00093337" w:rsidP="0038082E">
      <w:pPr>
        <w:pStyle w:val="Heading4bold"/>
        <w:ind w:left="709" w:hanging="709"/>
        <w:rPr>
          <w:rFonts w:eastAsia="Arial"/>
        </w:rPr>
      </w:pPr>
      <w:r w:rsidRPr="005403AF">
        <w:rPr>
          <w:rFonts w:eastAsia="Arial"/>
        </w:rPr>
        <w:t>3.4</w:t>
      </w:r>
      <w:r w:rsidRPr="005403AF">
        <w:rPr>
          <w:rFonts w:eastAsia="Arial"/>
        </w:rPr>
        <w:tab/>
        <w:t>T</w:t>
      </w:r>
      <w:r w:rsidR="009F03CF" w:rsidRPr="005403AF">
        <w:rPr>
          <w:rFonts w:eastAsia="Arial"/>
        </w:rPr>
        <w:t>he amount of arrears that will not be collected which are estimated based</w:t>
      </w:r>
      <w:r w:rsidR="009F03CF" w:rsidRPr="00093337">
        <w:rPr>
          <w:rFonts w:eastAsia="Arial"/>
        </w:rPr>
        <w:t xml:space="preserve"> on </w:t>
      </w:r>
      <w:r w:rsidR="009E6023" w:rsidRPr="00093337">
        <w:rPr>
          <w:rFonts w:eastAsia="Arial"/>
        </w:rPr>
        <w:t>the credit loss model</w:t>
      </w:r>
    </w:p>
    <w:p w14:paraId="59A0A6E9" w14:textId="45D1111D" w:rsidR="00093337" w:rsidRDefault="00555E68" w:rsidP="0038082E">
      <w:pPr>
        <w:spacing w:after="5"/>
        <w:ind w:left="709"/>
        <w:rPr>
          <w:rFonts w:ascii="Arial" w:eastAsia="Arial" w:hAnsi="Arial" w:cs="Arial"/>
        </w:rPr>
      </w:pPr>
      <w:r>
        <w:rPr>
          <w:rFonts w:ascii="Arial" w:eastAsia="Arial" w:hAnsi="Arial" w:cs="Arial"/>
        </w:rPr>
        <w:t>The debtors impaired u</w:t>
      </w:r>
      <w:r w:rsidRPr="00982B95">
        <w:rPr>
          <w:rFonts w:ascii="Arial" w:eastAsia="Arial" w:hAnsi="Arial" w:cs="Arial"/>
        </w:rPr>
        <w:t>nder IFRS 9 (Financial Instruments) relating to principal and interest total £</w:t>
      </w:r>
      <w:r w:rsidR="00367C72" w:rsidRPr="00982B95">
        <w:rPr>
          <w:rFonts w:ascii="Arial" w:eastAsia="Arial" w:hAnsi="Arial" w:cs="Arial"/>
        </w:rPr>
        <w:t>9.5</w:t>
      </w:r>
      <w:r w:rsidRPr="00982B95">
        <w:rPr>
          <w:rFonts w:ascii="Arial" w:eastAsia="Arial" w:hAnsi="Arial" w:cs="Arial"/>
        </w:rPr>
        <w:t>m. If these were impaired by a further 1% the additional charge would by £</w:t>
      </w:r>
      <w:r w:rsidR="00367C72" w:rsidRPr="00982B95">
        <w:rPr>
          <w:rFonts w:ascii="Arial" w:eastAsia="Arial" w:hAnsi="Arial" w:cs="Arial"/>
        </w:rPr>
        <w:t>0.</w:t>
      </w:r>
      <w:r w:rsidR="00982B95" w:rsidRPr="00982B95">
        <w:rPr>
          <w:rFonts w:ascii="Arial" w:eastAsia="Arial" w:hAnsi="Arial" w:cs="Arial"/>
        </w:rPr>
        <w:t>568</w:t>
      </w:r>
      <w:r w:rsidR="00367C72" w:rsidRPr="00982B95">
        <w:rPr>
          <w:rFonts w:ascii="Arial" w:eastAsia="Arial" w:hAnsi="Arial" w:cs="Arial"/>
        </w:rPr>
        <w:t>m</w:t>
      </w:r>
      <w:r w:rsidRPr="00982B95">
        <w:rPr>
          <w:rFonts w:ascii="Arial" w:eastAsia="Arial" w:hAnsi="Arial" w:cs="Arial"/>
        </w:rPr>
        <w:t>.</w:t>
      </w:r>
    </w:p>
    <w:p w14:paraId="41AE3B05" w14:textId="77777777" w:rsidR="00093337" w:rsidRDefault="00093337" w:rsidP="0038082E">
      <w:pPr>
        <w:spacing w:after="5"/>
        <w:ind w:left="709"/>
        <w:rPr>
          <w:rFonts w:ascii="Arial" w:eastAsia="Arial" w:hAnsi="Arial" w:cs="Arial"/>
        </w:rPr>
      </w:pPr>
    </w:p>
    <w:p w14:paraId="3AE61833" w14:textId="0605153A" w:rsidR="000767F9" w:rsidRPr="00093337" w:rsidRDefault="00093337" w:rsidP="0038082E">
      <w:pPr>
        <w:pStyle w:val="Heading4bold"/>
        <w:ind w:left="709" w:hanging="709"/>
        <w:rPr>
          <w:rFonts w:eastAsia="Arial"/>
        </w:rPr>
      </w:pPr>
      <w:r w:rsidRPr="00093337">
        <w:rPr>
          <w:rFonts w:eastAsia="Arial"/>
        </w:rPr>
        <w:t>3.5</w:t>
      </w:r>
      <w:r w:rsidRPr="00093337">
        <w:rPr>
          <w:rFonts w:eastAsia="Arial"/>
        </w:rPr>
        <w:tab/>
      </w:r>
      <w:r>
        <w:rPr>
          <w:rFonts w:eastAsia="Arial"/>
        </w:rPr>
        <w:t>T</w:t>
      </w:r>
      <w:r w:rsidR="009F03CF" w:rsidRPr="00093337">
        <w:rPr>
          <w:rFonts w:eastAsia="Arial"/>
        </w:rPr>
        <w:t>he liability for future pension payments which is estimated by qualified actuaries</w:t>
      </w:r>
    </w:p>
    <w:p w14:paraId="0D723558" w14:textId="3901C059" w:rsidR="006418CF" w:rsidRDefault="00555E68" w:rsidP="0038082E">
      <w:pPr>
        <w:pStyle w:val="ListParagraph"/>
        <w:autoSpaceDE w:val="0"/>
        <w:autoSpaceDN w:val="0"/>
        <w:adjustRightInd w:val="0"/>
        <w:spacing w:line="240" w:lineRule="auto"/>
        <w:rPr>
          <w:rFonts w:ascii="Arial" w:hAnsi="Arial" w:cs="Arial"/>
          <w:color w:val="000000"/>
          <w:sz w:val="24"/>
          <w:szCs w:val="24"/>
          <w:lang w:val="en-US"/>
        </w:rPr>
      </w:pPr>
      <w:r>
        <w:rPr>
          <w:rFonts w:ascii="Arial" w:hAnsi="Arial" w:cs="Arial"/>
          <w:color w:val="000000"/>
          <w:sz w:val="24"/>
          <w:szCs w:val="24"/>
          <w:lang w:val="en-US"/>
        </w:rPr>
        <w:t>This is estimated by the actuary and a sensitivity analysis undertaken by them for the firefighters pension scheme and local government pension scheme can be found in the pensions note 33.</w:t>
      </w:r>
    </w:p>
    <w:p w14:paraId="772A564F" w14:textId="77777777" w:rsidR="00AF0D29" w:rsidRPr="0007572B" w:rsidRDefault="00AF0D29" w:rsidP="0038082E">
      <w:pPr>
        <w:pStyle w:val="ListParagraph"/>
        <w:autoSpaceDE w:val="0"/>
        <w:autoSpaceDN w:val="0"/>
        <w:adjustRightInd w:val="0"/>
        <w:spacing w:line="240" w:lineRule="auto"/>
        <w:rPr>
          <w:rFonts w:ascii="Arial" w:hAnsi="Arial" w:cs="Arial"/>
          <w:color w:val="000000"/>
          <w:sz w:val="24"/>
          <w:szCs w:val="24"/>
          <w:lang w:val="en-US"/>
        </w:rPr>
      </w:pPr>
    </w:p>
    <w:p w14:paraId="46F310AF" w14:textId="77777777" w:rsidR="00AF0D29" w:rsidRDefault="00AF0D29">
      <w:pPr>
        <w:rPr>
          <w:rFonts w:ascii="Arial" w:eastAsia="Palatino Linotype" w:hAnsi="Arial" w:cs="Arial"/>
          <w:b/>
          <w:bCs/>
          <w:szCs w:val="28"/>
          <w:lang w:val="en-US"/>
        </w:rPr>
      </w:pPr>
      <w:bookmarkStart w:id="92" w:name="_Toc92894875"/>
      <w:bookmarkStart w:id="93" w:name="_Toc92895179"/>
      <w:r>
        <w:br w:type="page"/>
      </w:r>
    </w:p>
    <w:p w14:paraId="00799EA8" w14:textId="0170E469" w:rsidR="00317E52" w:rsidRPr="0007572B" w:rsidRDefault="00317E52" w:rsidP="0038082E">
      <w:pPr>
        <w:pStyle w:val="Heading3greennumbered"/>
      </w:pPr>
      <w:bookmarkStart w:id="94" w:name="_Toc109922613"/>
      <w:r w:rsidRPr="0007572B">
        <w:lastRenderedPageBreak/>
        <w:t>4 Impact of Accounting Standards issued b</w:t>
      </w:r>
      <w:r w:rsidRPr="0007572B">
        <w:rPr>
          <w:spacing w:val="-2"/>
        </w:rPr>
        <w:t>ut not y</w:t>
      </w:r>
      <w:r w:rsidRPr="0007572B">
        <w:t>et</w:t>
      </w:r>
      <w:r w:rsidRPr="0007572B">
        <w:rPr>
          <w:spacing w:val="5"/>
        </w:rPr>
        <w:t xml:space="preserve"> </w:t>
      </w:r>
      <w:r w:rsidRPr="0007572B">
        <w:t>Adopted</w:t>
      </w:r>
      <w:bookmarkEnd w:id="92"/>
      <w:bookmarkEnd w:id="93"/>
      <w:bookmarkEnd w:id="94"/>
    </w:p>
    <w:p w14:paraId="16CB025F" w14:textId="77777777" w:rsidR="005403AF" w:rsidRDefault="005403AF" w:rsidP="0038082E">
      <w:pPr>
        <w:autoSpaceDE w:val="0"/>
        <w:autoSpaceDN w:val="0"/>
        <w:adjustRightInd w:val="0"/>
        <w:rPr>
          <w:rFonts w:ascii="Arial" w:eastAsia="Arial" w:hAnsi="Arial" w:cs="Arial"/>
          <w:lang w:eastAsia="en-GB"/>
        </w:rPr>
      </w:pPr>
    </w:p>
    <w:p w14:paraId="3BC94644" w14:textId="77777777" w:rsidR="00D2614D" w:rsidRDefault="002D2F17" w:rsidP="0038082E">
      <w:pPr>
        <w:autoSpaceDE w:val="0"/>
        <w:autoSpaceDN w:val="0"/>
        <w:adjustRightInd w:val="0"/>
        <w:rPr>
          <w:rFonts w:ascii="Arial" w:eastAsia="Arial" w:hAnsi="Arial" w:cs="Arial"/>
          <w:lang w:eastAsia="en-GB"/>
        </w:rPr>
      </w:pPr>
      <w:r w:rsidRPr="0007572B">
        <w:rPr>
          <w:rFonts w:ascii="Arial" w:eastAsia="Arial" w:hAnsi="Arial" w:cs="Arial"/>
          <w:lang w:eastAsia="en-GB"/>
        </w:rPr>
        <w:t xml:space="preserve">The Code requires the disclosure of information relating to the expected impact of an accounting change that will be required by a new standard which has been issued but is yet to be adopted by the </w:t>
      </w:r>
      <w:r w:rsidR="00863EF6">
        <w:rPr>
          <w:rFonts w:ascii="Arial" w:eastAsia="Arial" w:hAnsi="Arial" w:cs="Arial"/>
          <w:lang w:eastAsia="en-GB"/>
        </w:rPr>
        <w:t>2021/22</w:t>
      </w:r>
      <w:r w:rsidRPr="0007572B">
        <w:rPr>
          <w:rFonts w:ascii="Arial" w:eastAsia="Arial" w:hAnsi="Arial" w:cs="Arial"/>
          <w:lang w:eastAsia="en-GB"/>
        </w:rPr>
        <w:t xml:space="preserve"> Code. The Code also requires that changes in accounting policy are to be applied retrospectively</w:t>
      </w:r>
      <w:r w:rsidR="00D2614D">
        <w:rPr>
          <w:rFonts w:ascii="Arial" w:eastAsia="Arial" w:hAnsi="Arial" w:cs="Arial"/>
          <w:lang w:eastAsia="en-GB"/>
        </w:rPr>
        <w:t>,</w:t>
      </w:r>
      <w:r w:rsidRPr="0007572B">
        <w:rPr>
          <w:rFonts w:ascii="Arial" w:eastAsia="Arial" w:hAnsi="Arial" w:cs="Arial"/>
          <w:lang w:eastAsia="en-GB"/>
        </w:rPr>
        <w:t xml:space="preserve"> unless transitional arrangements are specified</w:t>
      </w:r>
      <w:r w:rsidR="00D2614D">
        <w:rPr>
          <w:rFonts w:ascii="Arial" w:eastAsia="Arial" w:hAnsi="Arial" w:cs="Arial"/>
          <w:lang w:eastAsia="en-GB"/>
        </w:rPr>
        <w:t>;</w:t>
      </w:r>
      <w:r w:rsidRPr="0007572B">
        <w:rPr>
          <w:rFonts w:ascii="Arial" w:eastAsia="Arial" w:hAnsi="Arial" w:cs="Arial"/>
          <w:lang w:eastAsia="en-GB"/>
        </w:rPr>
        <w:t xml:space="preserve"> this would result in an impact on disclosures spanning two financial years. </w:t>
      </w:r>
      <w:bookmarkStart w:id="95" w:name="_Hlk75357649"/>
    </w:p>
    <w:p w14:paraId="237869BD" w14:textId="77777777" w:rsidR="00D2614D" w:rsidRDefault="00D2614D" w:rsidP="0038082E">
      <w:pPr>
        <w:autoSpaceDE w:val="0"/>
        <w:autoSpaceDN w:val="0"/>
        <w:adjustRightInd w:val="0"/>
        <w:rPr>
          <w:rFonts w:ascii="Arial" w:eastAsia="Arial" w:hAnsi="Arial" w:cs="Arial"/>
          <w:lang w:eastAsia="en-GB"/>
        </w:rPr>
      </w:pPr>
    </w:p>
    <w:p w14:paraId="200C9482" w14:textId="33998462" w:rsidR="002D2F17" w:rsidRPr="0007572B" w:rsidRDefault="002D2F17" w:rsidP="0038082E">
      <w:pPr>
        <w:autoSpaceDE w:val="0"/>
        <w:autoSpaceDN w:val="0"/>
        <w:adjustRightInd w:val="0"/>
        <w:rPr>
          <w:rFonts w:ascii="Arial" w:eastAsia="Arial" w:hAnsi="Arial" w:cs="Arial"/>
          <w:lang w:eastAsia="en-GB"/>
        </w:rPr>
      </w:pPr>
      <w:r w:rsidRPr="0007572B">
        <w:rPr>
          <w:rFonts w:ascii="Arial" w:eastAsia="Arial" w:hAnsi="Arial" w:cs="Arial"/>
          <w:lang w:eastAsia="en-GB"/>
        </w:rPr>
        <w:t xml:space="preserve">Accounting changes that are introduced by the </w:t>
      </w:r>
      <w:r w:rsidR="00863EF6">
        <w:rPr>
          <w:rFonts w:ascii="Arial" w:eastAsia="Arial" w:hAnsi="Arial" w:cs="Arial"/>
          <w:lang w:eastAsia="en-GB"/>
        </w:rPr>
        <w:t>2021/22</w:t>
      </w:r>
      <w:r w:rsidRPr="0007572B">
        <w:rPr>
          <w:rFonts w:ascii="Arial" w:eastAsia="Arial" w:hAnsi="Arial" w:cs="Arial"/>
          <w:lang w:eastAsia="en-GB"/>
        </w:rPr>
        <w:t xml:space="preserve"> code are: </w:t>
      </w:r>
    </w:p>
    <w:p w14:paraId="1DAA080F" w14:textId="77777777" w:rsidR="002D2F17" w:rsidRPr="0007572B" w:rsidRDefault="002D2F17" w:rsidP="0038082E">
      <w:pPr>
        <w:autoSpaceDE w:val="0"/>
        <w:autoSpaceDN w:val="0"/>
        <w:adjustRightInd w:val="0"/>
        <w:rPr>
          <w:rFonts w:ascii="Arial" w:eastAsia="Arial" w:hAnsi="Arial" w:cs="Arial"/>
          <w:lang w:eastAsia="en-GB"/>
        </w:rPr>
      </w:pPr>
    </w:p>
    <w:bookmarkEnd w:id="95"/>
    <w:p w14:paraId="60F48089" w14:textId="77777777" w:rsidR="00D2614D" w:rsidRDefault="00D2614D" w:rsidP="00EB27EB">
      <w:pPr>
        <w:pStyle w:val="ListParagraph"/>
        <w:numPr>
          <w:ilvl w:val="0"/>
          <w:numId w:val="53"/>
        </w:numPr>
        <w:autoSpaceDE w:val="0"/>
        <w:autoSpaceDN w:val="0"/>
        <w:adjustRightInd w:val="0"/>
        <w:spacing w:line="240" w:lineRule="auto"/>
        <w:ind w:left="709"/>
        <w:rPr>
          <w:rFonts w:ascii="Arial" w:hAnsi="Arial" w:cs="Arial"/>
          <w:sz w:val="24"/>
          <w:szCs w:val="24"/>
        </w:rPr>
      </w:pPr>
      <w:r>
        <w:rPr>
          <w:rFonts w:ascii="Arial" w:hAnsi="Arial" w:cs="Arial"/>
          <w:sz w:val="24"/>
          <w:szCs w:val="24"/>
        </w:rPr>
        <w:t>Definition of a business: amendments to IFRS 3</w:t>
      </w:r>
    </w:p>
    <w:p w14:paraId="44D58A19" w14:textId="59FD45F9" w:rsidR="00D2614D" w:rsidRDefault="00D2614D" w:rsidP="00EB27EB">
      <w:pPr>
        <w:pStyle w:val="ListParagraph"/>
        <w:numPr>
          <w:ilvl w:val="0"/>
          <w:numId w:val="53"/>
        </w:numPr>
        <w:autoSpaceDE w:val="0"/>
        <w:autoSpaceDN w:val="0"/>
        <w:adjustRightInd w:val="0"/>
        <w:spacing w:line="240" w:lineRule="auto"/>
        <w:ind w:left="709"/>
        <w:rPr>
          <w:rFonts w:ascii="Arial" w:hAnsi="Arial" w:cs="Arial"/>
          <w:sz w:val="24"/>
          <w:szCs w:val="24"/>
        </w:rPr>
      </w:pPr>
      <w:r>
        <w:rPr>
          <w:rFonts w:ascii="Arial" w:hAnsi="Arial" w:cs="Arial"/>
          <w:sz w:val="24"/>
          <w:szCs w:val="24"/>
        </w:rPr>
        <w:t>Interest Rate Benchmark Reform (Amendments to IFRS 9, IAS 39 and IFRS 7)</w:t>
      </w:r>
    </w:p>
    <w:p w14:paraId="64724C14" w14:textId="4A099243" w:rsidR="00D2614D" w:rsidRDefault="00D2614D" w:rsidP="00EB27EB">
      <w:pPr>
        <w:pStyle w:val="ListParagraph"/>
        <w:numPr>
          <w:ilvl w:val="0"/>
          <w:numId w:val="53"/>
        </w:numPr>
        <w:autoSpaceDE w:val="0"/>
        <w:autoSpaceDN w:val="0"/>
        <w:adjustRightInd w:val="0"/>
        <w:spacing w:line="240" w:lineRule="auto"/>
        <w:ind w:left="709"/>
        <w:rPr>
          <w:rFonts w:ascii="Arial" w:hAnsi="Arial" w:cs="Arial"/>
          <w:sz w:val="24"/>
          <w:szCs w:val="24"/>
        </w:rPr>
      </w:pPr>
      <w:r>
        <w:rPr>
          <w:rFonts w:ascii="Arial" w:hAnsi="Arial" w:cs="Arial"/>
          <w:sz w:val="24"/>
          <w:szCs w:val="24"/>
        </w:rPr>
        <w:t>Interest Rate Benchmark Reform – Phase 2 (amendments to IFRS 9, IAS 19, IFRS 7, IFRS 4 and IFRS 16).</w:t>
      </w:r>
    </w:p>
    <w:p w14:paraId="7C867575" w14:textId="32CDAD32" w:rsidR="00317E52" w:rsidRPr="0007572B" w:rsidRDefault="002D2F17" w:rsidP="0038082E">
      <w:pPr>
        <w:autoSpaceDE w:val="0"/>
        <w:autoSpaceDN w:val="0"/>
        <w:adjustRightInd w:val="0"/>
        <w:rPr>
          <w:rFonts w:ascii="Arial" w:hAnsi="Arial" w:cs="Arial"/>
          <w:color w:val="000000"/>
          <w:lang w:val="en-US"/>
        </w:rPr>
      </w:pPr>
      <w:r w:rsidRPr="0007572B">
        <w:rPr>
          <w:rFonts w:ascii="Arial" w:eastAsia="Arial" w:hAnsi="Arial" w:cs="Arial"/>
          <w:lang w:eastAsia="en-GB"/>
        </w:rPr>
        <w:t>These changes are not expected to have a material impact on the Authority’s single entity statements or group statements.</w:t>
      </w:r>
    </w:p>
    <w:p w14:paraId="7D77E820" w14:textId="579EB6BE" w:rsidR="00243254" w:rsidRDefault="00243254" w:rsidP="0038082E">
      <w:pPr>
        <w:autoSpaceDE w:val="0"/>
        <w:autoSpaceDN w:val="0"/>
        <w:adjustRightInd w:val="0"/>
        <w:jc w:val="both"/>
        <w:rPr>
          <w:rFonts w:ascii="Arial" w:hAnsi="Arial" w:cs="Arial"/>
          <w:color w:val="000000"/>
          <w:sz w:val="22"/>
          <w:szCs w:val="22"/>
          <w:lang w:val="en-US"/>
        </w:rPr>
      </w:pPr>
      <w:bookmarkStart w:id="96" w:name="_Hlk63924033"/>
    </w:p>
    <w:p w14:paraId="7ED56937" w14:textId="77777777" w:rsidR="00FD05A1" w:rsidRPr="0007572B" w:rsidRDefault="00FD05A1" w:rsidP="0038082E">
      <w:pPr>
        <w:autoSpaceDE w:val="0"/>
        <w:autoSpaceDN w:val="0"/>
        <w:adjustRightInd w:val="0"/>
        <w:jc w:val="both"/>
        <w:rPr>
          <w:rFonts w:ascii="Arial" w:hAnsi="Arial" w:cs="Arial"/>
          <w:color w:val="000000"/>
          <w:sz w:val="22"/>
          <w:szCs w:val="22"/>
          <w:lang w:val="en-US"/>
        </w:rPr>
      </w:pPr>
    </w:p>
    <w:p w14:paraId="4F099D0A" w14:textId="3F099721" w:rsidR="00317E52" w:rsidRPr="0007572B" w:rsidRDefault="00B51D3A" w:rsidP="0038082E">
      <w:pPr>
        <w:pStyle w:val="Heading3greennumbered"/>
      </w:pPr>
      <w:bookmarkStart w:id="97" w:name="_Toc92894876"/>
      <w:bookmarkStart w:id="98" w:name="_Toc92895180"/>
      <w:bookmarkStart w:id="99" w:name="_Toc109922614"/>
      <w:r w:rsidRPr="0007572B">
        <w:t xml:space="preserve">5 Events After the </w:t>
      </w:r>
      <w:r w:rsidR="000008C1" w:rsidRPr="0007572B">
        <w:t>Reporting Period</w:t>
      </w:r>
      <w:bookmarkEnd w:id="97"/>
      <w:bookmarkEnd w:id="98"/>
      <w:bookmarkEnd w:id="99"/>
    </w:p>
    <w:p w14:paraId="554C04F1" w14:textId="77777777" w:rsidR="005403AF" w:rsidRDefault="005403AF" w:rsidP="0038082E">
      <w:pPr>
        <w:autoSpaceDE w:val="0"/>
        <w:autoSpaceDN w:val="0"/>
        <w:adjustRightInd w:val="0"/>
        <w:rPr>
          <w:rFonts w:ascii="Arial" w:hAnsi="Arial" w:cs="Arial"/>
          <w:lang w:eastAsia="en-GB"/>
        </w:rPr>
      </w:pPr>
    </w:p>
    <w:p w14:paraId="2698D59F" w14:textId="53FABDB1" w:rsidR="00C75439" w:rsidRPr="0007572B" w:rsidRDefault="00C75439" w:rsidP="0038082E">
      <w:pPr>
        <w:autoSpaceDE w:val="0"/>
        <w:autoSpaceDN w:val="0"/>
        <w:adjustRightInd w:val="0"/>
        <w:rPr>
          <w:rFonts w:ascii="Arial" w:hAnsi="Arial" w:cs="Arial"/>
          <w:lang w:eastAsia="en-GB"/>
        </w:rPr>
      </w:pPr>
      <w:r w:rsidRPr="0007572B">
        <w:rPr>
          <w:rFonts w:ascii="Arial" w:hAnsi="Arial" w:cs="Arial"/>
          <w:lang w:eastAsia="en-GB"/>
        </w:rPr>
        <w:t>Events after the Balance Sheet date are those events, both favourable and unfavourable, that occur between the end of the reporting period and the date when the Statement of Accounts is authorised for issue. Two types of events can be identified:</w:t>
      </w:r>
    </w:p>
    <w:p w14:paraId="270658E3" w14:textId="77777777" w:rsidR="00C75439" w:rsidRPr="0007572B" w:rsidRDefault="00C75439" w:rsidP="0038082E">
      <w:pPr>
        <w:autoSpaceDE w:val="0"/>
        <w:autoSpaceDN w:val="0"/>
        <w:adjustRightInd w:val="0"/>
        <w:rPr>
          <w:rFonts w:ascii="Arial" w:hAnsi="Arial" w:cs="Arial"/>
          <w:lang w:eastAsia="en-GB"/>
        </w:rPr>
      </w:pPr>
    </w:p>
    <w:p w14:paraId="78CBD0FE" w14:textId="3A9D2BA2" w:rsidR="00C75439" w:rsidRPr="0007572B" w:rsidRDefault="00C75439" w:rsidP="00EB27EB">
      <w:pPr>
        <w:pStyle w:val="ListParagraph"/>
        <w:widowControl w:val="0"/>
        <w:numPr>
          <w:ilvl w:val="0"/>
          <w:numId w:val="42"/>
        </w:numPr>
        <w:tabs>
          <w:tab w:val="left" w:pos="8789"/>
        </w:tabs>
        <w:autoSpaceDE w:val="0"/>
        <w:autoSpaceDN w:val="0"/>
        <w:adjustRightInd w:val="0"/>
        <w:spacing w:before="72" w:line="240" w:lineRule="auto"/>
        <w:ind w:right="226"/>
        <w:rPr>
          <w:rFonts w:ascii="Arial" w:eastAsia="Verdana" w:hAnsi="Arial" w:cs="Arial"/>
          <w:sz w:val="24"/>
          <w:szCs w:val="24"/>
        </w:rPr>
      </w:pPr>
      <w:r w:rsidRPr="0007572B">
        <w:rPr>
          <w:rFonts w:ascii="Arial" w:hAnsi="Arial" w:cs="Arial"/>
          <w:sz w:val="24"/>
          <w:szCs w:val="24"/>
        </w:rPr>
        <w:t>those that provide evidence of conditions that existed at the end of the reporting period – the Statement of Accounts is adjusted to reflect such events</w:t>
      </w:r>
    </w:p>
    <w:p w14:paraId="5E09481F" w14:textId="5828F99F" w:rsidR="00C75439" w:rsidRPr="0007572B" w:rsidRDefault="00C75439" w:rsidP="00EB27EB">
      <w:pPr>
        <w:pStyle w:val="ListParagraph"/>
        <w:numPr>
          <w:ilvl w:val="0"/>
          <w:numId w:val="42"/>
        </w:numPr>
        <w:autoSpaceDE w:val="0"/>
        <w:autoSpaceDN w:val="0"/>
        <w:adjustRightInd w:val="0"/>
        <w:spacing w:line="240" w:lineRule="auto"/>
        <w:rPr>
          <w:rFonts w:ascii="Arial" w:hAnsi="Arial" w:cs="Arial"/>
          <w:sz w:val="24"/>
          <w:szCs w:val="24"/>
        </w:rPr>
      </w:pPr>
      <w:r w:rsidRPr="0007572B">
        <w:rPr>
          <w:rFonts w:ascii="Arial" w:hAnsi="Arial" w:cs="Arial"/>
          <w:sz w:val="24"/>
          <w:szCs w:val="24"/>
        </w:rPr>
        <w:t>those that are indicative of conditions that arose after the reporting period – the Statement of Accounts is not adjusted to reflect such events, but where a category of events would have a material effect, disclosure is made in the notes of the nature of the events and their estimated financial effect.</w:t>
      </w:r>
    </w:p>
    <w:p w14:paraId="15954298" w14:textId="2BAFC3BA" w:rsidR="00541790" w:rsidRDefault="00541790" w:rsidP="0038082E">
      <w:pPr>
        <w:widowControl w:val="0"/>
        <w:tabs>
          <w:tab w:val="left" w:pos="8789"/>
        </w:tabs>
        <w:spacing w:before="72"/>
        <w:ind w:right="226"/>
        <w:rPr>
          <w:rFonts w:ascii="Arial" w:hAnsi="Arial" w:cs="Arial"/>
          <w:lang w:eastAsia="en-GB"/>
        </w:rPr>
      </w:pPr>
      <w:r w:rsidRPr="0007572B">
        <w:rPr>
          <w:rFonts w:ascii="Arial" w:hAnsi="Arial" w:cs="Arial"/>
          <w:lang w:eastAsia="en-GB"/>
        </w:rPr>
        <w:t xml:space="preserve">There are no events </w:t>
      </w:r>
      <w:r w:rsidR="00A26C10" w:rsidRPr="0007572B">
        <w:rPr>
          <w:rFonts w:ascii="Arial" w:hAnsi="Arial" w:cs="Arial"/>
          <w:lang w:eastAsia="en-GB"/>
        </w:rPr>
        <w:t xml:space="preserve">after </w:t>
      </w:r>
      <w:r w:rsidRPr="0007572B">
        <w:rPr>
          <w:rFonts w:ascii="Arial" w:hAnsi="Arial" w:cs="Arial"/>
          <w:lang w:eastAsia="en-GB"/>
        </w:rPr>
        <w:t xml:space="preserve">the end of </w:t>
      </w:r>
      <w:r w:rsidR="00A26C10" w:rsidRPr="0007572B">
        <w:rPr>
          <w:rFonts w:ascii="Arial" w:hAnsi="Arial" w:cs="Arial"/>
          <w:lang w:eastAsia="en-GB"/>
        </w:rPr>
        <w:t xml:space="preserve">the </w:t>
      </w:r>
      <w:r w:rsidRPr="0007572B">
        <w:rPr>
          <w:rFonts w:ascii="Arial" w:hAnsi="Arial" w:cs="Arial"/>
          <w:lang w:eastAsia="en-GB"/>
        </w:rPr>
        <w:t xml:space="preserve">reporting period and </w:t>
      </w:r>
      <w:r w:rsidR="00A26C10" w:rsidRPr="0007572B">
        <w:rPr>
          <w:rFonts w:ascii="Arial" w:hAnsi="Arial" w:cs="Arial"/>
          <w:lang w:eastAsia="en-GB"/>
        </w:rPr>
        <w:t xml:space="preserve">up to the </w:t>
      </w:r>
      <w:r w:rsidRPr="0007572B">
        <w:rPr>
          <w:rFonts w:ascii="Arial" w:hAnsi="Arial" w:cs="Arial"/>
          <w:lang w:eastAsia="en-GB"/>
        </w:rPr>
        <w:t xml:space="preserve">date of authorisation </w:t>
      </w:r>
      <w:r w:rsidR="00A26C10" w:rsidRPr="0007572B">
        <w:rPr>
          <w:rFonts w:ascii="Arial" w:hAnsi="Arial" w:cs="Arial"/>
          <w:lang w:eastAsia="en-GB"/>
        </w:rPr>
        <w:t xml:space="preserve">for issue of the </w:t>
      </w:r>
      <w:r w:rsidR="000C0ECB">
        <w:rPr>
          <w:rFonts w:ascii="Arial" w:hAnsi="Arial" w:cs="Arial"/>
          <w:lang w:eastAsia="en-GB"/>
        </w:rPr>
        <w:t xml:space="preserve">draft </w:t>
      </w:r>
      <w:r w:rsidR="00A26C10" w:rsidRPr="0007572B">
        <w:rPr>
          <w:rFonts w:ascii="Arial" w:hAnsi="Arial" w:cs="Arial"/>
          <w:lang w:eastAsia="en-GB"/>
        </w:rPr>
        <w:t xml:space="preserve">Statement of Accounts. </w:t>
      </w:r>
    </w:p>
    <w:p w14:paraId="10F46EC5" w14:textId="77777777" w:rsidR="00FD05A1" w:rsidRPr="0007572B" w:rsidRDefault="00FD05A1" w:rsidP="0038082E">
      <w:pPr>
        <w:widowControl w:val="0"/>
        <w:tabs>
          <w:tab w:val="left" w:pos="8789"/>
        </w:tabs>
        <w:spacing w:before="72"/>
        <w:ind w:right="226"/>
        <w:rPr>
          <w:rFonts w:ascii="Arial" w:hAnsi="Arial" w:cs="Arial"/>
          <w:lang w:eastAsia="en-GB"/>
        </w:rPr>
      </w:pPr>
    </w:p>
    <w:p w14:paraId="7C6BCAAB" w14:textId="2799E15E" w:rsidR="00AC4453" w:rsidRDefault="00AC4453" w:rsidP="0038082E">
      <w:pPr>
        <w:rPr>
          <w:rFonts w:ascii="Arial" w:eastAsia="Palatino Linotype" w:hAnsi="Arial" w:cs="Arial"/>
          <w:b/>
          <w:bCs/>
          <w:szCs w:val="28"/>
          <w:lang w:val="en-US"/>
        </w:rPr>
      </w:pPr>
      <w:bookmarkStart w:id="100" w:name="_Toc92894877"/>
      <w:bookmarkStart w:id="101" w:name="_Toc92895181"/>
      <w:bookmarkEnd w:id="96"/>
    </w:p>
    <w:p w14:paraId="3CE6880B" w14:textId="59662EBA" w:rsidR="00B266FC" w:rsidRPr="0007572B" w:rsidRDefault="00B266FC" w:rsidP="0038082E">
      <w:pPr>
        <w:pStyle w:val="Heading3greennumbered"/>
      </w:pPr>
      <w:bookmarkStart w:id="102" w:name="_Toc109922615"/>
      <w:r w:rsidRPr="0007572B">
        <w:t xml:space="preserve">6 Authorisation for </w:t>
      </w:r>
      <w:r w:rsidR="00475816" w:rsidRPr="0007572B">
        <w:t xml:space="preserve">the </w:t>
      </w:r>
      <w:r w:rsidRPr="0007572B">
        <w:t xml:space="preserve">Issue of the </w:t>
      </w:r>
      <w:r w:rsidR="000C0ECB">
        <w:t xml:space="preserve">Draft </w:t>
      </w:r>
      <w:r w:rsidRPr="0007572B">
        <w:t>Statement of</w:t>
      </w:r>
      <w:r w:rsidRPr="0007572B">
        <w:rPr>
          <w:spacing w:val="2"/>
        </w:rPr>
        <w:t xml:space="preserve"> </w:t>
      </w:r>
      <w:r w:rsidRPr="0007572B">
        <w:t>Accounts</w:t>
      </w:r>
      <w:bookmarkEnd w:id="100"/>
      <w:bookmarkEnd w:id="101"/>
      <w:bookmarkEnd w:id="102"/>
    </w:p>
    <w:p w14:paraId="5DF10D3A" w14:textId="77777777" w:rsidR="005403AF" w:rsidRDefault="005403AF" w:rsidP="0038082E">
      <w:pPr>
        <w:widowControl w:val="0"/>
        <w:spacing w:before="72"/>
        <w:ind w:right="220"/>
        <w:rPr>
          <w:rFonts w:ascii="Arial" w:eastAsia="Palatino Linotype" w:hAnsi="Arial" w:cs="Arial"/>
          <w:lang w:val="en-US"/>
        </w:rPr>
      </w:pPr>
    </w:p>
    <w:p w14:paraId="5CBE1319" w14:textId="078653B8" w:rsidR="001B6D1C" w:rsidRDefault="00B266FC" w:rsidP="0038082E">
      <w:pPr>
        <w:widowControl w:val="0"/>
        <w:spacing w:before="72"/>
        <w:ind w:right="220"/>
        <w:rPr>
          <w:rFonts w:ascii="Arial" w:eastAsia="Palatino Linotype" w:hAnsi="Arial" w:cs="Arial"/>
          <w:lang w:val="en-US"/>
        </w:rPr>
      </w:pPr>
      <w:r w:rsidRPr="0007572B">
        <w:rPr>
          <w:rFonts w:ascii="Arial" w:eastAsia="Palatino Linotype" w:hAnsi="Arial" w:cs="Arial"/>
          <w:lang w:val="en-US"/>
        </w:rPr>
        <w:t>The</w:t>
      </w:r>
      <w:r w:rsidRPr="0007572B">
        <w:rPr>
          <w:rFonts w:ascii="Arial" w:eastAsia="Palatino Linotype" w:hAnsi="Arial" w:cs="Arial"/>
          <w:spacing w:val="16"/>
          <w:lang w:val="en-US"/>
        </w:rPr>
        <w:t xml:space="preserve"> </w:t>
      </w:r>
      <w:r w:rsidRPr="0007572B">
        <w:rPr>
          <w:rFonts w:ascii="Arial" w:eastAsia="Palatino Linotype" w:hAnsi="Arial" w:cs="Arial"/>
          <w:lang w:val="en-US"/>
        </w:rPr>
        <w:t>20</w:t>
      </w:r>
      <w:r w:rsidR="00FF2959" w:rsidRPr="0007572B">
        <w:rPr>
          <w:rFonts w:ascii="Arial" w:eastAsia="Palatino Linotype" w:hAnsi="Arial" w:cs="Arial"/>
          <w:lang w:val="en-US"/>
        </w:rPr>
        <w:t>2</w:t>
      </w:r>
      <w:r w:rsidR="007575E1">
        <w:rPr>
          <w:rFonts w:ascii="Arial" w:eastAsia="Palatino Linotype" w:hAnsi="Arial" w:cs="Arial"/>
          <w:lang w:val="en-US"/>
        </w:rPr>
        <w:t>1</w:t>
      </w:r>
      <w:r w:rsidR="00414538" w:rsidRPr="0007572B">
        <w:rPr>
          <w:rFonts w:ascii="Arial" w:eastAsia="Palatino Linotype" w:hAnsi="Arial" w:cs="Arial"/>
          <w:lang w:val="en-US"/>
        </w:rPr>
        <w:t>/</w:t>
      </w:r>
      <w:r w:rsidR="00F6328E" w:rsidRPr="0007572B">
        <w:rPr>
          <w:rFonts w:ascii="Arial" w:eastAsia="Palatino Linotype" w:hAnsi="Arial" w:cs="Arial"/>
          <w:lang w:val="en-US"/>
        </w:rPr>
        <w:t>2</w:t>
      </w:r>
      <w:r w:rsidR="007575E1">
        <w:rPr>
          <w:rFonts w:ascii="Arial" w:eastAsia="Palatino Linotype" w:hAnsi="Arial" w:cs="Arial"/>
          <w:lang w:val="en-US"/>
        </w:rPr>
        <w:t>2</w:t>
      </w:r>
      <w:r w:rsidRPr="0007572B">
        <w:rPr>
          <w:rFonts w:ascii="Arial" w:eastAsia="Palatino Linotype" w:hAnsi="Arial" w:cs="Arial"/>
          <w:spacing w:val="17"/>
          <w:lang w:val="en-US"/>
        </w:rPr>
        <w:t xml:space="preserve"> </w:t>
      </w:r>
      <w:r w:rsidR="000C0ECB">
        <w:rPr>
          <w:rFonts w:ascii="Arial" w:eastAsia="Palatino Linotype" w:hAnsi="Arial" w:cs="Arial"/>
          <w:spacing w:val="17"/>
          <w:lang w:val="en-US"/>
        </w:rPr>
        <w:t>draft</w:t>
      </w:r>
      <w:r w:rsidR="00BF5B1E" w:rsidRPr="0007572B">
        <w:rPr>
          <w:rFonts w:ascii="Arial" w:eastAsia="Palatino Linotype" w:hAnsi="Arial" w:cs="Arial"/>
          <w:spacing w:val="17"/>
          <w:lang w:val="en-US"/>
        </w:rPr>
        <w:t xml:space="preserve"> </w:t>
      </w:r>
      <w:r w:rsidRPr="0007572B">
        <w:rPr>
          <w:rFonts w:ascii="Arial" w:eastAsia="Palatino Linotype" w:hAnsi="Arial" w:cs="Arial"/>
          <w:lang w:val="en-US"/>
        </w:rPr>
        <w:t>Statement</w:t>
      </w:r>
      <w:r w:rsidRPr="0007572B">
        <w:rPr>
          <w:rFonts w:ascii="Arial" w:eastAsia="Palatino Linotype" w:hAnsi="Arial" w:cs="Arial"/>
          <w:spacing w:val="18"/>
          <w:lang w:val="en-US"/>
        </w:rPr>
        <w:t xml:space="preserve"> </w:t>
      </w:r>
      <w:r w:rsidRPr="0007572B">
        <w:rPr>
          <w:rFonts w:ascii="Arial" w:eastAsia="Palatino Linotype" w:hAnsi="Arial" w:cs="Arial"/>
          <w:lang w:val="en-US"/>
        </w:rPr>
        <w:t>of</w:t>
      </w:r>
      <w:r w:rsidRPr="0007572B">
        <w:rPr>
          <w:rFonts w:ascii="Arial" w:eastAsia="Palatino Linotype" w:hAnsi="Arial" w:cs="Arial"/>
          <w:spacing w:val="20"/>
          <w:lang w:val="en-US"/>
        </w:rPr>
        <w:t xml:space="preserve"> </w:t>
      </w:r>
      <w:r w:rsidRPr="0007572B">
        <w:rPr>
          <w:rFonts w:ascii="Arial" w:eastAsia="Palatino Linotype" w:hAnsi="Arial" w:cs="Arial"/>
          <w:lang w:val="en-US"/>
        </w:rPr>
        <w:t>Accounts</w:t>
      </w:r>
      <w:r w:rsidRPr="0007572B">
        <w:rPr>
          <w:rFonts w:ascii="Arial" w:eastAsia="Palatino Linotype" w:hAnsi="Arial" w:cs="Arial"/>
          <w:spacing w:val="17"/>
          <w:lang w:val="en-US"/>
        </w:rPr>
        <w:t xml:space="preserve"> </w:t>
      </w:r>
      <w:r w:rsidRPr="0007572B">
        <w:rPr>
          <w:rFonts w:ascii="Arial" w:eastAsia="Palatino Linotype" w:hAnsi="Arial" w:cs="Arial"/>
          <w:lang w:val="en-US"/>
        </w:rPr>
        <w:t>w</w:t>
      </w:r>
      <w:r w:rsidR="005D6366">
        <w:rPr>
          <w:rFonts w:ascii="Arial" w:eastAsia="Palatino Linotype" w:hAnsi="Arial" w:cs="Arial"/>
          <w:lang w:val="en-US"/>
        </w:rPr>
        <w:t>ere</w:t>
      </w:r>
      <w:r w:rsidRPr="0007572B">
        <w:rPr>
          <w:rFonts w:ascii="Arial" w:eastAsia="Palatino Linotype" w:hAnsi="Arial" w:cs="Arial"/>
          <w:spacing w:val="17"/>
          <w:lang w:val="en-US"/>
        </w:rPr>
        <w:t xml:space="preserve"> </w:t>
      </w:r>
      <w:r w:rsidRPr="0007572B">
        <w:rPr>
          <w:rFonts w:ascii="Arial" w:eastAsia="Palatino Linotype" w:hAnsi="Arial" w:cs="Arial"/>
          <w:lang w:val="en-US"/>
        </w:rPr>
        <w:t>authorised</w:t>
      </w:r>
      <w:r w:rsidRPr="0007572B">
        <w:rPr>
          <w:rFonts w:ascii="Arial" w:eastAsia="Palatino Linotype" w:hAnsi="Arial" w:cs="Arial"/>
          <w:spacing w:val="14"/>
          <w:lang w:val="en-US"/>
        </w:rPr>
        <w:t xml:space="preserve"> </w:t>
      </w:r>
      <w:r w:rsidRPr="0007572B">
        <w:rPr>
          <w:rFonts w:ascii="Arial" w:eastAsia="Palatino Linotype" w:hAnsi="Arial" w:cs="Arial"/>
          <w:lang w:val="en-US"/>
        </w:rPr>
        <w:t>for</w:t>
      </w:r>
      <w:r w:rsidRPr="0007572B">
        <w:rPr>
          <w:rFonts w:ascii="Arial" w:eastAsia="Palatino Linotype" w:hAnsi="Arial" w:cs="Arial"/>
          <w:spacing w:val="17"/>
          <w:lang w:val="en-US"/>
        </w:rPr>
        <w:t xml:space="preserve"> </w:t>
      </w:r>
      <w:r w:rsidRPr="0007572B">
        <w:rPr>
          <w:rFonts w:ascii="Arial" w:eastAsia="Palatino Linotype" w:hAnsi="Arial" w:cs="Arial"/>
          <w:lang w:val="en-US"/>
        </w:rPr>
        <w:t>issue</w:t>
      </w:r>
      <w:r w:rsidRPr="0007572B">
        <w:rPr>
          <w:rFonts w:ascii="Arial" w:eastAsia="Palatino Linotype" w:hAnsi="Arial" w:cs="Arial"/>
          <w:spacing w:val="16"/>
          <w:lang w:val="en-US"/>
        </w:rPr>
        <w:t xml:space="preserve"> </w:t>
      </w:r>
      <w:r w:rsidRPr="0007572B">
        <w:rPr>
          <w:rFonts w:ascii="Arial" w:eastAsia="Palatino Linotype" w:hAnsi="Arial" w:cs="Arial"/>
          <w:lang w:val="en-US"/>
        </w:rPr>
        <w:t>by</w:t>
      </w:r>
      <w:r w:rsidRPr="0007572B">
        <w:rPr>
          <w:rFonts w:ascii="Arial" w:eastAsia="Palatino Linotype" w:hAnsi="Arial" w:cs="Arial"/>
          <w:spacing w:val="14"/>
          <w:lang w:val="en-US"/>
        </w:rPr>
        <w:t xml:space="preserve"> </w:t>
      </w:r>
      <w:r w:rsidRPr="0007572B">
        <w:rPr>
          <w:rFonts w:ascii="Arial" w:eastAsia="Palatino Linotype" w:hAnsi="Arial" w:cs="Arial"/>
          <w:lang w:val="en-US"/>
        </w:rPr>
        <w:t>the</w:t>
      </w:r>
      <w:r w:rsidRPr="0007572B">
        <w:rPr>
          <w:rFonts w:ascii="Arial" w:eastAsia="Palatino Linotype" w:hAnsi="Arial" w:cs="Arial"/>
          <w:spacing w:val="16"/>
          <w:lang w:val="en-US"/>
        </w:rPr>
        <w:t xml:space="preserve"> </w:t>
      </w:r>
      <w:r w:rsidRPr="0007572B">
        <w:rPr>
          <w:rFonts w:ascii="Arial" w:eastAsia="Palatino Linotype" w:hAnsi="Arial" w:cs="Arial"/>
          <w:lang w:val="en-US"/>
        </w:rPr>
        <w:t>Treasurer on</w:t>
      </w:r>
      <w:r w:rsidR="00E672DC" w:rsidRPr="0007572B">
        <w:rPr>
          <w:rFonts w:ascii="Arial" w:eastAsia="Palatino Linotype" w:hAnsi="Arial" w:cs="Arial"/>
          <w:lang w:val="en-US"/>
        </w:rPr>
        <w:t xml:space="preserve"> the</w:t>
      </w:r>
      <w:r w:rsidR="00ED4E35" w:rsidRPr="0007572B">
        <w:rPr>
          <w:rFonts w:ascii="Arial" w:eastAsia="Palatino Linotype" w:hAnsi="Arial" w:cs="Arial"/>
          <w:lang w:val="en-US"/>
        </w:rPr>
        <w:t xml:space="preserve"> </w:t>
      </w:r>
      <w:r w:rsidR="00041DAE">
        <w:rPr>
          <w:rFonts w:ascii="Arial" w:eastAsia="Palatino Linotype" w:hAnsi="Arial" w:cs="Arial"/>
          <w:lang w:val="en-US"/>
        </w:rPr>
        <w:t>27</w:t>
      </w:r>
      <w:r w:rsidR="00D2614D">
        <w:rPr>
          <w:rFonts w:ascii="Arial" w:eastAsia="Palatino Linotype" w:hAnsi="Arial" w:cs="Arial"/>
          <w:lang w:val="en-US"/>
        </w:rPr>
        <w:t xml:space="preserve"> July 2022. </w:t>
      </w:r>
    </w:p>
    <w:p w14:paraId="1592228C" w14:textId="77777777" w:rsidR="00FD05A1" w:rsidRPr="0007572B" w:rsidRDefault="00FD05A1" w:rsidP="0038082E">
      <w:pPr>
        <w:widowControl w:val="0"/>
        <w:spacing w:before="72"/>
        <w:ind w:right="220"/>
        <w:rPr>
          <w:rFonts w:ascii="Arial" w:eastAsia="Palatino Linotype" w:hAnsi="Arial" w:cs="Arial"/>
          <w:lang w:val="en-US"/>
        </w:rPr>
      </w:pPr>
    </w:p>
    <w:p w14:paraId="2256D11D" w14:textId="4E4AFEBA" w:rsidR="000811AC" w:rsidRPr="00FD05A1" w:rsidRDefault="000811AC" w:rsidP="00FD05A1">
      <w:pPr>
        <w:rPr>
          <w:rFonts w:ascii="Arial" w:hAnsi="Arial" w:cs="Arial"/>
          <w:color w:val="000000" w:themeColor="text1"/>
          <w:sz w:val="26"/>
          <w:szCs w:val="26"/>
        </w:rPr>
      </w:pPr>
    </w:p>
    <w:p w14:paraId="6F4E62FE" w14:textId="77777777" w:rsidR="00FD05A1" w:rsidRDefault="00FD05A1">
      <w:pPr>
        <w:rPr>
          <w:rFonts w:ascii="Arial" w:eastAsia="Palatino Linotype" w:hAnsi="Arial" w:cs="Arial"/>
          <w:b/>
          <w:bCs/>
          <w:szCs w:val="28"/>
          <w:lang w:val="en-US"/>
        </w:rPr>
      </w:pPr>
      <w:bookmarkStart w:id="103" w:name="_Toc92894878"/>
      <w:bookmarkStart w:id="104" w:name="_Toc92895182"/>
      <w:r>
        <w:br w:type="page"/>
      </w:r>
    </w:p>
    <w:p w14:paraId="4B328ED5" w14:textId="20C9E131" w:rsidR="004C7E94" w:rsidRPr="0007572B" w:rsidRDefault="00FC62F7" w:rsidP="0038082E">
      <w:pPr>
        <w:pStyle w:val="Heading3greennumbered"/>
      </w:pPr>
      <w:bookmarkStart w:id="105" w:name="_Toc109922616"/>
      <w:r w:rsidRPr="0007572B">
        <w:lastRenderedPageBreak/>
        <w:t xml:space="preserve">7a </w:t>
      </w:r>
      <w:r w:rsidR="004E11FD" w:rsidRPr="0007572B">
        <w:t>Expenditure and Funding Analysis</w:t>
      </w:r>
      <w:bookmarkEnd w:id="103"/>
      <w:bookmarkEnd w:id="104"/>
      <w:bookmarkEnd w:id="105"/>
    </w:p>
    <w:p w14:paraId="2EE94785" w14:textId="77777777" w:rsidR="005403AF" w:rsidRDefault="005403AF" w:rsidP="0038082E">
      <w:pPr>
        <w:rPr>
          <w:rFonts w:ascii="Arial" w:hAnsi="Arial" w:cs="Arial"/>
        </w:rPr>
      </w:pPr>
    </w:p>
    <w:p w14:paraId="726B5EFE" w14:textId="70D177AE" w:rsidR="00CB19DF" w:rsidRPr="0007572B" w:rsidRDefault="004E552A" w:rsidP="0038082E">
      <w:pPr>
        <w:rPr>
          <w:rFonts w:ascii="Arial" w:hAnsi="Arial" w:cs="Arial"/>
        </w:rPr>
      </w:pPr>
      <w:r w:rsidRPr="0007572B">
        <w:rPr>
          <w:rFonts w:ascii="Arial" w:hAnsi="Arial" w:cs="Arial"/>
        </w:rPr>
        <w:t xml:space="preserve">The Expenditure and Funding Analysis shows how annual expenditure is used and funded from resources by the Authority in comparison to those resources consumed or earned by the Authority in accordance with generally accepted accounting practices. It also shows how the expenditure is allocated between </w:t>
      </w:r>
      <w:r w:rsidR="00FB1945">
        <w:rPr>
          <w:rFonts w:ascii="Arial" w:hAnsi="Arial" w:cs="Arial"/>
        </w:rPr>
        <w:t>s</w:t>
      </w:r>
      <w:r w:rsidRPr="0007572B">
        <w:rPr>
          <w:rFonts w:ascii="Arial" w:hAnsi="Arial" w:cs="Arial"/>
        </w:rPr>
        <w:t>ervices. Income and expenditure accounted for under generally accepted accounting practice is presented more fully in the Comprehensive Income and Expenditure Statement.</w:t>
      </w:r>
    </w:p>
    <w:p w14:paraId="4686137C" w14:textId="2EB569CD" w:rsidR="001B6D1C" w:rsidRDefault="001B6D1C" w:rsidP="0038082E">
      <w:pPr>
        <w:jc w:val="both"/>
        <w:rPr>
          <w:rFonts w:ascii="Arial" w:hAnsi="Arial" w:cs="Arial"/>
          <w:sz w:val="22"/>
          <w:szCs w:val="22"/>
        </w:rPr>
      </w:pPr>
    </w:p>
    <w:p w14:paraId="00A8ABA1" w14:textId="30275D08" w:rsidR="000C0ECB" w:rsidRPr="0007572B" w:rsidRDefault="00F722ED" w:rsidP="0038082E">
      <w:pPr>
        <w:jc w:val="both"/>
        <w:rPr>
          <w:rFonts w:ascii="Arial" w:hAnsi="Arial" w:cs="Arial"/>
          <w:sz w:val="22"/>
          <w:szCs w:val="22"/>
        </w:rPr>
      </w:pPr>
      <w:r w:rsidRPr="00F722ED">
        <w:rPr>
          <w:noProof/>
        </w:rPr>
        <w:drawing>
          <wp:inline distT="0" distB="0" distL="0" distR="0" wp14:anchorId="40162D39" wp14:editId="74479648">
            <wp:extent cx="5975350" cy="2735580"/>
            <wp:effectExtent l="0" t="0" r="635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75350" cy="2735580"/>
                    </a:xfrm>
                    <a:prstGeom prst="rect">
                      <a:avLst/>
                    </a:prstGeom>
                    <a:noFill/>
                    <a:ln>
                      <a:noFill/>
                    </a:ln>
                  </pic:spPr>
                </pic:pic>
              </a:graphicData>
            </a:graphic>
          </wp:inline>
        </w:drawing>
      </w:r>
    </w:p>
    <w:p w14:paraId="03A1AF80" w14:textId="5AA680EB" w:rsidR="00AC4453" w:rsidRDefault="00AC4453" w:rsidP="0038082E">
      <w:pPr>
        <w:jc w:val="both"/>
        <w:rPr>
          <w:rFonts w:ascii="Arial" w:eastAsia="Palatino Linotype" w:hAnsi="Arial" w:cs="Arial"/>
          <w:b/>
          <w:bCs/>
          <w:szCs w:val="28"/>
          <w:lang w:val="en-US"/>
        </w:rPr>
      </w:pPr>
      <w:bookmarkStart w:id="106" w:name="_Toc92894879"/>
      <w:bookmarkStart w:id="107" w:name="_Toc92895183"/>
      <w:r>
        <w:br w:type="page"/>
      </w:r>
    </w:p>
    <w:p w14:paraId="6BA06E53" w14:textId="35263270" w:rsidR="00F2757F" w:rsidRPr="0007572B" w:rsidRDefault="00FC62F7" w:rsidP="0038082E">
      <w:pPr>
        <w:pStyle w:val="Heading3greennumbered"/>
      </w:pPr>
      <w:bookmarkStart w:id="108" w:name="_Toc109922617"/>
      <w:r w:rsidRPr="0007572B">
        <w:lastRenderedPageBreak/>
        <w:t xml:space="preserve">7b </w:t>
      </w:r>
      <w:r w:rsidR="00F2757F" w:rsidRPr="0007572B">
        <w:t>Note to the Expenditure and Funding Analysis</w:t>
      </w:r>
      <w:bookmarkEnd w:id="106"/>
      <w:bookmarkEnd w:id="107"/>
      <w:bookmarkEnd w:id="108"/>
    </w:p>
    <w:p w14:paraId="04B55FC4" w14:textId="77777777" w:rsidR="00AC5506" w:rsidRPr="0007572B" w:rsidRDefault="00AC5506" w:rsidP="0038082E">
      <w:pPr>
        <w:keepNext/>
        <w:rPr>
          <w:rFonts w:ascii="Arial" w:hAnsi="Arial" w:cs="Arial"/>
          <w:b/>
          <w:sz w:val="22"/>
          <w:szCs w:val="22"/>
        </w:rPr>
      </w:pPr>
    </w:p>
    <w:p w14:paraId="6F3BE45B" w14:textId="6A1DD2D5" w:rsidR="00AC38C5" w:rsidRPr="0007572B" w:rsidRDefault="000C0ECB" w:rsidP="0038082E">
      <w:pPr>
        <w:jc w:val="both"/>
        <w:rPr>
          <w:rFonts w:ascii="Arial" w:hAnsi="Arial" w:cs="Arial"/>
          <w:sz w:val="22"/>
          <w:szCs w:val="22"/>
        </w:rPr>
      </w:pPr>
      <w:r w:rsidRPr="000C0ECB">
        <w:rPr>
          <w:noProof/>
        </w:rPr>
        <w:drawing>
          <wp:inline distT="0" distB="0" distL="0" distR="0" wp14:anchorId="6740533D" wp14:editId="1370019D">
            <wp:extent cx="5975350" cy="1964055"/>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75350" cy="1964055"/>
                    </a:xfrm>
                    <a:prstGeom prst="rect">
                      <a:avLst/>
                    </a:prstGeom>
                    <a:noFill/>
                    <a:ln>
                      <a:noFill/>
                    </a:ln>
                  </pic:spPr>
                </pic:pic>
              </a:graphicData>
            </a:graphic>
          </wp:inline>
        </w:drawing>
      </w:r>
    </w:p>
    <w:p w14:paraId="624E132F" w14:textId="5EF941B9" w:rsidR="0010757F" w:rsidRPr="0007572B" w:rsidRDefault="0010757F" w:rsidP="0038082E">
      <w:pPr>
        <w:rPr>
          <w:rFonts w:ascii="Arial" w:hAnsi="Arial" w:cs="Arial"/>
          <w:b/>
          <w:sz w:val="22"/>
          <w:szCs w:val="22"/>
        </w:rPr>
      </w:pPr>
    </w:p>
    <w:p w14:paraId="40CA62DA" w14:textId="77777777" w:rsidR="004E552A" w:rsidRPr="0007572B" w:rsidRDefault="00A334F6" w:rsidP="0038082E">
      <w:pPr>
        <w:pStyle w:val="Normal0"/>
        <w:spacing w:after="160" w:line="240" w:lineRule="auto"/>
        <w:ind w:left="720" w:hanging="720"/>
        <w:rPr>
          <w:rFonts w:ascii="Arial" w:hAnsi="Arial" w:cs="Arial"/>
          <w:sz w:val="24"/>
          <w:szCs w:val="24"/>
          <w:lang w:val="en-GB"/>
        </w:rPr>
      </w:pPr>
      <w:r w:rsidRPr="0007572B">
        <w:rPr>
          <w:rFonts w:ascii="Arial" w:hAnsi="Arial" w:cs="Arial"/>
          <w:sz w:val="24"/>
          <w:szCs w:val="24"/>
        </w:rPr>
        <w:t>a)</w:t>
      </w:r>
      <w:r w:rsidRPr="0007572B">
        <w:rPr>
          <w:rFonts w:ascii="Arial" w:hAnsi="Arial" w:cs="Arial"/>
          <w:sz w:val="24"/>
          <w:szCs w:val="24"/>
        </w:rPr>
        <w:tab/>
      </w:r>
      <w:r w:rsidR="004E552A" w:rsidRPr="0007572B">
        <w:rPr>
          <w:rFonts w:ascii="Arial" w:hAnsi="Arial" w:cs="Arial"/>
          <w:sz w:val="24"/>
          <w:szCs w:val="24"/>
          <w:lang w:val="en-GB"/>
        </w:rPr>
        <w:t>Adjustments for capital purposes – this column adds in depreciation and impairment and revaluation gains and losses in</w:t>
      </w:r>
      <w:r w:rsidR="000C2D30" w:rsidRPr="0007572B">
        <w:rPr>
          <w:rFonts w:ascii="Arial" w:hAnsi="Arial" w:cs="Arial"/>
          <w:sz w:val="24"/>
          <w:szCs w:val="24"/>
          <w:lang w:val="en-GB"/>
        </w:rPr>
        <w:t xml:space="preserve"> the services line, and for:</w:t>
      </w:r>
      <w:r w:rsidR="004E552A" w:rsidRPr="0007572B">
        <w:rPr>
          <w:rFonts w:ascii="Arial" w:hAnsi="Arial" w:cs="Arial"/>
          <w:sz w:val="24"/>
          <w:szCs w:val="24"/>
          <w:lang w:val="en-GB"/>
        </w:rPr>
        <w:t xml:space="preserve">  </w:t>
      </w:r>
    </w:p>
    <w:p w14:paraId="2F3F2C73" w14:textId="77777777" w:rsidR="004E552A" w:rsidRPr="0007572B" w:rsidRDefault="004E552A" w:rsidP="0038082E">
      <w:pPr>
        <w:pStyle w:val="Normal0"/>
        <w:spacing w:after="160" w:line="240" w:lineRule="auto"/>
        <w:ind w:left="1440"/>
        <w:rPr>
          <w:rFonts w:ascii="Arial" w:hAnsi="Arial" w:cs="Arial"/>
          <w:sz w:val="24"/>
          <w:szCs w:val="24"/>
          <w:lang w:val="en-GB"/>
        </w:rPr>
      </w:pPr>
      <w:r w:rsidRPr="0007572B">
        <w:rPr>
          <w:rFonts w:ascii="Arial" w:hAnsi="Arial" w:cs="Arial"/>
          <w:sz w:val="24"/>
          <w:szCs w:val="24"/>
          <w:lang w:val="en-GB"/>
        </w:rPr>
        <w:t>- Other operating expenditure – adjusts for capital disposals with a transfer of income on disposal of assets and the amounts wr</w:t>
      </w:r>
      <w:r w:rsidR="000C2D30" w:rsidRPr="0007572B">
        <w:rPr>
          <w:rFonts w:ascii="Arial" w:hAnsi="Arial" w:cs="Arial"/>
          <w:sz w:val="24"/>
          <w:szCs w:val="24"/>
          <w:lang w:val="en-GB"/>
        </w:rPr>
        <w:t>itten off for those assets.</w:t>
      </w:r>
    </w:p>
    <w:p w14:paraId="2598F6CB" w14:textId="77777777" w:rsidR="004E552A" w:rsidRPr="0007572B" w:rsidRDefault="004E552A" w:rsidP="0038082E">
      <w:pPr>
        <w:pStyle w:val="Normal0"/>
        <w:spacing w:after="160" w:line="240" w:lineRule="auto"/>
        <w:ind w:left="1440"/>
        <w:rPr>
          <w:rFonts w:ascii="Arial" w:hAnsi="Arial" w:cs="Arial"/>
          <w:sz w:val="24"/>
          <w:szCs w:val="24"/>
          <w:lang w:val="en-GB"/>
        </w:rPr>
      </w:pPr>
      <w:r w:rsidRPr="0007572B">
        <w:rPr>
          <w:rFonts w:ascii="Arial" w:hAnsi="Arial" w:cs="Arial"/>
          <w:sz w:val="24"/>
          <w:szCs w:val="24"/>
          <w:lang w:val="en-GB"/>
        </w:rPr>
        <w:t>- Financing and investment income and expenditure – the statutory charges for capital financing i</w:t>
      </w:r>
      <w:r w:rsidR="000C2D30" w:rsidRPr="0007572B">
        <w:rPr>
          <w:rFonts w:ascii="Arial" w:hAnsi="Arial" w:cs="Arial"/>
          <w:sz w:val="24"/>
          <w:szCs w:val="24"/>
          <w:lang w:val="en-GB"/>
        </w:rPr>
        <w:t>.</w:t>
      </w:r>
      <w:r w:rsidRPr="0007572B">
        <w:rPr>
          <w:rFonts w:ascii="Arial" w:hAnsi="Arial" w:cs="Arial"/>
          <w:sz w:val="24"/>
          <w:szCs w:val="24"/>
          <w:lang w:val="en-GB"/>
        </w:rPr>
        <w:t>e</w:t>
      </w:r>
      <w:r w:rsidR="000C2D30" w:rsidRPr="0007572B">
        <w:rPr>
          <w:rFonts w:ascii="Arial" w:hAnsi="Arial" w:cs="Arial"/>
          <w:sz w:val="24"/>
          <w:szCs w:val="24"/>
          <w:lang w:val="en-GB"/>
        </w:rPr>
        <w:t>.</w:t>
      </w:r>
      <w:r w:rsidRPr="0007572B">
        <w:rPr>
          <w:rFonts w:ascii="Arial" w:hAnsi="Arial" w:cs="Arial"/>
          <w:sz w:val="24"/>
          <w:szCs w:val="24"/>
          <w:lang w:val="en-GB"/>
        </w:rPr>
        <w:t xml:space="preserve"> Minimum Revenue Provision and other revenue contributions are deducted from other income and expenditure as these are not chargeable under generally acc</w:t>
      </w:r>
      <w:r w:rsidR="000C2D30" w:rsidRPr="0007572B">
        <w:rPr>
          <w:rFonts w:ascii="Arial" w:hAnsi="Arial" w:cs="Arial"/>
          <w:sz w:val="24"/>
          <w:szCs w:val="24"/>
          <w:lang w:val="en-GB"/>
        </w:rPr>
        <w:t>epted accounting practices.</w:t>
      </w:r>
    </w:p>
    <w:p w14:paraId="78409A5E" w14:textId="39C59360" w:rsidR="00A334F6" w:rsidRPr="0007572B" w:rsidRDefault="004E552A" w:rsidP="0038082E">
      <w:pPr>
        <w:ind w:left="1440"/>
        <w:rPr>
          <w:rFonts w:ascii="Arial" w:hAnsi="Arial" w:cs="Arial"/>
        </w:rPr>
      </w:pPr>
      <w:r w:rsidRPr="0007572B">
        <w:rPr>
          <w:rFonts w:ascii="Arial" w:hAnsi="Arial" w:cs="Arial"/>
        </w:rPr>
        <w:t>- Taxation and non-specific grant income and expenditure – capital grants are adjusted for income not chargeable under generally accepted accounting practices. Revenue grants are adjusted from those receivable in the year to those receivable without conditions or for which conditions were satisfied throughout the year. The Taxation and Non</w:t>
      </w:r>
      <w:r w:rsidR="000C364F" w:rsidRPr="0007572B">
        <w:rPr>
          <w:rFonts w:ascii="Arial" w:hAnsi="Arial" w:cs="Arial"/>
        </w:rPr>
        <w:t>-</w:t>
      </w:r>
      <w:r w:rsidRPr="0007572B">
        <w:rPr>
          <w:rFonts w:ascii="Arial" w:hAnsi="Arial" w:cs="Arial"/>
        </w:rPr>
        <w:t>Specific Grant Income and Expenditure line is credited with capital grants receivable in the year without conditions or for which conditions were satisfied in the year.</w:t>
      </w:r>
    </w:p>
    <w:p w14:paraId="616EF312" w14:textId="77777777" w:rsidR="00A334F6" w:rsidRPr="0007572B" w:rsidRDefault="00A334F6" w:rsidP="0038082E">
      <w:pPr>
        <w:ind w:left="720" w:hanging="720"/>
        <w:rPr>
          <w:rFonts w:ascii="Arial" w:hAnsi="Arial" w:cs="Arial"/>
        </w:rPr>
      </w:pPr>
    </w:p>
    <w:p w14:paraId="786FDB2B" w14:textId="77777777" w:rsidR="000C2D30" w:rsidRPr="0007572B" w:rsidRDefault="00A334F6" w:rsidP="0038082E">
      <w:pPr>
        <w:pStyle w:val="Normal0"/>
        <w:spacing w:after="160" w:line="240" w:lineRule="auto"/>
        <w:ind w:left="720" w:hanging="720"/>
        <w:rPr>
          <w:rFonts w:ascii="Arial" w:hAnsi="Arial" w:cs="Arial"/>
          <w:sz w:val="24"/>
          <w:szCs w:val="24"/>
          <w:lang w:val="en-GB"/>
        </w:rPr>
      </w:pPr>
      <w:r w:rsidRPr="0007572B">
        <w:rPr>
          <w:rFonts w:ascii="Arial" w:hAnsi="Arial" w:cs="Arial"/>
          <w:sz w:val="24"/>
          <w:szCs w:val="24"/>
        </w:rPr>
        <w:t>b)</w:t>
      </w:r>
      <w:r w:rsidRPr="0007572B">
        <w:rPr>
          <w:rFonts w:ascii="Arial" w:hAnsi="Arial" w:cs="Arial"/>
          <w:sz w:val="24"/>
          <w:szCs w:val="24"/>
        </w:rPr>
        <w:tab/>
      </w:r>
      <w:r w:rsidR="000C2D30" w:rsidRPr="0007572B">
        <w:rPr>
          <w:rFonts w:ascii="Arial" w:hAnsi="Arial" w:cs="Arial"/>
          <w:sz w:val="24"/>
          <w:szCs w:val="24"/>
          <w:lang w:val="en-GB"/>
        </w:rPr>
        <w:t xml:space="preserve">Net Change for the Pensions Adjustments - Net change for the removal of pension contributions and the addition of IAS 19 Employee Benefits pension related expenditure and income: </w:t>
      </w:r>
    </w:p>
    <w:p w14:paraId="7637F475" w14:textId="0C136A1B" w:rsidR="000C2D30" w:rsidRPr="0007572B" w:rsidRDefault="000C2D30" w:rsidP="0038082E">
      <w:pPr>
        <w:pStyle w:val="Normal0"/>
        <w:spacing w:after="160" w:line="240" w:lineRule="auto"/>
        <w:ind w:left="1440"/>
        <w:rPr>
          <w:rFonts w:ascii="Arial" w:hAnsi="Arial" w:cs="Arial"/>
          <w:sz w:val="24"/>
          <w:szCs w:val="24"/>
          <w:lang w:val="en-GB"/>
        </w:rPr>
      </w:pPr>
      <w:r w:rsidRPr="0007572B">
        <w:rPr>
          <w:rFonts w:ascii="Arial" w:hAnsi="Arial" w:cs="Arial"/>
          <w:sz w:val="24"/>
          <w:szCs w:val="24"/>
          <w:lang w:val="en-GB"/>
        </w:rPr>
        <w:t xml:space="preserve">- For services this represents the removal of the employer pension contributions made by the </w:t>
      </w:r>
      <w:r w:rsidR="000713CE" w:rsidRPr="0007572B">
        <w:rPr>
          <w:rFonts w:ascii="Arial" w:hAnsi="Arial" w:cs="Arial"/>
          <w:sz w:val="24"/>
          <w:szCs w:val="24"/>
          <w:lang w:val="en-GB"/>
        </w:rPr>
        <w:t>A</w:t>
      </w:r>
      <w:r w:rsidRPr="0007572B">
        <w:rPr>
          <w:rFonts w:ascii="Arial" w:hAnsi="Arial" w:cs="Arial"/>
          <w:sz w:val="24"/>
          <w:szCs w:val="24"/>
          <w:lang w:val="en-GB"/>
        </w:rPr>
        <w:t>uthority as allowed by statute and the replacement with current service costs and past service costs.</w:t>
      </w:r>
    </w:p>
    <w:p w14:paraId="5BAA25D0" w14:textId="0BCFA349" w:rsidR="00A334F6" w:rsidRPr="0007572B" w:rsidRDefault="000C2D30" w:rsidP="0038082E">
      <w:pPr>
        <w:ind w:left="1440"/>
        <w:rPr>
          <w:rFonts w:ascii="Arial" w:hAnsi="Arial" w:cs="Arial"/>
        </w:rPr>
      </w:pPr>
      <w:r w:rsidRPr="0007572B">
        <w:rPr>
          <w:rFonts w:ascii="Arial" w:hAnsi="Arial" w:cs="Arial"/>
        </w:rPr>
        <w:t>- For Financing and investment income and expenditure – the net interest on the defined benefit liability is charged to the CIES.</w:t>
      </w:r>
      <w:r w:rsidR="00A334F6" w:rsidRPr="0007572B">
        <w:rPr>
          <w:rFonts w:ascii="Arial" w:hAnsi="Arial" w:cs="Arial"/>
        </w:rPr>
        <w:t xml:space="preserve"> </w:t>
      </w:r>
    </w:p>
    <w:p w14:paraId="37B7D201" w14:textId="77777777" w:rsidR="00B4518D" w:rsidRPr="0007572B" w:rsidRDefault="00B4518D" w:rsidP="0038082E">
      <w:pPr>
        <w:ind w:left="1440"/>
        <w:rPr>
          <w:rFonts w:ascii="Arial" w:hAnsi="Arial" w:cs="Arial"/>
        </w:rPr>
      </w:pPr>
    </w:p>
    <w:p w14:paraId="343319EB" w14:textId="77777777" w:rsidR="000C2D30" w:rsidRPr="0007572B" w:rsidRDefault="00A334F6" w:rsidP="0038082E">
      <w:pPr>
        <w:pStyle w:val="Normal0"/>
        <w:spacing w:after="160" w:line="240" w:lineRule="auto"/>
        <w:ind w:left="720" w:hanging="720"/>
        <w:rPr>
          <w:rFonts w:ascii="Arial" w:hAnsi="Arial" w:cs="Arial"/>
          <w:sz w:val="24"/>
          <w:szCs w:val="24"/>
          <w:lang w:val="en-GB"/>
        </w:rPr>
      </w:pPr>
      <w:r w:rsidRPr="0007572B">
        <w:rPr>
          <w:rFonts w:ascii="Arial" w:hAnsi="Arial" w:cs="Arial"/>
          <w:sz w:val="24"/>
          <w:szCs w:val="24"/>
        </w:rPr>
        <w:t>c)</w:t>
      </w:r>
      <w:r w:rsidRPr="0007572B">
        <w:rPr>
          <w:rFonts w:ascii="Arial" w:hAnsi="Arial" w:cs="Arial"/>
          <w:sz w:val="24"/>
          <w:szCs w:val="24"/>
        </w:rPr>
        <w:tab/>
      </w:r>
      <w:r w:rsidR="000C2D30" w:rsidRPr="0007572B">
        <w:rPr>
          <w:rFonts w:ascii="Arial" w:hAnsi="Arial" w:cs="Arial"/>
          <w:sz w:val="24"/>
          <w:szCs w:val="24"/>
          <w:lang w:val="en-GB"/>
        </w:rPr>
        <w:t>Other Differences - Other differences between amounts debited/credited to the Comprehensive Income and Expenditure Statement and amounts payable/receivable to be recognised under statute:</w:t>
      </w:r>
    </w:p>
    <w:p w14:paraId="27761A60" w14:textId="77777777" w:rsidR="000C2D30" w:rsidRPr="0007572B" w:rsidRDefault="000C2D30" w:rsidP="0038082E">
      <w:pPr>
        <w:pStyle w:val="Normal0"/>
        <w:spacing w:after="160" w:line="240" w:lineRule="auto"/>
        <w:ind w:left="1440"/>
        <w:rPr>
          <w:rFonts w:ascii="Arial" w:hAnsi="Arial" w:cs="Arial"/>
          <w:sz w:val="24"/>
          <w:szCs w:val="24"/>
          <w:lang w:val="en-GB"/>
        </w:rPr>
      </w:pPr>
      <w:r w:rsidRPr="0007572B">
        <w:rPr>
          <w:rFonts w:ascii="Arial" w:hAnsi="Arial" w:cs="Arial"/>
          <w:sz w:val="24"/>
          <w:szCs w:val="24"/>
          <w:lang w:val="en-GB"/>
        </w:rPr>
        <w:lastRenderedPageBreak/>
        <w:t>- For Financing and investment income and expenditure the other differences column recognises adjustments to the General Fund for the timing differences for premiums and discounts.</w:t>
      </w:r>
    </w:p>
    <w:p w14:paraId="78DE8BB8" w14:textId="77777777" w:rsidR="00A334F6" w:rsidRPr="0007572B" w:rsidRDefault="000C2D30" w:rsidP="0038082E">
      <w:pPr>
        <w:ind w:left="1440"/>
        <w:rPr>
          <w:rFonts w:ascii="Arial" w:hAnsi="Arial" w:cs="Arial"/>
        </w:rPr>
      </w:pPr>
      <w:r w:rsidRPr="0007572B">
        <w:rPr>
          <w:rFonts w:ascii="Arial" w:hAnsi="Arial" w:cs="Arial"/>
        </w:rPr>
        <w:t>- The charge under Taxation and non-specific grant income and expenditure represents the difference between what is chargeable under statutory regulations for council tax and NDR that was projected to be received at the start of the year and the income recognised under generally accepted accounting practices in the Code. This is a timing difference as any difference will be brought forward in future Surpluses or Deficits on the Collection Fund.</w:t>
      </w:r>
    </w:p>
    <w:p w14:paraId="0CA3108D" w14:textId="77777777" w:rsidR="000C2D30" w:rsidRPr="0007572B" w:rsidRDefault="000C2D30" w:rsidP="0038082E">
      <w:pPr>
        <w:ind w:left="720" w:hanging="720"/>
        <w:jc w:val="both"/>
        <w:rPr>
          <w:rFonts w:ascii="Arial" w:hAnsi="Arial" w:cs="Arial"/>
        </w:rPr>
      </w:pPr>
    </w:p>
    <w:p w14:paraId="17AA1BAC" w14:textId="60108B2A" w:rsidR="00027BE1" w:rsidRPr="0007572B" w:rsidRDefault="00027BE1" w:rsidP="0038082E">
      <w:pPr>
        <w:pStyle w:val="Normal0"/>
        <w:spacing w:after="160" w:line="240" w:lineRule="auto"/>
        <w:ind w:left="720" w:hanging="720"/>
        <w:jc w:val="both"/>
        <w:rPr>
          <w:rFonts w:ascii="Arial" w:hAnsi="Arial" w:cs="Arial"/>
          <w:b/>
          <w:sz w:val="22"/>
          <w:szCs w:val="22"/>
        </w:rPr>
      </w:pPr>
    </w:p>
    <w:p w14:paraId="73F45B51" w14:textId="77777777" w:rsidR="00027BE1" w:rsidRPr="0007572B" w:rsidRDefault="00027BE1" w:rsidP="0038082E">
      <w:pPr>
        <w:rPr>
          <w:rFonts w:ascii="Arial" w:hAnsi="Arial" w:cs="Arial"/>
          <w:b/>
          <w:sz w:val="22"/>
          <w:szCs w:val="22"/>
        </w:rPr>
        <w:sectPr w:rsidR="00027BE1" w:rsidRPr="0007572B" w:rsidSect="00171330">
          <w:pgSz w:w="11906" w:h="16838"/>
          <w:pgMar w:top="1444" w:right="1416" w:bottom="1440" w:left="1080" w:header="568" w:footer="567" w:gutter="0"/>
          <w:cols w:space="708"/>
          <w:docGrid w:linePitch="360"/>
        </w:sectPr>
      </w:pPr>
    </w:p>
    <w:p w14:paraId="016CCB50" w14:textId="60048D73" w:rsidR="004E11FD" w:rsidRPr="0007572B" w:rsidRDefault="00FC62F7" w:rsidP="0038082E">
      <w:pPr>
        <w:pStyle w:val="Heading3greennumbered"/>
      </w:pPr>
      <w:bookmarkStart w:id="109" w:name="_Toc92894880"/>
      <w:bookmarkStart w:id="110" w:name="_Toc92895184"/>
      <w:bookmarkStart w:id="111" w:name="_Toc109922618"/>
      <w:r w:rsidRPr="0007572B">
        <w:lastRenderedPageBreak/>
        <w:t xml:space="preserve">8 </w:t>
      </w:r>
      <w:r w:rsidR="00F2757F" w:rsidRPr="0007572B">
        <w:t xml:space="preserve">Adjustments </w:t>
      </w:r>
      <w:r w:rsidR="00D35A13" w:rsidRPr="0007572B">
        <w:t>between</w:t>
      </w:r>
      <w:r w:rsidR="00F2757F" w:rsidRPr="0007572B">
        <w:t xml:space="preserve"> </w:t>
      </w:r>
      <w:r w:rsidR="0063513E" w:rsidRPr="0007572B">
        <w:t>A</w:t>
      </w:r>
      <w:r w:rsidR="00F2757F" w:rsidRPr="0007572B">
        <w:t xml:space="preserve">ccounting </w:t>
      </w:r>
      <w:r w:rsidR="0063513E" w:rsidRPr="0007572B">
        <w:t>B</w:t>
      </w:r>
      <w:r w:rsidR="00F2757F" w:rsidRPr="0007572B">
        <w:t xml:space="preserve">asis and </w:t>
      </w:r>
      <w:r w:rsidR="0063513E" w:rsidRPr="0007572B">
        <w:t>F</w:t>
      </w:r>
      <w:r w:rsidR="00F2757F" w:rsidRPr="0007572B">
        <w:t xml:space="preserve">unding </w:t>
      </w:r>
      <w:r w:rsidR="0063513E" w:rsidRPr="0007572B">
        <w:t>B</w:t>
      </w:r>
      <w:r w:rsidR="00F2757F" w:rsidRPr="0007572B">
        <w:t xml:space="preserve">asis under </w:t>
      </w:r>
      <w:r w:rsidR="0063513E" w:rsidRPr="0007572B">
        <w:t>R</w:t>
      </w:r>
      <w:r w:rsidR="00F2757F" w:rsidRPr="0007572B">
        <w:t>egulations</w:t>
      </w:r>
      <w:bookmarkEnd w:id="109"/>
      <w:bookmarkEnd w:id="110"/>
      <w:bookmarkEnd w:id="111"/>
    </w:p>
    <w:p w14:paraId="5BB23207" w14:textId="77777777" w:rsidR="005403AF" w:rsidRDefault="005403AF" w:rsidP="0038082E">
      <w:pPr>
        <w:pStyle w:val="Normal0"/>
        <w:spacing w:line="240" w:lineRule="auto"/>
        <w:rPr>
          <w:rFonts w:ascii="Arial" w:eastAsia="Verdana" w:hAnsi="Arial" w:cs="Arial"/>
          <w:sz w:val="24"/>
          <w:szCs w:val="24"/>
          <w:lang w:val="en-GB"/>
        </w:rPr>
      </w:pPr>
    </w:p>
    <w:p w14:paraId="04136F35" w14:textId="46699627" w:rsidR="000C2D30" w:rsidRPr="0007572B" w:rsidRDefault="000C2D30" w:rsidP="0038082E">
      <w:pPr>
        <w:pStyle w:val="Normal0"/>
        <w:spacing w:after="160" w:line="240" w:lineRule="auto"/>
        <w:rPr>
          <w:rFonts w:ascii="Arial" w:eastAsia="Verdana" w:hAnsi="Arial" w:cs="Arial"/>
          <w:sz w:val="24"/>
          <w:szCs w:val="24"/>
          <w:lang w:val="en-GB"/>
        </w:rPr>
      </w:pPr>
      <w:r w:rsidRPr="0007572B">
        <w:rPr>
          <w:rFonts w:ascii="Arial" w:eastAsia="Verdana" w:hAnsi="Arial" w:cs="Arial"/>
          <w:sz w:val="24"/>
          <w:szCs w:val="24"/>
          <w:lang w:val="en-GB"/>
        </w:rPr>
        <w:t xml:space="preserve">This note details the adjustments that are made to the total comprehensive income and expenditure recognised by the Authority in the year in accordance with proper accounting practice to arrive at the resources that are specified by statutory provisions as being available to the Authority to meet future capital and revenue expenditure. The following sets out a description of the reserves that the adjustments are made against. </w:t>
      </w:r>
    </w:p>
    <w:p w14:paraId="789DE9B7" w14:textId="77777777" w:rsidR="000C2D30" w:rsidRPr="0007572B" w:rsidRDefault="000C2D30" w:rsidP="0038082E">
      <w:pPr>
        <w:pStyle w:val="Heading4bold"/>
        <w:rPr>
          <w:rFonts w:eastAsia="Verdana"/>
        </w:rPr>
      </w:pPr>
      <w:r w:rsidRPr="0007572B">
        <w:rPr>
          <w:rFonts w:eastAsia="Verdana"/>
        </w:rPr>
        <w:t>General Fund Balance</w:t>
      </w:r>
    </w:p>
    <w:p w14:paraId="5D1C0ACA" w14:textId="431BE0F8" w:rsidR="000C2D30" w:rsidRPr="0007572B" w:rsidRDefault="000C2D30" w:rsidP="0038082E">
      <w:pPr>
        <w:pStyle w:val="Normal0"/>
        <w:spacing w:after="160" w:line="240" w:lineRule="auto"/>
        <w:rPr>
          <w:rFonts w:ascii="Arial" w:eastAsia="Verdana" w:hAnsi="Arial" w:cs="Arial"/>
          <w:sz w:val="24"/>
          <w:szCs w:val="24"/>
          <w:lang w:val="en-GB"/>
        </w:rPr>
      </w:pPr>
      <w:r w:rsidRPr="0007572B">
        <w:rPr>
          <w:rFonts w:ascii="Arial" w:eastAsia="Verdana" w:hAnsi="Arial" w:cs="Arial"/>
          <w:sz w:val="24"/>
          <w:szCs w:val="24"/>
          <w:lang w:val="en-GB"/>
        </w:rPr>
        <w:t xml:space="preserve">The General Fund is the statutory fund into which all the receipts of an Authority are required to </w:t>
      </w:r>
      <w:r w:rsidR="00FB1945">
        <w:rPr>
          <w:rFonts w:ascii="Arial" w:eastAsia="Verdana" w:hAnsi="Arial" w:cs="Arial"/>
          <w:sz w:val="24"/>
          <w:szCs w:val="24"/>
          <w:lang w:val="en-GB"/>
        </w:rPr>
        <w:t xml:space="preserve">be </w:t>
      </w:r>
      <w:r w:rsidRPr="0007572B">
        <w:rPr>
          <w:rFonts w:ascii="Arial" w:eastAsia="Verdana" w:hAnsi="Arial" w:cs="Arial"/>
          <w:sz w:val="24"/>
          <w:szCs w:val="24"/>
          <w:lang w:val="en-GB"/>
        </w:rPr>
        <w:t>paid and out of which all liabilities of the Authority are to be met, except to the extent that statutory rules might provide otherwise. These rules can also specify the financial year in which liabilities and payments should impact on the General Fund Balance, which is not necessarily in accordance with proper accounting practice. The General Fund Balance therefore summarises the resources that the Authority is statutorily empowered to spend on its services or on capital investment (or the deficit of resources that the Authority is required to recover) at the end of the financial year.</w:t>
      </w:r>
    </w:p>
    <w:p w14:paraId="17D6C439" w14:textId="77777777" w:rsidR="000C2D30" w:rsidRPr="0007572B" w:rsidRDefault="000C2D30" w:rsidP="0038082E">
      <w:pPr>
        <w:pStyle w:val="Heading4bold"/>
        <w:rPr>
          <w:rFonts w:eastAsia="Verdana"/>
        </w:rPr>
      </w:pPr>
      <w:r w:rsidRPr="0007572B">
        <w:rPr>
          <w:rFonts w:eastAsia="Verdana"/>
        </w:rPr>
        <w:t>Capital Receipts Reserve</w:t>
      </w:r>
    </w:p>
    <w:p w14:paraId="25327435" w14:textId="77777777" w:rsidR="000C2D30" w:rsidRPr="0007572B" w:rsidRDefault="000C2D30" w:rsidP="0038082E">
      <w:pPr>
        <w:pStyle w:val="Normal0"/>
        <w:spacing w:after="160" w:line="240" w:lineRule="auto"/>
        <w:rPr>
          <w:rFonts w:ascii="Arial" w:eastAsia="Verdana" w:hAnsi="Arial" w:cs="Arial"/>
          <w:sz w:val="24"/>
          <w:szCs w:val="24"/>
          <w:lang w:val="en-GB"/>
        </w:rPr>
      </w:pPr>
      <w:r w:rsidRPr="0007572B">
        <w:rPr>
          <w:rFonts w:ascii="Arial" w:eastAsia="Verdana" w:hAnsi="Arial" w:cs="Arial"/>
          <w:sz w:val="24"/>
          <w:szCs w:val="24"/>
          <w:lang w:val="en-GB"/>
        </w:rPr>
        <w:t>The Capital Receipts Reserve holds the proceeds from the disposal of land or other assets, which are restricted by statute from being used other than to fund new capital expenditure or to be set aside to finance historical capital expenditure. The balance on the reserve shows the resources that have yet to be applied for these purposes at the year-end.</w:t>
      </w:r>
    </w:p>
    <w:p w14:paraId="1BA0E342" w14:textId="77777777" w:rsidR="000C2D30" w:rsidRPr="0007572B" w:rsidRDefault="000C2D30" w:rsidP="0038082E">
      <w:pPr>
        <w:pStyle w:val="Heading4bold"/>
        <w:rPr>
          <w:rFonts w:eastAsia="Verdana"/>
        </w:rPr>
      </w:pPr>
      <w:r w:rsidRPr="0007572B">
        <w:rPr>
          <w:rFonts w:eastAsia="Verdana"/>
        </w:rPr>
        <w:t>Capital Grants Unapplied</w:t>
      </w:r>
    </w:p>
    <w:p w14:paraId="063B11D4" w14:textId="765A0FA3" w:rsidR="004E11FD" w:rsidRPr="0007572B" w:rsidRDefault="000C2D30" w:rsidP="0038082E">
      <w:pPr>
        <w:rPr>
          <w:rFonts w:ascii="Arial" w:hAnsi="Arial" w:cs="Arial"/>
        </w:rPr>
      </w:pPr>
      <w:r w:rsidRPr="0007572B">
        <w:rPr>
          <w:rFonts w:ascii="Arial" w:eastAsia="Verdana" w:hAnsi="Arial" w:cs="Arial"/>
        </w:rPr>
        <w:t xml:space="preserve">The Capital Grants Unapplied Account (Reserve) holds the grants and contributions received towards capital projects for which the Authority has met the conditions that would otherwise require repayment of the </w:t>
      </w:r>
      <w:r w:rsidR="00265D05" w:rsidRPr="0007572B">
        <w:rPr>
          <w:rFonts w:ascii="Arial" w:eastAsia="Verdana" w:hAnsi="Arial" w:cs="Arial"/>
        </w:rPr>
        <w:t>monies,</w:t>
      </w:r>
      <w:r w:rsidRPr="0007572B">
        <w:rPr>
          <w:rFonts w:ascii="Arial" w:eastAsia="Verdana" w:hAnsi="Arial" w:cs="Arial"/>
        </w:rPr>
        <w:t xml:space="preserve"> but which have yet to be applied to meet expenditure. The balance is restricted by grant terms as to the capital expenditure against which it can be applied and/or the financial year in which this can take place.</w:t>
      </w:r>
    </w:p>
    <w:p w14:paraId="48981448" w14:textId="4BC7DCAD" w:rsidR="0010757F" w:rsidRPr="0007572B" w:rsidRDefault="0010757F" w:rsidP="0038082E">
      <w:pPr>
        <w:jc w:val="both"/>
        <w:rPr>
          <w:rFonts w:ascii="Arial" w:hAnsi="Arial" w:cs="Arial"/>
          <w:sz w:val="22"/>
          <w:szCs w:val="22"/>
        </w:rPr>
      </w:pPr>
    </w:p>
    <w:p w14:paraId="166CFE4E" w14:textId="2599F11B" w:rsidR="00FF6768" w:rsidRDefault="002C772E" w:rsidP="0038082E">
      <w:pPr>
        <w:jc w:val="both"/>
        <w:rPr>
          <w:noProof/>
        </w:rPr>
      </w:pPr>
      <w:r w:rsidRPr="002C772E">
        <w:rPr>
          <w:noProof/>
        </w:rPr>
        <w:lastRenderedPageBreak/>
        <w:drawing>
          <wp:inline distT="0" distB="0" distL="0" distR="0" wp14:anchorId="1DA719F4" wp14:editId="3C9D010A">
            <wp:extent cx="8860790" cy="3302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60790" cy="3302000"/>
                    </a:xfrm>
                    <a:prstGeom prst="rect">
                      <a:avLst/>
                    </a:prstGeom>
                    <a:noFill/>
                    <a:ln>
                      <a:noFill/>
                    </a:ln>
                  </pic:spPr>
                </pic:pic>
              </a:graphicData>
            </a:graphic>
          </wp:inline>
        </w:drawing>
      </w:r>
    </w:p>
    <w:p w14:paraId="1923B5A9" w14:textId="77777777" w:rsidR="008F7B59" w:rsidRDefault="008F7B59" w:rsidP="0038082E">
      <w:pPr>
        <w:jc w:val="both"/>
        <w:rPr>
          <w:noProof/>
        </w:rPr>
      </w:pPr>
    </w:p>
    <w:p w14:paraId="41D18494" w14:textId="77777777" w:rsidR="008F7B59" w:rsidRDefault="008F7B59" w:rsidP="0038082E">
      <w:pPr>
        <w:jc w:val="both"/>
        <w:rPr>
          <w:noProof/>
        </w:rPr>
      </w:pPr>
    </w:p>
    <w:p w14:paraId="0437DFD3" w14:textId="77777777" w:rsidR="008F7B59" w:rsidRDefault="008F7B59" w:rsidP="0038082E">
      <w:pPr>
        <w:jc w:val="both"/>
        <w:rPr>
          <w:noProof/>
        </w:rPr>
      </w:pPr>
    </w:p>
    <w:p w14:paraId="01510836" w14:textId="77777777" w:rsidR="008F7B59" w:rsidRDefault="008F7B59" w:rsidP="0038082E">
      <w:pPr>
        <w:jc w:val="both"/>
        <w:rPr>
          <w:noProof/>
        </w:rPr>
      </w:pPr>
    </w:p>
    <w:p w14:paraId="5D585998" w14:textId="77777777" w:rsidR="008F7B59" w:rsidRDefault="008F7B59" w:rsidP="0038082E">
      <w:pPr>
        <w:jc w:val="both"/>
        <w:rPr>
          <w:noProof/>
        </w:rPr>
      </w:pPr>
    </w:p>
    <w:p w14:paraId="239DE86C" w14:textId="1CB4C0E2" w:rsidR="008F7B59" w:rsidRPr="0007572B" w:rsidRDefault="008F7B59" w:rsidP="0038082E">
      <w:pPr>
        <w:jc w:val="both"/>
        <w:rPr>
          <w:rFonts w:ascii="Arial" w:hAnsi="Arial" w:cs="Arial"/>
          <w:sz w:val="22"/>
          <w:szCs w:val="22"/>
        </w:rPr>
        <w:sectPr w:rsidR="008F7B59" w:rsidRPr="0007572B" w:rsidSect="00D37612">
          <w:pgSz w:w="16838" w:h="11906" w:orient="landscape"/>
          <w:pgMar w:top="1080" w:right="1444" w:bottom="1416" w:left="1440" w:header="568" w:footer="567" w:gutter="0"/>
          <w:cols w:space="708"/>
          <w:docGrid w:linePitch="360"/>
        </w:sectPr>
      </w:pPr>
    </w:p>
    <w:p w14:paraId="2F5115E0" w14:textId="519C9467" w:rsidR="00F2757F" w:rsidRPr="0007572B" w:rsidRDefault="00FC62F7" w:rsidP="0038082E">
      <w:pPr>
        <w:pStyle w:val="Heading3greennumbered"/>
      </w:pPr>
      <w:bookmarkStart w:id="112" w:name="_Toc92894881"/>
      <w:bookmarkStart w:id="113" w:name="_Toc92895185"/>
      <w:bookmarkStart w:id="114" w:name="_Toc109922619"/>
      <w:bookmarkStart w:id="115" w:name="_Hlk109206725"/>
      <w:r w:rsidRPr="0007572B">
        <w:lastRenderedPageBreak/>
        <w:t xml:space="preserve">9 </w:t>
      </w:r>
      <w:r w:rsidR="008A21C8" w:rsidRPr="0007572B">
        <w:t>Transfers to/from</w:t>
      </w:r>
      <w:r w:rsidR="00F2757F" w:rsidRPr="0007572B">
        <w:t xml:space="preserve"> Reserves</w:t>
      </w:r>
      <w:bookmarkEnd w:id="112"/>
      <w:bookmarkEnd w:id="113"/>
      <w:bookmarkEnd w:id="114"/>
    </w:p>
    <w:p w14:paraId="36284AD3" w14:textId="77777777" w:rsidR="005403AF" w:rsidRDefault="005403AF" w:rsidP="0038082E">
      <w:pPr>
        <w:rPr>
          <w:rFonts w:ascii="Arial" w:hAnsi="Arial" w:cs="Arial"/>
        </w:rPr>
      </w:pPr>
    </w:p>
    <w:p w14:paraId="37F28A32" w14:textId="163B54A1" w:rsidR="00AC38C5" w:rsidRDefault="00AF1740" w:rsidP="0038082E">
      <w:pPr>
        <w:rPr>
          <w:rFonts w:ascii="Arial" w:hAnsi="Arial" w:cs="Arial"/>
        </w:rPr>
      </w:pPr>
      <w:r w:rsidRPr="0007572B">
        <w:rPr>
          <w:rFonts w:ascii="Arial" w:hAnsi="Arial" w:cs="Arial"/>
        </w:rPr>
        <w:t>T</w:t>
      </w:r>
      <w:r w:rsidR="0060751C" w:rsidRPr="0007572B">
        <w:rPr>
          <w:rFonts w:ascii="Arial" w:hAnsi="Arial" w:cs="Arial"/>
        </w:rPr>
        <w:t>his note sets out the amounts set aside from the General Fund in reserves to provide financing for future expenditure plans and the amounts posted back from earmarked reserves to meet General Fund expenditure.</w:t>
      </w:r>
    </w:p>
    <w:p w14:paraId="7D2A59FC" w14:textId="5CCB0CE9" w:rsidR="008F7B59" w:rsidRDefault="008F7B59" w:rsidP="0038082E">
      <w:pPr>
        <w:rPr>
          <w:rFonts w:ascii="Arial" w:hAnsi="Arial" w:cs="Arial"/>
        </w:rPr>
      </w:pPr>
    </w:p>
    <w:p w14:paraId="74BB23ED" w14:textId="23CC2304" w:rsidR="008F7B59" w:rsidRPr="0007572B" w:rsidRDefault="00796777" w:rsidP="0038082E">
      <w:pPr>
        <w:rPr>
          <w:rFonts w:ascii="Arial" w:hAnsi="Arial" w:cs="Arial"/>
        </w:rPr>
      </w:pPr>
      <w:r w:rsidRPr="00796777">
        <w:rPr>
          <w:noProof/>
        </w:rPr>
        <w:drawing>
          <wp:inline distT="0" distB="0" distL="0" distR="0" wp14:anchorId="3D465469" wp14:editId="60A7E369">
            <wp:extent cx="5267325" cy="559117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67325" cy="5591175"/>
                    </a:xfrm>
                    <a:prstGeom prst="rect">
                      <a:avLst/>
                    </a:prstGeom>
                    <a:noFill/>
                    <a:ln>
                      <a:noFill/>
                    </a:ln>
                  </pic:spPr>
                </pic:pic>
              </a:graphicData>
            </a:graphic>
          </wp:inline>
        </w:drawing>
      </w:r>
    </w:p>
    <w:p w14:paraId="0D4F7811" w14:textId="5077102E" w:rsidR="001859D8" w:rsidRPr="0007572B" w:rsidRDefault="001859D8" w:rsidP="0038082E">
      <w:pPr>
        <w:rPr>
          <w:rFonts w:ascii="Arial" w:hAnsi="Arial" w:cs="Arial"/>
          <w:noProof/>
        </w:rPr>
      </w:pPr>
    </w:p>
    <w:p w14:paraId="02B49047" w14:textId="0E469951" w:rsidR="00AC38C5" w:rsidRPr="0007572B" w:rsidRDefault="00A54D5B" w:rsidP="0038082E">
      <w:pPr>
        <w:rPr>
          <w:rFonts w:ascii="Arial" w:hAnsi="Arial" w:cs="Arial"/>
        </w:rPr>
      </w:pPr>
      <w:r w:rsidRPr="00A54D5B">
        <w:rPr>
          <w:noProof/>
        </w:rPr>
        <w:lastRenderedPageBreak/>
        <w:drawing>
          <wp:inline distT="0" distB="0" distL="0" distR="0" wp14:anchorId="17A437F7" wp14:editId="248B479A">
            <wp:extent cx="5267325" cy="5343525"/>
            <wp:effectExtent l="0" t="0" r="9525" b="9525"/>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67325" cy="5343525"/>
                    </a:xfrm>
                    <a:prstGeom prst="rect">
                      <a:avLst/>
                    </a:prstGeom>
                    <a:noFill/>
                    <a:ln>
                      <a:noFill/>
                    </a:ln>
                  </pic:spPr>
                </pic:pic>
              </a:graphicData>
            </a:graphic>
          </wp:inline>
        </w:drawing>
      </w:r>
    </w:p>
    <w:p w14:paraId="766E17F8" w14:textId="3B52B489" w:rsidR="00A93397" w:rsidRPr="0007572B" w:rsidRDefault="00A93397" w:rsidP="0038082E">
      <w:pPr>
        <w:rPr>
          <w:rFonts w:ascii="Arial" w:hAnsi="Arial" w:cs="Arial"/>
          <w:b/>
          <w:sz w:val="22"/>
          <w:szCs w:val="22"/>
        </w:rPr>
      </w:pPr>
    </w:p>
    <w:p w14:paraId="730DAEDB" w14:textId="77777777" w:rsidR="00FF6768" w:rsidRPr="0007572B" w:rsidRDefault="00FF6768" w:rsidP="0038082E">
      <w:pPr>
        <w:rPr>
          <w:rFonts w:ascii="Arial" w:hAnsi="Arial" w:cs="Arial"/>
          <w:sz w:val="22"/>
          <w:szCs w:val="22"/>
        </w:rPr>
      </w:pPr>
    </w:p>
    <w:p w14:paraId="0556E037" w14:textId="77777777" w:rsidR="00FF6768" w:rsidRPr="0007572B" w:rsidRDefault="00FF6768" w:rsidP="0038082E">
      <w:pPr>
        <w:rPr>
          <w:rFonts w:ascii="Arial" w:hAnsi="Arial" w:cs="Arial"/>
          <w:sz w:val="22"/>
          <w:szCs w:val="22"/>
        </w:rPr>
      </w:pPr>
    </w:p>
    <w:p w14:paraId="4C9387DA" w14:textId="2655DD0D" w:rsidR="00F2757F" w:rsidRPr="0007572B" w:rsidRDefault="0003456C" w:rsidP="00C76D66">
      <w:pPr>
        <w:pStyle w:val="Heading3greennumbered"/>
      </w:pPr>
      <w:bookmarkStart w:id="116" w:name="_Toc92894882"/>
      <w:bookmarkStart w:id="117" w:name="_Toc92895186"/>
      <w:bookmarkStart w:id="118" w:name="_Toc109922620"/>
      <w:r w:rsidRPr="0007572B">
        <w:t>10</w:t>
      </w:r>
      <w:r w:rsidR="00FC62F7" w:rsidRPr="0007572B">
        <w:t xml:space="preserve"> </w:t>
      </w:r>
      <w:r w:rsidR="00F2757F" w:rsidRPr="0007572B">
        <w:t xml:space="preserve">Purpose of Earmarked </w:t>
      </w:r>
      <w:r w:rsidR="00F2757F" w:rsidRPr="00C76D66">
        <w:t>Reserves</w:t>
      </w:r>
      <w:bookmarkEnd w:id="116"/>
      <w:bookmarkEnd w:id="117"/>
      <w:bookmarkEnd w:id="118"/>
    </w:p>
    <w:p w14:paraId="0B396988" w14:textId="77777777" w:rsidR="005403AF" w:rsidRDefault="005403AF" w:rsidP="0038082E">
      <w:pPr>
        <w:rPr>
          <w:rFonts w:ascii="Arial" w:hAnsi="Arial" w:cs="Arial"/>
        </w:rPr>
      </w:pPr>
    </w:p>
    <w:p w14:paraId="018D4729" w14:textId="45D5CE35" w:rsidR="006C7BDA" w:rsidRDefault="006C7BDA" w:rsidP="0038082E">
      <w:pPr>
        <w:rPr>
          <w:rFonts w:ascii="Arial" w:hAnsi="Arial" w:cs="Arial"/>
        </w:rPr>
      </w:pPr>
      <w:r w:rsidRPr="0007572B">
        <w:rPr>
          <w:rFonts w:ascii="Arial" w:hAnsi="Arial" w:cs="Arial"/>
        </w:rPr>
        <w:t>The purpose and operation of the reserves are as follows</w:t>
      </w:r>
      <w:r w:rsidR="00160785">
        <w:rPr>
          <w:rFonts w:ascii="Arial" w:hAnsi="Arial" w:cs="Arial"/>
        </w:rPr>
        <w:t>:</w:t>
      </w:r>
    </w:p>
    <w:p w14:paraId="23A1D714" w14:textId="12C4D683" w:rsidR="00994C6B" w:rsidRDefault="00994C6B" w:rsidP="0038082E">
      <w:pPr>
        <w:rPr>
          <w:rFonts w:ascii="Arial" w:hAnsi="Arial" w:cs="Arial"/>
        </w:rPr>
      </w:pPr>
    </w:p>
    <w:p w14:paraId="5EA35863" w14:textId="3B82C2A1" w:rsidR="00EF62A3" w:rsidRPr="008A2937" w:rsidRDefault="00994C6B" w:rsidP="008A2937">
      <w:pPr>
        <w:pStyle w:val="Heading4bold"/>
      </w:pPr>
      <w:r w:rsidRPr="008A2937">
        <w:t>Transport, Economic Development &amp; Regeneration</w:t>
      </w:r>
    </w:p>
    <w:tbl>
      <w:tblPr>
        <w:tblStyle w:val="TableGrid"/>
        <w:tblW w:w="0" w:type="auto"/>
        <w:tblLook w:val="04A0" w:firstRow="1" w:lastRow="0" w:firstColumn="1" w:lastColumn="0" w:noHBand="0" w:noVBand="1"/>
      </w:tblPr>
      <w:tblGrid>
        <w:gridCol w:w="1937"/>
        <w:gridCol w:w="15"/>
        <w:gridCol w:w="7064"/>
      </w:tblGrid>
      <w:tr w:rsidR="00EF62A3" w:rsidRPr="006467C6" w14:paraId="11163043" w14:textId="77777777" w:rsidTr="008E385E">
        <w:trPr>
          <w:trHeight w:val="270"/>
        </w:trPr>
        <w:tc>
          <w:tcPr>
            <w:tcW w:w="9016" w:type="dxa"/>
            <w:gridSpan w:val="3"/>
            <w:hideMark/>
          </w:tcPr>
          <w:p w14:paraId="7CC0F223" w14:textId="77777777" w:rsidR="00EF62A3" w:rsidRPr="006467C6" w:rsidRDefault="00EF62A3" w:rsidP="008E385E">
            <w:pPr>
              <w:rPr>
                <w:rFonts w:ascii="Arial" w:hAnsi="Arial" w:cs="Arial"/>
                <w:b/>
                <w:bCs/>
              </w:rPr>
            </w:pPr>
            <w:r w:rsidRPr="006467C6">
              <w:rPr>
                <w:rFonts w:ascii="Arial" w:hAnsi="Arial" w:cs="Arial"/>
                <w:b/>
                <w:bCs/>
              </w:rPr>
              <w:t>Transport, Economic Development &amp; Regeneration</w:t>
            </w:r>
          </w:p>
        </w:tc>
      </w:tr>
      <w:tr w:rsidR="00EF62A3" w:rsidRPr="006467C6" w14:paraId="6AC1BDF3" w14:textId="77777777" w:rsidTr="008E385E">
        <w:trPr>
          <w:trHeight w:val="540"/>
        </w:trPr>
        <w:tc>
          <w:tcPr>
            <w:tcW w:w="1937" w:type="dxa"/>
            <w:hideMark/>
          </w:tcPr>
          <w:p w14:paraId="1B464472" w14:textId="77777777" w:rsidR="00EF62A3" w:rsidRPr="006467C6" w:rsidRDefault="00EF62A3" w:rsidP="008E385E">
            <w:pPr>
              <w:rPr>
                <w:rFonts w:ascii="Arial" w:hAnsi="Arial" w:cs="Arial"/>
              </w:rPr>
            </w:pPr>
            <w:r w:rsidRPr="006467C6">
              <w:rPr>
                <w:rFonts w:ascii="Arial" w:hAnsi="Arial" w:cs="Arial"/>
              </w:rPr>
              <w:t>Earnback Revenue Reserve</w:t>
            </w:r>
          </w:p>
        </w:tc>
        <w:tc>
          <w:tcPr>
            <w:tcW w:w="7079" w:type="dxa"/>
            <w:gridSpan w:val="2"/>
            <w:hideMark/>
          </w:tcPr>
          <w:p w14:paraId="71BC958A" w14:textId="77777777" w:rsidR="00EF62A3" w:rsidRPr="006467C6" w:rsidRDefault="00EF62A3" w:rsidP="008E385E">
            <w:pPr>
              <w:rPr>
                <w:rFonts w:ascii="Arial" w:hAnsi="Arial" w:cs="Arial"/>
              </w:rPr>
            </w:pPr>
            <w:r w:rsidRPr="006467C6">
              <w:rPr>
                <w:rFonts w:ascii="Arial" w:hAnsi="Arial" w:cs="Arial"/>
              </w:rPr>
              <w:t xml:space="preserve">Funding from the devolution deal to be used for infrastructure investment.  </w:t>
            </w:r>
          </w:p>
        </w:tc>
      </w:tr>
      <w:tr w:rsidR="00EF62A3" w:rsidRPr="006467C6" w14:paraId="32F13321" w14:textId="77777777" w:rsidTr="008E385E">
        <w:trPr>
          <w:trHeight w:val="810"/>
        </w:trPr>
        <w:tc>
          <w:tcPr>
            <w:tcW w:w="1937" w:type="dxa"/>
            <w:hideMark/>
          </w:tcPr>
          <w:p w14:paraId="25A105FF" w14:textId="77777777" w:rsidR="00EF62A3" w:rsidRPr="006467C6" w:rsidRDefault="00EF62A3" w:rsidP="008E385E">
            <w:pPr>
              <w:rPr>
                <w:rFonts w:ascii="Arial" w:hAnsi="Arial" w:cs="Arial"/>
              </w:rPr>
            </w:pPr>
            <w:r w:rsidRPr="006467C6">
              <w:rPr>
                <w:rFonts w:ascii="Arial" w:hAnsi="Arial" w:cs="Arial"/>
              </w:rPr>
              <w:t>Life Chances Reserve</w:t>
            </w:r>
          </w:p>
        </w:tc>
        <w:tc>
          <w:tcPr>
            <w:tcW w:w="7079" w:type="dxa"/>
            <w:gridSpan w:val="2"/>
            <w:hideMark/>
          </w:tcPr>
          <w:p w14:paraId="2D6FBEA3" w14:textId="6704A897" w:rsidR="00EF62A3" w:rsidRPr="006467C6" w:rsidRDefault="00EF62A3" w:rsidP="008E385E">
            <w:pPr>
              <w:rPr>
                <w:rFonts w:ascii="Arial" w:hAnsi="Arial" w:cs="Arial"/>
              </w:rPr>
            </w:pPr>
            <w:r w:rsidRPr="006467C6">
              <w:rPr>
                <w:rFonts w:ascii="Arial" w:hAnsi="Arial" w:cs="Arial"/>
              </w:rPr>
              <w:t>Funding to help people in society who face the most significant barriers to leading happy and productive lives.  It will provide top-up contributions to outcomes-based contracts involving social investment e.g., S</w:t>
            </w:r>
            <w:r w:rsidR="00623228">
              <w:rPr>
                <w:rFonts w:ascii="Arial" w:hAnsi="Arial" w:cs="Arial"/>
              </w:rPr>
              <w:t>ocial Impact Bonds.</w:t>
            </w:r>
          </w:p>
        </w:tc>
      </w:tr>
      <w:tr w:rsidR="00EF62A3" w:rsidRPr="006467C6" w14:paraId="0E7C46B8" w14:textId="77777777" w:rsidTr="008E385E">
        <w:trPr>
          <w:trHeight w:val="810"/>
        </w:trPr>
        <w:tc>
          <w:tcPr>
            <w:tcW w:w="1937" w:type="dxa"/>
            <w:hideMark/>
          </w:tcPr>
          <w:p w14:paraId="6A435081" w14:textId="77777777" w:rsidR="00EF62A3" w:rsidRPr="006467C6" w:rsidRDefault="00EF62A3" w:rsidP="008E385E">
            <w:pPr>
              <w:rPr>
                <w:rFonts w:ascii="Arial" w:hAnsi="Arial" w:cs="Arial"/>
              </w:rPr>
            </w:pPr>
            <w:r w:rsidRPr="006467C6">
              <w:rPr>
                <w:rFonts w:ascii="Arial" w:hAnsi="Arial" w:cs="Arial"/>
              </w:rPr>
              <w:t>GM Clean Air Plan Reserve</w:t>
            </w:r>
          </w:p>
        </w:tc>
        <w:tc>
          <w:tcPr>
            <w:tcW w:w="7079" w:type="dxa"/>
            <w:gridSpan w:val="2"/>
            <w:hideMark/>
          </w:tcPr>
          <w:p w14:paraId="337444B3" w14:textId="2127913C" w:rsidR="00EF62A3" w:rsidRPr="006467C6" w:rsidRDefault="00EF62A3" w:rsidP="008E385E">
            <w:pPr>
              <w:rPr>
                <w:rFonts w:ascii="Arial" w:hAnsi="Arial" w:cs="Arial"/>
              </w:rPr>
            </w:pPr>
            <w:r w:rsidRPr="006467C6">
              <w:rPr>
                <w:rFonts w:ascii="Arial" w:hAnsi="Arial" w:cs="Arial"/>
              </w:rPr>
              <w:t>Funding to support the work to improve air quality across G</w:t>
            </w:r>
            <w:r w:rsidR="00A4524D">
              <w:rPr>
                <w:rFonts w:ascii="Arial" w:hAnsi="Arial" w:cs="Arial"/>
              </w:rPr>
              <w:t>reater Manchester (G</w:t>
            </w:r>
            <w:r w:rsidRPr="006467C6">
              <w:rPr>
                <w:rFonts w:ascii="Arial" w:hAnsi="Arial" w:cs="Arial"/>
              </w:rPr>
              <w:t>M</w:t>
            </w:r>
            <w:r w:rsidR="00A4524D">
              <w:rPr>
                <w:rFonts w:ascii="Arial" w:hAnsi="Arial" w:cs="Arial"/>
              </w:rPr>
              <w:t>)</w:t>
            </w:r>
            <w:r w:rsidRPr="006467C6">
              <w:rPr>
                <w:rFonts w:ascii="Arial" w:hAnsi="Arial" w:cs="Arial"/>
              </w:rPr>
              <w:t xml:space="preserve"> and to develop a local plan to ensure </w:t>
            </w:r>
            <w:r w:rsidRPr="006467C6">
              <w:rPr>
                <w:rFonts w:ascii="Arial" w:hAnsi="Arial" w:cs="Arial"/>
              </w:rPr>
              <w:lastRenderedPageBreak/>
              <w:t>the UK achieves compliance with legal limits for nitrogen dioxide in the shortest possible time.</w:t>
            </w:r>
          </w:p>
        </w:tc>
      </w:tr>
      <w:tr w:rsidR="00EF62A3" w:rsidRPr="006467C6" w14:paraId="0A39392D" w14:textId="77777777" w:rsidTr="008E385E">
        <w:trPr>
          <w:trHeight w:val="810"/>
        </w:trPr>
        <w:tc>
          <w:tcPr>
            <w:tcW w:w="1937" w:type="dxa"/>
          </w:tcPr>
          <w:p w14:paraId="50B1C374" w14:textId="77777777" w:rsidR="00EF62A3" w:rsidRPr="002617AC" w:rsidRDefault="00EF62A3" w:rsidP="008E385E">
            <w:pPr>
              <w:rPr>
                <w:rFonts w:ascii="Arial" w:hAnsi="Arial" w:cs="Arial"/>
                <w:highlight w:val="yellow"/>
              </w:rPr>
            </w:pPr>
            <w:r w:rsidRPr="002617AC">
              <w:rPr>
                <w:rFonts w:ascii="Arial" w:hAnsi="Arial" w:cs="Arial"/>
              </w:rPr>
              <w:lastRenderedPageBreak/>
              <w:t xml:space="preserve">Capability Fund </w:t>
            </w:r>
          </w:p>
        </w:tc>
        <w:tc>
          <w:tcPr>
            <w:tcW w:w="7079" w:type="dxa"/>
            <w:gridSpan w:val="2"/>
          </w:tcPr>
          <w:p w14:paraId="4EA42556" w14:textId="65B6D28B" w:rsidR="00EF62A3" w:rsidRPr="006467C6" w:rsidRDefault="00EF62A3" w:rsidP="008E385E">
            <w:pPr>
              <w:rPr>
                <w:rFonts w:ascii="Arial" w:hAnsi="Arial" w:cs="Arial"/>
              </w:rPr>
            </w:pPr>
            <w:r>
              <w:rPr>
                <w:rFonts w:ascii="Arial" w:hAnsi="Arial" w:cs="Arial"/>
              </w:rPr>
              <w:t xml:space="preserve">Funding to increase the capabilities of Local Authorities to plan active travel infrastructure (walking and cycling), including building more expertise and undertaking more evidence based planning. </w:t>
            </w:r>
          </w:p>
        </w:tc>
      </w:tr>
      <w:tr w:rsidR="00EF62A3" w:rsidRPr="006467C6" w14:paraId="14B8E806" w14:textId="77777777" w:rsidTr="008E385E">
        <w:trPr>
          <w:trHeight w:val="540"/>
        </w:trPr>
        <w:tc>
          <w:tcPr>
            <w:tcW w:w="1937" w:type="dxa"/>
            <w:hideMark/>
          </w:tcPr>
          <w:p w14:paraId="50531A29" w14:textId="77777777" w:rsidR="00EF62A3" w:rsidRPr="006467C6" w:rsidRDefault="00EF62A3" w:rsidP="008E385E">
            <w:pPr>
              <w:rPr>
                <w:rFonts w:ascii="Arial" w:hAnsi="Arial" w:cs="Arial"/>
              </w:rPr>
            </w:pPr>
            <w:r w:rsidRPr="006467C6">
              <w:rPr>
                <w:rFonts w:ascii="Arial" w:hAnsi="Arial" w:cs="Arial"/>
              </w:rPr>
              <w:t>Youth Contract Reserve</w:t>
            </w:r>
          </w:p>
        </w:tc>
        <w:tc>
          <w:tcPr>
            <w:tcW w:w="7079" w:type="dxa"/>
            <w:gridSpan w:val="2"/>
            <w:hideMark/>
          </w:tcPr>
          <w:p w14:paraId="1F1F742F" w14:textId="77777777" w:rsidR="00EF62A3" w:rsidRPr="006467C6" w:rsidRDefault="00EF62A3" w:rsidP="008E385E">
            <w:pPr>
              <w:rPr>
                <w:rFonts w:ascii="Arial" w:hAnsi="Arial" w:cs="Arial"/>
              </w:rPr>
            </w:pPr>
            <w:r w:rsidRPr="006467C6">
              <w:rPr>
                <w:rFonts w:ascii="Arial" w:hAnsi="Arial" w:cs="Arial"/>
              </w:rPr>
              <w:t>Funding to be used on initiatives to tackle youth unemployment for 18–24-year-olds.</w:t>
            </w:r>
          </w:p>
        </w:tc>
      </w:tr>
      <w:tr w:rsidR="00EF62A3" w:rsidRPr="006467C6" w14:paraId="75C1AF27" w14:textId="77777777" w:rsidTr="008E385E">
        <w:trPr>
          <w:trHeight w:val="540"/>
        </w:trPr>
        <w:tc>
          <w:tcPr>
            <w:tcW w:w="1937" w:type="dxa"/>
            <w:hideMark/>
          </w:tcPr>
          <w:p w14:paraId="14A9E375" w14:textId="77777777" w:rsidR="00EF62A3" w:rsidRPr="006467C6" w:rsidRDefault="00EF62A3" w:rsidP="008E385E">
            <w:pPr>
              <w:rPr>
                <w:rFonts w:ascii="Arial" w:hAnsi="Arial" w:cs="Arial"/>
              </w:rPr>
            </w:pPr>
            <w:r w:rsidRPr="006467C6">
              <w:rPr>
                <w:rFonts w:ascii="Arial" w:hAnsi="Arial" w:cs="Arial"/>
              </w:rPr>
              <w:t>Growing Places Fund Reserve</w:t>
            </w:r>
          </w:p>
        </w:tc>
        <w:tc>
          <w:tcPr>
            <w:tcW w:w="7079" w:type="dxa"/>
            <w:gridSpan w:val="2"/>
            <w:hideMark/>
          </w:tcPr>
          <w:p w14:paraId="5487B899" w14:textId="77777777" w:rsidR="00EF62A3" w:rsidRPr="006467C6" w:rsidRDefault="00EF62A3" w:rsidP="008E385E">
            <w:pPr>
              <w:rPr>
                <w:rFonts w:ascii="Arial" w:hAnsi="Arial" w:cs="Arial"/>
              </w:rPr>
            </w:pPr>
            <w:r w:rsidRPr="006467C6">
              <w:rPr>
                <w:rFonts w:ascii="Arial" w:hAnsi="Arial" w:cs="Arial"/>
              </w:rPr>
              <w:t>Funding to establish revolving investment funds, promoting a long term locally led solution to local infrastructure constraints.</w:t>
            </w:r>
          </w:p>
        </w:tc>
      </w:tr>
      <w:tr w:rsidR="00EF62A3" w:rsidRPr="006467C6" w14:paraId="121F834B" w14:textId="77777777" w:rsidTr="008E385E">
        <w:trPr>
          <w:trHeight w:val="540"/>
        </w:trPr>
        <w:tc>
          <w:tcPr>
            <w:tcW w:w="1937" w:type="dxa"/>
          </w:tcPr>
          <w:p w14:paraId="226968C0" w14:textId="77777777" w:rsidR="00EF62A3" w:rsidRPr="006467C6" w:rsidRDefault="00EF62A3" w:rsidP="008E385E">
            <w:pPr>
              <w:rPr>
                <w:rFonts w:ascii="Arial" w:hAnsi="Arial" w:cs="Arial"/>
              </w:rPr>
            </w:pPr>
            <w:r w:rsidRPr="006467C6">
              <w:rPr>
                <w:rFonts w:ascii="Arial" w:hAnsi="Arial" w:cs="Arial"/>
              </w:rPr>
              <w:t>Business Rates Top-Up Reserve</w:t>
            </w:r>
          </w:p>
        </w:tc>
        <w:tc>
          <w:tcPr>
            <w:tcW w:w="7079" w:type="dxa"/>
            <w:gridSpan w:val="2"/>
          </w:tcPr>
          <w:p w14:paraId="40E451B6" w14:textId="7CA74B6A" w:rsidR="00EF62A3" w:rsidRPr="006467C6" w:rsidRDefault="00EF62A3" w:rsidP="008E385E">
            <w:pPr>
              <w:rPr>
                <w:rFonts w:ascii="Arial" w:hAnsi="Arial" w:cs="Arial"/>
              </w:rPr>
            </w:pPr>
            <w:r w:rsidRPr="006467C6">
              <w:rPr>
                <w:rFonts w:ascii="Arial" w:hAnsi="Arial" w:cs="Arial"/>
              </w:rPr>
              <w:t xml:space="preserve">Funding </w:t>
            </w:r>
            <w:r w:rsidR="00892EDC">
              <w:rPr>
                <w:rFonts w:ascii="Arial" w:hAnsi="Arial" w:cs="Arial"/>
              </w:rPr>
              <w:t>r</w:t>
            </w:r>
            <w:r w:rsidRPr="006467C6">
              <w:rPr>
                <w:rFonts w:ascii="Arial" w:hAnsi="Arial" w:cs="Arial"/>
              </w:rPr>
              <w:t>eceived as part of the single pot allocations to support delivery.</w:t>
            </w:r>
          </w:p>
        </w:tc>
      </w:tr>
      <w:tr w:rsidR="00EF62A3" w:rsidRPr="006467C6" w14:paraId="5764FA3A" w14:textId="77777777" w:rsidTr="008E385E">
        <w:trPr>
          <w:trHeight w:val="540"/>
        </w:trPr>
        <w:tc>
          <w:tcPr>
            <w:tcW w:w="1937" w:type="dxa"/>
          </w:tcPr>
          <w:p w14:paraId="5DFC955B" w14:textId="77777777" w:rsidR="00EF62A3" w:rsidRPr="006467C6" w:rsidRDefault="00EF62A3" w:rsidP="008E385E">
            <w:pPr>
              <w:rPr>
                <w:rFonts w:ascii="Arial" w:hAnsi="Arial" w:cs="Arial"/>
              </w:rPr>
            </w:pPr>
            <w:r w:rsidRPr="006467C6">
              <w:rPr>
                <w:rFonts w:ascii="Arial" w:hAnsi="Arial" w:cs="Arial"/>
              </w:rPr>
              <w:t>GPF-RGF Interest and Arrangement Fees Reserve</w:t>
            </w:r>
          </w:p>
        </w:tc>
        <w:tc>
          <w:tcPr>
            <w:tcW w:w="7079" w:type="dxa"/>
            <w:gridSpan w:val="2"/>
          </w:tcPr>
          <w:p w14:paraId="3DFABE58" w14:textId="7A6D7642" w:rsidR="00EF62A3" w:rsidRPr="006467C6" w:rsidRDefault="00EF62A3" w:rsidP="008E385E">
            <w:pPr>
              <w:rPr>
                <w:rFonts w:ascii="Arial" w:hAnsi="Arial" w:cs="Arial"/>
              </w:rPr>
            </w:pPr>
            <w:r w:rsidRPr="006467C6">
              <w:rPr>
                <w:rFonts w:ascii="Arial" w:hAnsi="Arial" w:cs="Arial"/>
              </w:rPr>
              <w:t xml:space="preserve">Interest earned on income received in advance will be re-invested within the </w:t>
            </w:r>
            <w:r w:rsidR="00190FF1">
              <w:rPr>
                <w:rFonts w:ascii="Arial" w:hAnsi="Arial" w:cs="Arial"/>
              </w:rPr>
              <w:t xml:space="preserve">loan </w:t>
            </w:r>
            <w:r w:rsidRPr="006467C6">
              <w:rPr>
                <w:rFonts w:ascii="Arial" w:hAnsi="Arial" w:cs="Arial"/>
              </w:rPr>
              <w:t>fund as per grant conditions</w:t>
            </w:r>
            <w:r w:rsidR="00190FF1">
              <w:rPr>
                <w:rFonts w:ascii="Arial" w:hAnsi="Arial" w:cs="Arial"/>
              </w:rPr>
              <w:t>. A</w:t>
            </w:r>
            <w:r w:rsidRPr="006467C6">
              <w:rPr>
                <w:rFonts w:ascii="Arial" w:hAnsi="Arial" w:cs="Arial"/>
              </w:rPr>
              <w:t>rrangement fees may be off set against specific costs associated with the making of the loans.</w:t>
            </w:r>
          </w:p>
        </w:tc>
      </w:tr>
      <w:tr w:rsidR="00EF62A3" w:rsidRPr="006467C6" w14:paraId="05430840" w14:textId="77777777" w:rsidTr="008E385E">
        <w:trPr>
          <w:trHeight w:val="540"/>
        </w:trPr>
        <w:tc>
          <w:tcPr>
            <w:tcW w:w="1937" w:type="dxa"/>
          </w:tcPr>
          <w:p w14:paraId="57E06F1E" w14:textId="77777777" w:rsidR="00EF62A3" w:rsidRPr="006467C6" w:rsidRDefault="00EF62A3" w:rsidP="008E385E">
            <w:pPr>
              <w:rPr>
                <w:rFonts w:ascii="Arial" w:hAnsi="Arial" w:cs="Arial"/>
              </w:rPr>
            </w:pPr>
            <w:r w:rsidRPr="006467C6">
              <w:rPr>
                <w:rFonts w:ascii="Arial" w:hAnsi="Arial" w:cs="Arial"/>
              </w:rPr>
              <w:t>Churchgate Accommodation Reserve</w:t>
            </w:r>
          </w:p>
        </w:tc>
        <w:tc>
          <w:tcPr>
            <w:tcW w:w="7079" w:type="dxa"/>
            <w:gridSpan w:val="2"/>
          </w:tcPr>
          <w:p w14:paraId="35DCCAC7" w14:textId="77777777" w:rsidR="00EF62A3" w:rsidRDefault="00EF62A3" w:rsidP="008E385E">
            <w:pPr>
              <w:rPr>
                <w:rFonts w:ascii="Arial" w:hAnsi="Arial" w:cs="Arial"/>
              </w:rPr>
            </w:pPr>
            <w:r w:rsidRPr="006467C6">
              <w:rPr>
                <w:rFonts w:ascii="Arial" w:hAnsi="Arial" w:cs="Arial"/>
              </w:rPr>
              <w:t>Earmarked funding for accommodation fit-out costs at Churchgate House and Lee House.</w:t>
            </w:r>
          </w:p>
          <w:p w14:paraId="5813A8E4" w14:textId="37B50064" w:rsidR="00264715" w:rsidRPr="006467C6" w:rsidRDefault="00264715" w:rsidP="008E385E">
            <w:pPr>
              <w:rPr>
                <w:rFonts w:ascii="Arial" w:hAnsi="Arial" w:cs="Arial"/>
              </w:rPr>
            </w:pPr>
          </w:p>
        </w:tc>
      </w:tr>
      <w:tr w:rsidR="00EF62A3" w:rsidRPr="006467C6" w14:paraId="04BC9721" w14:textId="77777777" w:rsidTr="008E385E">
        <w:trPr>
          <w:trHeight w:val="540"/>
        </w:trPr>
        <w:tc>
          <w:tcPr>
            <w:tcW w:w="1937" w:type="dxa"/>
          </w:tcPr>
          <w:p w14:paraId="77A0356C" w14:textId="77777777" w:rsidR="00EF62A3" w:rsidRPr="006467C6" w:rsidRDefault="00EF62A3" w:rsidP="008E385E">
            <w:pPr>
              <w:rPr>
                <w:rFonts w:ascii="Arial" w:hAnsi="Arial" w:cs="Arial"/>
              </w:rPr>
            </w:pPr>
            <w:r w:rsidRPr="006467C6">
              <w:rPr>
                <w:rFonts w:ascii="Arial" w:hAnsi="Arial" w:cs="Arial"/>
              </w:rPr>
              <w:t>Adult Education Budget Devolution</w:t>
            </w:r>
          </w:p>
        </w:tc>
        <w:tc>
          <w:tcPr>
            <w:tcW w:w="7079" w:type="dxa"/>
            <w:gridSpan w:val="2"/>
          </w:tcPr>
          <w:p w14:paraId="582E5696" w14:textId="77777777" w:rsidR="00EF62A3" w:rsidRPr="006467C6" w:rsidRDefault="00EF62A3" w:rsidP="008E385E">
            <w:pPr>
              <w:rPr>
                <w:rFonts w:ascii="Arial" w:hAnsi="Arial" w:cs="Arial"/>
              </w:rPr>
            </w:pPr>
            <w:r w:rsidRPr="006467C6">
              <w:rPr>
                <w:rFonts w:ascii="Arial" w:hAnsi="Arial" w:cs="Arial"/>
              </w:rPr>
              <w:t>Funds adult further education (all 19yrs+ provision with the exception of apprenticeships/traineeships), community learning and discretionary learner support.  Supports the local labour market and economic development, in particular, it focuses on ensuring that adults have the core skills that they need for progression in learning and work, including guaranteeing a number of statutory entitlements relating to English, Maths and (from 2020/21 academic year onwards) digital skills, as well as first level 2 and 3 qualifications and English for Speakers of Other Languages (ESOL).</w:t>
            </w:r>
          </w:p>
        </w:tc>
      </w:tr>
      <w:tr w:rsidR="00EF62A3" w:rsidRPr="006467C6" w14:paraId="2B518C3D" w14:textId="77777777" w:rsidTr="008E385E">
        <w:trPr>
          <w:trHeight w:val="540"/>
        </w:trPr>
        <w:tc>
          <w:tcPr>
            <w:tcW w:w="1937" w:type="dxa"/>
          </w:tcPr>
          <w:p w14:paraId="51FE9046" w14:textId="77777777" w:rsidR="00EF62A3" w:rsidRPr="006467C6" w:rsidRDefault="00EF62A3" w:rsidP="008E385E">
            <w:pPr>
              <w:rPr>
                <w:rFonts w:ascii="Arial" w:hAnsi="Arial" w:cs="Arial"/>
              </w:rPr>
            </w:pPr>
            <w:r w:rsidRPr="006467C6">
              <w:rPr>
                <w:rFonts w:ascii="Arial" w:hAnsi="Arial" w:cs="Arial"/>
              </w:rPr>
              <w:t>Integrated Ticketing Reserve</w:t>
            </w:r>
          </w:p>
        </w:tc>
        <w:tc>
          <w:tcPr>
            <w:tcW w:w="7079" w:type="dxa"/>
            <w:gridSpan w:val="2"/>
          </w:tcPr>
          <w:p w14:paraId="2DF1AB9E" w14:textId="77777777" w:rsidR="00EF62A3" w:rsidRPr="006467C6" w:rsidRDefault="00EF62A3" w:rsidP="008E385E">
            <w:pPr>
              <w:rPr>
                <w:rFonts w:ascii="Arial" w:hAnsi="Arial" w:cs="Arial"/>
              </w:rPr>
            </w:pPr>
            <w:r w:rsidRPr="006467C6">
              <w:rPr>
                <w:rFonts w:ascii="Arial" w:hAnsi="Arial" w:cs="Arial"/>
              </w:rPr>
              <w:t>Funding to support the integrated ticketing scheme.</w:t>
            </w:r>
          </w:p>
        </w:tc>
      </w:tr>
      <w:tr w:rsidR="00EF62A3" w:rsidRPr="006467C6" w14:paraId="4AAE7612" w14:textId="77777777" w:rsidTr="008E385E">
        <w:trPr>
          <w:trHeight w:val="810"/>
        </w:trPr>
        <w:tc>
          <w:tcPr>
            <w:tcW w:w="1952" w:type="dxa"/>
            <w:gridSpan w:val="2"/>
          </w:tcPr>
          <w:p w14:paraId="26D3B9A2" w14:textId="2ED9E065" w:rsidR="00EF62A3" w:rsidRPr="006467C6" w:rsidRDefault="00EF62A3" w:rsidP="008E385E">
            <w:pPr>
              <w:rPr>
                <w:rFonts w:ascii="Arial" w:hAnsi="Arial" w:cs="Arial"/>
              </w:rPr>
            </w:pPr>
            <w:r w:rsidRPr="00EF62A3">
              <w:rPr>
                <w:rFonts w:ascii="Arial" w:hAnsi="Arial" w:cs="Arial"/>
              </w:rPr>
              <w:t>Capital Programme Reserve</w:t>
            </w:r>
          </w:p>
        </w:tc>
        <w:tc>
          <w:tcPr>
            <w:tcW w:w="7064" w:type="dxa"/>
          </w:tcPr>
          <w:p w14:paraId="238544D5" w14:textId="16EB8B09" w:rsidR="00EF62A3" w:rsidRPr="006467C6" w:rsidRDefault="00EF62A3" w:rsidP="008E385E">
            <w:pPr>
              <w:rPr>
                <w:rFonts w:ascii="Arial" w:hAnsi="Arial" w:cs="Arial"/>
              </w:rPr>
            </w:pPr>
            <w:r w:rsidRPr="006467C6">
              <w:rPr>
                <w:rFonts w:ascii="Arial" w:hAnsi="Arial" w:cs="Arial"/>
              </w:rPr>
              <w:t>Surpluses of capital financing costs which have been set aside to fund future capital programme related expenditure.</w:t>
            </w:r>
          </w:p>
        </w:tc>
      </w:tr>
      <w:tr w:rsidR="00EF62A3" w:rsidRPr="006467C6" w14:paraId="4B071199" w14:textId="77777777" w:rsidTr="008E385E">
        <w:trPr>
          <w:trHeight w:val="810"/>
        </w:trPr>
        <w:tc>
          <w:tcPr>
            <w:tcW w:w="1952" w:type="dxa"/>
            <w:gridSpan w:val="2"/>
            <w:hideMark/>
          </w:tcPr>
          <w:p w14:paraId="4793543A" w14:textId="77777777" w:rsidR="00EF62A3" w:rsidRPr="006467C6" w:rsidRDefault="00EF62A3" w:rsidP="008E385E">
            <w:pPr>
              <w:rPr>
                <w:rFonts w:ascii="Arial" w:hAnsi="Arial" w:cs="Arial"/>
              </w:rPr>
            </w:pPr>
            <w:r w:rsidRPr="006467C6">
              <w:rPr>
                <w:rFonts w:ascii="Arial" w:hAnsi="Arial" w:cs="Arial"/>
              </w:rPr>
              <w:t>Business rates Growth Pilot &amp; Levy</w:t>
            </w:r>
          </w:p>
        </w:tc>
        <w:tc>
          <w:tcPr>
            <w:tcW w:w="7064" w:type="dxa"/>
            <w:hideMark/>
          </w:tcPr>
          <w:p w14:paraId="7A1321DD" w14:textId="77777777" w:rsidR="00EF62A3" w:rsidRPr="006467C6" w:rsidRDefault="00EF62A3" w:rsidP="008E385E">
            <w:pPr>
              <w:rPr>
                <w:rFonts w:ascii="Arial" w:hAnsi="Arial" w:cs="Arial"/>
              </w:rPr>
            </w:pPr>
            <w:r w:rsidRPr="006467C6">
              <w:rPr>
                <w:rFonts w:ascii="Arial" w:hAnsi="Arial" w:cs="Arial"/>
              </w:rPr>
              <w:t>Funding to support Greater Manchester Strategic Priorities.</w:t>
            </w:r>
          </w:p>
        </w:tc>
      </w:tr>
      <w:tr w:rsidR="00EF62A3" w:rsidRPr="006467C6" w14:paraId="19BE7C2B" w14:textId="77777777" w:rsidTr="008E385E">
        <w:trPr>
          <w:trHeight w:val="810"/>
        </w:trPr>
        <w:tc>
          <w:tcPr>
            <w:tcW w:w="1952" w:type="dxa"/>
            <w:gridSpan w:val="2"/>
            <w:hideMark/>
          </w:tcPr>
          <w:p w14:paraId="693AED3A" w14:textId="77777777" w:rsidR="00EF62A3" w:rsidRPr="006467C6" w:rsidRDefault="00EF62A3" w:rsidP="008E385E">
            <w:pPr>
              <w:rPr>
                <w:rFonts w:ascii="Arial" w:hAnsi="Arial" w:cs="Arial"/>
              </w:rPr>
            </w:pPr>
            <w:r w:rsidRPr="006467C6">
              <w:rPr>
                <w:rFonts w:ascii="Arial" w:hAnsi="Arial" w:cs="Arial"/>
              </w:rPr>
              <w:t>HIF Interest and Arrangement Fees</w:t>
            </w:r>
          </w:p>
        </w:tc>
        <w:tc>
          <w:tcPr>
            <w:tcW w:w="7064" w:type="dxa"/>
            <w:hideMark/>
          </w:tcPr>
          <w:p w14:paraId="14ABB153" w14:textId="3A2EAA94" w:rsidR="00EF62A3" w:rsidRPr="006467C6" w:rsidRDefault="00EF62A3" w:rsidP="008E385E">
            <w:pPr>
              <w:rPr>
                <w:rFonts w:ascii="Arial" w:hAnsi="Arial" w:cs="Arial"/>
              </w:rPr>
            </w:pPr>
            <w:r w:rsidRPr="006467C6">
              <w:rPr>
                <w:rFonts w:ascii="Arial" w:hAnsi="Arial" w:cs="Arial"/>
              </w:rPr>
              <w:t xml:space="preserve">Interest, arrangement fees and other income earned from loans </w:t>
            </w:r>
            <w:r w:rsidR="00892EDC">
              <w:rPr>
                <w:rFonts w:ascii="Arial" w:hAnsi="Arial" w:cs="Arial"/>
              </w:rPr>
              <w:t xml:space="preserve">provided in accordance with a </w:t>
            </w:r>
            <w:r w:rsidRPr="006467C6">
              <w:rPr>
                <w:rFonts w:ascii="Arial" w:hAnsi="Arial" w:cs="Arial"/>
              </w:rPr>
              <w:t xml:space="preserve">funding agreement with </w:t>
            </w:r>
            <w:r w:rsidR="007C7C98">
              <w:rPr>
                <w:rFonts w:ascii="Arial" w:hAnsi="Arial" w:cs="Arial"/>
              </w:rPr>
              <w:t xml:space="preserve">the </w:t>
            </w:r>
            <w:r w:rsidRPr="006467C6">
              <w:rPr>
                <w:rFonts w:ascii="Arial" w:hAnsi="Arial" w:cs="Arial"/>
              </w:rPr>
              <w:t>Ministry for Homes, Communities and Local Government</w:t>
            </w:r>
            <w:r w:rsidR="007C7C98">
              <w:rPr>
                <w:rFonts w:ascii="Arial" w:hAnsi="Arial" w:cs="Arial"/>
              </w:rPr>
              <w:t xml:space="preserve">, where </w:t>
            </w:r>
            <w:r w:rsidRPr="006467C6">
              <w:rPr>
                <w:rFonts w:ascii="Arial" w:hAnsi="Arial" w:cs="Arial"/>
              </w:rPr>
              <w:t xml:space="preserve">surplus </w:t>
            </w:r>
            <w:r w:rsidR="007C7C98">
              <w:rPr>
                <w:rFonts w:ascii="Arial" w:hAnsi="Arial" w:cs="Arial"/>
              </w:rPr>
              <w:t xml:space="preserve">funds are </w:t>
            </w:r>
            <w:r w:rsidRPr="006467C6">
              <w:rPr>
                <w:rFonts w:ascii="Arial" w:hAnsi="Arial" w:cs="Arial"/>
              </w:rPr>
              <w:t>used to support the GM housing strategy.</w:t>
            </w:r>
          </w:p>
        </w:tc>
      </w:tr>
      <w:tr w:rsidR="00EF62A3" w:rsidRPr="006467C6" w14:paraId="7B7E75F8" w14:textId="77777777" w:rsidTr="008E385E">
        <w:trPr>
          <w:trHeight w:val="250"/>
        </w:trPr>
        <w:tc>
          <w:tcPr>
            <w:tcW w:w="1952" w:type="dxa"/>
            <w:gridSpan w:val="2"/>
            <w:hideMark/>
          </w:tcPr>
          <w:p w14:paraId="3BAE4E3F" w14:textId="77777777" w:rsidR="00EF62A3" w:rsidRPr="006467C6" w:rsidRDefault="00EF62A3" w:rsidP="008E385E">
            <w:pPr>
              <w:rPr>
                <w:rFonts w:ascii="Arial" w:hAnsi="Arial" w:cs="Arial"/>
              </w:rPr>
            </w:pPr>
            <w:r w:rsidRPr="006467C6">
              <w:rPr>
                <w:rFonts w:ascii="Arial" w:hAnsi="Arial" w:cs="Arial"/>
              </w:rPr>
              <w:t>Our Pass Reserve</w:t>
            </w:r>
          </w:p>
        </w:tc>
        <w:tc>
          <w:tcPr>
            <w:tcW w:w="7064" w:type="dxa"/>
            <w:hideMark/>
          </w:tcPr>
          <w:p w14:paraId="28FC8B73" w14:textId="3B36A0A2" w:rsidR="00EF62A3" w:rsidRPr="006467C6" w:rsidRDefault="00EF62A3" w:rsidP="008E385E">
            <w:pPr>
              <w:rPr>
                <w:rFonts w:ascii="Arial" w:hAnsi="Arial" w:cs="Arial"/>
              </w:rPr>
            </w:pPr>
            <w:r w:rsidRPr="006467C6">
              <w:rPr>
                <w:rFonts w:ascii="Arial" w:hAnsi="Arial" w:cs="Arial"/>
              </w:rPr>
              <w:t>Funding to support Our Pass</w:t>
            </w:r>
            <w:r w:rsidR="003741C8">
              <w:rPr>
                <w:rFonts w:ascii="Arial" w:hAnsi="Arial" w:cs="Arial"/>
              </w:rPr>
              <w:t xml:space="preserve"> a m</w:t>
            </w:r>
            <w:r w:rsidRPr="006467C6">
              <w:rPr>
                <w:rFonts w:ascii="Arial" w:hAnsi="Arial" w:cs="Arial"/>
              </w:rPr>
              <w:t xml:space="preserve">embership scheme for young people who live in Greater Manchester and supports both school and care leavers. Allows young people access opportunities with free bus travel throughout Greater Manchester. </w:t>
            </w:r>
          </w:p>
        </w:tc>
      </w:tr>
      <w:tr w:rsidR="00EF62A3" w:rsidRPr="006467C6" w14:paraId="45124FA0" w14:textId="77777777" w:rsidTr="00160785">
        <w:trPr>
          <w:trHeight w:val="611"/>
        </w:trPr>
        <w:tc>
          <w:tcPr>
            <w:tcW w:w="1952" w:type="dxa"/>
            <w:gridSpan w:val="2"/>
            <w:hideMark/>
          </w:tcPr>
          <w:p w14:paraId="3D8097F7" w14:textId="77777777" w:rsidR="00EF62A3" w:rsidRPr="006467C6" w:rsidRDefault="00EF62A3" w:rsidP="008E385E">
            <w:pPr>
              <w:rPr>
                <w:rFonts w:ascii="Arial" w:hAnsi="Arial" w:cs="Arial"/>
              </w:rPr>
            </w:pPr>
            <w:r w:rsidRPr="006467C6">
              <w:rPr>
                <w:rFonts w:ascii="Arial" w:hAnsi="Arial" w:cs="Arial"/>
              </w:rPr>
              <w:lastRenderedPageBreak/>
              <w:t>A Bed Every Night</w:t>
            </w:r>
          </w:p>
        </w:tc>
        <w:tc>
          <w:tcPr>
            <w:tcW w:w="7064" w:type="dxa"/>
            <w:hideMark/>
          </w:tcPr>
          <w:p w14:paraId="0952B5BA" w14:textId="5E133B00" w:rsidR="00EF62A3" w:rsidRPr="006467C6" w:rsidRDefault="00EF62A3" w:rsidP="008E385E">
            <w:pPr>
              <w:rPr>
                <w:rFonts w:ascii="Arial" w:hAnsi="Arial" w:cs="Arial"/>
              </w:rPr>
            </w:pPr>
            <w:r w:rsidRPr="006467C6">
              <w:rPr>
                <w:rFonts w:ascii="Arial" w:hAnsi="Arial" w:cs="Arial"/>
              </w:rPr>
              <w:t xml:space="preserve">Funding to support GM Mayor's Charity </w:t>
            </w:r>
            <w:r w:rsidR="003741C8">
              <w:rPr>
                <w:rFonts w:ascii="Arial" w:hAnsi="Arial" w:cs="Arial"/>
              </w:rPr>
              <w:t xml:space="preserve">- </w:t>
            </w:r>
            <w:r w:rsidRPr="006467C6">
              <w:rPr>
                <w:rFonts w:ascii="Arial" w:hAnsi="Arial" w:cs="Arial"/>
              </w:rPr>
              <w:t>A Bed Every Night scheme</w:t>
            </w:r>
            <w:r w:rsidR="003741C8">
              <w:rPr>
                <w:rFonts w:ascii="Arial" w:hAnsi="Arial" w:cs="Arial"/>
              </w:rPr>
              <w:t xml:space="preserve"> which w</w:t>
            </w:r>
            <w:r w:rsidRPr="006467C6">
              <w:rPr>
                <w:rFonts w:ascii="Arial" w:hAnsi="Arial" w:cs="Arial"/>
              </w:rPr>
              <w:t>orks to assist those who are sleeping rough in Greater Manchester</w:t>
            </w:r>
            <w:r w:rsidR="003741C8">
              <w:rPr>
                <w:rFonts w:ascii="Arial" w:hAnsi="Arial" w:cs="Arial"/>
              </w:rPr>
              <w:t>,</w:t>
            </w:r>
            <w:r w:rsidRPr="006467C6">
              <w:rPr>
                <w:rFonts w:ascii="Arial" w:hAnsi="Arial" w:cs="Arial"/>
              </w:rPr>
              <w:t xml:space="preserve"> into warm, safe, and supported accommodation. </w:t>
            </w:r>
          </w:p>
        </w:tc>
      </w:tr>
      <w:tr w:rsidR="00EF62A3" w:rsidRPr="006467C6" w14:paraId="147FC3E0" w14:textId="77777777" w:rsidTr="008E385E">
        <w:trPr>
          <w:trHeight w:val="270"/>
        </w:trPr>
        <w:tc>
          <w:tcPr>
            <w:tcW w:w="1952" w:type="dxa"/>
            <w:gridSpan w:val="2"/>
            <w:hideMark/>
          </w:tcPr>
          <w:p w14:paraId="6A8589A9" w14:textId="77777777" w:rsidR="00EF62A3" w:rsidRPr="006467C6" w:rsidRDefault="00EF62A3" w:rsidP="008E385E">
            <w:pPr>
              <w:rPr>
                <w:rFonts w:ascii="Arial" w:hAnsi="Arial" w:cs="Arial"/>
              </w:rPr>
            </w:pPr>
            <w:r w:rsidRPr="006467C6">
              <w:rPr>
                <w:rFonts w:ascii="Arial" w:hAnsi="Arial" w:cs="Arial"/>
              </w:rPr>
              <w:t>Brownfield Fund</w:t>
            </w:r>
          </w:p>
        </w:tc>
        <w:tc>
          <w:tcPr>
            <w:tcW w:w="7064" w:type="dxa"/>
            <w:hideMark/>
          </w:tcPr>
          <w:p w14:paraId="1FFEFEC0" w14:textId="77777777" w:rsidR="00EF62A3" w:rsidRPr="006467C6" w:rsidRDefault="00EF62A3" w:rsidP="008E385E">
            <w:pPr>
              <w:rPr>
                <w:rFonts w:ascii="Arial" w:hAnsi="Arial" w:cs="Arial"/>
              </w:rPr>
            </w:pPr>
            <w:r w:rsidRPr="006467C6">
              <w:rPr>
                <w:rFonts w:ascii="Arial" w:hAnsi="Arial" w:cs="Arial"/>
              </w:rPr>
              <w:t xml:space="preserve">Funding to support the construction of housing on brownfield land. </w:t>
            </w:r>
          </w:p>
        </w:tc>
      </w:tr>
      <w:tr w:rsidR="00160785" w:rsidRPr="006467C6" w14:paraId="097C151E" w14:textId="77777777" w:rsidTr="008E385E">
        <w:trPr>
          <w:trHeight w:val="772"/>
        </w:trPr>
        <w:tc>
          <w:tcPr>
            <w:tcW w:w="1952" w:type="dxa"/>
            <w:gridSpan w:val="2"/>
          </w:tcPr>
          <w:p w14:paraId="503FCC3E" w14:textId="119C7F21" w:rsidR="00160785" w:rsidRPr="00E45220" w:rsidRDefault="00160785" w:rsidP="00160785">
            <w:pPr>
              <w:rPr>
                <w:rFonts w:ascii="Arial" w:hAnsi="Arial" w:cs="Arial"/>
              </w:rPr>
            </w:pPr>
            <w:r>
              <w:rPr>
                <w:rFonts w:ascii="Arial" w:hAnsi="Arial" w:cs="Arial"/>
              </w:rPr>
              <w:t>Active Travel Fund</w:t>
            </w:r>
          </w:p>
        </w:tc>
        <w:tc>
          <w:tcPr>
            <w:tcW w:w="7064" w:type="dxa"/>
          </w:tcPr>
          <w:p w14:paraId="3A8B34F9" w14:textId="2C43DEF1" w:rsidR="00160785" w:rsidRPr="00E45220" w:rsidRDefault="00160785" w:rsidP="00160785">
            <w:pPr>
              <w:rPr>
                <w:rFonts w:ascii="Arial" w:hAnsi="Arial" w:cs="Arial"/>
              </w:rPr>
            </w:pPr>
            <w:r w:rsidRPr="00CD39D7">
              <w:rPr>
                <w:rFonts w:ascii="Arial" w:hAnsi="Arial" w:cs="Arial"/>
              </w:rPr>
              <w:t>Funding to be used for active travel, to deliver an attractive alternative to the travelling public for shorter journeys, and to support the Government's drive to tackle obesity</w:t>
            </w:r>
            <w:r>
              <w:rPr>
                <w:rFonts w:ascii="Arial" w:hAnsi="Arial" w:cs="Arial"/>
              </w:rPr>
              <w:t>.</w:t>
            </w:r>
          </w:p>
        </w:tc>
      </w:tr>
      <w:tr w:rsidR="00160785" w:rsidRPr="006467C6" w14:paraId="2B5AB44E" w14:textId="77777777" w:rsidTr="008E385E">
        <w:trPr>
          <w:trHeight w:val="772"/>
        </w:trPr>
        <w:tc>
          <w:tcPr>
            <w:tcW w:w="1952" w:type="dxa"/>
            <w:gridSpan w:val="2"/>
          </w:tcPr>
          <w:p w14:paraId="048A1DBA" w14:textId="77777777" w:rsidR="00160785" w:rsidRDefault="00160785" w:rsidP="00160785">
            <w:pPr>
              <w:rPr>
                <w:rFonts w:ascii="Arial" w:hAnsi="Arial" w:cs="Arial"/>
              </w:rPr>
            </w:pPr>
            <w:r w:rsidRPr="00E45220">
              <w:rPr>
                <w:rFonts w:ascii="Arial" w:hAnsi="Arial" w:cs="Arial"/>
              </w:rPr>
              <w:t>National Waste Strategy</w:t>
            </w:r>
            <w:r>
              <w:rPr>
                <w:rFonts w:ascii="Arial" w:hAnsi="Arial" w:cs="Arial"/>
              </w:rPr>
              <w:t xml:space="preserve"> </w:t>
            </w:r>
          </w:p>
        </w:tc>
        <w:tc>
          <w:tcPr>
            <w:tcW w:w="7064" w:type="dxa"/>
          </w:tcPr>
          <w:p w14:paraId="41A328A2" w14:textId="41CD14AE" w:rsidR="00160785" w:rsidRPr="006467C6" w:rsidRDefault="00160785" w:rsidP="00160785">
            <w:pPr>
              <w:rPr>
                <w:rFonts w:ascii="Arial" w:hAnsi="Arial" w:cs="Arial"/>
              </w:rPr>
            </w:pPr>
            <w:r w:rsidRPr="00E45220">
              <w:rPr>
                <w:rFonts w:ascii="Arial" w:hAnsi="Arial" w:cs="Arial"/>
              </w:rPr>
              <w:t xml:space="preserve">This reserve has been established to support costs </w:t>
            </w:r>
            <w:r w:rsidR="00DD53B7">
              <w:rPr>
                <w:rFonts w:ascii="Arial" w:hAnsi="Arial" w:cs="Arial"/>
              </w:rPr>
              <w:t xml:space="preserve">associated </w:t>
            </w:r>
            <w:r w:rsidRPr="00E45220">
              <w:rPr>
                <w:rFonts w:ascii="Arial" w:hAnsi="Arial" w:cs="Arial"/>
              </w:rPr>
              <w:t>with providing responses to</w:t>
            </w:r>
            <w:r w:rsidR="00DD53B7">
              <w:rPr>
                <w:rFonts w:ascii="Arial" w:hAnsi="Arial" w:cs="Arial"/>
              </w:rPr>
              <w:t>,</w:t>
            </w:r>
            <w:r w:rsidRPr="00E45220">
              <w:rPr>
                <w:rFonts w:ascii="Arial" w:hAnsi="Arial" w:cs="Arial"/>
              </w:rPr>
              <w:t xml:space="preserve"> and implementation of</w:t>
            </w:r>
            <w:r w:rsidR="00DD53B7">
              <w:rPr>
                <w:rFonts w:ascii="Arial" w:hAnsi="Arial" w:cs="Arial"/>
              </w:rPr>
              <w:t xml:space="preserve">, </w:t>
            </w:r>
            <w:r w:rsidRPr="00E45220">
              <w:rPr>
                <w:rFonts w:ascii="Arial" w:hAnsi="Arial" w:cs="Arial"/>
              </w:rPr>
              <w:t>the National Waste Strategy</w:t>
            </w:r>
            <w:r>
              <w:rPr>
                <w:rFonts w:ascii="Arial" w:hAnsi="Arial" w:cs="Arial"/>
              </w:rPr>
              <w:t>.</w:t>
            </w:r>
          </w:p>
        </w:tc>
      </w:tr>
      <w:tr w:rsidR="00160785" w:rsidRPr="006467C6" w14:paraId="57D45E7C" w14:textId="77777777" w:rsidTr="008E385E">
        <w:trPr>
          <w:trHeight w:val="1890"/>
        </w:trPr>
        <w:tc>
          <w:tcPr>
            <w:tcW w:w="1952" w:type="dxa"/>
            <w:gridSpan w:val="2"/>
            <w:hideMark/>
          </w:tcPr>
          <w:p w14:paraId="51C3EBED" w14:textId="77777777" w:rsidR="00160785" w:rsidRPr="006467C6" w:rsidRDefault="00160785" w:rsidP="00160785">
            <w:pPr>
              <w:rPr>
                <w:rFonts w:ascii="Arial" w:hAnsi="Arial" w:cs="Arial"/>
              </w:rPr>
            </w:pPr>
            <w:r>
              <w:rPr>
                <w:rFonts w:ascii="Arial" w:hAnsi="Arial" w:cs="Arial"/>
              </w:rPr>
              <w:t xml:space="preserve">Waste Disposal </w:t>
            </w:r>
            <w:r w:rsidRPr="006467C6">
              <w:rPr>
                <w:rFonts w:ascii="Arial" w:hAnsi="Arial" w:cs="Arial"/>
              </w:rPr>
              <w:t>Insurance Reserve</w:t>
            </w:r>
          </w:p>
        </w:tc>
        <w:tc>
          <w:tcPr>
            <w:tcW w:w="7064" w:type="dxa"/>
            <w:hideMark/>
          </w:tcPr>
          <w:p w14:paraId="643EC9E6" w14:textId="1BA6F06B" w:rsidR="00160785" w:rsidRPr="006467C6" w:rsidRDefault="00160785" w:rsidP="00160785">
            <w:pPr>
              <w:rPr>
                <w:rFonts w:ascii="Arial" w:hAnsi="Arial" w:cs="Arial"/>
              </w:rPr>
            </w:pPr>
            <w:r w:rsidRPr="006467C6">
              <w:rPr>
                <w:rFonts w:ascii="Arial" w:hAnsi="Arial" w:cs="Arial"/>
              </w:rPr>
              <w:t>This reserve has been established as a result of reducing the insurance provision in compliance with IAS37.  The reserve provides a prudent contingency against unforeseen future claims, including the MMI Scheme of Arrangement</w:t>
            </w:r>
            <w:r w:rsidR="00DD53B7">
              <w:rPr>
                <w:rFonts w:ascii="Arial" w:hAnsi="Arial" w:cs="Arial"/>
              </w:rPr>
              <w:t xml:space="preserve"> </w:t>
            </w:r>
            <w:r w:rsidRPr="006467C6">
              <w:rPr>
                <w:rFonts w:ascii="Arial" w:hAnsi="Arial" w:cs="Arial"/>
              </w:rPr>
              <w:t>a</w:t>
            </w:r>
            <w:r w:rsidR="00DD53B7">
              <w:rPr>
                <w:rFonts w:ascii="Arial" w:hAnsi="Arial" w:cs="Arial"/>
              </w:rPr>
              <w:t>nd</w:t>
            </w:r>
            <w:r w:rsidRPr="006467C6">
              <w:rPr>
                <w:rFonts w:ascii="Arial" w:hAnsi="Arial" w:cs="Arial"/>
              </w:rPr>
              <w:t xml:space="preserve"> provides a prudent hedge against changes in the insurance market which may require premium increases.  The Reserve </w:t>
            </w:r>
            <w:r w:rsidR="00DD53B7">
              <w:rPr>
                <w:rFonts w:ascii="Arial" w:hAnsi="Arial" w:cs="Arial"/>
              </w:rPr>
              <w:t>has also been</w:t>
            </w:r>
            <w:r w:rsidRPr="006467C6">
              <w:rPr>
                <w:rFonts w:ascii="Arial" w:hAnsi="Arial" w:cs="Arial"/>
              </w:rPr>
              <w:t xml:space="preserve"> enhanced as a buffer to satisfy any future insurance claims that may arise from an unforeseen event due to failure to secure selected insurance from the market.</w:t>
            </w:r>
          </w:p>
        </w:tc>
      </w:tr>
      <w:tr w:rsidR="00160785" w:rsidRPr="006467C6" w14:paraId="4642A979" w14:textId="77777777" w:rsidTr="008E385E">
        <w:trPr>
          <w:trHeight w:val="810"/>
        </w:trPr>
        <w:tc>
          <w:tcPr>
            <w:tcW w:w="1952" w:type="dxa"/>
            <w:gridSpan w:val="2"/>
            <w:hideMark/>
          </w:tcPr>
          <w:p w14:paraId="0939A466" w14:textId="77777777" w:rsidR="00160785" w:rsidRPr="006467C6" w:rsidRDefault="00160785" w:rsidP="00160785">
            <w:pPr>
              <w:rPr>
                <w:rFonts w:ascii="Arial" w:hAnsi="Arial" w:cs="Arial"/>
              </w:rPr>
            </w:pPr>
            <w:r w:rsidRPr="006467C6">
              <w:rPr>
                <w:rFonts w:ascii="Arial" w:hAnsi="Arial" w:cs="Arial"/>
              </w:rPr>
              <w:t>Waste Interest Rate Reserve</w:t>
            </w:r>
          </w:p>
        </w:tc>
        <w:tc>
          <w:tcPr>
            <w:tcW w:w="7064" w:type="dxa"/>
            <w:hideMark/>
          </w:tcPr>
          <w:p w14:paraId="03649F5F" w14:textId="6E61F27D" w:rsidR="00160785" w:rsidRPr="006467C6" w:rsidRDefault="00160785" w:rsidP="00160785">
            <w:pPr>
              <w:rPr>
                <w:rFonts w:ascii="Arial" w:hAnsi="Arial" w:cs="Arial"/>
              </w:rPr>
            </w:pPr>
            <w:r w:rsidRPr="006467C6">
              <w:rPr>
                <w:rFonts w:ascii="Arial" w:hAnsi="Arial" w:cs="Arial"/>
              </w:rPr>
              <w:t>To enable the Waste &amp; Resources service to meet the additional cost of funding future increases in the margin chargeable on borrowing, arising from the current policy of not taking longer term debt.</w:t>
            </w:r>
          </w:p>
        </w:tc>
      </w:tr>
      <w:tr w:rsidR="00160785" w:rsidRPr="006467C6" w14:paraId="10FB98CB" w14:textId="77777777" w:rsidTr="008E385E">
        <w:trPr>
          <w:trHeight w:val="1080"/>
        </w:trPr>
        <w:tc>
          <w:tcPr>
            <w:tcW w:w="1952" w:type="dxa"/>
            <w:gridSpan w:val="2"/>
            <w:hideMark/>
          </w:tcPr>
          <w:p w14:paraId="066C5603" w14:textId="77777777" w:rsidR="00160785" w:rsidRPr="006467C6" w:rsidRDefault="00160785" w:rsidP="00160785">
            <w:pPr>
              <w:rPr>
                <w:rFonts w:ascii="Arial" w:hAnsi="Arial" w:cs="Arial"/>
              </w:rPr>
            </w:pPr>
            <w:r w:rsidRPr="006467C6">
              <w:rPr>
                <w:rFonts w:ascii="Arial" w:hAnsi="Arial" w:cs="Arial"/>
              </w:rPr>
              <w:t>Waste Pension Deficit Funding Reserve</w:t>
            </w:r>
          </w:p>
        </w:tc>
        <w:tc>
          <w:tcPr>
            <w:tcW w:w="7064" w:type="dxa"/>
            <w:hideMark/>
          </w:tcPr>
          <w:p w14:paraId="052C5668" w14:textId="53830E9D" w:rsidR="00160785" w:rsidRPr="006467C6" w:rsidRDefault="00160785" w:rsidP="00160785">
            <w:pPr>
              <w:rPr>
                <w:rFonts w:ascii="Arial" w:hAnsi="Arial" w:cs="Arial"/>
              </w:rPr>
            </w:pPr>
            <w:r w:rsidRPr="006467C6">
              <w:rPr>
                <w:rFonts w:ascii="Arial" w:hAnsi="Arial" w:cs="Arial"/>
              </w:rPr>
              <w:t xml:space="preserve">To meet the cost of funding </w:t>
            </w:r>
            <w:r w:rsidR="00DD53B7">
              <w:rPr>
                <w:rFonts w:ascii="Arial" w:hAnsi="Arial" w:cs="Arial"/>
              </w:rPr>
              <w:t xml:space="preserve">any </w:t>
            </w:r>
            <w:r w:rsidRPr="006467C6">
              <w:rPr>
                <w:rFonts w:ascii="Arial" w:hAnsi="Arial" w:cs="Arial"/>
              </w:rPr>
              <w:t>potential future deficit arising on transfer of former Greater Manchester Waste Limited employees into the Authority’s pension fund on commencement of the Contract, and to take account of possible further efficiencies arising from austerity challenges.</w:t>
            </w:r>
          </w:p>
        </w:tc>
      </w:tr>
      <w:tr w:rsidR="00160785" w:rsidRPr="006467C6" w14:paraId="43E9BF56" w14:textId="77777777" w:rsidTr="008E385E">
        <w:trPr>
          <w:trHeight w:val="1080"/>
        </w:trPr>
        <w:tc>
          <w:tcPr>
            <w:tcW w:w="1952" w:type="dxa"/>
            <w:gridSpan w:val="2"/>
            <w:hideMark/>
          </w:tcPr>
          <w:p w14:paraId="1F216263" w14:textId="77777777" w:rsidR="00160785" w:rsidRPr="006467C6" w:rsidRDefault="00160785" w:rsidP="00160785">
            <w:pPr>
              <w:rPr>
                <w:rFonts w:ascii="Arial" w:hAnsi="Arial" w:cs="Arial"/>
              </w:rPr>
            </w:pPr>
            <w:r w:rsidRPr="006467C6">
              <w:rPr>
                <w:rFonts w:ascii="Arial" w:hAnsi="Arial" w:cs="Arial"/>
              </w:rPr>
              <w:t>Waste Medium Term Financial Plan Funding Reserve</w:t>
            </w:r>
          </w:p>
        </w:tc>
        <w:tc>
          <w:tcPr>
            <w:tcW w:w="7064" w:type="dxa"/>
            <w:hideMark/>
          </w:tcPr>
          <w:p w14:paraId="5EC8441C" w14:textId="77777777" w:rsidR="00160785" w:rsidRPr="006467C6" w:rsidRDefault="00160785" w:rsidP="00160785">
            <w:pPr>
              <w:rPr>
                <w:rFonts w:ascii="Arial" w:hAnsi="Arial" w:cs="Arial"/>
              </w:rPr>
            </w:pPr>
            <w:r w:rsidRPr="006467C6">
              <w:rPr>
                <w:rFonts w:ascii="Arial" w:hAnsi="Arial" w:cs="Arial"/>
              </w:rPr>
              <w:t>Reserve to support the delivery of objectives in the Waste &amp; Resources service Medium Term Financial Plan.</w:t>
            </w:r>
          </w:p>
        </w:tc>
      </w:tr>
      <w:tr w:rsidR="00160785" w:rsidRPr="006467C6" w14:paraId="61312EAC" w14:textId="77777777" w:rsidTr="00EF62A3">
        <w:trPr>
          <w:trHeight w:val="484"/>
        </w:trPr>
        <w:tc>
          <w:tcPr>
            <w:tcW w:w="9016" w:type="dxa"/>
            <w:gridSpan w:val="3"/>
          </w:tcPr>
          <w:p w14:paraId="22B6FDBE" w14:textId="3D2C6712" w:rsidR="00160785" w:rsidRPr="006467C6" w:rsidRDefault="00160785" w:rsidP="00160785">
            <w:pPr>
              <w:rPr>
                <w:rFonts w:ascii="Arial" w:hAnsi="Arial" w:cs="Arial"/>
              </w:rPr>
            </w:pPr>
            <w:r w:rsidRPr="006467C6">
              <w:rPr>
                <w:rFonts w:ascii="Arial" w:hAnsi="Arial" w:cs="Arial"/>
                <w:b/>
                <w:bCs/>
              </w:rPr>
              <w:t>Transport, Economic Development &amp; Regeneration</w:t>
            </w:r>
            <w:r>
              <w:rPr>
                <w:rFonts w:ascii="Arial" w:hAnsi="Arial" w:cs="Arial"/>
                <w:b/>
                <w:bCs/>
              </w:rPr>
              <w:t xml:space="preserve"> Continued</w:t>
            </w:r>
          </w:p>
        </w:tc>
      </w:tr>
      <w:tr w:rsidR="00160785" w:rsidRPr="006467C6" w14:paraId="108A81D6" w14:textId="77777777" w:rsidTr="008E385E">
        <w:trPr>
          <w:trHeight w:val="810"/>
        </w:trPr>
        <w:tc>
          <w:tcPr>
            <w:tcW w:w="1952" w:type="dxa"/>
            <w:gridSpan w:val="2"/>
            <w:hideMark/>
          </w:tcPr>
          <w:p w14:paraId="795E25EC" w14:textId="77777777" w:rsidR="00160785" w:rsidRPr="006467C6" w:rsidRDefault="00160785" w:rsidP="00160785">
            <w:pPr>
              <w:rPr>
                <w:rFonts w:ascii="Arial" w:hAnsi="Arial" w:cs="Arial"/>
              </w:rPr>
            </w:pPr>
            <w:r w:rsidRPr="006467C6">
              <w:rPr>
                <w:rFonts w:ascii="Arial" w:hAnsi="Arial" w:cs="Arial"/>
              </w:rPr>
              <w:t>Waste Optimisation Reserve</w:t>
            </w:r>
          </w:p>
        </w:tc>
        <w:tc>
          <w:tcPr>
            <w:tcW w:w="7064" w:type="dxa"/>
            <w:hideMark/>
          </w:tcPr>
          <w:p w14:paraId="2BE1CD37" w14:textId="77777777" w:rsidR="00160785" w:rsidRPr="006467C6" w:rsidRDefault="00160785" w:rsidP="00160785">
            <w:pPr>
              <w:rPr>
                <w:rFonts w:ascii="Arial" w:hAnsi="Arial" w:cs="Arial"/>
              </w:rPr>
            </w:pPr>
            <w:r w:rsidRPr="006467C6">
              <w:rPr>
                <w:rFonts w:ascii="Arial" w:hAnsi="Arial" w:cs="Arial"/>
              </w:rPr>
              <w:t>This reserve has been set up to allow a further capital contribution to be made (if required), so that the Authority can realise longer term financial and operational benefits from the approach to minimising the amount of waste sent to landfill.</w:t>
            </w:r>
          </w:p>
        </w:tc>
      </w:tr>
      <w:tr w:rsidR="00160785" w:rsidRPr="006467C6" w14:paraId="0B7D7727" w14:textId="77777777" w:rsidTr="008E385E">
        <w:trPr>
          <w:trHeight w:val="810"/>
        </w:trPr>
        <w:tc>
          <w:tcPr>
            <w:tcW w:w="1952" w:type="dxa"/>
            <w:gridSpan w:val="2"/>
            <w:hideMark/>
          </w:tcPr>
          <w:p w14:paraId="2CA3B3D4" w14:textId="77777777" w:rsidR="00160785" w:rsidRPr="006467C6" w:rsidRDefault="00160785" w:rsidP="00160785">
            <w:pPr>
              <w:rPr>
                <w:rFonts w:ascii="Arial" w:hAnsi="Arial" w:cs="Arial"/>
              </w:rPr>
            </w:pPr>
            <w:r w:rsidRPr="006467C6">
              <w:rPr>
                <w:rFonts w:ascii="Arial" w:hAnsi="Arial" w:cs="Arial"/>
              </w:rPr>
              <w:t>Waste Compositional Reserve</w:t>
            </w:r>
          </w:p>
        </w:tc>
        <w:tc>
          <w:tcPr>
            <w:tcW w:w="7064" w:type="dxa"/>
            <w:hideMark/>
          </w:tcPr>
          <w:p w14:paraId="1F3691A0" w14:textId="77777777" w:rsidR="00160785" w:rsidRPr="006467C6" w:rsidRDefault="00160785" w:rsidP="00160785">
            <w:pPr>
              <w:rPr>
                <w:rFonts w:ascii="Arial" w:hAnsi="Arial" w:cs="Arial"/>
              </w:rPr>
            </w:pPr>
            <w:r w:rsidRPr="006467C6">
              <w:rPr>
                <w:rFonts w:ascii="Arial" w:hAnsi="Arial" w:cs="Arial"/>
              </w:rPr>
              <w:t>This reserve provides the cost of conducting a review of waste arisings to be spread over several years.  The review enables us to gauge whether our residents are recycling, and in so doing, better target limited behavioural change resources.</w:t>
            </w:r>
          </w:p>
        </w:tc>
      </w:tr>
      <w:tr w:rsidR="00160785" w:rsidRPr="006467C6" w14:paraId="4BE9ADDD" w14:textId="77777777" w:rsidTr="008E385E">
        <w:trPr>
          <w:trHeight w:val="540"/>
        </w:trPr>
        <w:tc>
          <w:tcPr>
            <w:tcW w:w="1952" w:type="dxa"/>
            <w:gridSpan w:val="2"/>
            <w:hideMark/>
          </w:tcPr>
          <w:p w14:paraId="6750C658" w14:textId="77777777" w:rsidR="00160785" w:rsidRPr="006467C6" w:rsidRDefault="00160785" w:rsidP="00160785">
            <w:pPr>
              <w:rPr>
                <w:rFonts w:ascii="Arial" w:hAnsi="Arial" w:cs="Arial"/>
              </w:rPr>
            </w:pPr>
            <w:r w:rsidRPr="006467C6">
              <w:rPr>
                <w:rFonts w:ascii="Arial" w:hAnsi="Arial" w:cs="Arial"/>
              </w:rPr>
              <w:t>Waste Lifecycle Reserve</w:t>
            </w:r>
          </w:p>
        </w:tc>
        <w:tc>
          <w:tcPr>
            <w:tcW w:w="7064" w:type="dxa"/>
            <w:hideMark/>
          </w:tcPr>
          <w:p w14:paraId="20D5FA22" w14:textId="77777777" w:rsidR="00160785" w:rsidRPr="006467C6" w:rsidRDefault="00160785" w:rsidP="00160785">
            <w:pPr>
              <w:rPr>
                <w:rFonts w:ascii="Arial" w:hAnsi="Arial" w:cs="Arial"/>
              </w:rPr>
            </w:pPr>
            <w:r w:rsidRPr="006467C6">
              <w:rPr>
                <w:rFonts w:ascii="Arial" w:hAnsi="Arial" w:cs="Arial"/>
              </w:rPr>
              <w:t>Reserve created to allow funding of lifecycle / maintenance needs at the operational sites now under Authority control.</w:t>
            </w:r>
          </w:p>
        </w:tc>
      </w:tr>
      <w:tr w:rsidR="00160785" w:rsidRPr="006467C6" w14:paraId="1C91FC23" w14:textId="77777777" w:rsidTr="008E385E">
        <w:trPr>
          <w:trHeight w:val="540"/>
        </w:trPr>
        <w:tc>
          <w:tcPr>
            <w:tcW w:w="1952" w:type="dxa"/>
            <w:gridSpan w:val="2"/>
          </w:tcPr>
          <w:p w14:paraId="5EBFC403" w14:textId="77777777" w:rsidR="00160785" w:rsidRPr="006467C6" w:rsidRDefault="00160785" w:rsidP="00160785">
            <w:pPr>
              <w:rPr>
                <w:rFonts w:ascii="Arial" w:hAnsi="Arial" w:cs="Arial"/>
              </w:rPr>
            </w:pPr>
            <w:r>
              <w:rPr>
                <w:rFonts w:ascii="Arial" w:hAnsi="Arial" w:cs="Arial"/>
              </w:rPr>
              <w:t xml:space="preserve">Transport and ED&amp;R General Fund Balances </w:t>
            </w:r>
          </w:p>
        </w:tc>
        <w:tc>
          <w:tcPr>
            <w:tcW w:w="7064" w:type="dxa"/>
          </w:tcPr>
          <w:p w14:paraId="7DCF80ED" w14:textId="38EE95B4" w:rsidR="00160785" w:rsidRPr="006467C6" w:rsidRDefault="00160785" w:rsidP="00160785">
            <w:pPr>
              <w:rPr>
                <w:rFonts w:ascii="Arial" w:hAnsi="Arial" w:cs="Arial"/>
              </w:rPr>
            </w:pPr>
            <w:r>
              <w:rPr>
                <w:rFonts w:ascii="Arial" w:hAnsi="Arial" w:cs="Arial"/>
              </w:rPr>
              <w:t>Funding to be utilised for the basic activities or the services that are provided by the GMCA. Funding to support Transport and Economic Development and Regeneration activities.</w:t>
            </w:r>
          </w:p>
        </w:tc>
      </w:tr>
      <w:tr w:rsidR="00160785" w:rsidRPr="006467C6" w14:paraId="14E926C9" w14:textId="77777777" w:rsidTr="008E385E">
        <w:trPr>
          <w:trHeight w:val="540"/>
        </w:trPr>
        <w:tc>
          <w:tcPr>
            <w:tcW w:w="1952" w:type="dxa"/>
            <w:gridSpan w:val="2"/>
          </w:tcPr>
          <w:p w14:paraId="27827DE5" w14:textId="77777777" w:rsidR="00160785" w:rsidRPr="006467C6" w:rsidRDefault="00160785" w:rsidP="00160785">
            <w:pPr>
              <w:rPr>
                <w:rFonts w:ascii="Arial" w:hAnsi="Arial" w:cs="Arial"/>
              </w:rPr>
            </w:pPr>
            <w:r>
              <w:rPr>
                <w:rFonts w:ascii="Arial" w:hAnsi="Arial" w:cs="Arial"/>
              </w:rPr>
              <w:lastRenderedPageBreak/>
              <w:t xml:space="preserve">Waste General Fund Balances </w:t>
            </w:r>
          </w:p>
        </w:tc>
        <w:tc>
          <w:tcPr>
            <w:tcW w:w="7064" w:type="dxa"/>
          </w:tcPr>
          <w:p w14:paraId="54246FFD" w14:textId="33F1F056" w:rsidR="00160785" w:rsidRPr="006467C6" w:rsidRDefault="00160785" w:rsidP="00160785">
            <w:pPr>
              <w:rPr>
                <w:rFonts w:ascii="Arial" w:hAnsi="Arial" w:cs="Arial"/>
              </w:rPr>
            </w:pPr>
            <w:r>
              <w:rPr>
                <w:rFonts w:ascii="Arial" w:hAnsi="Arial" w:cs="Arial"/>
              </w:rPr>
              <w:t>Funding to be utilised for the basic activities or the services that are provided by the GMCA. Funding to support waste activities or services.</w:t>
            </w:r>
          </w:p>
        </w:tc>
      </w:tr>
      <w:tr w:rsidR="00160785" w:rsidRPr="006467C6" w14:paraId="5A8BB8BE" w14:textId="77777777" w:rsidTr="008E385E">
        <w:trPr>
          <w:trHeight w:val="540"/>
        </w:trPr>
        <w:tc>
          <w:tcPr>
            <w:tcW w:w="1952" w:type="dxa"/>
            <w:gridSpan w:val="2"/>
            <w:hideMark/>
          </w:tcPr>
          <w:p w14:paraId="4F81B9BF" w14:textId="77777777" w:rsidR="00160785" w:rsidRPr="006467C6" w:rsidRDefault="00160785" w:rsidP="00160785">
            <w:pPr>
              <w:rPr>
                <w:rFonts w:ascii="Arial" w:hAnsi="Arial" w:cs="Arial"/>
              </w:rPr>
            </w:pPr>
            <w:r w:rsidRPr="006467C6">
              <w:rPr>
                <w:rFonts w:ascii="Arial" w:hAnsi="Arial" w:cs="Arial"/>
              </w:rPr>
              <w:t>Usable Capital Receipts</w:t>
            </w:r>
            <w:r>
              <w:rPr>
                <w:rFonts w:ascii="Arial" w:hAnsi="Arial" w:cs="Arial"/>
              </w:rPr>
              <w:t xml:space="preserve"> Reserve </w:t>
            </w:r>
          </w:p>
        </w:tc>
        <w:tc>
          <w:tcPr>
            <w:tcW w:w="7064" w:type="dxa"/>
            <w:hideMark/>
          </w:tcPr>
          <w:p w14:paraId="3EBFAE3A" w14:textId="4FB19148" w:rsidR="00160785" w:rsidRPr="006467C6" w:rsidRDefault="00160785" w:rsidP="00160785">
            <w:pPr>
              <w:rPr>
                <w:rFonts w:ascii="Arial" w:hAnsi="Arial" w:cs="Arial"/>
              </w:rPr>
            </w:pPr>
            <w:r w:rsidRPr="006467C6">
              <w:rPr>
                <w:rFonts w:ascii="Arial" w:hAnsi="Arial" w:cs="Arial"/>
              </w:rPr>
              <w:t>Includes the principal repayments of RGF/GPF</w:t>
            </w:r>
            <w:r w:rsidR="006D38BD">
              <w:rPr>
                <w:rFonts w:ascii="Arial" w:hAnsi="Arial" w:cs="Arial"/>
              </w:rPr>
              <w:t xml:space="preserve"> and other </w:t>
            </w:r>
            <w:r w:rsidRPr="006467C6">
              <w:rPr>
                <w:rFonts w:ascii="Arial" w:hAnsi="Arial" w:cs="Arial"/>
              </w:rPr>
              <w:t>loans.</w:t>
            </w:r>
          </w:p>
        </w:tc>
      </w:tr>
      <w:tr w:rsidR="00160785" w:rsidRPr="006467C6" w14:paraId="4E2AE20D" w14:textId="77777777" w:rsidTr="008E385E">
        <w:trPr>
          <w:trHeight w:val="540"/>
        </w:trPr>
        <w:tc>
          <w:tcPr>
            <w:tcW w:w="1952" w:type="dxa"/>
            <w:gridSpan w:val="2"/>
          </w:tcPr>
          <w:p w14:paraId="3D3B2A6A" w14:textId="77777777" w:rsidR="00160785" w:rsidRPr="006467C6" w:rsidRDefault="00160785" w:rsidP="00160785">
            <w:pPr>
              <w:rPr>
                <w:rFonts w:ascii="Arial" w:hAnsi="Arial" w:cs="Arial"/>
              </w:rPr>
            </w:pPr>
            <w:r>
              <w:rPr>
                <w:rFonts w:ascii="Arial" w:hAnsi="Arial" w:cs="Arial"/>
              </w:rPr>
              <w:t xml:space="preserve">Capital Grants Unapplied Reserve </w:t>
            </w:r>
          </w:p>
        </w:tc>
        <w:tc>
          <w:tcPr>
            <w:tcW w:w="7064" w:type="dxa"/>
          </w:tcPr>
          <w:p w14:paraId="21D6F2BC" w14:textId="639DD3D4" w:rsidR="00160785" w:rsidRPr="006467C6" w:rsidRDefault="00160785" w:rsidP="00160785">
            <w:pPr>
              <w:rPr>
                <w:rFonts w:ascii="Arial" w:hAnsi="Arial" w:cs="Arial"/>
              </w:rPr>
            </w:pPr>
            <w:r>
              <w:rPr>
                <w:rFonts w:ascii="Arial" w:hAnsi="Arial" w:cs="Arial"/>
              </w:rPr>
              <w:t>Fund to hold capital grants which have been received and credited to income but not yet spent on the acquisition of non – current assets.</w:t>
            </w:r>
          </w:p>
        </w:tc>
      </w:tr>
    </w:tbl>
    <w:p w14:paraId="49ED5F46" w14:textId="326CDAB8" w:rsidR="00EF62A3" w:rsidRDefault="00EF62A3" w:rsidP="0038082E">
      <w:pPr>
        <w:rPr>
          <w:rFonts w:ascii="Arial" w:hAnsi="Arial" w:cs="Arial"/>
        </w:rPr>
      </w:pPr>
    </w:p>
    <w:p w14:paraId="62B09BA2" w14:textId="2C4F7217" w:rsidR="00994C6B" w:rsidRPr="0007572B" w:rsidRDefault="00994C6B" w:rsidP="0038082E">
      <w:pPr>
        <w:pStyle w:val="Heading4bold"/>
      </w:pPr>
      <w:r w:rsidRPr="0007572B">
        <w:t>Mayoral General Fund</w:t>
      </w:r>
    </w:p>
    <w:tbl>
      <w:tblPr>
        <w:tblStyle w:val="TableGrid"/>
        <w:tblW w:w="0" w:type="auto"/>
        <w:tblLook w:val="04A0" w:firstRow="1" w:lastRow="0" w:firstColumn="1" w:lastColumn="0" w:noHBand="0" w:noVBand="1"/>
      </w:tblPr>
      <w:tblGrid>
        <w:gridCol w:w="1923"/>
        <w:gridCol w:w="7093"/>
      </w:tblGrid>
      <w:tr w:rsidR="00EF62A3" w:rsidRPr="00164A45" w14:paraId="75C1FF78" w14:textId="77777777" w:rsidTr="008E385E">
        <w:trPr>
          <w:trHeight w:val="270"/>
        </w:trPr>
        <w:tc>
          <w:tcPr>
            <w:tcW w:w="9016" w:type="dxa"/>
            <w:gridSpan w:val="2"/>
            <w:hideMark/>
          </w:tcPr>
          <w:p w14:paraId="1345BF21" w14:textId="77777777" w:rsidR="00EF62A3" w:rsidRPr="00164A45" w:rsidRDefault="00EF62A3" w:rsidP="008E385E">
            <w:pPr>
              <w:rPr>
                <w:rFonts w:ascii="Arial" w:hAnsi="Arial" w:cs="Arial"/>
                <w:b/>
                <w:bCs/>
              </w:rPr>
            </w:pPr>
            <w:r w:rsidRPr="00164A45">
              <w:rPr>
                <w:rFonts w:ascii="Arial" w:hAnsi="Arial" w:cs="Arial"/>
                <w:b/>
                <w:bCs/>
              </w:rPr>
              <w:t>Mayoral General Fund</w:t>
            </w:r>
          </w:p>
        </w:tc>
      </w:tr>
      <w:tr w:rsidR="00EF62A3" w:rsidRPr="00164A45" w14:paraId="3BE98556" w14:textId="77777777" w:rsidTr="008E385E">
        <w:trPr>
          <w:trHeight w:val="540"/>
        </w:trPr>
        <w:tc>
          <w:tcPr>
            <w:tcW w:w="1923" w:type="dxa"/>
            <w:hideMark/>
          </w:tcPr>
          <w:p w14:paraId="2E729E6C" w14:textId="77777777" w:rsidR="00EF62A3" w:rsidRPr="00164A45" w:rsidRDefault="00EF62A3" w:rsidP="008E385E">
            <w:pPr>
              <w:rPr>
                <w:rFonts w:ascii="Arial" w:hAnsi="Arial" w:cs="Arial"/>
              </w:rPr>
            </w:pPr>
            <w:r w:rsidRPr="00164A45">
              <w:rPr>
                <w:rFonts w:ascii="Arial" w:hAnsi="Arial" w:cs="Arial"/>
              </w:rPr>
              <w:t>Capital Reserve</w:t>
            </w:r>
          </w:p>
        </w:tc>
        <w:tc>
          <w:tcPr>
            <w:tcW w:w="7093" w:type="dxa"/>
            <w:hideMark/>
          </w:tcPr>
          <w:p w14:paraId="7E346A93" w14:textId="77777777" w:rsidR="00EF62A3" w:rsidRPr="00164A45" w:rsidRDefault="00EF62A3" w:rsidP="008E385E">
            <w:pPr>
              <w:rPr>
                <w:rFonts w:ascii="Arial" w:hAnsi="Arial" w:cs="Arial"/>
              </w:rPr>
            </w:pPr>
            <w:r w:rsidRPr="00164A45">
              <w:rPr>
                <w:rFonts w:ascii="Arial" w:hAnsi="Arial" w:cs="Arial"/>
              </w:rPr>
              <w:t>Surpluses of capital financing costs which have been set aside to fund future capital programme related expenditure.</w:t>
            </w:r>
          </w:p>
        </w:tc>
      </w:tr>
      <w:tr w:rsidR="00EF62A3" w:rsidRPr="00164A45" w14:paraId="448DFBDA" w14:textId="77777777" w:rsidTr="008E385E">
        <w:trPr>
          <w:trHeight w:val="540"/>
        </w:trPr>
        <w:tc>
          <w:tcPr>
            <w:tcW w:w="1923" w:type="dxa"/>
            <w:hideMark/>
          </w:tcPr>
          <w:p w14:paraId="08ACF881" w14:textId="77777777" w:rsidR="00EF62A3" w:rsidRPr="00164A45" w:rsidRDefault="00EF62A3" w:rsidP="008E385E">
            <w:pPr>
              <w:rPr>
                <w:rFonts w:ascii="Arial" w:hAnsi="Arial" w:cs="Arial"/>
              </w:rPr>
            </w:pPr>
            <w:r w:rsidRPr="00164A45">
              <w:rPr>
                <w:rFonts w:ascii="Arial" w:hAnsi="Arial" w:cs="Arial"/>
              </w:rPr>
              <w:t>Earmarked Budgets Reserve</w:t>
            </w:r>
          </w:p>
        </w:tc>
        <w:tc>
          <w:tcPr>
            <w:tcW w:w="7093" w:type="dxa"/>
            <w:hideMark/>
          </w:tcPr>
          <w:p w14:paraId="6EC6328B" w14:textId="77777777" w:rsidR="00EF62A3" w:rsidRPr="00164A45" w:rsidRDefault="00EF62A3" w:rsidP="008E385E">
            <w:pPr>
              <w:rPr>
                <w:rFonts w:ascii="Arial" w:hAnsi="Arial" w:cs="Arial"/>
              </w:rPr>
            </w:pPr>
            <w:r w:rsidRPr="00164A45">
              <w:rPr>
                <w:rFonts w:ascii="Arial" w:hAnsi="Arial" w:cs="Arial"/>
              </w:rPr>
              <w:t>Funding to be utilised to meet the costs of future projects as part of the budget strategy.</w:t>
            </w:r>
          </w:p>
        </w:tc>
      </w:tr>
      <w:tr w:rsidR="00EF62A3" w:rsidRPr="00164A45" w14:paraId="5E6A8F48" w14:textId="77777777" w:rsidTr="008E385E">
        <w:trPr>
          <w:trHeight w:val="810"/>
        </w:trPr>
        <w:tc>
          <w:tcPr>
            <w:tcW w:w="1923" w:type="dxa"/>
            <w:hideMark/>
          </w:tcPr>
          <w:p w14:paraId="1603AFB1" w14:textId="77777777" w:rsidR="00EF62A3" w:rsidRPr="00164A45" w:rsidRDefault="00EF62A3" w:rsidP="008E385E">
            <w:pPr>
              <w:rPr>
                <w:rFonts w:ascii="Arial" w:hAnsi="Arial" w:cs="Arial"/>
              </w:rPr>
            </w:pPr>
            <w:r w:rsidRPr="00164A45">
              <w:rPr>
                <w:rFonts w:ascii="Arial" w:hAnsi="Arial" w:cs="Arial"/>
              </w:rPr>
              <w:t>Revenue Grants Unapplied Reserves</w:t>
            </w:r>
          </w:p>
        </w:tc>
        <w:tc>
          <w:tcPr>
            <w:tcW w:w="7093" w:type="dxa"/>
            <w:hideMark/>
          </w:tcPr>
          <w:p w14:paraId="2677D672" w14:textId="77777777" w:rsidR="00EF62A3" w:rsidRPr="00164A45" w:rsidRDefault="00EF62A3" w:rsidP="008E385E">
            <w:pPr>
              <w:rPr>
                <w:rFonts w:ascii="Arial" w:hAnsi="Arial" w:cs="Arial"/>
              </w:rPr>
            </w:pPr>
            <w:r w:rsidRPr="00164A45">
              <w:rPr>
                <w:rFonts w:ascii="Arial" w:hAnsi="Arial" w:cs="Arial"/>
              </w:rPr>
              <w:t>Accumulated unspent grant funding which is required to meet costs in future years.</w:t>
            </w:r>
          </w:p>
        </w:tc>
      </w:tr>
      <w:tr w:rsidR="00EF62A3" w:rsidRPr="00164A45" w14:paraId="36F314C4" w14:textId="77777777" w:rsidTr="008E385E">
        <w:trPr>
          <w:trHeight w:val="1080"/>
        </w:trPr>
        <w:tc>
          <w:tcPr>
            <w:tcW w:w="1923" w:type="dxa"/>
            <w:hideMark/>
          </w:tcPr>
          <w:p w14:paraId="39079C04" w14:textId="77777777" w:rsidR="00EF62A3" w:rsidRPr="00164A45" w:rsidRDefault="00EF62A3" w:rsidP="008E385E">
            <w:pPr>
              <w:rPr>
                <w:rFonts w:ascii="Arial" w:hAnsi="Arial" w:cs="Arial"/>
              </w:rPr>
            </w:pPr>
            <w:r w:rsidRPr="00164A45">
              <w:rPr>
                <w:rFonts w:ascii="Arial" w:hAnsi="Arial" w:cs="Arial"/>
              </w:rPr>
              <w:t>Insurance Reserve</w:t>
            </w:r>
          </w:p>
        </w:tc>
        <w:tc>
          <w:tcPr>
            <w:tcW w:w="7093" w:type="dxa"/>
            <w:hideMark/>
          </w:tcPr>
          <w:p w14:paraId="73F91DA4" w14:textId="77777777" w:rsidR="00EF62A3" w:rsidRPr="00164A45" w:rsidRDefault="00EF62A3" w:rsidP="008E385E">
            <w:pPr>
              <w:rPr>
                <w:rFonts w:ascii="Arial" w:hAnsi="Arial" w:cs="Arial"/>
              </w:rPr>
            </w:pPr>
            <w:r w:rsidRPr="00164A45">
              <w:rPr>
                <w:rFonts w:ascii="Arial" w:hAnsi="Arial" w:cs="Arial"/>
              </w:rPr>
              <w:t>Reserve established as a result of reducing the insurance provision in compliance with IAS37.  The reserve provides a prudent contingency against unforeseen future claims, including the MMI Scheme of Arrangement. The reserve also provides a prudent hedge against changes in the insurance market which may require premium increases.</w:t>
            </w:r>
          </w:p>
        </w:tc>
      </w:tr>
      <w:tr w:rsidR="00EF62A3" w:rsidRPr="00164A45" w14:paraId="0F5B85D0" w14:textId="77777777" w:rsidTr="008E385E">
        <w:trPr>
          <w:trHeight w:val="540"/>
        </w:trPr>
        <w:tc>
          <w:tcPr>
            <w:tcW w:w="1923" w:type="dxa"/>
            <w:hideMark/>
          </w:tcPr>
          <w:p w14:paraId="2670642B" w14:textId="77777777" w:rsidR="00EF62A3" w:rsidRPr="00164A45" w:rsidRDefault="00EF62A3" w:rsidP="008E385E">
            <w:pPr>
              <w:rPr>
                <w:rFonts w:ascii="Arial" w:hAnsi="Arial" w:cs="Arial"/>
              </w:rPr>
            </w:pPr>
            <w:r w:rsidRPr="00164A45">
              <w:rPr>
                <w:rFonts w:ascii="Arial" w:hAnsi="Arial" w:cs="Arial"/>
              </w:rPr>
              <w:t>Business Rates Reserve</w:t>
            </w:r>
          </w:p>
        </w:tc>
        <w:tc>
          <w:tcPr>
            <w:tcW w:w="7093" w:type="dxa"/>
            <w:hideMark/>
          </w:tcPr>
          <w:p w14:paraId="40BF8B9B" w14:textId="77777777" w:rsidR="00EF62A3" w:rsidRPr="00164A45" w:rsidRDefault="00EF62A3" w:rsidP="008E385E">
            <w:pPr>
              <w:rPr>
                <w:rFonts w:ascii="Arial" w:hAnsi="Arial" w:cs="Arial"/>
              </w:rPr>
            </w:pPr>
            <w:r w:rsidRPr="00164A45">
              <w:rPr>
                <w:rFonts w:ascii="Arial" w:hAnsi="Arial" w:cs="Arial"/>
              </w:rPr>
              <w:t>Funding to mitigate the impact of potential significant deficits on the 10 Greater Manchester Council respective Collection Funds, of which the Authority is liable for 1%.</w:t>
            </w:r>
          </w:p>
        </w:tc>
      </w:tr>
      <w:tr w:rsidR="00EF62A3" w:rsidRPr="00164A45" w14:paraId="732F073F" w14:textId="77777777" w:rsidTr="008E385E">
        <w:trPr>
          <w:trHeight w:val="463"/>
        </w:trPr>
        <w:tc>
          <w:tcPr>
            <w:tcW w:w="1923" w:type="dxa"/>
            <w:hideMark/>
          </w:tcPr>
          <w:p w14:paraId="4529417F" w14:textId="77777777" w:rsidR="00EF62A3" w:rsidRPr="00164A45" w:rsidRDefault="00EF62A3" w:rsidP="008E385E">
            <w:pPr>
              <w:rPr>
                <w:rFonts w:ascii="Arial" w:hAnsi="Arial" w:cs="Arial"/>
              </w:rPr>
            </w:pPr>
            <w:r w:rsidRPr="00164A45">
              <w:rPr>
                <w:rFonts w:ascii="Arial" w:hAnsi="Arial" w:cs="Arial"/>
              </w:rPr>
              <w:t>Restructuring Reserve</w:t>
            </w:r>
          </w:p>
        </w:tc>
        <w:tc>
          <w:tcPr>
            <w:tcW w:w="7093" w:type="dxa"/>
            <w:hideMark/>
          </w:tcPr>
          <w:p w14:paraId="5AC2832C" w14:textId="77777777" w:rsidR="00EF62A3" w:rsidRPr="00164A45" w:rsidRDefault="00EF62A3" w:rsidP="008E385E">
            <w:pPr>
              <w:rPr>
                <w:rFonts w:ascii="Arial" w:hAnsi="Arial" w:cs="Arial"/>
              </w:rPr>
            </w:pPr>
            <w:r w:rsidRPr="00164A45">
              <w:rPr>
                <w:rFonts w:ascii="Arial" w:hAnsi="Arial" w:cs="Arial"/>
              </w:rPr>
              <w:t xml:space="preserve">Reserve created to provide funds towards the costs of service transition. </w:t>
            </w:r>
          </w:p>
        </w:tc>
      </w:tr>
      <w:tr w:rsidR="00EF62A3" w:rsidRPr="00164A45" w14:paraId="39A68B69" w14:textId="77777777" w:rsidTr="008E385E">
        <w:trPr>
          <w:trHeight w:val="810"/>
        </w:trPr>
        <w:tc>
          <w:tcPr>
            <w:tcW w:w="1923" w:type="dxa"/>
            <w:hideMark/>
          </w:tcPr>
          <w:p w14:paraId="6E35FB0A" w14:textId="77777777" w:rsidR="00EF62A3" w:rsidRPr="00164A45" w:rsidRDefault="00EF62A3" w:rsidP="008E385E">
            <w:pPr>
              <w:rPr>
                <w:rFonts w:ascii="Arial" w:hAnsi="Arial" w:cs="Arial"/>
              </w:rPr>
            </w:pPr>
            <w:r w:rsidRPr="00164A45">
              <w:rPr>
                <w:rFonts w:ascii="Arial" w:hAnsi="Arial" w:cs="Arial"/>
              </w:rPr>
              <w:t>Innovation and Partnership CYP Reserve</w:t>
            </w:r>
          </w:p>
        </w:tc>
        <w:tc>
          <w:tcPr>
            <w:tcW w:w="7093" w:type="dxa"/>
            <w:hideMark/>
          </w:tcPr>
          <w:p w14:paraId="27EC91EA" w14:textId="77777777" w:rsidR="00EF62A3" w:rsidRPr="00164A45" w:rsidRDefault="00EF62A3" w:rsidP="008E385E">
            <w:pPr>
              <w:rPr>
                <w:rFonts w:ascii="Arial" w:hAnsi="Arial" w:cs="Arial"/>
              </w:rPr>
            </w:pPr>
            <w:r w:rsidRPr="00164A45">
              <w:rPr>
                <w:rFonts w:ascii="Arial" w:hAnsi="Arial" w:cs="Arial"/>
              </w:rPr>
              <w:t xml:space="preserve">Funding for future partnership and innovation schemes and to support Children’s and Young People’s initiatives. </w:t>
            </w:r>
          </w:p>
        </w:tc>
      </w:tr>
      <w:tr w:rsidR="00EF62A3" w:rsidRPr="00164A45" w14:paraId="4D6EB92E" w14:textId="77777777" w:rsidTr="008E385E">
        <w:trPr>
          <w:trHeight w:val="270"/>
        </w:trPr>
        <w:tc>
          <w:tcPr>
            <w:tcW w:w="1923" w:type="dxa"/>
            <w:hideMark/>
          </w:tcPr>
          <w:p w14:paraId="453F06F9" w14:textId="77777777" w:rsidR="00EF62A3" w:rsidRPr="00164A45" w:rsidRDefault="00EF62A3" w:rsidP="008E385E">
            <w:pPr>
              <w:rPr>
                <w:rFonts w:ascii="Arial" w:hAnsi="Arial" w:cs="Arial"/>
              </w:rPr>
            </w:pPr>
            <w:r w:rsidRPr="00164A45">
              <w:rPr>
                <w:rFonts w:ascii="Arial" w:hAnsi="Arial" w:cs="Arial"/>
              </w:rPr>
              <w:t>Projects Reserve</w:t>
            </w:r>
          </w:p>
        </w:tc>
        <w:tc>
          <w:tcPr>
            <w:tcW w:w="7093" w:type="dxa"/>
            <w:hideMark/>
          </w:tcPr>
          <w:p w14:paraId="1DFB5168" w14:textId="77777777" w:rsidR="00EF62A3" w:rsidRPr="00164A45" w:rsidRDefault="00EF62A3" w:rsidP="008E385E">
            <w:pPr>
              <w:rPr>
                <w:rFonts w:ascii="Arial" w:hAnsi="Arial" w:cs="Arial"/>
              </w:rPr>
            </w:pPr>
            <w:r w:rsidRPr="00164A45">
              <w:rPr>
                <w:rFonts w:ascii="Arial" w:hAnsi="Arial" w:cs="Arial"/>
              </w:rPr>
              <w:t>Funding to support project work within the Authority.</w:t>
            </w:r>
          </w:p>
        </w:tc>
      </w:tr>
      <w:tr w:rsidR="00EF62A3" w:rsidRPr="00164A45" w14:paraId="28C092CD" w14:textId="77777777" w:rsidTr="008E385E">
        <w:trPr>
          <w:trHeight w:val="540"/>
        </w:trPr>
        <w:tc>
          <w:tcPr>
            <w:tcW w:w="1923" w:type="dxa"/>
            <w:hideMark/>
          </w:tcPr>
          <w:p w14:paraId="2BC2EE9B" w14:textId="77777777" w:rsidR="00EF62A3" w:rsidRPr="00164A45" w:rsidRDefault="00EF62A3" w:rsidP="008E385E">
            <w:pPr>
              <w:rPr>
                <w:rFonts w:ascii="Arial" w:hAnsi="Arial" w:cs="Arial"/>
              </w:rPr>
            </w:pPr>
            <w:r w:rsidRPr="00164A45">
              <w:rPr>
                <w:rFonts w:ascii="Arial" w:hAnsi="Arial" w:cs="Arial"/>
              </w:rPr>
              <w:t>Transformation Reserve</w:t>
            </w:r>
          </w:p>
        </w:tc>
        <w:tc>
          <w:tcPr>
            <w:tcW w:w="7093" w:type="dxa"/>
            <w:hideMark/>
          </w:tcPr>
          <w:p w14:paraId="7048826D" w14:textId="77777777" w:rsidR="00EF62A3" w:rsidRPr="00164A45" w:rsidRDefault="00EF62A3" w:rsidP="008E385E">
            <w:pPr>
              <w:rPr>
                <w:rFonts w:ascii="Arial" w:hAnsi="Arial" w:cs="Arial"/>
              </w:rPr>
            </w:pPr>
            <w:r w:rsidRPr="00164A45">
              <w:rPr>
                <w:rFonts w:ascii="Arial" w:hAnsi="Arial" w:cs="Arial"/>
              </w:rPr>
              <w:t>New reserve set up as part of the Budget Strategy to be used by the mayor to promote collaboration and transformation in blue light services.</w:t>
            </w:r>
          </w:p>
        </w:tc>
      </w:tr>
      <w:tr w:rsidR="00EF62A3" w:rsidRPr="00164A45" w14:paraId="267224C2" w14:textId="77777777" w:rsidTr="008E385E">
        <w:trPr>
          <w:trHeight w:val="540"/>
        </w:trPr>
        <w:tc>
          <w:tcPr>
            <w:tcW w:w="1923" w:type="dxa"/>
          </w:tcPr>
          <w:p w14:paraId="7ECC780B" w14:textId="77777777" w:rsidR="00EF62A3" w:rsidRPr="00164A45" w:rsidRDefault="00EF62A3" w:rsidP="008E385E">
            <w:pPr>
              <w:rPr>
                <w:rFonts w:ascii="Arial" w:hAnsi="Arial" w:cs="Arial"/>
              </w:rPr>
            </w:pPr>
            <w:r>
              <w:rPr>
                <w:rFonts w:ascii="Arial" w:hAnsi="Arial" w:cs="Arial"/>
              </w:rPr>
              <w:t xml:space="preserve">Mayoral General Fund Balances </w:t>
            </w:r>
          </w:p>
        </w:tc>
        <w:tc>
          <w:tcPr>
            <w:tcW w:w="7093" w:type="dxa"/>
          </w:tcPr>
          <w:p w14:paraId="05263955" w14:textId="77777777" w:rsidR="00EF62A3" w:rsidRPr="00164A45" w:rsidRDefault="00EF62A3" w:rsidP="008E385E">
            <w:pPr>
              <w:rPr>
                <w:rFonts w:ascii="Arial" w:hAnsi="Arial" w:cs="Arial"/>
              </w:rPr>
            </w:pPr>
            <w:r>
              <w:rPr>
                <w:rFonts w:ascii="Arial" w:hAnsi="Arial" w:cs="Arial"/>
              </w:rPr>
              <w:t>Funding to be utilised for the basic activities or the services that are provided by the GMCA. Funding to support The Mayoral General fund</w:t>
            </w:r>
          </w:p>
        </w:tc>
      </w:tr>
      <w:tr w:rsidR="00EF62A3" w:rsidRPr="00164A45" w14:paraId="37358CC2" w14:textId="77777777" w:rsidTr="008E385E">
        <w:trPr>
          <w:trHeight w:val="540"/>
        </w:trPr>
        <w:tc>
          <w:tcPr>
            <w:tcW w:w="1923" w:type="dxa"/>
          </w:tcPr>
          <w:p w14:paraId="03F8E6C5" w14:textId="77777777" w:rsidR="00EF62A3" w:rsidRPr="00164A45" w:rsidRDefault="00EF62A3" w:rsidP="008E385E">
            <w:pPr>
              <w:rPr>
                <w:rFonts w:ascii="Arial" w:hAnsi="Arial" w:cs="Arial"/>
              </w:rPr>
            </w:pPr>
            <w:r>
              <w:rPr>
                <w:rFonts w:ascii="Arial" w:hAnsi="Arial" w:cs="Arial"/>
              </w:rPr>
              <w:t>Capital Grants Unapplied Reserve</w:t>
            </w:r>
          </w:p>
        </w:tc>
        <w:tc>
          <w:tcPr>
            <w:tcW w:w="7093" w:type="dxa"/>
          </w:tcPr>
          <w:p w14:paraId="7EB9C132" w14:textId="77777777" w:rsidR="00EF62A3" w:rsidRPr="00164A45" w:rsidRDefault="00EF62A3" w:rsidP="008E385E">
            <w:pPr>
              <w:rPr>
                <w:rFonts w:ascii="Arial" w:hAnsi="Arial" w:cs="Arial"/>
              </w:rPr>
            </w:pPr>
            <w:r>
              <w:rPr>
                <w:rFonts w:ascii="Arial" w:hAnsi="Arial" w:cs="Arial"/>
              </w:rPr>
              <w:t>Fund to hold capital grants which have been received and credited to income but not yet spent on the acquisition of non – current assets</w:t>
            </w:r>
          </w:p>
        </w:tc>
      </w:tr>
    </w:tbl>
    <w:p w14:paraId="3A9C3EBE" w14:textId="77777777" w:rsidR="00EF62A3" w:rsidRDefault="00EF62A3" w:rsidP="0038082E">
      <w:pPr>
        <w:rPr>
          <w:rFonts w:ascii="Arial" w:hAnsi="Arial" w:cs="Arial"/>
          <w:sz w:val="22"/>
          <w:szCs w:val="22"/>
        </w:rPr>
      </w:pPr>
    </w:p>
    <w:p w14:paraId="302540FC" w14:textId="77777777" w:rsidR="00E853C6" w:rsidRDefault="00E853C6">
      <w:pPr>
        <w:rPr>
          <w:rFonts w:ascii="Arial" w:hAnsi="Arial" w:cs="Arial"/>
          <w:b/>
          <w:bCs/>
        </w:rPr>
      </w:pPr>
      <w:r>
        <w:br w:type="page"/>
      </w:r>
    </w:p>
    <w:p w14:paraId="6D50E2A3" w14:textId="706A1144" w:rsidR="0056516E" w:rsidRPr="00EF62A3" w:rsidRDefault="00994C6B" w:rsidP="00EF62A3">
      <w:pPr>
        <w:pStyle w:val="Heading4bold"/>
        <w:rPr>
          <w:sz w:val="22"/>
          <w:szCs w:val="22"/>
        </w:rPr>
      </w:pPr>
      <w:r w:rsidRPr="0007572B">
        <w:lastRenderedPageBreak/>
        <w:t>Mayoral Police Fund</w:t>
      </w:r>
    </w:p>
    <w:tbl>
      <w:tblPr>
        <w:tblStyle w:val="TableGrid"/>
        <w:tblpPr w:leftFromText="180" w:rightFromText="180" w:vertAnchor="text" w:horzAnchor="margin" w:tblpY="35"/>
        <w:tblW w:w="0" w:type="auto"/>
        <w:tblLook w:val="04A0" w:firstRow="1" w:lastRow="0" w:firstColumn="1" w:lastColumn="0" w:noHBand="0" w:noVBand="1"/>
      </w:tblPr>
      <w:tblGrid>
        <w:gridCol w:w="1837"/>
        <w:gridCol w:w="7179"/>
      </w:tblGrid>
      <w:tr w:rsidR="00EF62A3" w:rsidRPr="00164A45" w14:paraId="4BFF64E7" w14:textId="77777777" w:rsidTr="008E385E">
        <w:trPr>
          <w:trHeight w:val="270"/>
        </w:trPr>
        <w:tc>
          <w:tcPr>
            <w:tcW w:w="9016" w:type="dxa"/>
            <w:gridSpan w:val="2"/>
            <w:hideMark/>
          </w:tcPr>
          <w:p w14:paraId="1EE4D656" w14:textId="77777777" w:rsidR="00EF62A3" w:rsidRPr="00164A45" w:rsidRDefault="00EF62A3" w:rsidP="008E385E">
            <w:pPr>
              <w:rPr>
                <w:rFonts w:ascii="Arial" w:hAnsi="Arial" w:cs="Arial"/>
                <w:b/>
                <w:bCs/>
              </w:rPr>
            </w:pPr>
            <w:r w:rsidRPr="00164A45">
              <w:rPr>
                <w:rFonts w:ascii="Arial" w:hAnsi="Arial" w:cs="Arial"/>
                <w:b/>
                <w:bCs/>
              </w:rPr>
              <w:t>Mayoral Police Fund</w:t>
            </w:r>
          </w:p>
        </w:tc>
      </w:tr>
      <w:tr w:rsidR="00EF62A3" w:rsidRPr="00164A45" w14:paraId="08654EFF" w14:textId="77777777" w:rsidTr="008E385E">
        <w:trPr>
          <w:trHeight w:val="810"/>
        </w:trPr>
        <w:tc>
          <w:tcPr>
            <w:tcW w:w="1837" w:type="dxa"/>
            <w:hideMark/>
          </w:tcPr>
          <w:p w14:paraId="1FCECC95" w14:textId="77777777" w:rsidR="00EF62A3" w:rsidRPr="00164A45" w:rsidRDefault="00EF62A3" w:rsidP="008E385E">
            <w:pPr>
              <w:rPr>
                <w:rFonts w:ascii="Arial" w:hAnsi="Arial" w:cs="Arial"/>
              </w:rPr>
            </w:pPr>
            <w:r w:rsidRPr="00164A45">
              <w:rPr>
                <w:rFonts w:ascii="Arial" w:hAnsi="Arial" w:cs="Arial"/>
              </w:rPr>
              <w:t>Revenue Expenditure Reserve</w:t>
            </w:r>
          </w:p>
        </w:tc>
        <w:tc>
          <w:tcPr>
            <w:tcW w:w="7179" w:type="dxa"/>
            <w:hideMark/>
          </w:tcPr>
          <w:p w14:paraId="5B8B41B9" w14:textId="220EA070" w:rsidR="00EF62A3" w:rsidRPr="00164A45" w:rsidRDefault="00EF62A3" w:rsidP="008E385E">
            <w:pPr>
              <w:rPr>
                <w:rFonts w:ascii="Arial" w:hAnsi="Arial" w:cs="Arial"/>
              </w:rPr>
            </w:pPr>
            <w:r w:rsidRPr="00164A45">
              <w:rPr>
                <w:rFonts w:ascii="Arial" w:hAnsi="Arial" w:cs="Arial"/>
              </w:rPr>
              <w:t>Funding to be utilised to meet costs of existing projects which span</w:t>
            </w:r>
            <w:r w:rsidR="00CB6604">
              <w:rPr>
                <w:rFonts w:ascii="Arial" w:hAnsi="Arial" w:cs="Arial"/>
              </w:rPr>
              <w:t xml:space="preserve"> across future </w:t>
            </w:r>
            <w:r w:rsidRPr="00164A45">
              <w:rPr>
                <w:rFonts w:ascii="Arial" w:hAnsi="Arial" w:cs="Arial"/>
              </w:rPr>
              <w:t>years.</w:t>
            </w:r>
          </w:p>
        </w:tc>
      </w:tr>
      <w:tr w:rsidR="00EF62A3" w:rsidRPr="00164A45" w14:paraId="09B1EF95" w14:textId="77777777" w:rsidTr="008E385E">
        <w:trPr>
          <w:trHeight w:val="1350"/>
        </w:trPr>
        <w:tc>
          <w:tcPr>
            <w:tcW w:w="1837" w:type="dxa"/>
            <w:hideMark/>
          </w:tcPr>
          <w:p w14:paraId="3194389F" w14:textId="77777777" w:rsidR="00EF62A3" w:rsidRPr="00164A45" w:rsidRDefault="00EF62A3" w:rsidP="008E385E">
            <w:pPr>
              <w:rPr>
                <w:rFonts w:ascii="Arial" w:hAnsi="Arial" w:cs="Arial"/>
              </w:rPr>
            </w:pPr>
            <w:r w:rsidRPr="00164A45">
              <w:rPr>
                <w:rFonts w:ascii="Arial" w:hAnsi="Arial" w:cs="Arial"/>
              </w:rPr>
              <w:t>Insurance Reserve</w:t>
            </w:r>
          </w:p>
        </w:tc>
        <w:tc>
          <w:tcPr>
            <w:tcW w:w="7179" w:type="dxa"/>
            <w:hideMark/>
          </w:tcPr>
          <w:p w14:paraId="1E4CF724" w14:textId="77777777" w:rsidR="00EF62A3" w:rsidRPr="00164A45" w:rsidRDefault="00EF62A3" w:rsidP="008E385E">
            <w:pPr>
              <w:rPr>
                <w:rFonts w:ascii="Arial" w:hAnsi="Arial" w:cs="Arial"/>
              </w:rPr>
            </w:pPr>
            <w:r w:rsidRPr="00164A45">
              <w:rPr>
                <w:rFonts w:ascii="Arial" w:hAnsi="Arial" w:cs="Arial"/>
              </w:rPr>
              <w:t>Insurance Reserve - this reserve has been established as a result of reducing the insurance provision in compliance with IAS37.  The reserve provides a prudent contingency against unforeseen future claims, including the MMI Scheme of Arrangement. The reserve also provides a prudent hedge against changes in the insurance market which may require premium increases.</w:t>
            </w:r>
          </w:p>
        </w:tc>
      </w:tr>
      <w:tr w:rsidR="00EF62A3" w:rsidRPr="00164A45" w14:paraId="4B747935" w14:textId="77777777" w:rsidTr="008E385E">
        <w:trPr>
          <w:trHeight w:val="540"/>
        </w:trPr>
        <w:tc>
          <w:tcPr>
            <w:tcW w:w="1837" w:type="dxa"/>
            <w:hideMark/>
          </w:tcPr>
          <w:p w14:paraId="0A40CFE5" w14:textId="77777777" w:rsidR="00EF62A3" w:rsidRPr="00164A45" w:rsidRDefault="00EF62A3" w:rsidP="008E385E">
            <w:pPr>
              <w:rPr>
                <w:rFonts w:ascii="Arial" w:hAnsi="Arial" w:cs="Arial"/>
              </w:rPr>
            </w:pPr>
            <w:r w:rsidRPr="00164A45">
              <w:rPr>
                <w:rFonts w:ascii="Arial" w:hAnsi="Arial" w:cs="Arial"/>
              </w:rPr>
              <w:t>PCC Earmarked Reserves</w:t>
            </w:r>
          </w:p>
        </w:tc>
        <w:tc>
          <w:tcPr>
            <w:tcW w:w="7179" w:type="dxa"/>
            <w:hideMark/>
          </w:tcPr>
          <w:p w14:paraId="73743079" w14:textId="77777777" w:rsidR="00EF62A3" w:rsidRPr="00164A45" w:rsidRDefault="00EF62A3" w:rsidP="008E385E">
            <w:pPr>
              <w:rPr>
                <w:rFonts w:ascii="Arial" w:hAnsi="Arial" w:cs="Arial"/>
              </w:rPr>
            </w:pPr>
            <w:r w:rsidRPr="00164A45">
              <w:rPr>
                <w:rFonts w:ascii="Arial" w:hAnsi="Arial" w:cs="Arial"/>
              </w:rPr>
              <w:t>Funding to be utilised to meet costs of future projects which support the delivery of the Police and Crime Plan.</w:t>
            </w:r>
          </w:p>
        </w:tc>
      </w:tr>
      <w:tr w:rsidR="00EF62A3" w:rsidRPr="00164A45" w14:paraId="57B79EA9" w14:textId="77777777" w:rsidTr="008E385E">
        <w:trPr>
          <w:trHeight w:val="540"/>
        </w:trPr>
        <w:tc>
          <w:tcPr>
            <w:tcW w:w="1837" w:type="dxa"/>
            <w:hideMark/>
          </w:tcPr>
          <w:p w14:paraId="4E5ACBC8" w14:textId="77777777" w:rsidR="00EF62A3" w:rsidRPr="00164A45" w:rsidRDefault="00EF62A3" w:rsidP="008E385E">
            <w:pPr>
              <w:rPr>
                <w:rFonts w:ascii="Arial" w:hAnsi="Arial" w:cs="Arial"/>
              </w:rPr>
            </w:pPr>
            <w:r w:rsidRPr="00164A45">
              <w:rPr>
                <w:rFonts w:ascii="Arial" w:hAnsi="Arial" w:cs="Arial"/>
              </w:rPr>
              <w:t>PFI Reserve</w:t>
            </w:r>
          </w:p>
        </w:tc>
        <w:tc>
          <w:tcPr>
            <w:tcW w:w="7179" w:type="dxa"/>
            <w:hideMark/>
          </w:tcPr>
          <w:p w14:paraId="0C489638" w14:textId="77777777" w:rsidR="00EF62A3" w:rsidRPr="00164A45" w:rsidRDefault="00EF62A3" w:rsidP="008E385E">
            <w:pPr>
              <w:rPr>
                <w:rFonts w:ascii="Arial" w:hAnsi="Arial" w:cs="Arial"/>
              </w:rPr>
            </w:pPr>
            <w:r w:rsidRPr="00164A45">
              <w:rPr>
                <w:rFonts w:ascii="Arial" w:hAnsi="Arial" w:cs="Arial"/>
              </w:rPr>
              <w:t>This reserve holds that balance of the PFI grant paid by the Home Office.  It is used to support the future costs arising from the PFI Scheme.</w:t>
            </w:r>
          </w:p>
        </w:tc>
      </w:tr>
      <w:tr w:rsidR="00EF62A3" w:rsidRPr="00164A45" w14:paraId="2CB2AFE9" w14:textId="77777777" w:rsidTr="008E385E">
        <w:trPr>
          <w:trHeight w:val="540"/>
        </w:trPr>
        <w:tc>
          <w:tcPr>
            <w:tcW w:w="1837" w:type="dxa"/>
          </w:tcPr>
          <w:p w14:paraId="7BE062D5" w14:textId="77777777" w:rsidR="00EF62A3" w:rsidRPr="00164A45" w:rsidRDefault="00EF62A3" w:rsidP="008E385E">
            <w:pPr>
              <w:rPr>
                <w:rFonts w:ascii="Arial" w:hAnsi="Arial" w:cs="Arial"/>
              </w:rPr>
            </w:pPr>
            <w:r w:rsidRPr="00E36EF9">
              <w:rPr>
                <w:rFonts w:ascii="Arial" w:hAnsi="Arial" w:cs="Arial"/>
              </w:rPr>
              <w:t>Mayoral Police Fund Balances</w:t>
            </w:r>
          </w:p>
        </w:tc>
        <w:tc>
          <w:tcPr>
            <w:tcW w:w="7179" w:type="dxa"/>
          </w:tcPr>
          <w:p w14:paraId="6A3C771E" w14:textId="2EB9E0BF" w:rsidR="00EF62A3" w:rsidRPr="00164A45" w:rsidRDefault="00EF62A3" w:rsidP="008E385E">
            <w:pPr>
              <w:rPr>
                <w:rFonts w:ascii="Arial" w:hAnsi="Arial" w:cs="Arial"/>
              </w:rPr>
            </w:pPr>
            <w:r>
              <w:rPr>
                <w:rFonts w:ascii="Arial" w:hAnsi="Arial" w:cs="Arial"/>
              </w:rPr>
              <w:t xml:space="preserve">Funding to be utilised for the basic activities </w:t>
            </w:r>
            <w:r w:rsidR="00CB6604">
              <w:rPr>
                <w:rFonts w:ascii="Arial" w:hAnsi="Arial" w:cs="Arial"/>
              </w:rPr>
              <w:t>and</w:t>
            </w:r>
            <w:r>
              <w:rPr>
                <w:rFonts w:ascii="Arial" w:hAnsi="Arial" w:cs="Arial"/>
              </w:rPr>
              <w:t xml:space="preserve"> services that are provided by the GMCA. </w:t>
            </w:r>
          </w:p>
        </w:tc>
      </w:tr>
      <w:bookmarkEnd w:id="115"/>
    </w:tbl>
    <w:p w14:paraId="02090415" w14:textId="0D96AD47" w:rsidR="00F775D2" w:rsidRDefault="00F775D2" w:rsidP="0038082E">
      <w:pPr>
        <w:rPr>
          <w:rFonts w:ascii="Arial" w:hAnsi="Arial" w:cs="Arial"/>
          <w:b/>
          <w:sz w:val="22"/>
          <w:szCs w:val="22"/>
        </w:rPr>
      </w:pPr>
    </w:p>
    <w:p w14:paraId="688237C2" w14:textId="77777777" w:rsidR="00E853C6" w:rsidRPr="0007572B" w:rsidRDefault="00E853C6" w:rsidP="0038082E">
      <w:pPr>
        <w:rPr>
          <w:rFonts w:ascii="Arial" w:hAnsi="Arial" w:cs="Arial"/>
          <w:b/>
          <w:sz w:val="22"/>
          <w:szCs w:val="22"/>
        </w:rPr>
      </w:pPr>
    </w:p>
    <w:p w14:paraId="1CF16AAE" w14:textId="45F38EB0" w:rsidR="00F2757F" w:rsidRPr="0007572B" w:rsidRDefault="00FC62F7" w:rsidP="0038082E">
      <w:pPr>
        <w:pStyle w:val="Heading3greennumbered"/>
      </w:pPr>
      <w:bookmarkStart w:id="119" w:name="_Toc92894883"/>
      <w:bookmarkStart w:id="120" w:name="_Toc92895187"/>
      <w:bookmarkStart w:id="121" w:name="_Toc109922621"/>
      <w:r w:rsidRPr="0007572B">
        <w:t>1</w:t>
      </w:r>
      <w:r w:rsidR="0003456C" w:rsidRPr="0007572B">
        <w:t>1</w:t>
      </w:r>
      <w:r w:rsidRPr="0007572B">
        <w:t xml:space="preserve"> </w:t>
      </w:r>
      <w:r w:rsidR="00867D36" w:rsidRPr="0007572B">
        <w:t xml:space="preserve">Expenditure and Income Analysed by </w:t>
      </w:r>
      <w:r w:rsidR="00E913C8" w:rsidRPr="0007572B">
        <w:t>Nature</w:t>
      </w:r>
      <w:bookmarkEnd w:id="119"/>
      <w:bookmarkEnd w:id="120"/>
      <w:bookmarkEnd w:id="121"/>
    </w:p>
    <w:p w14:paraId="05B328C6" w14:textId="77777777" w:rsidR="005403AF" w:rsidRDefault="005403AF" w:rsidP="0038082E">
      <w:pPr>
        <w:rPr>
          <w:rFonts w:ascii="Arial" w:hAnsi="Arial" w:cs="Arial"/>
        </w:rPr>
      </w:pPr>
    </w:p>
    <w:p w14:paraId="4501F304" w14:textId="6E491B8F" w:rsidR="00F2757F" w:rsidRPr="0007572B" w:rsidRDefault="00DC5AAB" w:rsidP="0038082E">
      <w:pPr>
        <w:rPr>
          <w:rFonts w:ascii="Arial" w:hAnsi="Arial" w:cs="Arial"/>
        </w:rPr>
      </w:pPr>
      <w:r w:rsidRPr="0007572B">
        <w:rPr>
          <w:rFonts w:ascii="Arial" w:hAnsi="Arial" w:cs="Arial"/>
        </w:rPr>
        <w:t>This table shows the underlying nature of the income and expenditure of the Authority:</w:t>
      </w:r>
    </w:p>
    <w:p w14:paraId="76D4A78F" w14:textId="77777777" w:rsidR="002C3062" w:rsidRPr="0007572B" w:rsidRDefault="002C3062" w:rsidP="0038082E">
      <w:pPr>
        <w:rPr>
          <w:rFonts w:ascii="Arial" w:hAnsi="Arial" w:cs="Arial"/>
          <w:sz w:val="22"/>
          <w:szCs w:val="22"/>
        </w:rPr>
      </w:pPr>
    </w:p>
    <w:p w14:paraId="7A73B3D1" w14:textId="0AFA164C" w:rsidR="00503BC1" w:rsidRPr="0007572B" w:rsidRDefault="002C772E" w:rsidP="0038082E">
      <w:pPr>
        <w:jc w:val="both"/>
        <w:rPr>
          <w:rFonts w:ascii="Arial" w:hAnsi="Arial" w:cs="Arial"/>
          <w:sz w:val="22"/>
          <w:szCs w:val="22"/>
        </w:rPr>
      </w:pPr>
      <w:r w:rsidRPr="002C772E">
        <w:rPr>
          <w:noProof/>
        </w:rPr>
        <w:drawing>
          <wp:inline distT="0" distB="0" distL="0" distR="0" wp14:anchorId="38193073" wp14:editId="4EC8DE04">
            <wp:extent cx="5706745" cy="3183255"/>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06745" cy="3183255"/>
                    </a:xfrm>
                    <a:prstGeom prst="rect">
                      <a:avLst/>
                    </a:prstGeom>
                    <a:noFill/>
                    <a:ln>
                      <a:noFill/>
                    </a:ln>
                  </pic:spPr>
                </pic:pic>
              </a:graphicData>
            </a:graphic>
          </wp:inline>
        </w:drawing>
      </w:r>
    </w:p>
    <w:p w14:paraId="0C862E05" w14:textId="190EB1A4" w:rsidR="00356A8F" w:rsidRDefault="00356A8F" w:rsidP="0038082E">
      <w:pPr>
        <w:jc w:val="both"/>
        <w:rPr>
          <w:rFonts w:ascii="Arial" w:hAnsi="Arial" w:cs="Arial"/>
          <w:bCs/>
        </w:rPr>
      </w:pPr>
    </w:p>
    <w:p w14:paraId="7A77CACF" w14:textId="77777777" w:rsidR="00AC4453" w:rsidRPr="00AA62ED" w:rsidRDefault="00AC4453" w:rsidP="0038082E">
      <w:pPr>
        <w:jc w:val="both"/>
        <w:rPr>
          <w:rFonts w:ascii="Arial" w:hAnsi="Arial" w:cs="Arial"/>
          <w:bCs/>
        </w:rPr>
      </w:pPr>
    </w:p>
    <w:p w14:paraId="71ABC11D" w14:textId="77777777" w:rsidR="00E853C6" w:rsidRDefault="00E853C6">
      <w:pPr>
        <w:rPr>
          <w:rFonts w:ascii="Arial" w:eastAsia="Palatino Linotype" w:hAnsi="Arial" w:cs="Arial"/>
          <w:b/>
          <w:bCs/>
          <w:szCs w:val="28"/>
          <w:lang w:val="en-US"/>
        </w:rPr>
      </w:pPr>
      <w:bookmarkStart w:id="122" w:name="_Toc92894884"/>
      <w:bookmarkStart w:id="123" w:name="_Toc92895188"/>
      <w:r>
        <w:br w:type="page"/>
      </w:r>
    </w:p>
    <w:p w14:paraId="0F3DE993" w14:textId="6A17EC3A" w:rsidR="00FC62F7" w:rsidRPr="0007572B" w:rsidRDefault="00FC62F7" w:rsidP="0038082E">
      <w:pPr>
        <w:pStyle w:val="Heading3greennumbered"/>
      </w:pPr>
      <w:bookmarkStart w:id="124" w:name="_Toc109922622"/>
      <w:r w:rsidRPr="0007572B">
        <w:lastRenderedPageBreak/>
        <w:t>1</w:t>
      </w:r>
      <w:r w:rsidR="0003456C" w:rsidRPr="0007572B">
        <w:t>2</w:t>
      </w:r>
      <w:r w:rsidRPr="0007572B">
        <w:t xml:space="preserve"> Revenue Expenditure Funded from Capital under Statute</w:t>
      </w:r>
      <w:bookmarkEnd w:id="122"/>
      <w:bookmarkEnd w:id="123"/>
      <w:bookmarkEnd w:id="124"/>
    </w:p>
    <w:p w14:paraId="5C00B91B" w14:textId="77777777" w:rsidR="005403AF" w:rsidRDefault="005403AF" w:rsidP="0038082E">
      <w:pPr>
        <w:rPr>
          <w:rFonts w:ascii="Arial" w:hAnsi="Arial" w:cs="Arial"/>
        </w:rPr>
      </w:pPr>
    </w:p>
    <w:p w14:paraId="20AA5C31" w14:textId="452FF617" w:rsidR="00D35A13" w:rsidRPr="0007572B" w:rsidRDefault="00FC62F7" w:rsidP="0038082E">
      <w:pPr>
        <w:rPr>
          <w:rFonts w:ascii="Arial" w:hAnsi="Arial" w:cs="Arial"/>
        </w:rPr>
      </w:pPr>
      <w:r w:rsidRPr="0007572B">
        <w:rPr>
          <w:rFonts w:ascii="Arial" w:hAnsi="Arial" w:cs="Arial"/>
        </w:rPr>
        <w:t>Capital grants payable to TfGM/</w:t>
      </w:r>
      <w:r w:rsidR="002952F9" w:rsidRPr="0007572B">
        <w:rPr>
          <w:rFonts w:ascii="Arial" w:hAnsi="Arial" w:cs="Arial"/>
        </w:rPr>
        <w:t>GM Authorities</w:t>
      </w:r>
      <w:r w:rsidRPr="0007572B">
        <w:rPr>
          <w:rFonts w:ascii="Arial" w:hAnsi="Arial" w:cs="Arial"/>
        </w:rPr>
        <w:t xml:space="preserve"> and </w:t>
      </w:r>
      <w:r w:rsidR="0063513E" w:rsidRPr="0007572B">
        <w:rPr>
          <w:rFonts w:ascii="Arial" w:hAnsi="Arial" w:cs="Arial"/>
        </w:rPr>
        <w:t xml:space="preserve">other </w:t>
      </w:r>
      <w:r w:rsidRPr="0007572B">
        <w:rPr>
          <w:rFonts w:ascii="Arial" w:hAnsi="Arial" w:cs="Arial"/>
        </w:rPr>
        <w:t xml:space="preserve">bodies delivering economic development and regeneration projects are charged to the Comprehensive Income and Expenditure </w:t>
      </w:r>
      <w:r w:rsidR="00DC5AAB" w:rsidRPr="0007572B">
        <w:rPr>
          <w:rFonts w:ascii="Arial" w:hAnsi="Arial" w:cs="Arial"/>
        </w:rPr>
        <w:t>S</w:t>
      </w:r>
      <w:r w:rsidRPr="0007572B">
        <w:rPr>
          <w:rFonts w:ascii="Arial" w:hAnsi="Arial" w:cs="Arial"/>
        </w:rPr>
        <w:t xml:space="preserve">tatement as expenditure incurred and </w:t>
      </w:r>
      <w:r w:rsidR="00DC5AAB" w:rsidRPr="0007572B">
        <w:rPr>
          <w:rFonts w:ascii="Arial" w:hAnsi="Arial" w:cs="Arial"/>
        </w:rPr>
        <w:t>they are</w:t>
      </w:r>
      <w:r w:rsidRPr="0007572B">
        <w:rPr>
          <w:rFonts w:ascii="Arial" w:hAnsi="Arial" w:cs="Arial"/>
        </w:rPr>
        <w:t xml:space="preserve"> then r</w:t>
      </w:r>
      <w:r w:rsidR="0063513E" w:rsidRPr="0007572B">
        <w:rPr>
          <w:rFonts w:ascii="Arial" w:hAnsi="Arial" w:cs="Arial"/>
        </w:rPr>
        <w:t>eversed out in the Movement in R</w:t>
      </w:r>
      <w:r w:rsidRPr="0007572B">
        <w:rPr>
          <w:rFonts w:ascii="Arial" w:hAnsi="Arial" w:cs="Arial"/>
        </w:rPr>
        <w:t>eserves Statement.</w:t>
      </w:r>
    </w:p>
    <w:p w14:paraId="44EA8917" w14:textId="74AC95B8" w:rsidR="00740996" w:rsidRPr="0007572B" w:rsidRDefault="00740996" w:rsidP="0038082E">
      <w:pPr>
        <w:rPr>
          <w:rFonts w:ascii="Arial" w:hAnsi="Arial" w:cs="Arial"/>
          <w:b/>
          <w:sz w:val="22"/>
          <w:szCs w:val="22"/>
        </w:rPr>
      </w:pPr>
    </w:p>
    <w:p w14:paraId="32F4B51C" w14:textId="2E17A309" w:rsidR="00503BC1" w:rsidRPr="0007572B" w:rsidRDefault="002C772E" w:rsidP="0038082E">
      <w:pPr>
        <w:jc w:val="both"/>
        <w:rPr>
          <w:rFonts w:ascii="Arial" w:hAnsi="Arial" w:cs="Arial"/>
          <w:sz w:val="22"/>
          <w:szCs w:val="22"/>
        </w:rPr>
      </w:pPr>
      <w:r w:rsidRPr="002C772E">
        <w:rPr>
          <w:noProof/>
        </w:rPr>
        <w:drawing>
          <wp:inline distT="0" distB="0" distL="0" distR="0" wp14:anchorId="10954E93" wp14:editId="77A91F03">
            <wp:extent cx="5589270" cy="7677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89270" cy="767715"/>
                    </a:xfrm>
                    <a:prstGeom prst="rect">
                      <a:avLst/>
                    </a:prstGeom>
                    <a:noFill/>
                    <a:ln>
                      <a:noFill/>
                    </a:ln>
                  </pic:spPr>
                </pic:pic>
              </a:graphicData>
            </a:graphic>
          </wp:inline>
        </w:drawing>
      </w:r>
    </w:p>
    <w:p w14:paraId="5F4B5D1F" w14:textId="77777777" w:rsidR="000E5378" w:rsidRPr="0007572B" w:rsidRDefault="000E5378" w:rsidP="001B1330">
      <w:pPr>
        <w:ind w:firstLine="720"/>
        <w:jc w:val="both"/>
        <w:rPr>
          <w:rFonts w:ascii="Arial" w:hAnsi="Arial" w:cs="Arial"/>
          <w:sz w:val="22"/>
          <w:szCs w:val="22"/>
        </w:rPr>
      </w:pPr>
    </w:p>
    <w:p w14:paraId="1BE2FB51" w14:textId="651C6939" w:rsidR="0007382A" w:rsidRPr="0007572B" w:rsidRDefault="0007382A" w:rsidP="0038082E">
      <w:pPr>
        <w:rPr>
          <w:rFonts w:ascii="Arial" w:hAnsi="Arial" w:cs="Arial"/>
          <w:b/>
          <w:sz w:val="22"/>
          <w:szCs w:val="22"/>
        </w:rPr>
      </w:pPr>
    </w:p>
    <w:p w14:paraId="7563600C" w14:textId="77777777" w:rsidR="00EB27EB" w:rsidRDefault="00EB27EB">
      <w:pPr>
        <w:rPr>
          <w:rFonts w:ascii="Arial" w:eastAsia="Palatino Linotype" w:hAnsi="Arial" w:cs="Arial"/>
          <w:b/>
          <w:bCs/>
          <w:szCs w:val="28"/>
          <w:lang w:val="en-US"/>
        </w:rPr>
      </w:pPr>
      <w:bookmarkStart w:id="125" w:name="_Toc92894885"/>
      <w:bookmarkStart w:id="126" w:name="_Toc92895189"/>
      <w:r>
        <w:br w:type="page"/>
      </w:r>
    </w:p>
    <w:p w14:paraId="414D5B15" w14:textId="0D438A35" w:rsidR="000B67F1" w:rsidRPr="0007572B" w:rsidRDefault="00BE7266" w:rsidP="0038082E">
      <w:pPr>
        <w:pStyle w:val="Heading3greennumbered"/>
      </w:pPr>
      <w:bookmarkStart w:id="127" w:name="_Toc109922623"/>
      <w:r w:rsidRPr="0007572B">
        <w:lastRenderedPageBreak/>
        <w:t>1</w:t>
      </w:r>
      <w:r w:rsidR="0003456C" w:rsidRPr="0007572B">
        <w:t>3</w:t>
      </w:r>
      <w:r w:rsidR="000B67F1" w:rsidRPr="0007572B">
        <w:t xml:space="preserve"> </w:t>
      </w:r>
      <w:r w:rsidR="00AE492B" w:rsidRPr="0007572B">
        <w:t>Grants and Contributions</w:t>
      </w:r>
      <w:r w:rsidR="00FB0A7D" w:rsidRPr="0007572B">
        <w:t xml:space="preserve"> Credited to Comprehensive Income</w:t>
      </w:r>
      <w:bookmarkEnd w:id="125"/>
      <w:bookmarkEnd w:id="126"/>
      <w:bookmarkEnd w:id="127"/>
    </w:p>
    <w:p w14:paraId="4E74DC8E" w14:textId="77777777" w:rsidR="00320E1C" w:rsidRDefault="00320E1C" w:rsidP="0038082E">
      <w:pPr>
        <w:rPr>
          <w:rFonts w:ascii="Arial" w:hAnsi="Arial" w:cs="Arial"/>
        </w:rPr>
      </w:pPr>
    </w:p>
    <w:p w14:paraId="14BCF6E1" w14:textId="3BC6A356" w:rsidR="00667C71" w:rsidRDefault="00DC5AAB" w:rsidP="0038082E">
      <w:pPr>
        <w:rPr>
          <w:rFonts w:ascii="Arial" w:hAnsi="Arial" w:cs="Arial"/>
        </w:rPr>
      </w:pPr>
      <w:r w:rsidRPr="0007572B">
        <w:rPr>
          <w:rFonts w:ascii="Arial" w:hAnsi="Arial" w:cs="Arial"/>
        </w:rPr>
        <w:t>The Authority</w:t>
      </w:r>
      <w:r w:rsidR="000B67F1" w:rsidRPr="0007572B">
        <w:rPr>
          <w:rFonts w:ascii="Arial" w:hAnsi="Arial" w:cs="Arial"/>
        </w:rPr>
        <w:t xml:space="preserve"> credited the following grants and contributions to the Comprehensive Income and Expenditure Statement:</w:t>
      </w:r>
    </w:p>
    <w:p w14:paraId="3143D0B1" w14:textId="77777777" w:rsidR="00C06A2E" w:rsidRDefault="00C06A2E" w:rsidP="0038082E">
      <w:pPr>
        <w:rPr>
          <w:rFonts w:ascii="Arial" w:hAnsi="Arial" w:cs="Arial"/>
        </w:rPr>
      </w:pPr>
    </w:p>
    <w:p w14:paraId="67EE0565" w14:textId="51C98A2C" w:rsidR="00AC44DD" w:rsidRDefault="00320E1C" w:rsidP="0038082E">
      <w:pPr>
        <w:rPr>
          <w:rFonts w:ascii="Arial" w:hAnsi="Arial" w:cs="Arial"/>
        </w:rPr>
      </w:pPr>
      <w:r w:rsidRPr="00320E1C">
        <w:rPr>
          <w:noProof/>
        </w:rPr>
        <w:drawing>
          <wp:inline distT="0" distB="0" distL="0" distR="0" wp14:anchorId="6053AE0E" wp14:editId="2924DE93">
            <wp:extent cx="5669542" cy="777240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70615" cy="7773871"/>
                    </a:xfrm>
                    <a:prstGeom prst="rect">
                      <a:avLst/>
                    </a:prstGeom>
                    <a:noFill/>
                    <a:ln>
                      <a:noFill/>
                    </a:ln>
                  </pic:spPr>
                </pic:pic>
              </a:graphicData>
            </a:graphic>
          </wp:inline>
        </w:drawing>
      </w:r>
    </w:p>
    <w:p w14:paraId="2D012CA7" w14:textId="510DE130" w:rsidR="00AC44DD" w:rsidRPr="0007572B" w:rsidRDefault="00C06A2E" w:rsidP="0038082E">
      <w:pPr>
        <w:rPr>
          <w:rFonts w:ascii="Arial" w:hAnsi="Arial" w:cs="Arial"/>
        </w:rPr>
      </w:pPr>
      <w:r w:rsidRPr="00C06A2E">
        <w:rPr>
          <w:rFonts w:ascii="Arial" w:hAnsi="Arial" w:cs="Arial"/>
        </w:rPr>
        <w:lastRenderedPageBreak/>
        <w:t xml:space="preserve"> </w:t>
      </w:r>
      <w:r w:rsidRPr="00C06A2E">
        <w:rPr>
          <w:noProof/>
        </w:rPr>
        <w:drawing>
          <wp:inline distT="0" distB="0" distL="0" distR="0" wp14:anchorId="66080036" wp14:editId="42304683">
            <wp:extent cx="5808980" cy="1823720"/>
            <wp:effectExtent l="0" t="0" r="127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08980" cy="1823720"/>
                    </a:xfrm>
                    <a:prstGeom prst="rect">
                      <a:avLst/>
                    </a:prstGeom>
                    <a:noFill/>
                    <a:ln>
                      <a:noFill/>
                    </a:ln>
                  </pic:spPr>
                </pic:pic>
              </a:graphicData>
            </a:graphic>
          </wp:inline>
        </w:drawing>
      </w:r>
    </w:p>
    <w:p w14:paraId="34EC4AD3" w14:textId="3CA6CB5A" w:rsidR="00667C71" w:rsidRPr="0007572B" w:rsidRDefault="00667C71" w:rsidP="0038082E">
      <w:pPr>
        <w:rPr>
          <w:rFonts w:ascii="Arial" w:hAnsi="Arial" w:cs="Arial"/>
          <w:sz w:val="22"/>
          <w:szCs w:val="22"/>
        </w:rPr>
      </w:pPr>
    </w:p>
    <w:p w14:paraId="020209BA" w14:textId="77777777" w:rsidR="00826230" w:rsidRPr="0007572B" w:rsidRDefault="00826230" w:rsidP="0038082E">
      <w:pPr>
        <w:rPr>
          <w:rFonts w:ascii="Arial" w:hAnsi="Arial" w:cs="Arial"/>
        </w:rPr>
      </w:pPr>
    </w:p>
    <w:p w14:paraId="2B533040" w14:textId="01748683" w:rsidR="0007382A" w:rsidRDefault="0007382A" w:rsidP="0038082E">
      <w:pPr>
        <w:rPr>
          <w:rFonts w:ascii="Arial" w:hAnsi="Arial" w:cs="Arial"/>
        </w:rPr>
      </w:pPr>
      <w:r w:rsidRPr="0007572B">
        <w:rPr>
          <w:rFonts w:ascii="Arial" w:hAnsi="Arial" w:cs="Arial"/>
        </w:rPr>
        <w:t>*The full benefit of the saving from a loan provided at below market rate interest is treated as a grant in the year the loan funds are received. In future years the benefit is reduced annually over the remaining years of the loan term using a fair value effective interest rate.</w:t>
      </w:r>
    </w:p>
    <w:p w14:paraId="2923C24B" w14:textId="0068A692" w:rsidR="00AC4453" w:rsidRDefault="00AC4453" w:rsidP="0038082E">
      <w:pPr>
        <w:rPr>
          <w:rFonts w:ascii="Arial" w:eastAsia="Palatino Linotype" w:hAnsi="Arial" w:cs="Arial"/>
          <w:b/>
          <w:bCs/>
          <w:szCs w:val="28"/>
          <w:lang w:val="en-US"/>
        </w:rPr>
      </w:pPr>
      <w:bookmarkStart w:id="128" w:name="_Toc92894886"/>
      <w:bookmarkStart w:id="129" w:name="_Toc92895190"/>
    </w:p>
    <w:p w14:paraId="08DC228F" w14:textId="77777777" w:rsidR="00EB27EB" w:rsidRDefault="00EB27EB">
      <w:pPr>
        <w:rPr>
          <w:rFonts w:ascii="Arial" w:eastAsia="Palatino Linotype" w:hAnsi="Arial" w:cs="Arial"/>
          <w:b/>
          <w:bCs/>
          <w:szCs w:val="28"/>
          <w:lang w:val="en-US"/>
        </w:rPr>
      </w:pPr>
      <w:r>
        <w:br w:type="page"/>
      </w:r>
    </w:p>
    <w:p w14:paraId="005777B9" w14:textId="331F4931" w:rsidR="000B67F1" w:rsidRPr="0007572B" w:rsidRDefault="00BE7266" w:rsidP="0038082E">
      <w:pPr>
        <w:pStyle w:val="Heading3greennumbered"/>
      </w:pPr>
      <w:bookmarkStart w:id="130" w:name="_Toc109922624"/>
      <w:r w:rsidRPr="0007572B">
        <w:lastRenderedPageBreak/>
        <w:t>1</w:t>
      </w:r>
      <w:r w:rsidR="0003456C" w:rsidRPr="0007572B">
        <w:t>4</w:t>
      </w:r>
      <w:r w:rsidR="000B67F1" w:rsidRPr="0007572B">
        <w:t xml:space="preserve"> Grants and Contributions </w:t>
      </w:r>
      <w:r w:rsidRPr="0007572B">
        <w:t>Received in Advance</w:t>
      </w:r>
      <w:bookmarkEnd w:id="128"/>
      <w:bookmarkEnd w:id="129"/>
      <w:bookmarkEnd w:id="130"/>
    </w:p>
    <w:p w14:paraId="37A0C9F3" w14:textId="77777777" w:rsidR="005403AF" w:rsidRDefault="005403AF" w:rsidP="0038082E">
      <w:pPr>
        <w:rPr>
          <w:rFonts w:ascii="Arial" w:hAnsi="Arial" w:cs="Arial"/>
        </w:rPr>
      </w:pPr>
    </w:p>
    <w:p w14:paraId="1654F98E" w14:textId="6AB8F61E" w:rsidR="000B67F1" w:rsidRDefault="00DC5AAB" w:rsidP="0038082E">
      <w:pPr>
        <w:rPr>
          <w:rFonts w:ascii="Arial" w:hAnsi="Arial" w:cs="Arial"/>
        </w:rPr>
      </w:pPr>
      <w:r w:rsidRPr="0007572B">
        <w:rPr>
          <w:rFonts w:ascii="Arial" w:hAnsi="Arial" w:cs="Arial"/>
        </w:rPr>
        <w:t>The Authority</w:t>
      </w:r>
      <w:r w:rsidR="000B67F1" w:rsidRPr="0007572B">
        <w:rPr>
          <w:rFonts w:ascii="Arial" w:hAnsi="Arial" w:cs="Arial"/>
        </w:rPr>
        <w:t xml:space="preserve"> received the following grants</w:t>
      </w:r>
      <w:r w:rsidR="00FD37D7" w:rsidRPr="0007572B">
        <w:rPr>
          <w:rFonts w:ascii="Arial" w:hAnsi="Arial" w:cs="Arial"/>
        </w:rPr>
        <w:t xml:space="preserve"> and contributions</w:t>
      </w:r>
      <w:r w:rsidR="000B67F1" w:rsidRPr="0007572B">
        <w:rPr>
          <w:rFonts w:ascii="Arial" w:hAnsi="Arial" w:cs="Arial"/>
        </w:rPr>
        <w:t xml:space="preserve"> in advance. These were not credited to the</w:t>
      </w:r>
      <w:r w:rsidR="000B67F1" w:rsidRPr="0007572B">
        <w:rPr>
          <w:rFonts w:ascii="Arial" w:hAnsi="Arial" w:cs="Arial"/>
          <w:b/>
        </w:rPr>
        <w:t xml:space="preserve"> </w:t>
      </w:r>
      <w:r w:rsidR="000B67F1" w:rsidRPr="0007572B">
        <w:rPr>
          <w:rFonts w:ascii="Arial" w:hAnsi="Arial" w:cs="Arial"/>
        </w:rPr>
        <w:t>Comprehensive Income and Expenditure Statement as they have conditions that have not yet been met.</w:t>
      </w:r>
    </w:p>
    <w:p w14:paraId="54C6D695" w14:textId="77777777" w:rsidR="00C06A2E" w:rsidRPr="0007572B" w:rsidRDefault="00C06A2E" w:rsidP="0038082E">
      <w:pPr>
        <w:rPr>
          <w:rFonts w:ascii="Arial" w:hAnsi="Arial" w:cs="Arial"/>
        </w:rPr>
      </w:pPr>
    </w:p>
    <w:p w14:paraId="6CEC12A9" w14:textId="0D03ED72" w:rsidR="00503BC1" w:rsidRPr="0007572B" w:rsidRDefault="00C06A2E" w:rsidP="0038082E">
      <w:pPr>
        <w:jc w:val="both"/>
        <w:rPr>
          <w:rFonts w:ascii="Arial" w:hAnsi="Arial" w:cs="Arial"/>
          <w:sz w:val="22"/>
          <w:szCs w:val="22"/>
        </w:rPr>
      </w:pPr>
      <w:r w:rsidRPr="00C06A2E">
        <w:rPr>
          <w:noProof/>
        </w:rPr>
        <w:drawing>
          <wp:inline distT="0" distB="0" distL="0" distR="0" wp14:anchorId="360CD215" wp14:editId="58A35A1C">
            <wp:extent cx="5236234" cy="7048576"/>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39401" cy="7052839"/>
                    </a:xfrm>
                    <a:prstGeom prst="rect">
                      <a:avLst/>
                    </a:prstGeom>
                    <a:noFill/>
                    <a:ln>
                      <a:noFill/>
                    </a:ln>
                  </pic:spPr>
                </pic:pic>
              </a:graphicData>
            </a:graphic>
          </wp:inline>
        </w:drawing>
      </w:r>
    </w:p>
    <w:p w14:paraId="49FC6304" w14:textId="545D0E97" w:rsidR="00AD5C22" w:rsidRPr="0007572B" w:rsidRDefault="00AD5C22" w:rsidP="0038082E">
      <w:pPr>
        <w:rPr>
          <w:rFonts w:ascii="Arial" w:hAnsi="Arial" w:cs="Arial"/>
          <w:b/>
          <w:sz w:val="22"/>
          <w:szCs w:val="22"/>
        </w:rPr>
      </w:pPr>
      <w:r w:rsidRPr="0007572B">
        <w:rPr>
          <w:rFonts w:ascii="Arial" w:hAnsi="Arial" w:cs="Arial"/>
          <w:b/>
          <w:sz w:val="22"/>
          <w:szCs w:val="22"/>
        </w:rPr>
        <w:br w:type="page"/>
      </w:r>
    </w:p>
    <w:p w14:paraId="2FF4837E" w14:textId="31D8798C" w:rsidR="00BF67F6" w:rsidRPr="0007572B" w:rsidRDefault="00BE7266" w:rsidP="0038082E">
      <w:pPr>
        <w:pStyle w:val="Heading3greennumbered"/>
      </w:pPr>
      <w:bookmarkStart w:id="131" w:name="_Toc92894887"/>
      <w:bookmarkStart w:id="132" w:name="_Toc92895191"/>
      <w:bookmarkStart w:id="133" w:name="_Toc109922625"/>
      <w:r w:rsidRPr="0007572B">
        <w:lastRenderedPageBreak/>
        <w:t>1</w:t>
      </w:r>
      <w:r w:rsidR="0003456C" w:rsidRPr="0007572B">
        <w:t>5</w:t>
      </w:r>
      <w:r w:rsidR="00FC62F7" w:rsidRPr="0007572B">
        <w:t xml:space="preserve"> </w:t>
      </w:r>
      <w:r w:rsidR="00F2757F" w:rsidRPr="0007572B">
        <w:t xml:space="preserve">Financing and Investment </w:t>
      </w:r>
      <w:r w:rsidRPr="0007572B">
        <w:t xml:space="preserve">Income </w:t>
      </w:r>
      <w:r w:rsidR="000E5378" w:rsidRPr="0007572B">
        <w:t>and Expenditure</w:t>
      </w:r>
      <w:bookmarkEnd w:id="131"/>
      <w:bookmarkEnd w:id="132"/>
      <w:bookmarkEnd w:id="133"/>
    </w:p>
    <w:p w14:paraId="3AFF52A2" w14:textId="77777777" w:rsidR="005403AF" w:rsidRDefault="005403AF" w:rsidP="0038082E">
      <w:pPr>
        <w:rPr>
          <w:rFonts w:ascii="Arial" w:hAnsi="Arial" w:cs="Arial"/>
          <w:b/>
          <w:sz w:val="22"/>
          <w:szCs w:val="22"/>
        </w:rPr>
      </w:pPr>
    </w:p>
    <w:p w14:paraId="79BCCA10" w14:textId="0DC4C775" w:rsidR="00CF0BB7" w:rsidRDefault="004D4FF0" w:rsidP="0038082E">
      <w:pPr>
        <w:rPr>
          <w:rFonts w:ascii="Arial" w:hAnsi="Arial" w:cs="Arial"/>
          <w:b/>
          <w:sz w:val="22"/>
          <w:szCs w:val="22"/>
        </w:rPr>
      </w:pPr>
      <w:r w:rsidRPr="004D4FF0">
        <w:rPr>
          <w:noProof/>
        </w:rPr>
        <w:drawing>
          <wp:inline distT="0" distB="0" distL="0" distR="0" wp14:anchorId="7F25E59E" wp14:editId="44C5EF0C">
            <wp:extent cx="5320030" cy="76771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20030" cy="767715"/>
                    </a:xfrm>
                    <a:prstGeom prst="rect">
                      <a:avLst/>
                    </a:prstGeom>
                    <a:noFill/>
                    <a:ln>
                      <a:noFill/>
                    </a:ln>
                  </pic:spPr>
                </pic:pic>
              </a:graphicData>
            </a:graphic>
          </wp:inline>
        </w:drawing>
      </w:r>
    </w:p>
    <w:p w14:paraId="7F10BF90" w14:textId="77777777" w:rsidR="005403AF" w:rsidRPr="0007572B" w:rsidRDefault="005403AF" w:rsidP="0038082E">
      <w:pPr>
        <w:rPr>
          <w:rFonts w:ascii="Arial" w:hAnsi="Arial" w:cs="Arial"/>
          <w:b/>
          <w:sz w:val="22"/>
          <w:szCs w:val="22"/>
        </w:rPr>
      </w:pPr>
    </w:p>
    <w:p w14:paraId="07EBD1BD" w14:textId="6EE078D4" w:rsidR="00501D98" w:rsidRPr="0007572B" w:rsidRDefault="004D4FF0" w:rsidP="0038082E">
      <w:pPr>
        <w:rPr>
          <w:rFonts w:ascii="Arial" w:hAnsi="Arial" w:cs="Arial"/>
          <w:b/>
          <w:sz w:val="22"/>
          <w:szCs w:val="22"/>
        </w:rPr>
      </w:pPr>
      <w:r w:rsidRPr="004D4FF0">
        <w:rPr>
          <w:noProof/>
        </w:rPr>
        <w:drawing>
          <wp:inline distT="0" distB="0" distL="0" distR="0" wp14:anchorId="6E92A8AF" wp14:editId="01066F17">
            <wp:extent cx="5310505" cy="1149350"/>
            <wp:effectExtent l="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10505" cy="1149350"/>
                    </a:xfrm>
                    <a:prstGeom prst="rect">
                      <a:avLst/>
                    </a:prstGeom>
                    <a:noFill/>
                    <a:ln>
                      <a:noFill/>
                    </a:ln>
                  </pic:spPr>
                </pic:pic>
              </a:graphicData>
            </a:graphic>
          </wp:inline>
        </w:drawing>
      </w:r>
    </w:p>
    <w:p w14:paraId="0D398D4B" w14:textId="7F558CED" w:rsidR="00CF0BB7" w:rsidRPr="0007572B" w:rsidRDefault="00CF0BB7" w:rsidP="0038082E">
      <w:pPr>
        <w:rPr>
          <w:rFonts w:ascii="Arial" w:hAnsi="Arial" w:cs="Arial"/>
          <w:b/>
          <w:sz w:val="22"/>
          <w:szCs w:val="22"/>
        </w:rPr>
      </w:pPr>
    </w:p>
    <w:p w14:paraId="7F66F0ED" w14:textId="77777777" w:rsidR="000E5378" w:rsidRPr="0007572B" w:rsidRDefault="000E5378" w:rsidP="0038082E">
      <w:pPr>
        <w:rPr>
          <w:rFonts w:ascii="Arial" w:hAnsi="Arial" w:cs="Arial"/>
          <w:b/>
          <w:sz w:val="22"/>
          <w:szCs w:val="22"/>
        </w:rPr>
      </w:pPr>
    </w:p>
    <w:p w14:paraId="2427C34B" w14:textId="2CB1B9CA" w:rsidR="00FC62F7" w:rsidRPr="0007572B" w:rsidRDefault="00BF67F6" w:rsidP="0038082E">
      <w:pPr>
        <w:pStyle w:val="Heading3greennumbered"/>
      </w:pPr>
      <w:bookmarkStart w:id="134" w:name="_Toc92894888"/>
      <w:bookmarkStart w:id="135" w:name="_Toc92895192"/>
      <w:bookmarkStart w:id="136" w:name="_Toc109922626"/>
      <w:r w:rsidRPr="0007572B">
        <w:t>1</w:t>
      </w:r>
      <w:r w:rsidR="0003456C" w:rsidRPr="0007572B">
        <w:t>6</w:t>
      </w:r>
      <w:r w:rsidR="00FC62F7" w:rsidRPr="0007572B">
        <w:t xml:space="preserve"> Taxation and Non</w:t>
      </w:r>
      <w:r w:rsidR="000C364F" w:rsidRPr="0007572B">
        <w:t>-</w:t>
      </w:r>
      <w:r w:rsidR="00FC62F7" w:rsidRPr="0007572B">
        <w:t>Specific Grant Income</w:t>
      </w:r>
      <w:bookmarkEnd w:id="134"/>
      <w:bookmarkEnd w:id="135"/>
      <w:bookmarkEnd w:id="136"/>
    </w:p>
    <w:p w14:paraId="03A89FA4" w14:textId="77777777" w:rsidR="005403AF" w:rsidRDefault="005403AF" w:rsidP="0038082E">
      <w:pPr>
        <w:jc w:val="both"/>
        <w:rPr>
          <w:rFonts w:ascii="Arial" w:hAnsi="Arial" w:cs="Arial"/>
          <w:sz w:val="22"/>
          <w:szCs w:val="22"/>
        </w:rPr>
      </w:pPr>
    </w:p>
    <w:p w14:paraId="02889853" w14:textId="2A026741" w:rsidR="00503BC1" w:rsidRDefault="004D4FF0" w:rsidP="0038082E">
      <w:pPr>
        <w:jc w:val="both"/>
        <w:rPr>
          <w:rFonts w:ascii="Arial" w:hAnsi="Arial" w:cs="Arial"/>
          <w:sz w:val="22"/>
          <w:szCs w:val="22"/>
        </w:rPr>
      </w:pPr>
      <w:r w:rsidRPr="004D4FF0">
        <w:rPr>
          <w:noProof/>
        </w:rPr>
        <w:drawing>
          <wp:inline distT="0" distB="0" distL="0" distR="0" wp14:anchorId="2CF0A987" wp14:editId="7AE96226">
            <wp:extent cx="5467956" cy="4675517"/>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68885" cy="4676311"/>
                    </a:xfrm>
                    <a:prstGeom prst="rect">
                      <a:avLst/>
                    </a:prstGeom>
                    <a:noFill/>
                    <a:ln>
                      <a:noFill/>
                    </a:ln>
                  </pic:spPr>
                </pic:pic>
              </a:graphicData>
            </a:graphic>
          </wp:inline>
        </w:drawing>
      </w:r>
    </w:p>
    <w:p w14:paraId="00ED2D1C" w14:textId="77777777" w:rsidR="00596963" w:rsidRPr="0007572B" w:rsidRDefault="00596963" w:rsidP="0038082E">
      <w:pPr>
        <w:rPr>
          <w:rFonts w:ascii="Arial" w:hAnsi="Arial" w:cs="Arial"/>
          <w:b/>
          <w:sz w:val="22"/>
          <w:szCs w:val="22"/>
        </w:rPr>
      </w:pPr>
      <w:r w:rsidRPr="0007572B">
        <w:rPr>
          <w:rFonts w:ascii="Arial" w:hAnsi="Arial" w:cs="Arial"/>
          <w:b/>
          <w:sz w:val="22"/>
          <w:szCs w:val="22"/>
        </w:rPr>
        <w:br w:type="page"/>
      </w:r>
    </w:p>
    <w:p w14:paraId="61BA394F" w14:textId="6C617CF4" w:rsidR="00115DCD" w:rsidRPr="0007572B" w:rsidRDefault="00E913C8" w:rsidP="0038082E">
      <w:pPr>
        <w:pStyle w:val="Heading3greennumbered"/>
      </w:pPr>
      <w:bookmarkStart w:id="137" w:name="_Toc92894889"/>
      <w:bookmarkStart w:id="138" w:name="_Toc92895193"/>
      <w:bookmarkStart w:id="139" w:name="_Toc109922627"/>
      <w:r w:rsidRPr="0007572B">
        <w:lastRenderedPageBreak/>
        <w:t>17</w:t>
      </w:r>
      <w:r w:rsidR="00FC62F7" w:rsidRPr="0007572B">
        <w:t xml:space="preserve"> External Audit Fees</w:t>
      </w:r>
      <w:bookmarkEnd w:id="137"/>
      <w:bookmarkEnd w:id="138"/>
      <w:bookmarkEnd w:id="139"/>
      <w:r w:rsidR="009C096E" w:rsidRPr="0007572B">
        <w:tab/>
      </w:r>
    </w:p>
    <w:p w14:paraId="773D9E4F" w14:textId="77777777" w:rsidR="005403AF" w:rsidRDefault="005403AF" w:rsidP="0038082E">
      <w:pPr>
        <w:rPr>
          <w:rFonts w:ascii="Arial" w:hAnsi="Arial" w:cs="Arial"/>
        </w:rPr>
      </w:pPr>
    </w:p>
    <w:p w14:paraId="5F060874" w14:textId="7011D5A2" w:rsidR="00FC62F7" w:rsidRPr="0007572B" w:rsidRDefault="00DC5AAB" w:rsidP="0038082E">
      <w:pPr>
        <w:rPr>
          <w:rFonts w:ascii="Arial" w:hAnsi="Arial" w:cs="Arial"/>
        </w:rPr>
      </w:pPr>
      <w:r w:rsidRPr="0007572B">
        <w:rPr>
          <w:rFonts w:ascii="Arial" w:hAnsi="Arial" w:cs="Arial"/>
        </w:rPr>
        <w:t>The Authority</w:t>
      </w:r>
      <w:r w:rsidR="00FC62F7" w:rsidRPr="0007572B">
        <w:rPr>
          <w:rFonts w:ascii="Arial" w:hAnsi="Arial" w:cs="Arial"/>
        </w:rPr>
        <w:t xml:space="preserve"> has incurred the following External Audit costs in relation to the audit of the Statement of Accounts and certification of grant claims.</w:t>
      </w:r>
    </w:p>
    <w:p w14:paraId="057F361E" w14:textId="77777777" w:rsidR="00D35A13" w:rsidRPr="0007572B" w:rsidRDefault="00D35A13" w:rsidP="0038082E">
      <w:pPr>
        <w:rPr>
          <w:rFonts w:ascii="Arial" w:hAnsi="Arial" w:cs="Arial"/>
          <w:b/>
          <w:sz w:val="22"/>
          <w:szCs w:val="22"/>
        </w:rPr>
      </w:pPr>
    </w:p>
    <w:p w14:paraId="7C4BC68E" w14:textId="37F206E8" w:rsidR="005F3210" w:rsidRPr="0007572B" w:rsidRDefault="00AC44DD" w:rsidP="0038082E">
      <w:pPr>
        <w:rPr>
          <w:rFonts w:ascii="Arial" w:hAnsi="Arial" w:cs="Arial"/>
          <w:b/>
          <w:sz w:val="22"/>
          <w:szCs w:val="22"/>
        </w:rPr>
      </w:pPr>
      <w:r>
        <w:rPr>
          <w:rFonts w:ascii="Arial" w:hAnsi="Arial" w:cs="Arial"/>
          <w:noProof/>
        </w:rPr>
        <w:t xml:space="preserve"> </w:t>
      </w:r>
      <w:r w:rsidR="004D4FF0" w:rsidRPr="004D4FF0">
        <w:rPr>
          <w:noProof/>
        </w:rPr>
        <w:drawing>
          <wp:inline distT="0" distB="0" distL="0" distR="0" wp14:anchorId="6C114FB4" wp14:editId="2C75A2C4">
            <wp:extent cx="5613400" cy="1530350"/>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13400" cy="1530350"/>
                    </a:xfrm>
                    <a:prstGeom prst="rect">
                      <a:avLst/>
                    </a:prstGeom>
                    <a:noFill/>
                    <a:ln>
                      <a:noFill/>
                    </a:ln>
                  </pic:spPr>
                </pic:pic>
              </a:graphicData>
            </a:graphic>
          </wp:inline>
        </w:drawing>
      </w:r>
    </w:p>
    <w:p w14:paraId="58401553" w14:textId="60680A1C" w:rsidR="00EB27EB" w:rsidRDefault="00EB27EB">
      <w:pPr>
        <w:rPr>
          <w:rFonts w:ascii="Arial" w:hAnsi="Arial" w:cs="Arial"/>
          <w:b/>
          <w:sz w:val="22"/>
          <w:szCs w:val="22"/>
        </w:rPr>
      </w:pPr>
      <w:r>
        <w:rPr>
          <w:rFonts w:ascii="Arial" w:hAnsi="Arial" w:cs="Arial"/>
          <w:b/>
          <w:sz w:val="22"/>
          <w:szCs w:val="22"/>
        </w:rPr>
        <w:br w:type="page"/>
      </w:r>
    </w:p>
    <w:p w14:paraId="5DAA969E" w14:textId="68594D5E" w:rsidR="00672FC1" w:rsidRPr="0007572B" w:rsidRDefault="00413C79" w:rsidP="0038082E">
      <w:pPr>
        <w:pStyle w:val="Heading3greennumbered"/>
      </w:pPr>
      <w:bookmarkStart w:id="140" w:name="_Toc92894890"/>
      <w:bookmarkStart w:id="141" w:name="_Toc92895194"/>
      <w:bookmarkStart w:id="142" w:name="_Toc109922628"/>
      <w:r w:rsidRPr="0007572B">
        <w:lastRenderedPageBreak/>
        <w:t>18</w:t>
      </w:r>
      <w:r w:rsidR="00672FC1" w:rsidRPr="0007572B">
        <w:t xml:space="preserve"> Officer Remuneration</w:t>
      </w:r>
      <w:bookmarkEnd w:id="140"/>
      <w:bookmarkEnd w:id="141"/>
      <w:bookmarkEnd w:id="142"/>
    </w:p>
    <w:p w14:paraId="74610E3A" w14:textId="77777777" w:rsidR="007C64B7" w:rsidRPr="0007572B" w:rsidRDefault="007C64B7" w:rsidP="0038082E">
      <w:pPr>
        <w:rPr>
          <w:rFonts w:ascii="Arial" w:hAnsi="Arial" w:cs="Arial"/>
          <w:b/>
          <w:sz w:val="22"/>
          <w:szCs w:val="22"/>
        </w:rPr>
      </w:pPr>
    </w:p>
    <w:p w14:paraId="4A6BB750" w14:textId="77777777" w:rsidR="00672FC1" w:rsidRPr="0007572B" w:rsidRDefault="00672FC1" w:rsidP="0038082E">
      <w:pPr>
        <w:pStyle w:val="Heading4bold"/>
      </w:pPr>
      <w:r w:rsidRPr="0007572B">
        <w:t>Officers with Remuneration above £50,000</w:t>
      </w:r>
    </w:p>
    <w:p w14:paraId="216455CD" w14:textId="51ACC9F4" w:rsidR="00672FC1" w:rsidRPr="0007572B" w:rsidRDefault="00216825" w:rsidP="0038082E">
      <w:pPr>
        <w:rPr>
          <w:rFonts w:ascii="Arial" w:hAnsi="Arial" w:cs="Arial"/>
          <w:b/>
        </w:rPr>
      </w:pPr>
      <w:r w:rsidRPr="0007572B">
        <w:rPr>
          <w:rFonts w:ascii="Arial" w:hAnsi="Arial" w:cs="Arial"/>
        </w:rPr>
        <w:t>The number of employees (</w:t>
      </w:r>
      <w:r w:rsidR="00740996" w:rsidRPr="0007572B">
        <w:rPr>
          <w:rFonts w:ascii="Arial" w:hAnsi="Arial" w:cs="Arial"/>
        </w:rPr>
        <w:t>in</w:t>
      </w:r>
      <w:r w:rsidR="00672FC1" w:rsidRPr="0007572B">
        <w:rPr>
          <w:rFonts w:ascii="Arial" w:hAnsi="Arial" w:cs="Arial"/>
        </w:rPr>
        <w:t>cluding senior employees) receiving more than £50,000 remuneration for the year (excluding employer's pension contributions) were as follows</w:t>
      </w:r>
      <w:r w:rsidR="00672FC1" w:rsidRPr="0007572B">
        <w:rPr>
          <w:rFonts w:ascii="Arial" w:hAnsi="Arial" w:cs="Arial"/>
          <w:b/>
        </w:rPr>
        <w:t>:</w:t>
      </w:r>
    </w:p>
    <w:p w14:paraId="6CCC7EB0" w14:textId="77777777" w:rsidR="00437C52" w:rsidRPr="0007572B" w:rsidRDefault="00437C52" w:rsidP="0038082E">
      <w:pPr>
        <w:jc w:val="both"/>
        <w:rPr>
          <w:rFonts w:ascii="Arial" w:hAnsi="Arial" w:cs="Arial"/>
          <w:b/>
          <w:sz w:val="22"/>
          <w:szCs w:val="22"/>
        </w:rPr>
      </w:pPr>
    </w:p>
    <w:p w14:paraId="688F3653" w14:textId="670F151A" w:rsidR="00884D7A" w:rsidRPr="0007572B" w:rsidRDefault="004D4FF0" w:rsidP="0038082E">
      <w:pPr>
        <w:rPr>
          <w:rFonts w:ascii="Arial" w:hAnsi="Arial" w:cs="Arial"/>
          <w:b/>
          <w:sz w:val="22"/>
          <w:szCs w:val="22"/>
        </w:rPr>
      </w:pPr>
      <w:r w:rsidRPr="004D4FF0">
        <w:rPr>
          <w:noProof/>
        </w:rPr>
        <w:drawing>
          <wp:inline distT="0" distB="0" distL="0" distR="0" wp14:anchorId="4A391384" wp14:editId="39BB613C">
            <wp:extent cx="5885180" cy="5005705"/>
            <wp:effectExtent l="0" t="0" r="1270"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85180" cy="5005705"/>
                    </a:xfrm>
                    <a:prstGeom prst="rect">
                      <a:avLst/>
                    </a:prstGeom>
                    <a:noFill/>
                    <a:ln>
                      <a:noFill/>
                    </a:ln>
                  </pic:spPr>
                </pic:pic>
              </a:graphicData>
            </a:graphic>
          </wp:inline>
        </w:drawing>
      </w:r>
    </w:p>
    <w:p w14:paraId="22B6E890" w14:textId="61256951" w:rsidR="00996C0B" w:rsidRPr="0007572B" w:rsidRDefault="00996C0B" w:rsidP="0038082E">
      <w:pPr>
        <w:rPr>
          <w:rFonts w:ascii="Arial" w:eastAsia="Verdana" w:hAnsi="Arial" w:cs="Arial"/>
          <w:sz w:val="22"/>
          <w:szCs w:val="22"/>
        </w:rPr>
      </w:pPr>
    </w:p>
    <w:p w14:paraId="55A04063" w14:textId="77777777" w:rsidR="008E3497" w:rsidRPr="0007572B" w:rsidRDefault="008E3497" w:rsidP="0038082E">
      <w:pPr>
        <w:jc w:val="both"/>
        <w:rPr>
          <w:rFonts w:ascii="Arial" w:eastAsia="Verdana" w:hAnsi="Arial" w:cs="Arial"/>
          <w:sz w:val="22"/>
          <w:szCs w:val="22"/>
        </w:rPr>
      </w:pPr>
    </w:p>
    <w:p w14:paraId="1264BFFD" w14:textId="79B52B18" w:rsidR="003439C3" w:rsidRPr="0007572B" w:rsidRDefault="00100674" w:rsidP="0038082E">
      <w:pPr>
        <w:rPr>
          <w:rFonts w:ascii="Arial" w:hAnsi="Arial" w:cs="Arial"/>
          <w:b/>
          <w:sz w:val="22"/>
          <w:szCs w:val="22"/>
        </w:rPr>
        <w:sectPr w:rsidR="003439C3" w:rsidRPr="0007572B" w:rsidSect="004844EC">
          <w:pgSz w:w="11906" w:h="16838"/>
          <w:pgMar w:top="1444" w:right="1558" w:bottom="1440" w:left="1080" w:header="568" w:footer="567" w:gutter="0"/>
          <w:cols w:space="708"/>
          <w:docGrid w:linePitch="360"/>
        </w:sectPr>
      </w:pPr>
      <w:r>
        <w:rPr>
          <w:rFonts w:ascii="Arial" w:hAnsi="Arial" w:cs="Arial"/>
          <w:b/>
          <w:sz w:val="22"/>
          <w:szCs w:val="22"/>
        </w:rPr>
        <w:t xml:space="preserve"> </w:t>
      </w:r>
    </w:p>
    <w:p w14:paraId="3E260E2C" w14:textId="77777777" w:rsidR="0014202A" w:rsidRPr="0007572B" w:rsidRDefault="0014202A" w:rsidP="0038082E">
      <w:pPr>
        <w:pStyle w:val="Heading4bold"/>
      </w:pPr>
      <w:r w:rsidRPr="0007572B">
        <w:lastRenderedPageBreak/>
        <w:t xml:space="preserve">Senior </w:t>
      </w:r>
      <w:r w:rsidR="001867BA" w:rsidRPr="0007572B">
        <w:t>Employees</w:t>
      </w:r>
      <w:r w:rsidRPr="0007572B">
        <w:t xml:space="preserve"> Remuneration</w:t>
      </w:r>
    </w:p>
    <w:p w14:paraId="54FA8FD7" w14:textId="5A5E0985" w:rsidR="00A47196" w:rsidRPr="0007572B" w:rsidRDefault="00D9207B" w:rsidP="0038082E">
      <w:pPr>
        <w:rPr>
          <w:rFonts w:ascii="Arial" w:hAnsi="Arial" w:cs="Arial"/>
        </w:rPr>
      </w:pPr>
      <w:r w:rsidRPr="0007572B">
        <w:rPr>
          <w:rFonts w:ascii="Arial" w:hAnsi="Arial" w:cs="Arial"/>
        </w:rPr>
        <w:t>E</w:t>
      </w:r>
      <w:r w:rsidR="0014202A" w:rsidRPr="0007572B">
        <w:rPr>
          <w:rFonts w:ascii="Arial" w:hAnsi="Arial" w:cs="Arial"/>
        </w:rPr>
        <w:t xml:space="preserve">mployees are classed as senior employees </w:t>
      </w:r>
      <w:r w:rsidRPr="0007572B">
        <w:rPr>
          <w:rFonts w:ascii="Arial" w:hAnsi="Arial" w:cs="Arial"/>
        </w:rPr>
        <w:t>when</w:t>
      </w:r>
      <w:r w:rsidR="0014202A" w:rsidRPr="0007572B">
        <w:rPr>
          <w:rFonts w:ascii="Arial" w:hAnsi="Arial" w:cs="Arial"/>
        </w:rPr>
        <w:t xml:space="preserve"> they receive</w:t>
      </w:r>
      <w:r w:rsidRPr="0007572B">
        <w:rPr>
          <w:rFonts w:ascii="Arial" w:hAnsi="Arial" w:cs="Arial"/>
        </w:rPr>
        <w:t>d</w:t>
      </w:r>
      <w:r w:rsidR="0014202A" w:rsidRPr="0007572B">
        <w:rPr>
          <w:rFonts w:ascii="Arial" w:hAnsi="Arial" w:cs="Arial"/>
        </w:rPr>
        <w:t xml:space="preserve"> a salary in excess of £150,000 (disclosed by name) or receive</w:t>
      </w:r>
      <w:r w:rsidRPr="0007572B">
        <w:rPr>
          <w:rFonts w:ascii="Arial" w:hAnsi="Arial" w:cs="Arial"/>
        </w:rPr>
        <w:t>d</w:t>
      </w:r>
      <w:r w:rsidR="0014202A" w:rsidRPr="0007572B">
        <w:rPr>
          <w:rFonts w:ascii="Arial" w:hAnsi="Arial" w:cs="Arial"/>
        </w:rPr>
        <w:t xml:space="preserve"> </w:t>
      </w:r>
      <w:r w:rsidR="00102E58" w:rsidRPr="0007572B">
        <w:rPr>
          <w:rFonts w:ascii="Arial" w:hAnsi="Arial" w:cs="Arial"/>
        </w:rPr>
        <w:t>a salary in excess of £50,000 and</w:t>
      </w:r>
      <w:r w:rsidR="0014202A" w:rsidRPr="0007572B">
        <w:rPr>
          <w:rFonts w:ascii="Arial" w:hAnsi="Arial" w:cs="Arial"/>
        </w:rPr>
        <w:t xml:space="preserve"> report</w:t>
      </w:r>
      <w:r w:rsidR="00CB67FA" w:rsidRPr="0007572B">
        <w:rPr>
          <w:rFonts w:ascii="Arial" w:hAnsi="Arial" w:cs="Arial"/>
        </w:rPr>
        <w:t>ed</w:t>
      </w:r>
      <w:r w:rsidR="0014202A" w:rsidRPr="0007572B">
        <w:rPr>
          <w:rFonts w:ascii="Arial" w:hAnsi="Arial" w:cs="Arial"/>
        </w:rPr>
        <w:t xml:space="preserve"> to the Head of Paid Service for the Authority</w:t>
      </w:r>
      <w:r w:rsidR="00EB1576" w:rsidRPr="0007572B">
        <w:rPr>
          <w:rFonts w:ascii="Arial" w:hAnsi="Arial" w:cs="Arial"/>
        </w:rPr>
        <w:t xml:space="preserve">. In </w:t>
      </w:r>
      <w:r w:rsidR="003543D4" w:rsidRPr="0007572B">
        <w:rPr>
          <w:rFonts w:ascii="Arial" w:hAnsi="Arial" w:cs="Arial"/>
        </w:rPr>
        <w:t>addition,</w:t>
      </w:r>
      <w:r w:rsidR="00EB1576" w:rsidRPr="0007572B">
        <w:rPr>
          <w:rFonts w:ascii="Arial" w:hAnsi="Arial" w:cs="Arial"/>
        </w:rPr>
        <w:t xml:space="preserve"> the salaries for the Mayor, Deputy Mayor for Police and Crime and the Director of the Mayor’s Office are disclosed.</w:t>
      </w:r>
    </w:p>
    <w:p w14:paraId="742D94ED" w14:textId="16AF7C41" w:rsidR="004F1EB1" w:rsidRPr="0007572B" w:rsidRDefault="004F1EB1" w:rsidP="0038082E">
      <w:pPr>
        <w:rPr>
          <w:rFonts w:ascii="Arial" w:hAnsi="Arial" w:cs="Arial"/>
          <w:b/>
          <w:sz w:val="22"/>
          <w:szCs w:val="22"/>
        </w:rPr>
      </w:pPr>
    </w:p>
    <w:p w14:paraId="7C251919" w14:textId="3F8DAE5C" w:rsidR="00437C52" w:rsidRPr="0007572B" w:rsidRDefault="004D4FF0" w:rsidP="0038082E">
      <w:pPr>
        <w:jc w:val="both"/>
        <w:rPr>
          <w:rFonts w:ascii="Arial" w:hAnsi="Arial" w:cs="Arial"/>
          <w:sz w:val="22"/>
          <w:szCs w:val="22"/>
        </w:rPr>
      </w:pPr>
      <w:r w:rsidRPr="004D4FF0">
        <w:rPr>
          <w:noProof/>
        </w:rPr>
        <w:drawing>
          <wp:inline distT="0" distB="0" distL="0" distR="0" wp14:anchorId="70A1D912" wp14:editId="63B00115">
            <wp:extent cx="8860790" cy="19907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860790" cy="1990725"/>
                    </a:xfrm>
                    <a:prstGeom prst="rect">
                      <a:avLst/>
                    </a:prstGeom>
                    <a:noFill/>
                    <a:ln>
                      <a:noFill/>
                    </a:ln>
                  </pic:spPr>
                </pic:pic>
              </a:graphicData>
            </a:graphic>
          </wp:inline>
        </w:drawing>
      </w:r>
    </w:p>
    <w:p w14:paraId="2CE48ACF" w14:textId="77777777" w:rsidR="008D6F60" w:rsidRPr="0007572B" w:rsidRDefault="008D6F60" w:rsidP="0038082E">
      <w:pPr>
        <w:rPr>
          <w:rFonts w:ascii="Arial" w:hAnsi="Arial" w:cs="Arial"/>
          <w:b/>
          <w:sz w:val="22"/>
          <w:szCs w:val="22"/>
        </w:rPr>
      </w:pPr>
    </w:p>
    <w:p w14:paraId="456E30FD" w14:textId="77777777" w:rsidR="008D6F60" w:rsidRDefault="008D6F60" w:rsidP="0038082E">
      <w:pPr>
        <w:rPr>
          <w:rFonts w:ascii="Arial" w:hAnsi="Arial" w:cs="Arial"/>
          <w:b/>
        </w:rPr>
      </w:pPr>
    </w:p>
    <w:p w14:paraId="1645DEF2" w14:textId="6117D305" w:rsidR="004D4FF0" w:rsidRPr="004D4FF0" w:rsidRDefault="004D4FF0" w:rsidP="00EB27EB">
      <w:pPr>
        <w:pStyle w:val="ListParagraph"/>
        <w:numPr>
          <w:ilvl w:val="0"/>
          <w:numId w:val="54"/>
        </w:numPr>
        <w:rPr>
          <w:rFonts w:ascii="Arial" w:hAnsi="Arial" w:cs="Arial"/>
          <w:bCs/>
        </w:rPr>
      </w:pPr>
      <w:r w:rsidRPr="004D4FF0">
        <w:rPr>
          <w:rFonts w:ascii="Arial" w:hAnsi="Arial" w:cs="Arial"/>
          <w:bCs/>
        </w:rPr>
        <w:t xml:space="preserve"> The GMCA received a contribution of £114,720.42 (2020/21: £113,025) for the Chief Executive also performing the duties of Chief Executive at Transport for Greater Manchester during 2021/22 (50% of Basic Pay and Employers NI)</w:t>
      </w:r>
    </w:p>
    <w:p w14:paraId="32461A57" w14:textId="6A075B1A" w:rsidR="004D4FF0" w:rsidRDefault="004D4FF0" w:rsidP="00EB27EB">
      <w:pPr>
        <w:pStyle w:val="ListParagraph"/>
        <w:numPr>
          <w:ilvl w:val="0"/>
          <w:numId w:val="54"/>
        </w:numPr>
        <w:rPr>
          <w:rFonts w:ascii="Arial" w:hAnsi="Arial" w:cs="Arial"/>
          <w:bCs/>
        </w:rPr>
      </w:pPr>
      <w:r w:rsidRPr="004D4FF0">
        <w:rPr>
          <w:rFonts w:ascii="Arial" w:hAnsi="Arial" w:cs="Arial"/>
          <w:bCs/>
        </w:rPr>
        <w:t xml:space="preserve"> Post Holder left 31 August 2020 (2020/21: FTE salary £164,020.63)</w:t>
      </w:r>
    </w:p>
    <w:p w14:paraId="373EF10D" w14:textId="48C07282" w:rsidR="00C462BB" w:rsidRDefault="00C462BB" w:rsidP="00EB27EB">
      <w:pPr>
        <w:pStyle w:val="ListParagraph"/>
        <w:numPr>
          <w:ilvl w:val="0"/>
          <w:numId w:val="54"/>
        </w:numPr>
        <w:rPr>
          <w:rFonts w:ascii="Arial" w:hAnsi="Arial" w:cs="Arial"/>
          <w:bCs/>
        </w:rPr>
      </w:pPr>
      <w:r w:rsidRPr="00C462BB">
        <w:rPr>
          <w:rFonts w:ascii="Arial" w:hAnsi="Arial" w:cs="Arial"/>
          <w:bCs/>
        </w:rPr>
        <w:t>Post Holder commenced 7 September 2020. (2020/21: FTE salary £164,020.63)</w:t>
      </w:r>
    </w:p>
    <w:p w14:paraId="19F5CF2E" w14:textId="458A02E9" w:rsidR="00C462BB" w:rsidRDefault="00C462BB" w:rsidP="00EB27EB">
      <w:pPr>
        <w:pStyle w:val="ListParagraph"/>
        <w:numPr>
          <w:ilvl w:val="0"/>
          <w:numId w:val="54"/>
        </w:numPr>
        <w:rPr>
          <w:rFonts w:ascii="Arial" w:hAnsi="Arial" w:cs="Arial"/>
          <w:bCs/>
        </w:rPr>
      </w:pPr>
      <w:r w:rsidRPr="00C462BB">
        <w:rPr>
          <w:rFonts w:ascii="Arial" w:hAnsi="Arial" w:cs="Arial"/>
          <w:bCs/>
        </w:rPr>
        <w:t>The GMCA received a contribution of £60,000 for the Treasurer performing duties of Executive lead for finance and investment at Greater Manchester Health and Social Care Partnership during 2021/22 (2020/21: £60,000)</w:t>
      </w:r>
    </w:p>
    <w:p w14:paraId="5A9E84A0" w14:textId="0D0F1B5E" w:rsidR="00C462BB" w:rsidRPr="004D4FF0" w:rsidRDefault="00C462BB" w:rsidP="00EB27EB">
      <w:pPr>
        <w:pStyle w:val="ListParagraph"/>
        <w:numPr>
          <w:ilvl w:val="0"/>
          <w:numId w:val="54"/>
        </w:numPr>
        <w:rPr>
          <w:rFonts w:ascii="Arial" w:hAnsi="Arial" w:cs="Arial"/>
          <w:bCs/>
        </w:rPr>
      </w:pPr>
      <w:r w:rsidRPr="00C462BB">
        <w:rPr>
          <w:rFonts w:ascii="Arial" w:hAnsi="Arial" w:cs="Arial"/>
          <w:bCs/>
        </w:rPr>
        <w:t>Post in 2020/21 is 0.41 FTE, Annual salary for 1.0 FTE would be £161,955.16. Post in 2021/22 is also 0.41 FTE, Annual Salary for 1.0 FTE would be £164,789.37</w:t>
      </w:r>
    </w:p>
    <w:p w14:paraId="775BD3F3" w14:textId="77777777" w:rsidR="004D4FF0" w:rsidRDefault="004D4FF0" w:rsidP="0038082E">
      <w:pPr>
        <w:rPr>
          <w:rFonts w:ascii="Arial" w:hAnsi="Arial" w:cs="Arial"/>
          <w:bCs/>
        </w:rPr>
      </w:pPr>
    </w:p>
    <w:p w14:paraId="3FF95581" w14:textId="77777777" w:rsidR="004D4FF0" w:rsidRDefault="004D4FF0" w:rsidP="0038082E">
      <w:pPr>
        <w:rPr>
          <w:rFonts w:ascii="Arial" w:hAnsi="Arial" w:cs="Arial"/>
          <w:bCs/>
        </w:rPr>
      </w:pPr>
    </w:p>
    <w:p w14:paraId="66CCE478" w14:textId="18DF0CC3" w:rsidR="004D4FF0" w:rsidRPr="004D4FF0" w:rsidRDefault="004D4FF0" w:rsidP="0038082E">
      <w:pPr>
        <w:rPr>
          <w:rFonts w:ascii="Arial" w:hAnsi="Arial" w:cs="Arial"/>
          <w:bCs/>
        </w:rPr>
        <w:sectPr w:rsidR="004D4FF0" w:rsidRPr="004D4FF0" w:rsidSect="003439C3">
          <w:pgSz w:w="16838" w:h="11906" w:orient="landscape"/>
          <w:pgMar w:top="1080" w:right="1444" w:bottom="1416" w:left="1440" w:header="568" w:footer="567" w:gutter="0"/>
          <w:cols w:space="708"/>
          <w:docGrid w:linePitch="360"/>
        </w:sectPr>
      </w:pPr>
    </w:p>
    <w:p w14:paraId="5D65BB0A" w14:textId="77777777" w:rsidR="00672FC1" w:rsidRPr="0007572B" w:rsidRDefault="00672FC1" w:rsidP="0038082E">
      <w:pPr>
        <w:pStyle w:val="Heading4bold"/>
      </w:pPr>
      <w:r w:rsidRPr="0007572B">
        <w:lastRenderedPageBreak/>
        <w:t>Exit Costs</w:t>
      </w:r>
    </w:p>
    <w:p w14:paraId="22C55A9B" w14:textId="77777777" w:rsidR="00216825" w:rsidRPr="0007572B" w:rsidRDefault="00216825" w:rsidP="0038082E">
      <w:pPr>
        <w:rPr>
          <w:rFonts w:ascii="Arial" w:eastAsia="Verdana" w:hAnsi="Arial" w:cs="Arial"/>
          <w:sz w:val="18"/>
          <w:szCs w:val="18"/>
        </w:rPr>
      </w:pPr>
    </w:p>
    <w:p w14:paraId="0831BC56" w14:textId="77777777" w:rsidR="00672FC1" w:rsidRPr="0007572B" w:rsidRDefault="00672FC1" w:rsidP="0038082E">
      <w:pPr>
        <w:rPr>
          <w:rFonts w:ascii="Arial" w:hAnsi="Arial" w:cs="Arial"/>
        </w:rPr>
      </w:pPr>
      <w:r w:rsidRPr="0007572B">
        <w:rPr>
          <w:rFonts w:ascii="Arial" w:hAnsi="Arial" w:cs="Arial"/>
        </w:rPr>
        <w:t>Exit payments are made as a result of the departure of staff from the Authority. The total cost per band and the total cost of compulsory and other redundancies are set out in the table below</w:t>
      </w:r>
      <w:r w:rsidR="00A47196" w:rsidRPr="0007572B">
        <w:rPr>
          <w:rFonts w:ascii="Arial" w:hAnsi="Arial" w:cs="Arial"/>
        </w:rPr>
        <w:t>:</w:t>
      </w:r>
    </w:p>
    <w:p w14:paraId="7712E26A" w14:textId="77777777" w:rsidR="00A47196" w:rsidRPr="0007572B" w:rsidRDefault="00A47196" w:rsidP="0038082E">
      <w:pPr>
        <w:rPr>
          <w:rFonts w:ascii="Arial" w:hAnsi="Arial" w:cs="Arial"/>
          <w:b/>
          <w:sz w:val="22"/>
          <w:szCs w:val="22"/>
        </w:rPr>
      </w:pPr>
    </w:p>
    <w:p w14:paraId="76947793" w14:textId="2E42C424" w:rsidR="004F1EB1" w:rsidRPr="0007572B" w:rsidRDefault="00C462BB" w:rsidP="0038082E">
      <w:pPr>
        <w:rPr>
          <w:rFonts w:ascii="Arial" w:hAnsi="Arial" w:cs="Arial"/>
          <w:bCs/>
          <w:sz w:val="22"/>
          <w:szCs w:val="22"/>
        </w:rPr>
      </w:pPr>
      <w:r w:rsidRPr="00C462BB">
        <w:rPr>
          <w:noProof/>
        </w:rPr>
        <w:drawing>
          <wp:inline distT="0" distB="0" distL="0" distR="0" wp14:anchorId="666FB4FD" wp14:editId="742582FE">
            <wp:extent cx="6064250" cy="1097915"/>
            <wp:effectExtent l="0" t="0" r="0" b="698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064250" cy="1097915"/>
                    </a:xfrm>
                    <a:prstGeom prst="rect">
                      <a:avLst/>
                    </a:prstGeom>
                    <a:noFill/>
                    <a:ln>
                      <a:noFill/>
                    </a:ln>
                  </pic:spPr>
                </pic:pic>
              </a:graphicData>
            </a:graphic>
          </wp:inline>
        </w:drawing>
      </w:r>
    </w:p>
    <w:p w14:paraId="4D8EBAFD" w14:textId="141C9288" w:rsidR="00026E51" w:rsidRPr="0007572B" w:rsidRDefault="00026E51" w:rsidP="0038082E">
      <w:pPr>
        <w:rPr>
          <w:rFonts w:ascii="Arial" w:hAnsi="Arial" w:cs="Arial"/>
          <w:b/>
          <w:sz w:val="22"/>
          <w:szCs w:val="22"/>
        </w:rPr>
      </w:pPr>
    </w:p>
    <w:p w14:paraId="0EA3E74C" w14:textId="72BE4C81" w:rsidR="007F381A" w:rsidRPr="0007572B" w:rsidRDefault="00413C79" w:rsidP="0038082E">
      <w:pPr>
        <w:pStyle w:val="Heading3greennumbered"/>
      </w:pPr>
      <w:bookmarkStart w:id="143" w:name="_Toc92894891"/>
      <w:bookmarkStart w:id="144" w:name="_Toc92895195"/>
      <w:bookmarkStart w:id="145" w:name="_Toc109922629"/>
      <w:r w:rsidRPr="0007572B">
        <w:t>19</w:t>
      </w:r>
      <w:r w:rsidR="007F381A" w:rsidRPr="0007572B">
        <w:t xml:space="preserve"> Capital Expenditure and Capital Financing</w:t>
      </w:r>
      <w:bookmarkEnd w:id="143"/>
      <w:bookmarkEnd w:id="144"/>
      <w:bookmarkEnd w:id="145"/>
    </w:p>
    <w:p w14:paraId="2302F007" w14:textId="77777777" w:rsidR="005403AF" w:rsidRDefault="005403AF" w:rsidP="0038082E">
      <w:pPr>
        <w:rPr>
          <w:rFonts w:ascii="Arial" w:hAnsi="Arial" w:cs="Arial"/>
        </w:rPr>
      </w:pPr>
    </w:p>
    <w:p w14:paraId="46AF3617" w14:textId="7661EEDA" w:rsidR="0038082E" w:rsidRDefault="007F381A" w:rsidP="0038082E">
      <w:pPr>
        <w:rPr>
          <w:rFonts w:ascii="Arial" w:hAnsi="Arial" w:cs="Arial"/>
        </w:rPr>
      </w:pPr>
      <w:r w:rsidRPr="0007572B">
        <w:rPr>
          <w:rFonts w:ascii="Arial" w:hAnsi="Arial" w:cs="Arial"/>
        </w:rPr>
        <w:t>Where capital expenditure is to be financed in future years by charges to revenue as assets are used by the Authority, the expenditure results in an increase in the Capital Financing Requirement (CFR), a measure of the capital expenditure incurred historically by the Authority that has yet to be financed. The CFR is analysed below.</w:t>
      </w:r>
    </w:p>
    <w:p w14:paraId="261509B9" w14:textId="1022C0AC" w:rsidR="00CF2D3F" w:rsidRDefault="00CF2D3F" w:rsidP="0038082E">
      <w:pPr>
        <w:rPr>
          <w:rFonts w:ascii="Arial" w:hAnsi="Arial" w:cs="Arial"/>
        </w:rPr>
      </w:pPr>
    </w:p>
    <w:p w14:paraId="20463E62" w14:textId="7B4F6D21" w:rsidR="00CF2D3F" w:rsidRDefault="00C462BB" w:rsidP="0038082E">
      <w:pPr>
        <w:rPr>
          <w:rFonts w:ascii="Arial" w:hAnsi="Arial" w:cs="Arial"/>
        </w:rPr>
      </w:pPr>
      <w:r w:rsidRPr="00C462BB">
        <w:rPr>
          <w:noProof/>
        </w:rPr>
        <w:drawing>
          <wp:inline distT="0" distB="0" distL="0" distR="0" wp14:anchorId="170E2998" wp14:editId="35511577">
            <wp:extent cx="5023412" cy="3771745"/>
            <wp:effectExtent l="0" t="0" r="6350"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024780" cy="3772772"/>
                    </a:xfrm>
                    <a:prstGeom prst="rect">
                      <a:avLst/>
                    </a:prstGeom>
                    <a:noFill/>
                    <a:ln>
                      <a:noFill/>
                    </a:ln>
                  </pic:spPr>
                </pic:pic>
              </a:graphicData>
            </a:graphic>
          </wp:inline>
        </w:drawing>
      </w:r>
    </w:p>
    <w:p w14:paraId="029730BC" w14:textId="77777777" w:rsidR="0038082E" w:rsidRDefault="0038082E" w:rsidP="0038082E">
      <w:pPr>
        <w:rPr>
          <w:rFonts w:ascii="Arial" w:hAnsi="Arial" w:cs="Arial"/>
        </w:rPr>
      </w:pPr>
    </w:p>
    <w:p w14:paraId="57082A9A" w14:textId="33EBC55A" w:rsidR="001E3540" w:rsidRPr="0007572B" w:rsidRDefault="00C462BB" w:rsidP="0038082E">
      <w:pPr>
        <w:rPr>
          <w:rFonts w:ascii="Arial" w:hAnsi="Arial" w:cs="Arial"/>
          <w:sz w:val="22"/>
          <w:szCs w:val="22"/>
        </w:rPr>
      </w:pPr>
      <w:r w:rsidRPr="00C462BB">
        <w:rPr>
          <w:noProof/>
        </w:rPr>
        <w:lastRenderedPageBreak/>
        <w:drawing>
          <wp:inline distT="0" distB="0" distL="0" distR="0" wp14:anchorId="05415FC2" wp14:editId="173479D6">
            <wp:extent cx="5059656" cy="1776714"/>
            <wp:effectExtent l="0" t="0" r="825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070125" cy="1780390"/>
                    </a:xfrm>
                    <a:prstGeom prst="rect">
                      <a:avLst/>
                    </a:prstGeom>
                    <a:noFill/>
                    <a:ln>
                      <a:noFill/>
                    </a:ln>
                  </pic:spPr>
                </pic:pic>
              </a:graphicData>
            </a:graphic>
          </wp:inline>
        </w:drawing>
      </w:r>
    </w:p>
    <w:p w14:paraId="2C9925EC" w14:textId="597A7943" w:rsidR="00995A1C" w:rsidRPr="0007572B" w:rsidRDefault="00995A1C" w:rsidP="0038082E">
      <w:pPr>
        <w:rPr>
          <w:rFonts w:ascii="Arial" w:hAnsi="Arial" w:cs="Arial"/>
          <w:sz w:val="22"/>
          <w:szCs w:val="22"/>
        </w:rPr>
      </w:pPr>
    </w:p>
    <w:p w14:paraId="5C8D832D" w14:textId="77777777" w:rsidR="001E3540" w:rsidRPr="0007572B" w:rsidRDefault="001E3540" w:rsidP="0038082E">
      <w:pPr>
        <w:rPr>
          <w:rFonts w:ascii="Arial" w:hAnsi="Arial" w:cs="Arial"/>
        </w:rPr>
      </w:pPr>
    </w:p>
    <w:p w14:paraId="4D910AE8" w14:textId="7444ADB9" w:rsidR="007F381A" w:rsidRPr="0007572B" w:rsidRDefault="007F381A" w:rsidP="0038082E">
      <w:pPr>
        <w:rPr>
          <w:rFonts w:ascii="Arial" w:hAnsi="Arial" w:cs="Arial"/>
        </w:rPr>
      </w:pPr>
      <w:r w:rsidRPr="0007572B">
        <w:rPr>
          <w:rFonts w:ascii="Arial" w:hAnsi="Arial" w:cs="Arial"/>
        </w:rPr>
        <w:t>Many capital schemes take two or more years to complete. At the Balance Sheet date the main estimated contractual commitments relating to ongoing schemes were as follows:</w:t>
      </w:r>
    </w:p>
    <w:p w14:paraId="505C3794" w14:textId="77777777" w:rsidR="00215941" w:rsidRPr="0007572B" w:rsidRDefault="00215941" w:rsidP="0038082E">
      <w:pPr>
        <w:rPr>
          <w:rFonts w:ascii="Arial" w:hAnsi="Arial" w:cs="Arial"/>
          <w:b/>
        </w:rPr>
      </w:pPr>
    </w:p>
    <w:p w14:paraId="605FA0AD" w14:textId="6CAD2066" w:rsidR="0019189C" w:rsidRPr="0007572B" w:rsidRDefault="00AB450E" w:rsidP="0038082E">
      <w:pPr>
        <w:rPr>
          <w:rFonts w:ascii="Arial" w:hAnsi="Arial" w:cs="Arial"/>
          <w:b/>
          <w:sz w:val="22"/>
          <w:szCs w:val="22"/>
        </w:rPr>
      </w:pPr>
      <w:r w:rsidRPr="00AB450E">
        <w:rPr>
          <w:noProof/>
        </w:rPr>
        <w:drawing>
          <wp:inline distT="0" distB="0" distL="0" distR="0" wp14:anchorId="20ADEB1B" wp14:editId="1030008E">
            <wp:extent cx="4391025" cy="1038225"/>
            <wp:effectExtent l="0" t="0" r="0" b="9525"/>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391025" cy="1038225"/>
                    </a:xfrm>
                    <a:prstGeom prst="rect">
                      <a:avLst/>
                    </a:prstGeom>
                    <a:noFill/>
                    <a:ln>
                      <a:noFill/>
                    </a:ln>
                  </pic:spPr>
                </pic:pic>
              </a:graphicData>
            </a:graphic>
          </wp:inline>
        </w:drawing>
      </w:r>
    </w:p>
    <w:p w14:paraId="371A9FCD" w14:textId="77777777" w:rsidR="00FD0AAF" w:rsidRPr="0007572B" w:rsidRDefault="00FD0AAF" w:rsidP="0038082E">
      <w:pPr>
        <w:rPr>
          <w:rFonts w:ascii="Arial" w:hAnsi="Arial" w:cs="Arial"/>
          <w:b/>
          <w:sz w:val="22"/>
          <w:szCs w:val="22"/>
        </w:rPr>
      </w:pPr>
      <w:r w:rsidRPr="0007572B">
        <w:rPr>
          <w:rFonts w:ascii="Arial" w:hAnsi="Arial" w:cs="Arial"/>
          <w:b/>
          <w:sz w:val="22"/>
          <w:szCs w:val="22"/>
        </w:rPr>
        <w:br w:type="page"/>
      </w:r>
    </w:p>
    <w:p w14:paraId="613418CF" w14:textId="5081CF32" w:rsidR="00115DCD" w:rsidRPr="0007572B" w:rsidRDefault="00413C79" w:rsidP="0038082E">
      <w:pPr>
        <w:pStyle w:val="Heading3greennumbered"/>
      </w:pPr>
      <w:bookmarkStart w:id="146" w:name="_Toc92894892"/>
      <w:bookmarkStart w:id="147" w:name="_Toc92895196"/>
      <w:bookmarkStart w:id="148" w:name="_Toc109922630"/>
      <w:r w:rsidRPr="0007572B">
        <w:lastRenderedPageBreak/>
        <w:t>20</w:t>
      </w:r>
      <w:r w:rsidR="0063513E" w:rsidRPr="0007572B">
        <w:t xml:space="preserve"> Property, Plant and Equipment Including Disposals</w:t>
      </w:r>
      <w:bookmarkEnd w:id="146"/>
      <w:bookmarkEnd w:id="147"/>
      <w:bookmarkEnd w:id="148"/>
    </w:p>
    <w:p w14:paraId="34ED8041" w14:textId="77777777" w:rsidR="005403AF" w:rsidRDefault="005403AF" w:rsidP="0038082E">
      <w:pPr>
        <w:rPr>
          <w:rFonts w:ascii="Arial" w:hAnsi="Arial" w:cs="Arial"/>
          <w:bCs/>
          <w:color w:val="000000"/>
          <w:lang w:val="en-US" w:eastAsia="en-GB"/>
        </w:rPr>
      </w:pPr>
    </w:p>
    <w:p w14:paraId="702556B0" w14:textId="42BF0347" w:rsidR="00387571" w:rsidRPr="0007572B" w:rsidRDefault="00387571" w:rsidP="0038082E">
      <w:pPr>
        <w:rPr>
          <w:rFonts w:ascii="Arial" w:hAnsi="Arial" w:cs="Arial"/>
          <w:bCs/>
          <w:color w:val="000000"/>
          <w:lang w:val="en-US" w:eastAsia="en-GB"/>
        </w:rPr>
      </w:pPr>
      <w:r w:rsidRPr="0007572B">
        <w:rPr>
          <w:rFonts w:ascii="Arial" w:hAnsi="Arial" w:cs="Arial"/>
          <w:bCs/>
          <w:color w:val="000000"/>
          <w:lang w:val="en-US" w:eastAsia="en-GB"/>
        </w:rPr>
        <w:t>Full det</w:t>
      </w:r>
      <w:r w:rsidR="00314193" w:rsidRPr="0007572B">
        <w:rPr>
          <w:rFonts w:ascii="Arial" w:hAnsi="Arial" w:cs="Arial"/>
          <w:bCs/>
          <w:color w:val="000000"/>
          <w:lang w:val="en-US" w:eastAsia="en-GB"/>
        </w:rPr>
        <w:t>ails of how assets are capitalis</w:t>
      </w:r>
      <w:r w:rsidRPr="0007572B">
        <w:rPr>
          <w:rFonts w:ascii="Arial" w:hAnsi="Arial" w:cs="Arial"/>
          <w:bCs/>
          <w:color w:val="000000"/>
          <w:lang w:val="en-US" w:eastAsia="en-GB"/>
        </w:rPr>
        <w:t xml:space="preserve">ed, valued, depreciated, impaired and disposed of are provided in the accounting policies </w:t>
      </w:r>
      <w:r w:rsidR="007E5937" w:rsidRPr="0007572B">
        <w:rPr>
          <w:rFonts w:ascii="Arial" w:hAnsi="Arial" w:cs="Arial"/>
          <w:bCs/>
          <w:color w:val="000000"/>
          <w:lang w:val="en-US" w:eastAsia="en-GB"/>
        </w:rPr>
        <w:t>note</w:t>
      </w:r>
      <w:r w:rsidRPr="0007572B">
        <w:rPr>
          <w:rFonts w:ascii="Arial" w:hAnsi="Arial" w:cs="Arial"/>
          <w:bCs/>
          <w:color w:val="000000"/>
          <w:lang w:val="en-US" w:eastAsia="en-GB"/>
        </w:rPr>
        <w:t>.</w:t>
      </w:r>
    </w:p>
    <w:p w14:paraId="649A1F74" w14:textId="77777777" w:rsidR="00AA795F" w:rsidRPr="0007572B" w:rsidRDefault="00AA795F" w:rsidP="0038082E">
      <w:pPr>
        <w:autoSpaceDE w:val="0"/>
        <w:autoSpaceDN w:val="0"/>
        <w:adjustRightInd w:val="0"/>
        <w:spacing w:before="120"/>
        <w:rPr>
          <w:rFonts w:ascii="Arial" w:hAnsi="Arial" w:cs="Arial"/>
          <w:bCs/>
          <w:color w:val="000000"/>
          <w:sz w:val="22"/>
          <w:highlight w:val="yellow"/>
          <w:lang w:val="en-US" w:eastAsia="en-GB"/>
        </w:rPr>
      </w:pPr>
    </w:p>
    <w:p w14:paraId="4FB3B23C" w14:textId="7B20007C" w:rsidR="006301F8" w:rsidRDefault="00BF335D" w:rsidP="0038082E">
      <w:pPr>
        <w:autoSpaceDE w:val="0"/>
        <w:autoSpaceDN w:val="0"/>
        <w:adjustRightInd w:val="0"/>
        <w:spacing w:before="120"/>
        <w:rPr>
          <w:rFonts w:ascii="Arial" w:hAnsi="Arial" w:cs="Arial"/>
          <w:bCs/>
          <w:color w:val="000000"/>
          <w:lang w:val="en-US" w:eastAsia="en-GB"/>
        </w:rPr>
      </w:pPr>
      <w:r w:rsidRPr="00BF335D">
        <w:rPr>
          <w:rFonts w:ascii="Arial" w:hAnsi="Arial" w:cs="Arial"/>
          <w:bCs/>
          <w:color w:val="000000"/>
          <w:lang w:val="en-US" w:eastAsia="en-GB"/>
        </w:rPr>
        <w:t>The Authority carries out a rolling programme to ensure that all property required to be measured at current value is revalued at least every 5 years. Valuations of land and buildings were carried out in accordance with the methodologies and bases for estimation set out in the professional standards of the Royal Institute of Chartered Surveyors. All valuations were carried out externally.</w:t>
      </w:r>
    </w:p>
    <w:p w14:paraId="15BF9B9F" w14:textId="77777777" w:rsidR="00BF335D" w:rsidRPr="0007572B" w:rsidRDefault="00BF335D" w:rsidP="0038082E">
      <w:pPr>
        <w:autoSpaceDE w:val="0"/>
        <w:autoSpaceDN w:val="0"/>
        <w:adjustRightInd w:val="0"/>
        <w:spacing w:before="120"/>
        <w:rPr>
          <w:rFonts w:ascii="Arial" w:hAnsi="Arial" w:cs="Arial"/>
          <w:bCs/>
          <w:color w:val="000000"/>
          <w:u w:val="single"/>
          <w:lang w:val="en-US" w:eastAsia="en-GB"/>
        </w:rPr>
      </w:pPr>
    </w:p>
    <w:p w14:paraId="5A3F648F" w14:textId="0AA0A3AC" w:rsidR="00F6613F" w:rsidRPr="0007572B" w:rsidRDefault="00F6613F" w:rsidP="0038082E">
      <w:pPr>
        <w:autoSpaceDE w:val="0"/>
        <w:autoSpaceDN w:val="0"/>
        <w:adjustRightInd w:val="0"/>
        <w:spacing w:before="120"/>
        <w:rPr>
          <w:rFonts w:ascii="Arial" w:hAnsi="Arial" w:cs="Arial"/>
          <w:bCs/>
          <w:color w:val="000000"/>
          <w:u w:val="single"/>
          <w:lang w:val="en-US" w:eastAsia="en-GB"/>
        </w:rPr>
      </w:pPr>
      <w:r w:rsidRPr="0007572B">
        <w:rPr>
          <w:rFonts w:ascii="Arial" w:hAnsi="Arial" w:cs="Arial"/>
          <w:bCs/>
          <w:color w:val="000000"/>
          <w:u w:val="single"/>
          <w:lang w:val="en-US" w:eastAsia="en-GB"/>
        </w:rPr>
        <w:t>Waste Assets</w:t>
      </w:r>
    </w:p>
    <w:p w14:paraId="4D01AD2C" w14:textId="77777777" w:rsidR="0060522D" w:rsidRPr="0007572B" w:rsidRDefault="0060522D" w:rsidP="0038082E">
      <w:pPr>
        <w:rPr>
          <w:rFonts w:ascii="Arial" w:hAnsi="Arial" w:cs="Arial"/>
          <w:bCs/>
          <w:color w:val="000000"/>
          <w:lang w:val="en-US" w:eastAsia="en-GB"/>
        </w:rPr>
      </w:pPr>
    </w:p>
    <w:p w14:paraId="545D480D" w14:textId="77777777" w:rsidR="00F6613F" w:rsidRPr="0007572B" w:rsidRDefault="00F6613F" w:rsidP="00EB27EB">
      <w:pPr>
        <w:pStyle w:val="ListParagraph"/>
        <w:numPr>
          <w:ilvl w:val="0"/>
          <w:numId w:val="29"/>
        </w:numPr>
        <w:spacing w:line="240" w:lineRule="auto"/>
        <w:rPr>
          <w:rFonts w:ascii="Arial" w:hAnsi="Arial" w:cs="Arial"/>
          <w:bCs/>
          <w:color w:val="000000"/>
          <w:sz w:val="24"/>
          <w:szCs w:val="24"/>
          <w:lang w:val="en-US"/>
        </w:rPr>
      </w:pPr>
      <w:r w:rsidRPr="0007572B">
        <w:rPr>
          <w:rFonts w:ascii="Arial" w:hAnsi="Arial" w:cs="Arial"/>
          <w:bCs/>
          <w:color w:val="000000"/>
          <w:sz w:val="24"/>
          <w:szCs w:val="24"/>
          <w:lang w:val="en-US"/>
        </w:rPr>
        <w:t>Valuations were</w:t>
      </w:r>
      <w:r w:rsidR="00B329D0" w:rsidRPr="0007572B">
        <w:rPr>
          <w:rFonts w:ascii="Arial" w:hAnsi="Arial" w:cs="Arial"/>
          <w:bCs/>
          <w:color w:val="000000"/>
          <w:sz w:val="24"/>
          <w:szCs w:val="24"/>
          <w:lang w:val="en-US"/>
        </w:rPr>
        <w:t xml:space="preserve"> carried out by Avison Young, an independent valuer, for all land, buildings and infrastructure revaluations, in accordance with the provisions of the professional standards of the Royal Institute of Chartered Surveyors. </w:t>
      </w:r>
    </w:p>
    <w:p w14:paraId="19A1F71D" w14:textId="77777777" w:rsidR="00B329D0" w:rsidRPr="0007572B" w:rsidRDefault="00F6613F" w:rsidP="00EB27EB">
      <w:pPr>
        <w:pStyle w:val="ListParagraph"/>
        <w:numPr>
          <w:ilvl w:val="0"/>
          <w:numId w:val="29"/>
        </w:numPr>
        <w:spacing w:line="240" w:lineRule="auto"/>
        <w:rPr>
          <w:rFonts w:ascii="Arial" w:hAnsi="Arial" w:cs="Arial"/>
          <w:bCs/>
          <w:color w:val="000000"/>
          <w:sz w:val="24"/>
          <w:szCs w:val="24"/>
          <w:lang w:val="en-US"/>
        </w:rPr>
      </w:pPr>
      <w:r w:rsidRPr="0007572B">
        <w:rPr>
          <w:rFonts w:ascii="Arial" w:hAnsi="Arial" w:cs="Arial"/>
          <w:bCs/>
          <w:color w:val="000000"/>
          <w:sz w:val="24"/>
          <w:szCs w:val="24"/>
          <w:lang w:val="en-US"/>
        </w:rPr>
        <w:t xml:space="preserve">Hilco Appraisals Limited carried </w:t>
      </w:r>
      <w:r w:rsidR="00B329D0" w:rsidRPr="0007572B">
        <w:rPr>
          <w:rFonts w:ascii="Arial" w:hAnsi="Arial" w:cs="Arial"/>
          <w:bCs/>
          <w:color w:val="000000"/>
          <w:sz w:val="24"/>
          <w:szCs w:val="24"/>
          <w:lang w:val="en-US"/>
        </w:rPr>
        <w:t>out plant and machinery valuations</w:t>
      </w:r>
      <w:r w:rsidRPr="0007572B">
        <w:rPr>
          <w:rFonts w:ascii="Arial" w:hAnsi="Arial" w:cs="Arial"/>
          <w:bCs/>
          <w:color w:val="000000"/>
          <w:sz w:val="24"/>
          <w:szCs w:val="24"/>
          <w:lang w:val="en-US"/>
        </w:rPr>
        <w:t>.</w:t>
      </w:r>
    </w:p>
    <w:p w14:paraId="7591C596" w14:textId="77777777" w:rsidR="00F6613F" w:rsidRPr="0007572B" w:rsidRDefault="00F6613F" w:rsidP="0038082E">
      <w:pPr>
        <w:autoSpaceDE w:val="0"/>
        <w:autoSpaceDN w:val="0"/>
        <w:adjustRightInd w:val="0"/>
        <w:spacing w:before="120"/>
        <w:rPr>
          <w:rFonts w:ascii="Arial" w:hAnsi="Arial" w:cs="Arial"/>
          <w:bCs/>
          <w:color w:val="000000"/>
          <w:u w:val="single"/>
          <w:lang w:val="en-US" w:eastAsia="en-GB"/>
        </w:rPr>
      </w:pPr>
      <w:r w:rsidRPr="0007572B">
        <w:rPr>
          <w:rFonts w:ascii="Arial" w:hAnsi="Arial" w:cs="Arial"/>
          <w:bCs/>
          <w:color w:val="000000"/>
          <w:u w:val="single"/>
          <w:lang w:val="en-US" w:eastAsia="en-GB"/>
        </w:rPr>
        <w:t>Other Assets</w:t>
      </w:r>
    </w:p>
    <w:p w14:paraId="7455F237" w14:textId="77777777" w:rsidR="00F6613F" w:rsidRPr="0007572B" w:rsidRDefault="00F6613F" w:rsidP="0038082E">
      <w:pPr>
        <w:pStyle w:val="ListParagraph"/>
        <w:spacing w:line="240" w:lineRule="auto"/>
        <w:rPr>
          <w:rFonts w:ascii="Arial" w:hAnsi="Arial" w:cs="Arial"/>
          <w:bCs/>
          <w:color w:val="000000"/>
          <w:sz w:val="24"/>
          <w:szCs w:val="24"/>
          <w:lang w:val="en-US"/>
        </w:rPr>
      </w:pPr>
    </w:p>
    <w:p w14:paraId="2B13A86A" w14:textId="0E780EF8" w:rsidR="00B2139B" w:rsidRPr="0007572B" w:rsidRDefault="001E470D" w:rsidP="00EB27EB">
      <w:pPr>
        <w:pStyle w:val="ListParagraph"/>
        <w:numPr>
          <w:ilvl w:val="0"/>
          <w:numId w:val="29"/>
        </w:numPr>
        <w:autoSpaceDE w:val="0"/>
        <w:autoSpaceDN w:val="0"/>
        <w:adjustRightInd w:val="0"/>
        <w:spacing w:line="240" w:lineRule="auto"/>
        <w:rPr>
          <w:rFonts w:ascii="Arial" w:hAnsi="Arial" w:cs="Arial"/>
          <w:b/>
          <w:sz w:val="24"/>
          <w:szCs w:val="24"/>
        </w:rPr>
      </w:pPr>
      <w:r w:rsidRPr="0007572B">
        <w:rPr>
          <w:rFonts w:ascii="Arial" w:hAnsi="Arial" w:cs="Arial"/>
          <w:bCs/>
          <w:color w:val="000000"/>
          <w:sz w:val="24"/>
          <w:szCs w:val="24"/>
          <w:lang w:val="en-US"/>
        </w:rPr>
        <w:t xml:space="preserve">Salford City Council Property Services </w:t>
      </w:r>
      <w:r w:rsidR="00F6613F" w:rsidRPr="0007572B">
        <w:rPr>
          <w:rFonts w:ascii="Arial" w:hAnsi="Arial" w:cs="Arial"/>
          <w:bCs/>
          <w:color w:val="000000"/>
          <w:sz w:val="24"/>
          <w:szCs w:val="24"/>
          <w:lang w:val="en-US"/>
        </w:rPr>
        <w:t>carried out valuations of the Authority’s remaining assets</w:t>
      </w:r>
      <w:r w:rsidR="0031699E" w:rsidRPr="0007572B">
        <w:rPr>
          <w:rFonts w:ascii="Arial" w:hAnsi="Arial" w:cs="Arial"/>
          <w:bCs/>
          <w:color w:val="000000"/>
          <w:sz w:val="24"/>
          <w:szCs w:val="24"/>
          <w:lang w:val="en-US"/>
        </w:rPr>
        <w:t>.</w:t>
      </w:r>
      <w:r w:rsidRPr="0007572B">
        <w:rPr>
          <w:rFonts w:ascii="Arial" w:hAnsi="Arial" w:cs="Arial"/>
          <w:bCs/>
          <w:color w:val="000000"/>
          <w:sz w:val="24"/>
          <w:szCs w:val="24"/>
          <w:lang w:val="en-US"/>
        </w:rPr>
        <w:t xml:space="preserve"> </w:t>
      </w:r>
    </w:p>
    <w:p w14:paraId="25B1B1C0" w14:textId="757885BA" w:rsidR="00A33A27" w:rsidRPr="0007572B" w:rsidRDefault="00A33A27" w:rsidP="0038082E">
      <w:pPr>
        <w:pStyle w:val="ListParagraph"/>
        <w:autoSpaceDE w:val="0"/>
        <w:autoSpaceDN w:val="0"/>
        <w:adjustRightInd w:val="0"/>
        <w:spacing w:line="240" w:lineRule="auto"/>
        <w:ind w:left="0"/>
        <w:jc w:val="both"/>
        <w:rPr>
          <w:rFonts w:ascii="Arial" w:hAnsi="Arial" w:cs="Arial"/>
          <w:b/>
        </w:rPr>
      </w:pPr>
    </w:p>
    <w:p w14:paraId="2968724C" w14:textId="3B683C3E" w:rsidR="00437C52" w:rsidRPr="0007572B" w:rsidRDefault="00C462BB" w:rsidP="0038082E">
      <w:pPr>
        <w:jc w:val="both"/>
        <w:rPr>
          <w:rFonts w:ascii="Arial" w:hAnsi="Arial" w:cs="Arial"/>
          <w:sz w:val="22"/>
          <w:szCs w:val="22"/>
        </w:rPr>
      </w:pPr>
      <w:r w:rsidRPr="00C462BB">
        <w:rPr>
          <w:noProof/>
        </w:rPr>
        <w:drawing>
          <wp:inline distT="0" distB="0" distL="0" distR="0" wp14:anchorId="5564F7C4" wp14:editId="38040D1E">
            <wp:extent cx="6064250" cy="16573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064250" cy="1657350"/>
                    </a:xfrm>
                    <a:prstGeom prst="rect">
                      <a:avLst/>
                    </a:prstGeom>
                    <a:noFill/>
                    <a:ln>
                      <a:noFill/>
                    </a:ln>
                  </pic:spPr>
                </pic:pic>
              </a:graphicData>
            </a:graphic>
          </wp:inline>
        </w:drawing>
      </w:r>
    </w:p>
    <w:p w14:paraId="6E83D8D7" w14:textId="35CA3538" w:rsidR="00E558A4" w:rsidRPr="0007572B" w:rsidRDefault="00E558A4" w:rsidP="0038082E">
      <w:pPr>
        <w:jc w:val="center"/>
        <w:rPr>
          <w:rFonts w:ascii="Arial" w:hAnsi="Arial" w:cs="Arial"/>
          <w:b/>
          <w:sz w:val="36"/>
          <w:szCs w:val="36"/>
        </w:rPr>
        <w:sectPr w:rsidR="00E558A4" w:rsidRPr="0007572B" w:rsidSect="00AA795F">
          <w:pgSz w:w="11906" w:h="16838"/>
          <w:pgMar w:top="1444" w:right="1276" w:bottom="1440" w:left="1080" w:header="568" w:footer="567" w:gutter="0"/>
          <w:cols w:space="708"/>
          <w:docGrid w:linePitch="360"/>
        </w:sectPr>
      </w:pPr>
    </w:p>
    <w:p w14:paraId="66DD0A9E" w14:textId="6D60672B" w:rsidR="00DB66E7" w:rsidRPr="0007572B" w:rsidRDefault="00C462BB" w:rsidP="0038082E">
      <w:pPr>
        <w:rPr>
          <w:rFonts w:ascii="Arial" w:hAnsi="Arial" w:cs="Arial"/>
          <w:sz w:val="22"/>
          <w:szCs w:val="22"/>
        </w:rPr>
      </w:pPr>
      <w:r w:rsidRPr="00C462BB">
        <w:rPr>
          <w:noProof/>
        </w:rPr>
        <w:lastRenderedPageBreak/>
        <w:drawing>
          <wp:inline distT="0" distB="0" distL="0" distR="0" wp14:anchorId="39C84EF4" wp14:editId="3281FC09">
            <wp:extent cx="9579648" cy="4010628"/>
            <wp:effectExtent l="0" t="0" r="254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585088" cy="4012905"/>
                    </a:xfrm>
                    <a:prstGeom prst="rect">
                      <a:avLst/>
                    </a:prstGeom>
                    <a:noFill/>
                    <a:ln>
                      <a:noFill/>
                    </a:ln>
                  </pic:spPr>
                </pic:pic>
              </a:graphicData>
            </a:graphic>
          </wp:inline>
        </w:drawing>
      </w:r>
    </w:p>
    <w:p w14:paraId="15746359" w14:textId="77777777" w:rsidR="00437C52" w:rsidRPr="0007572B" w:rsidRDefault="00437C52" w:rsidP="0038082E">
      <w:pPr>
        <w:jc w:val="both"/>
        <w:rPr>
          <w:rFonts w:ascii="Arial" w:hAnsi="Arial" w:cs="Arial"/>
          <w:sz w:val="22"/>
          <w:szCs w:val="22"/>
        </w:rPr>
      </w:pPr>
    </w:p>
    <w:p w14:paraId="548C8A7D" w14:textId="1682D3ED" w:rsidR="00B2139B" w:rsidRPr="0007572B" w:rsidRDefault="00B2139B" w:rsidP="0038082E">
      <w:pPr>
        <w:rPr>
          <w:rFonts w:ascii="Arial" w:hAnsi="Arial" w:cs="Arial"/>
          <w:sz w:val="22"/>
          <w:szCs w:val="22"/>
        </w:rPr>
      </w:pPr>
    </w:p>
    <w:p w14:paraId="3408E279" w14:textId="686B748B" w:rsidR="00AD1DA0" w:rsidRPr="0007572B" w:rsidRDefault="00AD1DA0" w:rsidP="0038082E">
      <w:pPr>
        <w:rPr>
          <w:rFonts w:ascii="Arial" w:hAnsi="Arial" w:cs="Arial"/>
          <w:sz w:val="22"/>
          <w:szCs w:val="22"/>
        </w:rPr>
      </w:pPr>
      <w:r w:rsidRPr="0007572B">
        <w:rPr>
          <w:rFonts w:ascii="Arial" w:hAnsi="Arial" w:cs="Arial"/>
          <w:sz w:val="22"/>
          <w:szCs w:val="22"/>
        </w:rPr>
        <w:br w:type="page"/>
      </w:r>
    </w:p>
    <w:p w14:paraId="7D62F22D" w14:textId="7608F18B" w:rsidR="00B2139B" w:rsidRPr="0007572B" w:rsidRDefault="00C462BB" w:rsidP="0038082E">
      <w:pPr>
        <w:rPr>
          <w:rFonts w:ascii="Arial" w:hAnsi="Arial" w:cs="Arial"/>
          <w:sz w:val="22"/>
          <w:szCs w:val="22"/>
        </w:rPr>
      </w:pPr>
      <w:r w:rsidRPr="00C462BB">
        <w:rPr>
          <w:noProof/>
        </w:rPr>
        <w:lastRenderedPageBreak/>
        <w:drawing>
          <wp:inline distT="0" distB="0" distL="0" distR="0" wp14:anchorId="25AC125E" wp14:editId="59E6970B">
            <wp:extent cx="9370523" cy="3379808"/>
            <wp:effectExtent l="0" t="0" r="254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373329" cy="3380820"/>
                    </a:xfrm>
                    <a:prstGeom prst="rect">
                      <a:avLst/>
                    </a:prstGeom>
                    <a:noFill/>
                    <a:ln>
                      <a:noFill/>
                    </a:ln>
                  </pic:spPr>
                </pic:pic>
              </a:graphicData>
            </a:graphic>
          </wp:inline>
        </w:drawing>
      </w:r>
    </w:p>
    <w:p w14:paraId="7AA429A2" w14:textId="5E0749AD" w:rsidR="00B2139B" w:rsidRPr="0007572B" w:rsidRDefault="00B2139B" w:rsidP="0038082E">
      <w:pPr>
        <w:rPr>
          <w:rFonts w:ascii="Arial" w:hAnsi="Arial" w:cs="Arial"/>
          <w:b/>
          <w:sz w:val="22"/>
          <w:szCs w:val="22"/>
        </w:rPr>
      </w:pPr>
    </w:p>
    <w:p w14:paraId="7985EADB" w14:textId="132624AB" w:rsidR="001A7D30" w:rsidRPr="0007572B" w:rsidRDefault="001A7D30" w:rsidP="0038082E">
      <w:pPr>
        <w:rPr>
          <w:rFonts w:ascii="Arial" w:hAnsi="Arial" w:cs="Arial"/>
          <w:bCs/>
        </w:rPr>
      </w:pPr>
    </w:p>
    <w:p w14:paraId="46852A34" w14:textId="77777777" w:rsidR="000960E1" w:rsidRPr="0007572B" w:rsidRDefault="000960E1" w:rsidP="0038082E">
      <w:pPr>
        <w:rPr>
          <w:rFonts w:ascii="Arial" w:hAnsi="Arial" w:cs="Arial"/>
          <w:bCs/>
        </w:rPr>
      </w:pPr>
    </w:p>
    <w:p w14:paraId="58A24F48" w14:textId="0504941D" w:rsidR="000960E1" w:rsidRPr="0007572B" w:rsidRDefault="000960E1" w:rsidP="0038082E">
      <w:pPr>
        <w:rPr>
          <w:rFonts w:ascii="Arial" w:hAnsi="Arial" w:cs="Arial"/>
          <w:b/>
          <w:sz w:val="36"/>
          <w:szCs w:val="36"/>
        </w:rPr>
        <w:sectPr w:rsidR="000960E1" w:rsidRPr="0007572B" w:rsidSect="00AA795F">
          <w:pgSz w:w="16838" w:h="11906" w:orient="landscape"/>
          <w:pgMar w:top="1080" w:right="1444" w:bottom="1276" w:left="1440" w:header="568" w:footer="567" w:gutter="0"/>
          <w:cols w:space="708"/>
          <w:docGrid w:linePitch="360"/>
        </w:sectPr>
      </w:pPr>
    </w:p>
    <w:p w14:paraId="4F87417C" w14:textId="305EAB70" w:rsidR="007F381A" w:rsidRPr="0007572B" w:rsidRDefault="00C01247" w:rsidP="0038082E">
      <w:pPr>
        <w:pStyle w:val="Heading3greennumbered"/>
      </w:pPr>
      <w:bookmarkStart w:id="149" w:name="_Toc92894893"/>
      <w:bookmarkStart w:id="150" w:name="_Toc92895197"/>
      <w:bookmarkStart w:id="151" w:name="_Toc109922631"/>
      <w:r w:rsidRPr="0007572B">
        <w:lastRenderedPageBreak/>
        <w:t>21</w:t>
      </w:r>
      <w:r w:rsidR="007F381A" w:rsidRPr="0007572B">
        <w:t xml:space="preserve"> </w:t>
      </w:r>
      <w:r w:rsidR="006301F8" w:rsidRPr="0007572B">
        <w:t>Intangible Assets</w:t>
      </w:r>
      <w:bookmarkEnd w:id="149"/>
      <w:bookmarkEnd w:id="150"/>
      <w:bookmarkEnd w:id="151"/>
    </w:p>
    <w:p w14:paraId="12E80957" w14:textId="44C483B7" w:rsidR="007F381A" w:rsidRPr="0007572B" w:rsidRDefault="007F381A" w:rsidP="0038082E">
      <w:pPr>
        <w:rPr>
          <w:rFonts w:ascii="Arial" w:hAnsi="Arial" w:cs="Arial"/>
          <w:b/>
        </w:rPr>
      </w:pPr>
    </w:p>
    <w:p w14:paraId="41FDE929" w14:textId="7712D3EA" w:rsidR="006301F8" w:rsidRPr="0007572B" w:rsidRDefault="006301F8" w:rsidP="0038082E">
      <w:pPr>
        <w:rPr>
          <w:rFonts w:ascii="Arial" w:hAnsi="Arial" w:cs="Arial"/>
        </w:rPr>
      </w:pPr>
      <w:r w:rsidRPr="0007572B">
        <w:rPr>
          <w:rFonts w:ascii="Arial" w:hAnsi="Arial" w:cs="Arial"/>
        </w:rPr>
        <w:t xml:space="preserve">The Authority accounts for its software as intangible assets, to the extent that the software is not an integral part of a particular IT system and accounted for as part of the hardware item of property, plant and equipment. The intangible assets are purchased licenses. </w:t>
      </w:r>
    </w:p>
    <w:p w14:paraId="2858B524" w14:textId="33B48D8E" w:rsidR="006301F8" w:rsidRPr="0007572B" w:rsidRDefault="006301F8" w:rsidP="0038082E">
      <w:pPr>
        <w:rPr>
          <w:rFonts w:ascii="Arial" w:hAnsi="Arial" w:cs="Arial"/>
        </w:rPr>
      </w:pPr>
    </w:p>
    <w:p w14:paraId="30A74D77" w14:textId="6DC3AEB9" w:rsidR="006301F8" w:rsidRPr="0007572B" w:rsidRDefault="006301F8" w:rsidP="0038082E">
      <w:pPr>
        <w:rPr>
          <w:rFonts w:ascii="Arial" w:hAnsi="Arial" w:cs="Arial"/>
        </w:rPr>
      </w:pPr>
      <w:r w:rsidRPr="0007572B">
        <w:rPr>
          <w:rFonts w:ascii="Arial" w:hAnsi="Arial" w:cs="Arial"/>
        </w:rPr>
        <w:t>All software is given a finite useful life, based on assessments of the period that the software is expected to be used by the Authority. The useful lives assigned to the major software suites used by the Authority are:</w:t>
      </w:r>
    </w:p>
    <w:p w14:paraId="0712D08B" w14:textId="448EF4E8" w:rsidR="006301F8" w:rsidRPr="0007572B" w:rsidRDefault="006301F8" w:rsidP="0038082E">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317"/>
      </w:tblGrid>
      <w:tr w:rsidR="006301F8" w:rsidRPr="0007572B" w14:paraId="446AA16B" w14:textId="77777777" w:rsidTr="002E1BEE">
        <w:tc>
          <w:tcPr>
            <w:tcW w:w="7083" w:type="dxa"/>
          </w:tcPr>
          <w:p w14:paraId="68D2B622" w14:textId="16067371" w:rsidR="006301F8" w:rsidRPr="0007572B" w:rsidRDefault="006301F8" w:rsidP="0038082E">
            <w:pPr>
              <w:rPr>
                <w:rFonts w:ascii="Arial" w:hAnsi="Arial" w:cs="Arial"/>
              </w:rPr>
            </w:pPr>
            <w:r w:rsidRPr="0007572B">
              <w:rPr>
                <w:rFonts w:ascii="Arial" w:hAnsi="Arial" w:cs="Arial"/>
              </w:rPr>
              <w:t>Assets attributable to the Fire and Rescue Services</w:t>
            </w:r>
          </w:p>
        </w:tc>
        <w:tc>
          <w:tcPr>
            <w:tcW w:w="2317" w:type="dxa"/>
          </w:tcPr>
          <w:p w14:paraId="76A21E20" w14:textId="12CA62AD" w:rsidR="006301F8" w:rsidRPr="0007572B" w:rsidRDefault="002E1BEE" w:rsidP="0038082E">
            <w:pPr>
              <w:rPr>
                <w:rFonts w:ascii="Arial" w:hAnsi="Arial" w:cs="Arial"/>
              </w:rPr>
            </w:pPr>
            <w:r w:rsidRPr="0007572B">
              <w:rPr>
                <w:rFonts w:ascii="Arial" w:hAnsi="Arial" w:cs="Arial"/>
              </w:rPr>
              <w:t>3 to 10 years</w:t>
            </w:r>
          </w:p>
        </w:tc>
      </w:tr>
      <w:tr w:rsidR="006301F8" w:rsidRPr="0007572B" w14:paraId="36A3B856" w14:textId="77777777" w:rsidTr="002E1BEE">
        <w:tc>
          <w:tcPr>
            <w:tcW w:w="7083" w:type="dxa"/>
          </w:tcPr>
          <w:p w14:paraId="49BF6002" w14:textId="2A8F7DD4" w:rsidR="006301F8" w:rsidRPr="0007572B" w:rsidRDefault="002E1BEE" w:rsidP="0038082E">
            <w:pPr>
              <w:rPr>
                <w:rFonts w:ascii="Arial" w:hAnsi="Arial" w:cs="Arial"/>
              </w:rPr>
            </w:pPr>
            <w:r w:rsidRPr="0007572B">
              <w:rPr>
                <w:rFonts w:ascii="Arial" w:hAnsi="Arial" w:cs="Arial"/>
              </w:rPr>
              <w:t>Assets attributable to the Policing Service</w:t>
            </w:r>
          </w:p>
        </w:tc>
        <w:tc>
          <w:tcPr>
            <w:tcW w:w="2317" w:type="dxa"/>
          </w:tcPr>
          <w:p w14:paraId="4DD31A45" w14:textId="713BA48A" w:rsidR="006301F8" w:rsidRPr="0007572B" w:rsidRDefault="002E1BEE" w:rsidP="0038082E">
            <w:pPr>
              <w:rPr>
                <w:rFonts w:ascii="Arial" w:hAnsi="Arial" w:cs="Arial"/>
              </w:rPr>
            </w:pPr>
            <w:r w:rsidRPr="0007572B">
              <w:rPr>
                <w:rFonts w:ascii="Arial" w:hAnsi="Arial" w:cs="Arial"/>
              </w:rPr>
              <w:t>5 years</w:t>
            </w:r>
          </w:p>
        </w:tc>
      </w:tr>
      <w:tr w:rsidR="002E1BEE" w:rsidRPr="0007572B" w14:paraId="131E4420" w14:textId="77777777" w:rsidTr="002E1BEE">
        <w:tc>
          <w:tcPr>
            <w:tcW w:w="7083" w:type="dxa"/>
          </w:tcPr>
          <w:p w14:paraId="41E38AF7" w14:textId="3D02FE07" w:rsidR="002E1BEE" w:rsidRPr="0007572B" w:rsidRDefault="002E1BEE" w:rsidP="0038082E">
            <w:pPr>
              <w:rPr>
                <w:rFonts w:ascii="Arial" w:hAnsi="Arial" w:cs="Arial"/>
              </w:rPr>
            </w:pPr>
            <w:r w:rsidRPr="0007572B">
              <w:rPr>
                <w:rFonts w:ascii="Arial" w:hAnsi="Arial" w:cs="Arial"/>
              </w:rPr>
              <w:t>Assets attributable to the Waste Disposal Services</w:t>
            </w:r>
          </w:p>
        </w:tc>
        <w:tc>
          <w:tcPr>
            <w:tcW w:w="2317" w:type="dxa"/>
          </w:tcPr>
          <w:p w14:paraId="515709C2" w14:textId="30993463" w:rsidR="002E1BEE" w:rsidRPr="0007572B" w:rsidRDefault="002E1BEE" w:rsidP="0038082E">
            <w:pPr>
              <w:rPr>
                <w:rFonts w:ascii="Arial" w:hAnsi="Arial" w:cs="Arial"/>
              </w:rPr>
            </w:pPr>
            <w:r w:rsidRPr="0007572B">
              <w:rPr>
                <w:rFonts w:ascii="Arial" w:hAnsi="Arial" w:cs="Arial"/>
              </w:rPr>
              <w:t>5 years</w:t>
            </w:r>
          </w:p>
        </w:tc>
      </w:tr>
    </w:tbl>
    <w:p w14:paraId="3B563E13" w14:textId="6073A1C2" w:rsidR="006301F8" w:rsidRPr="0007572B" w:rsidRDefault="006301F8" w:rsidP="0038082E">
      <w:pPr>
        <w:rPr>
          <w:rFonts w:ascii="Arial" w:hAnsi="Arial" w:cs="Arial"/>
        </w:rPr>
      </w:pPr>
    </w:p>
    <w:p w14:paraId="4F1171A2" w14:textId="5D4CC804" w:rsidR="002E1BEE" w:rsidRPr="0007572B" w:rsidRDefault="002E1BEE" w:rsidP="0038082E">
      <w:pPr>
        <w:rPr>
          <w:rFonts w:ascii="Arial" w:hAnsi="Arial" w:cs="Arial"/>
        </w:rPr>
      </w:pPr>
      <w:r w:rsidRPr="0007572B">
        <w:rPr>
          <w:rFonts w:ascii="Arial" w:hAnsi="Arial" w:cs="Arial"/>
        </w:rPr>
        <w:t>The carrying amounts of intangible assets is amortised on a straight line basis. Amortisation has been charged to service headings in the cost of services as follows:</w:t>
      </w:r>
    </w:p>
    <w:p w14:paraId="4775CC5A" w14:textId="6B1FE40A" w:rsidR="002E1BEE" w:rsidRPr="0007572B" w:rsidRDefault="002E1BEE" w:rsidP="0038082E">
      <w:pPr>
        <w:rPr>
          <w:rFonts w:ascii="Arial" w:hAnsi="Arial" w:cs="Arial"/>
          <w:sz w:val="22"/>
          <w:szCs w:val="22"/>
        </w:rPr>
      </w:pPr>
    </w:p>
    <w:p w14:paraId="417C429A" w14:textId="52E91CEE" w:rsidR="00CB302B" w:rsidRPr="0007572B" w:rsidRDefault="002F037F" w:rsidP="0038082E">
      <w:pPr>
        <w:rPr>
          <w:rFonts w:ascii="Arial" w:hAnsi="Arial" w:cs="Arial"/>
          <w:sz w:val="22"/>
          <w:szCs w:val="22"/>
        </w:rPr>
      </w:pPr>
      <w:r w:rsidRPr="002F037F">
        <w:rPr>
          <w:noProof/>
        </w:rPr>
        <w:drawing>
          <wp:inline distT="0" distB="0" distL="0" distR="0" wp14:anchorId="1FB13D72" wp14:editId="0C2DC4F2">
            <wp:extent cx="2569845" cy="642620"/>
            <wp:effectExtent l="0" t="0" r="1905" b="508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569845" cy="642620"/>
                    </a:xfrm>
                    <a:prstGeom prst="rect">
                      <a:avLst/>
                    </a:prstGeom>
                    <a:noFill/>
                    <a:ln>
                      <a:noFill/>
                    </a:ln>
                  </pic:spPr>
                </pic:pic>
              </a:graphicData>
            </a:graphic>
          </wp:inline>
        </w:drawing>
      </w:r>
    </w:p>
    <w:p w14:paraId="6425E9F2" w14:textId="77777777" w:rsidR="00057EEC" w:rsidRPr="0007572B" w:rsidRDefault="00057EEC" w:rsidP="0038082E">
      <w:pPr>
        <w:rPr>
          <w:rFonts w:ascii="Arial" w:hAnsi="Arial" w:cs="Arial"/>
          <w:sz w:val="22"/>
          <w:szCs w:val="22"/>
        </w:rPr>
      </w:pPr>
    </w:p>
    <w:p w14:paraId="31C11AEB" w14:textId="77777777" w:rsidR="00CB302B" w:rsidRPr="0007572B" w:rsidRDefault="00CB302B" w:rsidP="0038082E">
      <w:pPr>
        <w:rPr>
          <w:rFonts w:ascii="Arial" w:hAnsi="Arial" w:cs="Arial"/>
          <w:sz w:val="22"/>
          <w:szCs w:val="22"/>
        </w:rPr>
      </w:pPr>
      <w:r w:rsidRPr="0007572B">
        <w:rPr>
          <w:rFonts w:ascii="Arial" w:hAnsi="Arial" w:cs="Arial"/>
          <w:sz w:val="22"/>
          <w:szCs w:val="22"/>
        </w:rPr>
        <w:br w:type="page"/>
      </w:r>
    </w:p>
    <w:p w14:paraId="04196B9B" w14:textId="5713E83C" w:rsidR="002E1BEE" w:rsidRPr="0007572B" w:rsidRDefault="002E1BEE" w:rsidP="0038082E">
      <w:pPr>
        <w:rPr>
          <w:rFonts w:ascii="Arial" w:hAnsi="Arial" w:cs="Arial"/>
        </w:rPr>
      </w:pPr>
      <w:r w:rsidRPr="0007572B">
        <w:rPr>
          <w:rFonts w:ascii="Arial" w:hAnsi="Arial" w:cs="Arial"/>
        </w:rPr>
        <w:lastRenderedPageBreak/>
        <w:t>The movement on intangible asset balances during the year is as follows:</w:t>
      </w:r>
    </w:p>
    <w:p w14:paraId="446E5516" w14:textId="5B78A0E6" w:rsidR="002E1BEE" w:rsidRPr="0007572B" w:rsidRDefault="002E1BEE" w:rsidP="0038082E">
      <w:pPr>
        <w:rPr>
          <w:rFonts w:ascii="Arial" w:hAnsi="Arial" w:cs="Arial"/>
          <w:sz w:val="22"/>
          <w:szCs w:val="22"/>
        </w:rPr>
      </w:pPr>
    </w:p>
    <w:p w14:paraId="6ABB3DBB" w14:textId="6FFCA264" w:rsidR="00932C40" w:rsidRPr="0007572B" w:rsidRDefault="002F037F" w:rsidP="0038082E">
      <w:pPr>
        <w:rPr>
          <w:rFonts w:ascii="Arial" w:hAnsi="Arial" w:cs="Arial"/>
          <w:sz w:val="22"/>
          <w:szCs w:val="22"/>
        </w:rPr>
      </w:pPr>
      <w:r w:rsidRPr="002F037F">
        <w:rPr>
          <w:noProof/>
        </w:rPr>
        <w:drawing>
          <wp:inline distT="0" distB="0" distL="0" distR="0" wp14:anchorId="3F52BCC0" wp14:editId="1A0C96A9">
            <wp:extent cx="8495665" cy="2945765"/>
            <wp:effectExtent l="0" t="0" r="635" b="698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495665" cy="2945765"/>
                    </a:xfrm>
                    <a:prstGeom prst="rect">
                      <a:avLst/>
                    </a:prstGeom>
                    <a:noFill/>
                    <a:ln>
                      <a:noFill/>
                    </a:ln>
                  </pic:spPr>
                </pic:pic>
              </a:graphicData>
            </a:graphic>
          </wp:inline>
        </w:drawing>
      </w:r>
    </w:p>
    <w:p w14:paraId="3DC189BF" w14:textId="55C70CD4" w:rsidR="002E1BEE" w:rsidRPr="0007572B" w:rsidRDefault="002E1BEE" w:rsidP="0038082E">
      <w:pPr>
        <w:rPr>
          <w:rFonts w:ascii="Arial" w:hAnsi="Arial" w:cs="Arial"/>
          <w:sz w:val="22"/>
          <w:szCs w:val="22"/>
        </w:rPr>
      </w:pPr>
    </w:p>
    <w:p w14:paraId="2BF3AEDA" w14:textId="3052E9DF" w:rsidR="002E1BEE" w:rsidRPr="0007572B" w:rsidRDefault="002E1BEE" w:rsidP="0038082E">
      <w:pPr>
        <w:rPr>
          <w:rFonts w:ascii="Arial" w:hAnsi="Arial" w:cs="Arial"/>
        </w:rPr>
      </w:pPr>
    </w:p>
    <w:p w14:paraId="35BAD77C" w14:textId="50DD17AD" w:rsidR="00057EEC" w:rsidRPr="0007572B" w:rsidRDefault="002E1BEE" w:rsidP="0038082E">
      <w:pPr>
        <w:rPr>
          <w:rFonts w:ascii="Arial" w:hAnsi="Arial" w:cs="Arial"/>
        </w:rPr>
      </w:pPr>
      <w:r w:rsidRPr="0007572B">
        <w:rPr>
          <w:rFonts w:ascii="Arial" w:hAnsi="Arial" w:cs="Arial"/>
        </w:rPr>
        <w:t>There is one capitalised software suite that is individually material to the financial statements: The Information Services Transformation Programme had a carrying amount of £</w:t>
      </w:r>
      <w:r w:rsidR="00B74D26" w:rsidRPr="0007572B">
        <w:rPr>
          <w:rFonts w:ascii="Arial" w:hAnsi="Arial" w:cs="Arial"/>
        </w:rPr>
        <w:t>2</w:t>
      </w:r>
      <w:r w:rsidR="002F037F">
        <w:rPr>
          <w:rFonts w:ascii="Arial" w:hAnsi="Arial" w:cs="Arial"/>
        </w:rPr>
        <w:t>5</w:t>
      </w:r>
      <w:r w:rsidRPr="0007572B">
        <w:rPr>
          <w:rFonts w:ascii="Arial" w:hAnsi="Arial" w:cs="Arial"/>
        </w:rPr>
        <w:t>.</w:t>
      </w:r>
      <w:r w:rsidR="002F037F">
        <w:rPr>
          <w:rFonts w:ascii="Arial" w:hAnsi="Arial" w:cs="Arial"/>
        </w:rPr>
        <w:t>306</w:t>
      </w:r>
      <w:r w:rsidRPr="0007572B">
        <w:rPr>
          <w:rFonts w:ascii="Arial" w:hAnsi="Arial" w:cs="Arial"/>
        </w:rPr>
        <w:t>m at 31 March 202</w:t>
      </w:r>
      <w:r w:rsidR="002F037F">
        <w:rPr>
          <w:rFonts w:ascii="Arial" w:hAnsi="Arial" w:cs="Arial"/>
        </w:rPr>
        <w:t>2</w:t>
      </w:r>
      <w:r w:rsidRPr="0007572B">
        <w:rPr>
          <w:rFonts w:ascii="Arial" w:hAnsi="Arial" w:cs="Arial"/>
        </w:rPr>
        <w:t xml:space="preserve"> and a remaining amortisation period of </w:t>
      </w:r>
      <w:r w:rsidR="002F037F">
        <w:rPr>
          <w:rFonts w:ascii="Arial" w:hAnsi="Arial" w:cs="Arial"/>
        </w:rPr>
        <w:t>2</w:t>
      </w:r>
      <w:r w:rsidRPr="0007572B">
        <w:rPr>
          <w:rFonts w:ascii="Arial" w:hAnsi="Arial" w:cs="Arial"/>
        </w:rPr>
        <w:t>.5 years.</w:t>
      </w:r>
    </w:p>
    <w:p w14:paraId="42D0C996" w14:textId="77777777" w:rsidR="00CB302B" w:rsidRPr="0007572B" w:rsidRDefault="00CB302B" w:rsidP="0038082E">
      <w:pPr>
        <w:jc w:val="both"/>
        <w:rPr>
          <w:rFonts w:ascii="Arial" w:hAnsi="Arial" w:cs="Arial"/>
          <w:sz w:val="22"/>
          <w:szCs w:val="22"/>
        </w:rPr>
        <w:sectPr w:rsidR="00CB302B" w:rsidRPr="0007572B" w:rsidSect="00057EEC">
          <w:pgSz w:w="16838" w:h="11906" w:orient="landscape"/>
          <w:pgMar w:top="1080" w:right="1444" w:bottom="1416" w:left="1276" w:header="568" w:footer="567" w:gutter="0"/>
          <w:cols w:space="708"/>
          <w:docGrid w:linePitch="360"/>
        </w:sectPr>
      </w:pPr>
    </w:p>
    <w:p w14:paraId="2ED83915" w14:textId="39EB1095" w:rsidR="006301F8" w:rsidRPr="0007572B" w:rsidRDefault="006301F8" w:rsidP="0038082E">
      <w:pPr>
        <w:pStyle w:val="Heading3greennumbered"/>
      </w:pPr>
      <w:bookmarkStart w:id="152" w:name="_Toc92894894"/>
      <w:bookmarkStart w:id="153" w:name="_Toc92895198"/>
      <w:bookmarkStart w:id="154" w:name="_Toc109922632"/>
      <w:r w:rsidRPr="0007572B">
        <w:lastRenderedPageBreak/>
        <w:t>22 Short and Long Term Debtors</w:t>
      </w:r>
      <w:bookmarkEnd w:id="152"/>
      <w:bookmarkEnd w:id="153"/>
      <w:bookmarkEnd w:id="154"/>
    </w:p>
    <w:p w14:paraId="77730096" w14:textId="77777777" w:rsidR="005403AF" w:rsidRPr="005403AF" w:rsidRDefault="005403AF" w:rsidP="0038082E"/>
    <w:p w14:paraId="6ABB1988" w14:textId="13607B9D" w:rsidR="007F381A" w:rsidRPr="0007572B" w:rsidRDefault="007F381A" w:rsidP="0038082E">
      <w:pPr>
        <w:pStyle w:val="Heading4bold"/>
      </w:pPr>
      <w:r w:rsidRPr="0007572B">
        <w:t>Short Term Debtors</w:t>
      </w:r>
    </w:p>
    <w:p w14:paraId="26CF68D3" w14:textId="77777777" w:rsidR="007F381A" w:rsidRPr="0007572B" w:rsidRDefault="007F381A" w:rsidP="0038082E">
      <w:pPr>
        <w:rPr>
          <w:rFonts w:ascii="Arial" w:hAnsi="Arial" w:cs="Arial"/>
          <w:highlight w:val="yellow"/>
        </w:rPr>
      </w:pPr>
      <w:r w:rsidRPr="0007572B">
        <w:rPr>
          <w:rFonts w:ascii="Arial" w:hAnsi="Arial" w:cs="Arial"/>
        </w:rPr>
        <w:t>These are amounts owed to the Authority</w:t>
      </w:r>
      <w:r w:rsidR="00A06FE6" w:rsidRPr="0007572B">
        <w:rPr>
          <w:rFonts w:ascii="Arial" w:hAnsi="Arial" w:cs="Arial"/>
        </w:rPr>
        <w:t>,</w:t>
      </w:r>
      <w:r w:rsidRPr="0007572B">
        <w:rPr>
          <w:rFonts w:ascii="Arial" w:hAnsi="Arial" w:cs="Arial"/>
        </w:rPr>
        <w:t xml:space="preserve"> which will be repaid within a year.</w:t>
      </w:r>
    </w:p>
    <w:p w14:paraId="7DF52823" w14:textId="77777777" w:rsidR="007F381A" w:rsidRPr="0007572B" w:rsidRDefault="007F381A" w:rsidP="0038082E">
      <w:pPr>
        <w:rPr>
          <w:rFonts w:ascii="Arial" w:hAnsi="Arial" w:cs="Arial"/>
          <w:b/>
          <w:sz w:val="22"/>
          <w:szCs w:val="22"/>
        </w:rPr>
      </w:pPr>
    </w:p>
    <w:p w14:paraId="20D7F519" w14:textId="3D1575E0" w:rsidR="000C5F4E" w:rsidRPr="0007572B" w:rsidRDefault="002F037F" w:rsidP="0038082E">
      <w:pPr>
        <w:rPr>
          <w:rFonts w:ascii="Arial" w:hAnsi="Arial" w:cs="Arial"/>
          <w:b/>
          <w:sz w:val="22"/>
          <w:szCs w:val="22"/>
        </w:rPr>
      </w:pPr>
      <w:r w:rsidRPr="002F037F">
        <w:rPr>
          <w:noProof/>
        </w:rPr>
        <w:drawing>
          <wp:inline distT="0" distB="0" distL="0" distR="0" wp14:anchorId="7EFA1705" wp14:editId="262D90B7">
            <wp:extent cx="5121910" cy="1504950"/>
            <wp:effectExtent l="0" t="0" r="254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121910" cy="1504950"/>
                    </a:xfrm>
                    <a:prstGeom prst="rect">
                      <a:avLst/>
                    </a:prstGeom>
                    <a:noFill/>
                    <a:ln>
                      <a:noFill/>
                    </a:ln>
                  </pic:spPr>
                </pic:pic>
              </a:graphicData>
            </a:graphic>
          </wp:inline>
        </w:drawing>
      </w:r>
    </w:p>
    <w:p w14:paraId="46911DF4" w14:textId="4B64B3ED" w:rsidR="00B2139B" w:rsidRDefault="00B2139B" w:rsidP="0038082E">
      <w:pPr>
        <w:rPr>
          <w:rFonts w:ascii="Arial" w:hAnsi="Arial" w:cs="Arial"/>
          <w:b/>
        </w:rPr>
      </w:pPr>
      <w:bookmarkStart w:id="155" w:name="_Hlk109151992"/>
    </w:p>
    <w:p w14:paraId="71575845" w14:textId="190C5162" w:rsidR="00B85FBC" w:rsidRDefault="00B85FBC" w:rsidP="0038082E">
      <w:pPr>
        <w:rPr>
          <w:rFonts w:ascii="Arial" w:hAnsi="Arial" w:cs="Arial"/>
          <w:bCs/>
        </w:rPr>
      </w:pPr>
      <w:r w:rsidRPr="00AF0D29">
        <w:rPr>
          <w:rFonts w:ascii="Arial" w:hAnsi="Arial" w:cs="Arial"/>
          <w:bCs/>
        </w:rPr>
        <w:t>Other entities and individuals includes the following short term debtors:</w:t>
      </w:r>
    </w:p>
    <w:p w14:paraId="089AE2F7" w14:textId="77777777" w:rsidR="00AF0D29" w:rsidRPr="00AF0D29" w:rsidRDefault="00AF0D29" w:rsidP="0038082E">
      <w:pPr>
        <w:rPr>
          <w:rFonts w:ascii="Arial" w:hAnsi="Arial" w:cs="Arial"/>
          <w:bCs/>
        </w:rPr>
      </w:pPr>
    </w:p>
    <w:p w14:paraId="195FFE32" w14:textId="3127320B" w:rsidR="00B85FBC" w:rsidRPr="00AF0D29" w:rsidRDefault="00AF0D29" w:rsidP="00AF0D29">
      <w:pPr>
        <w:pStyle w:val="ListParagraph"/>
        <w:numPr>
          <w:ilvl w:val="0"/>
          <w:numId w:val="29"/>
        </w:numPr>
        <w:ind w:left="709"/>
        <w:rPr>
          <w:rFonts w:ascii="Arial" w:hAnsi="Arial" w:cs="Arial"/>
          <w:bCs/>
          <w:sz w:val="24"/>
          <w:szCs w:val="24"/>
        </w:rPr>
      </w:pPr>
      <w:r w:rsidRPr="00AF0D29">
        <w:rPr>
          <w:rFonts w:ascii="Arial" w:hAnsi="Arial" w:cs="Arial"/>
          <w:bCs/>
          <w:sz w:val="24"/>
          <w:szCs w:val="24"/>
        </w:rPr>
        <w:t>£157.5m where Housing Investment Fund loans have been provided to support Greater Manchester’s economic growth by supporting the delivery of new homes;</w:t>
      </w:r>
    </w:p>
    <w:p w14:paraId="101CFA36" w14:textId="75F2CA6F" w:rsidR="00AF0D29" w:rsidRPr="00AF0D29" w:rsidRDefault="00AF0D29" w:rsidP="00AF0D29">
      <w:pPr>
        <w:pStyle w:val="ListParagraph"/>
        <w:numPr>
          <w:ilvl w:val="0"/>
          <w:numId w:val="29"/>
        </w:numPr>
        <w:ind w:left="709"/>
        <w:rPr>
          <w:rFonts w:ascii="Arial" w:hAnsi="Arial" w:cs="Arial"/>
          <w:bCs/>
          <w:sz w:val="24"/>
          <w:szCs w:val="24"/>
        </w:rPr>
      </w:pPr>
      <w:r w:rsidRPr="00AF0D29">
        <w:rPr>
          <w:rFonts w:ascii="Arial" w:hAnsi="Arial" w:cs="Arial"/>
          <w:bCs/>
          <w:sz w:val="24"/>
          <w:szCs w:val="24"/>
        </w:rPr>
        <w:t>£27m where Local Growth Fund loans have been provided for projects that benefit the local area and economy;</w:t>
      </w:r>
    </w:p>
    <w:p w14:paraId="0A0EDB51" w14:textId="62E1C453" w:rsidR="00AF0D29" w:rsidRPr="00AF0D29" w:rsidRDefault="00AF0D29" w:rsidP="00AF0D29">
      <w:pPr>
        <w:pStyle w:val="ListParagraph"/>
        <w:numPr>
          <w:ilvl w:val="0"/>
          <w:numId w:val="29"/>
        </w:numPr>
        <w:ind w:left="709"/>
        <w:rPr>
          <w:rFonts w:ascii="Arial" w:hAnsi="Arial" w:cs="Arial"/>
          <w:bCs/>
          <w:sz w:val="24"/>
          <w:szCs w:val="24"/>
        </w:rPr>
      </w:pPr>
      <w:r w:rsidRPr="00AF0D29">
        <w:rPr>
          <w:rFonts w:ascii="Arial" w:hAnsi="Arial" w:cs="Arial"/>
          <w:bCs/>
          <w:sz w:val="24"/>
          <w:szCs w:val="24"/>
        </w:rPr>
        <w:t>£21.4m where Regional Growth Fund and Growing Places Fund (GPF) monies have been recycled and loans provided for investment in businesses and commercial property projects.</w:t>
      </w:r>
    </w:p>
    <w:p w14:paraId="3785055C" w14:textId="77777777" w:rsidR="00B85FBC" w:rsidRPr="0007572B" w:rsidRDefault="00B85FBC" w:rsidP="0038082E">
      <w:pPr>
        <w:rPr>
          <w:rFonts w:ascii="Arial" w:hAnsi="Arial" w:cs="Arial"/>
          <w:b/>
        </w:rPr>
      </w:pPr>
    </w:p>
    <w:bookmarkEnd w:id="155"/>
    <w:p w14:paraId="1743E0F4" w14:textId="77777777" w:rsidR="007F381A" w:rsidRPr="0007572B" w:rsidRDefault="007F381A" w:rsidP="0038082E">
      <w:pPr>
        <w:pStyle w:val="Heading4bold"/>
      </w:pPr>
      <w:r w:rsidRPr="0007572B">
        <w:t>Long Term Debtors</w:t>
      </w:r>
    </w:p>
    <w:p w14:paraId="2219B49A" w14:textId="3442BEFB" w:rsidR="007F381A" w:rsidRDefault="007F381A" w:rsidP="0038082E">
      <w:pPr>
        <w:rPr>
          <w:rFonts w:ascii="Arial" w:hAnsi="Arial" w:cs="Arial"/>
        </w:rPr>
      </w:pPr>
      <w:r w:rsidRPr="0007572B">
        <w:rPr>
          <w:rFonts w:ascii="Arial" w:hAnsi="Arial" w:cs="Arial"/>
        </w:rPr>
        <w:t>These are amounts owed to the Authority</w:t>
      </w:r>
      <w:r w:rsidR="00A06FE6" w:rsidRPr="0007572B">
        <w:rPr>
          <w:rFonts w:ascii="Arial" w:hAnsi="Arial" w:cs="Arial"/>
        </w:rPr>
        <w:t>,</w:t>
      </w:r>
      <w:r w:rsidRPr="0007572B">
        <w:rPr>
          <w:rFonts w:ascii="Arial" w:hAnsi="Arial" w:cs="Arial"/>
        </w:rPr>
        <w:t xml:space="preserve"> which are being repaid over various periods longer than one year.</w:t>
      </w:r>
    </w:p>
    <w:p w14:paraId="7FA5706E" w14:textId="77777777" w:rsidR="00D871C0" w:rsidRPr="0007572B" w:rsidRDefault="00D871C0" w:rsidP="0038082E">
      <w:pPr>
        <w:rPr>
          <w:rFonts w:ascii="Arial" w:hAnsi="Arial" w:cs="Arial"/>
        </w:rPr>
      </w:pPr>
    </w:p>
    <w:p w14:paraId="4F32481E" w14:textId="1D5DD861" w:rsidR="00327BDC" w:rsidRDefault="00D871C0" w:rsidP="0038082E">
      <w:pPr>
        <w:rPr>
          <w:rFonts w:ascii="Arial" w:hAnsi="Arial" w:cs="Arial"/>
          <w:b/>
        </w:rPr>
      </w:pPr>
      <w:r w:rsidRPr="00D871C0">
        <w:rPr>
          <w:noProof/>
        </w:rPr>
        <w:drawing>
          <wp:inline distT="0" distB="0" distL="0" distR="0" wp14:anchorId="37B23A3A" wp14:editId="0EF663C3">
            <wp:extent cx="4583430" cy="943610"/>
            <wp:effectExtent l="0" t="0" r="7620" b="889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583430" cy="943610"/>
                    </a:xfrm>
                    <a:prstGeom prst="rect">
                      <a:avLst/>
                    </a:prstGeom>
                    <a:noFill/>
                    <a:ln>
                      <a:noFill/>
                    </a:ln>
                  </pic:spPr>
                </pic:pic>
              </a:graphicData>
            </a:graphic>
          </wp:inline>
        </w:drawing>
      </w:r>
    </w:p>
    <w:p w14:paraId="5C901BF3" w14:textId="77777777" w:rsidR="00D871C0" w:rsidRPr="0007572B" w:rsidRDefault="00D871C0" w:rsidP="0038082E">
      <w:pPr>
        <w:rPr>
          <w:rFonts w:ascii="Arial" w:hAnsi="Arial" w:cs="Arial"/>
          <w:b/>
        </w:rPr>
      </w:pPr>
    </w:p>
    <w:p w14:paraId="3F488D57" w14:textId="6D9F34BE" w:rsidR="00884440" w:rsidRPr="0007572B" w:rsidRDefault="00884440" w:rsidP="0038082E">
      <w:pPr>
        <w:rPr>
          <w:rFonts w:ascii="Arial" w:hAnsi="Arial" w:cs="Arial"/>
          <w:b/>
          <w:sz w:val="22"/>
          <w:szCs w:val="22"/>
        </w:rPr>
      </w:pPr>
    </w:p>
    <w:p w14:paraId="4A60E112" w14:textId="433E9E48" w:rsidR="001B7888" w:rsidRPr="0007572B" w:rsidRDefault="0040301F" w:rsidP="0038082E">
      <w:pPr>
        <w:pStyle w:val="Heading3greennumbered"/>
      </w:pPr>
      <w:bookmarkStart w:id="156" w:name="_Toc92894895"/>
      <w:bookmarkStart w:id="157" w:name="_Toc92895199"/>
      <w:bookmarkStart w:id="158" w:name="_Toc109922633"/>
      <w:r w:rsidRPr="0007572B">
        <w:t>2</w:t>
      </w:r>
      <w:r w:rsidR="00357FDB" w:rsidRPr="0007572B">
        <w:t>3</w:t>
      </w:r>
      <w:r w:rsidR="001B7888" w:rsidRPr="0007572B">
        <w:t xml:space="preserve"> Cash and Cash Equivalents</w:t>
      </w:r>
      <w:bookmarkEnd w:id="156"/>
      <w:bookmarkEnd w:id="157"/>
      <w:bookmarkEnd w:id="158"/>
    </w:p>
    <w:p w14:paraId="5ECFC64A" w14:textId="77777777" w:rsidR="005403AF" w:rsidRDefault="005403AF" w:rsidP="0038082E">
      <w:pPr>
        <w:rPr>
          <w:rFonts w:ascii="Arial" w:hAnsi="Arial" w:cs="Arial"/>
        </w:rPr>
      </w:pPr>
    </w:p>
    <w:p w14:paraId="0A327A5A" w14:textId="17C0E9A3" w:rsidR="003F32BF" w:rsidRPr="0007572B" w:rsidRDefault="003F32BF" w:rsidP="0038082E">
      <w:pPr>
        <w:rPr>
          <w:rFonts w:ascii="Arial" w:hAnsi="Arial" w:cs="Arial"/>
        </w:rPr>
      </w:pPr>
      <w:r w:rsidRPr="0007572B">
        <w:rPr>
          <w:rFonts w:ascii="Arial" w:hAnsi="Arial" w:cs="Arial"/>
        </w:rPr>
        <w:t>The balance of cash and cash equivalents is made up of the following elements:</w:t>
      </w:r>
    </w:p>
    <w:p w14:paraId="71291CF8" w14:textId="77777777" w:rsidR="00B4518D" w:rsidRPr="0007572B" w:rsidRDefault="00B4518D" w:rsidP="0038082E">
      <w:pPr>
        <w:rPr>
          <w:rFonts w:ascii="Arial" w:hAnsi="Arial" w:cs="Arial"/>
        </w:rPr>
      </w:pPr>
    </w:p>
    <w:p w14:paraId="47D6B3CE" w14:textId="7AB5093B" w:rsidR="00275033" w:rsidRPr="0007572B" w:rsidRDefault="007A5365" w:rsidP="00EB27EB">
      <w:pPr>
        <w:pStyle w:val="ListParagraph"/>
        <w:numPr>
          <w:ilvl w:val="0"/>
          <w:numId w:val="38"/>
        </w:numPr>
        <w:spacing w:after="0" w:line="240" w:lineRule="auto"/>
        <w:rPr>
          <w:rFonts w:ascii="Arial" w:hAnsi="Arial" w:cs="Arial"/>
          <w:sz w:val="24"/>
          <w:szCs w:val="24"/>
        </w:rPr>
      </w:pPr>
      <w:r w:rsidRPr="0007572B">
        <w:rPr>
          <w:rFonts w:ascii="Arial" w:hAnsi="Arial" w:cs="Arial"/>
          <w:sz w:val="24"/>
          <w:szCs w:val="24"/>
        </w:rPr>
        <w:t xml:space="preserve">Cash is represented by </w:t>
      </w:r>
      <w:r w:rsidR="00275033" w:rsidRPr="0007572B">
        <w:rPr>
          <w:rFonts w:ascii="Arial" w:hAnsi="Arial" w:cs="Arial"/>
          <w:sz w:val="24"/>
          <w:szCs w:val="24"/>
        </w:rPr>
        <w:t>operating bank accounts (shown net of bank overdrafts), deposits wit</w:t>
      </w:r>
      <w:r w:rsidR="002706DC" w:rsidRPr="0007572B">
        <w:rPr>
          <w:rFonts w:ascii="Arial" w:hAnsi="Arial" w:cs="Arial"/>
          <w:sz w:val="24"/>
          <w:szCs w:val="24"/>
        </w:rPr>
        <w:t>h financial institutions for less than three months,</w:t>
      </w:r>
      <w:r w:rsidR="00275033" w:rsidRPr="0007572B">
        <w:rPr>
          <w:rFonts w:ascii="Arial" w:hAnsi="Arial" w:cs="Arial"/>
          <w:sz w:val="24"/>
          <w:szCs w:val="24"/>
        </w:rPr>
        <w:t xml:space="preserve"> </w:t>
      </w:r>
      <w:r w:rsidRPr="0007572B">
        <w:rPr>
          <w:rFonts w:ascii="Arial" w:hAnsi="Arial" w:cs="Arial"/>
          <w:sz w:val="24"/>
          <w:szCs w:val="24"/>
        </w:rPr>
        <w:t>cash in hand</w:t>
      </w:r>
      <w:r w:rsidR="00275033" w:rsidRPr="0007572B">
        <w:rPr>
          <w:rFonts w:ascii="Arial" w:hAnsi="Arial" w:cs="Arial"/>
          <w:sz w:val="24"/>
          <w:szCs w:val="24"/>
        </w:rPr>
        <w:t xml:space="preserve"> and </w:t>
      </w:r>
      <w:r w:rsidRPr="0007572B">
        <w:rPr>
          <w:rFonts w:ascii="Arial" w:hAnsi="Arial" w:cs="Arial"/>
          <w:sz w:val="24"/>
          <w:szCs w:val="24"/>
        </w:rPr>
        <w:t>petty cash balances</w:t>
      </w:r>
      <w:r w:rsidR="00275033" w:rsidRPr="0007572B">
        <w:rPr>
          <w:rFonts w:ascii="Arial" w:hAnsi="Arial" w:cs="Arial"/>
          <w:sz w:val="24"/>
          <w:szCs w:val="24"/>
        </w:rPr>
        <w:t>.</w:t>
      </w:r>
    </w:p>
    <w:p w14:paraId="52C60AFF" w14:textId="0573B314" w:rsidR="007A5365" w:rsidRPr="0007572B" w:rsidRDefault="007A5365" w:rsidP="0038082E">
      <w:pPr>
        <w:pStyle w:val="ListParagraph"/>
        <w:spacing w:after="0" w:line="240" w:lineRule="auto"/>
        <w:rPr>
          <w:rFonts w:ascii="Arial" w:hAnsi="Arial" w:cs="Arial"/>
          <w:sz w:val="24"/>
          <w:szCs w:val="24"/>
        </w:rPr>
      </w:pPr>
    </w:p>
    <w:p w14:paraId="72BC9254" w14:textId="2DD82A61" w:rsidR="007A5365" w:rsidRDefault="007A5365" w:rsidP="00EB27EB">
      <w:pPr>
        <w:pStyle w:val="ListParagraph"/>
        <w:numPr>
          <w:ilvl w:val="0"/>
          <w:numId w:val="38"/>
        </w:numPr>
        <w:spacing w:after="0" w:line="240" w:lineRule="auto"/>
        <w:rPr>
          <w:rFonts w:ascii="Arial" w:hAnsi="Arial" w:cs="Arial"/>
          <w:sz w:val="24"/>
          <w:szCs w:val="24"/>
        </w:rPr>
      </w:pPr>
      <w:r w:rsidRPr="0007572B">
        <w:rPr>
          <w:rFonts w:ascii="Arial" w:hAnsi="Arial" w:cs="Arial"/>
          <w:sz w:val="24"/>
          <w:szCs w:val="24"/>
        </w:rPr>
        <w:t xml:space="preserve">Cash equivalents </w:t>
      </w:r>
      <w:r w:rsidR="00275033" w:rsidRPr="0007572B">
        <w:rPr>
          <w:rFonts w:ascii="Arial" w:hAnsi="Arial" w:cs="Arial"/>
          <w:sz w:val="24"/>
          <w:szCs w:val="24"/>
        </w:rPr>
        <w:t>are highly liquid investments that mature in three months or less from the date of acquisition and that are readily convertible to known amounts of cash with an insignificant risk of change in value.</w:t>
      </w:r>
      <w:r w:rsidR="002706DC" w:rsidRPr="0007572B">
        <w:rPr>
          <w:rFonts w:ascii="Arial" w:hAnsi="Arial" w:cs="Arial"/>
          <w:sz w:val="24"/>
          <w:szCs w:val="24"/>
        </w:rPr>
        <w:t xml:space="preserve"> These include </w:t>
      </w:r>
      <w:r w:rsidR="002706DC" w:rsidRPr="0007572B">
        <w:rPr>
          <w:rFonts w:ascii="Arial" w:hAnsi="Arial" w:cs="Arial"/>
          <w:sz w:val="24"/>
          <w:szCs w:val="24"/>
        </w:rPr>
        <w:lastRenderedPageBreak/>
        <w:t>interest bearing call accounts and money market funds with institutions that meet our required credit ratings.</w:t>
      </w:r>
    </w:p>
    <w:p w14:paraId="58DE9C03" w14:textId="77777777" w:rsidR="00D871C0" w:rsidRPr="00D871C0" w:rsidRDefault="00D871C0" w:rsidP="00D871C0">
      <w:pPr>
        <w:ind w:left="360"/>
        <w:rPr>
          <w:rFonts w:ascii="Arial" w:hAnsi="Arial" w:cs="Arial"/>
        </w:rPr>
      </w:pPr>
    </w:p>
    <w:p w14:paraId="247813DD" w14:textId="5B9F83A2" w:rsidR="00275033" w:rsidRDefault="00D871C0" w:rsidP="00D871C0">
      <w:pPr>
        <w:pStyle w:val="ListParagraph"/>
        <w:spacing w:after="0" w:line="240" w:lineRule="auto"/>
        <w:ind w:left="360"/>
        <w:jc w:val="both"/>
        <w:rPr>
          <w:rFonts w:ascii="Arial" w:hAnsi="Arial" w:cs="Arial"/>
        </w:rPr>
      </w:pPr>
      <w:r w:rsidRPr="00D871C0">
        <w:rPr>
          <w:noProof/>
        </w:rPr>
        <w:drawing>
          <wp:inline distT="0" distB="0" distL="0" distR="0" wp14:anchorId="76EA201A" wp14:editId="3FD7FA06">
            <wp:extent cx="5544185" cy="1024255"/>
            <wp:effectExtent l="0" t="0" r="0" b="444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544185" cy="1024255"/>
                    </a:xfrm>
                    <a:prstGeom prst="rect">
                      <a:avLst/>
                    </a:prstGeom>
                    <a:noFill/>
                    <a:ln>
                      <a:noFill/>
                    </a:ln>
                  </pic:spPr>
                </pic:pic>
              </a:graphicData>
            </a:graphic>
          </wp:inline>
        </w:drawing>
      </w:r>
    </w:p>
    <w:p w14:paraId="5F8C0E8A" w14:textId="5D1F3C74" w:rsidR="004D15B7" w:rsidRDefault="004D15B7" w:rsidP="0038082E">
      <w:pPr>
        <w:pStyle w:val="ListParagraph"/>
        <w:spacing w:after="0" w:line="240" w:lineRule="auto"/>
        <w:jc w:val="both"/>
        <w:rPr>
          <w:rFonts w:ascii="Arial" w:hAnsi="Arial" w:cs="Arial"/>
        </w:rPr>
      </w:pPr>
    </w:p>
    <w:p w14:paraId="125F0F8D" w14:textId="77777777" w:rsidR="00D871C0" w:rsidRPr="0007572B" w:rsidRDefault="00D871C0" w:rsidP="0038082E">
      <w:pPr>
        <w:pStyle w:val="ListParagraph"/>
        <w:spacing w:after="0" w:line="240" w:lineRule="auto"/>
        <w:jc w:val="both"/>
        <w:rPr>
          <w:rFonts w:ascii="Arial" w:hAnsi="Arial" w:cs="Arial"/>
        </w:rPr>
      </w:pPr>
    </w:p>
    <w:p w14:paraId="105972A6" w14:textId="422DCC54" w:rsidR="00D35A13" w:rsidRPr="0007572B" w:rsidRDefault="00884440" w:rsidP="0038082E">
      <w:pPr>
        <w:pStyle w:val="Heading3greennumbered"/>
      </w:pPr>
      <w:bookmarkStart w:id="159" w:name="_Toc92894896"/>
      <w:bookmarkStart w:id="160" w:name="_Toc92895200"/>
      <w:bookmarkStart w:id="161" w:name="_Toc109922634"/>
      <w:r w:rsidRPr="0007572B">
        <w:t>2</w:t>
      </w:r>
      <w:r w:rsidR="00357FDB" w:rsidRPr="0007572B">
        <w:t>4</w:t>
      </w:r>
      <w:r w:rsidR="00081DA7" w:rsidRPr="0007572B">
        <w:t xml:space="preserve"> </w:t>
      </w:r>
      <w:r w:rsidR="00641574" w:rsidRPr="0007572B">
        <w:t>Short an</w:t>
      </w:r>
      <w:r w:rsidR="007F381A" w:rsidRPr="0007572B">
        <w:t>d Long Term Creditors</w:t>
      </w:r>
      <w:bookmarkEnd w:id="159"/>
      <w:bookmarkEnd w:id="160"/>
      <w:bookmarkEnd w:id="161"/>
    </w:p>
    <w:p w14:paraId="643ABEBA" w14:textId="77777777" w:rsidR="005403AF" w:rsidRPr="005403AF" w:rsidRDefault="005403AF" w:rsidP="0038082E"/>
    <w:p w14:paraId="78699A70" w14:textId="44113C15" w:rsidR="008D2C8E" w:rsidRPr="0007572B" w:rsidRDefault="008D2C8E" w:rsidP="0038082E">
      <w:pPr>
        <w:pStyle w:val="Heading4bold"/>
      </w:pPr>
      <w:r w:rsidRPr="0007572B">
        <w:t>Short Term Creditors</w:t>
      </w:r>
    </w:p>
    <w:p w14:paraId="0656B6EC" w14:textId="77777777" w:rsidR="00081DA7" w:rsidRPr="0007572B" w:rsidRDefault="0040301F" w:rsidP="0038082E">
      <w:pPr>
        <w:rPr>
          <w:rFonts w:ascii="Arial" w:hAnsi="Arial" w:cs="Arial"/>
        </w:rPr>
      </w:pPr>
      <w:r w:rsidRPr="0007572B">
        <w:rPr>
          <w:rFonts w:ascii="Arial" w:hAnsi="Arial" w:cs="Arial"/>
        </w:rPr>
        <w:t>The table below shows the amounts owed by the Authority but not yet paid:</w:t>
      </w:r>
    </w:p>
    <w:p w14:paraId="47B43581" w14:textId="77777777" w:rsidR="0040301F" w:rsidRPr="0007572B" w:rsidRDefault="0040301F" w:rsidP="0038082E">
      <w:pPr>
        <w:rPr>
          <w:rFonts w:ascii="Arial" w:hAnsi="Arial" w:cs="Arial"/>
          <w:b/>
        </w:rPr>
      </w:pPr>
    </w:p>
    <w:p w14:paraId="2D497C00" w14:textId="6727FD13" w:rsidR="004F5004" w:rsidRPr="0007572B" w:rsidRDefault="00D871C0" w:rsidP="0038082E">
      <w:pPr>
        <w:rPr>
          <w:rFonts w:ascii="Arial" w:hAnsi="Arial" w:cs="Arial"/>
          <w:sz w:val="22"/>
          <w:szCs w:val="22"/>
        </w:rPr>
      </w:pPr>
      <w:r w:rsidRPr="00D871C0">
        <w:rPr>
          <w:noProof/>
        </w:rPr>
        <w:drawing>
          <wp:inline distT="0" distB="0" distL="0" distR="0" wp14:anchorId="2CEBED79" wp14:editId="78120A74">
            <wp:extent cx="5266690" cy="1400810"/>
            <wp:effectExtent l="0" t="0" r="0" b="889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266690" cy="1400810"/>
                    </a:xfrm>
                    <a:prstGeom prst="rect">
                      <a:avLst/>
                    </a:prstGeom>
                    <a:noFill/>
                    <a:ln>
                      <a:noFill/>
                    </a:ln>
                  </pic:spPr>
                </pic:pic>
              </a:graphicData>
            </a:graphic>
          </wp:inline>
        </w:drawing>
      </w:r>
    </w:p>
    <w:p w14:paraId="40EE5923" w14:textId="77777777" w:rsidR="00046148" w:rsidRDefault="00046148" w:rsidP="0038082E">
      <w:pPr>
        <w:rPr>
          <w:rFonts w:ascii="Arial" w:hAnsi="Arial" w:cs="Arial"/>
          <w:b/>
          <w:sz w:val="22"/>
          <w:szCs w:val="22"/>
        </w:rPr>
      </w:pPr>
    </w:p>
    <w:p w14:paraId="054043B8" w14:textId="0C4151DE" w:rsidR="00046148" w:rsidRPr="0007572B" w:rsidRDefault="00046148" w:rsidP="0038082E">
      <w:pPr>
        <w:rPr>
          <w:rFonts w:ascii="Arial" w:hAnsi="Arial" w:cs="Arial"/>
          <w:b/>
          <w:sz w:val="22"/>
          <w:szCs w:val="22"/>
        </w:rPr>
        <w:sectPr w:rsidR="00046148" w:rsidRPr="0007572B" w:rsidSect="00CB302B">
          <w:pgSz w:w="11906" w:h="16838"/>
          <w:pgMar w:top="1444" w:right="1416" w:bottom="1276" w:left="1080" w:header="568" w:footer="567" w:gutter="0"/>
          <w:cols w:space="708"/>
          <w:docGrid w:linePitch="360"/>
        </w:sectPr>
      </w:pPr>
    </w:p>
    <w:p w14:paraId="5F9D5D1F" w14:textId="1CF8862E" w:rsidR="00B74D26" w:rsidRPr="0007572B" w:rsidRDefault="00B74D26" w:rsidP="0038082E">
      <w:pPr>
        <w:rPr>
          <w:rFonts w:ascii="Arial" w:hAnsi="Arial" w:cs="Arial"/>
          <w:b/>
          <w:sz w:val="22"/>
          <w:szCs w:val="22"/>
        </w:rPr>
      </w:pPr>
    </w:p>
    <w:p w14:paraId="116103EB" w14:textId="4C3A0FC8" w:rsidR="00081DA7" w:rsidRPr="0007572B" w:rsidRDefault="00884440" w:rsidP="0038082E">
      <w:pPr>
        <w:pStyle w:val="Heading3greennumbered"/>
      </w:pPr>
      <w:bookmarkStart w:id="162" w:name="_Toc92894897"/>
      <w:bookmarkStart w:id="163" w:name="_Toc92895201"/>
      <w:bookmarkStart w:id="164" w:name="_Toc109922635"/>
      <w:r w:rsidRPr="0007572B">
        <w:t>2</w:t>
      </w:r>
      <w:r w:rsidR="00357FDB" w:rsidRPr="0007572B">
        <w:t>5</w:t>
      </w:r>
      <w:r w:rsidR="00081DA7" w:rsidRPr="0007572B">
        <w:t xml:space="preserve"> </w:t>
      </w:r>
      <w:r w:rsidR="007F381A" w:rsidRPr="0007572B">
        <w:t xml:space="preserve">Short and Long Term </w:t>
      </w:r>
      <w:r w:rsidR="00CE6A00" w:rsidRPr="0007572B">
        <w:t>Provisions</w:t>
      </w:r>
      <w:bookmarkEnd w:id="162"/>
      <w:bookmarkEnd w:id="163"/>
      <w:bookmarkEnd w:id="164"/>
    </w:p>
    <w:p w14:paraId="7B0B57CE" w14:textId="77777777" w:rsidR="005403AF" w:rsidRDefault="005403AF" w:rsidP="0038082E">
      <w:pPr>
        <w:rPr>
          <w:rFonts w:ascii="Arial" w:hAnsi="Arial" w:cs="Arial"/>
        </w:rPr>
      </w:pPr>
    </w:p>
    <w:p w14:paraId="1C73F3D2" w14:textId="456CD3EF" w:rsidR="00081DA7" w:rsidRPr="0007572B" w:rsidRDefault="00F01BC1" w:rsidP="0038082E">
      <w:pPr>
        <w:rPr>
          <w:rFonts w:ascii="Arial" w:hAnsi="Arial" w:cs="Arial"/>
        </w:rPr>
      </w:pPr>
      <w:r w:rsidRPr="0007572B">
        <w:rPr>
          <w:rFonts w:ascii="Arial" w:hAnsi="Arial" w:cs="Arial"/>
        </w:rPr>
        <w:t>Provisions are amounts set aside by the Authority to meet the cost of a future liability, for which</w:t>
      </w:r>
      <w:r w:rsidR="00073FBD" w:rsidRPr="0007572B">
        <w:rPr>
          <w:rFonts w:ascii="Arial" w:hAnsi="Arial" w:cs="Arial"/>
        </w:rPr>
        <w:t>,</w:t>
      </w:r>
      <w:r w:rsidRPr="0007572B">
        <w:rPr>
          <w:rFonts w:ascii="Arial" w:hAnsi="Arial" w:cs="Arial"/>
        </w:rPr>
        <w:t xml:space="preserve"> the timing of payment is uncertain. In line with the Code of Practice</w:t>
      </w:r>
      <w:r w:rsidR="00073FBD" w:rsidRPr="0007572B">
        <w:rPr>
          <w:rFonts w:ascii="Arial" w:hAnsi="Arial" w:cs="Arial"/>
        </w:rPr>
        <w:t>,</w:t>
      </w:r>
      <w:r w:rsidRPr="0007572B">
        <w:rPr>
          <w:rFonts w:ascii="Arial" w:hAnsi="Arial" w:cs="Arial"/>
        </w:rPr>
        <w:t xml:space="preserve"> the provision is charged to the service revenue account in the year it is </w:t>
      </w:r>
      <w:r w:rsidR="004F5004" w:rsidRPr="0007572B">
        <w:rPr>
          <w:rFonts w:ascii="Arial" w:hAnsi="Arial" w:cs="Arial"/>
        </w:rPr>
        <w:t>established;</w:t>
      </w:r>
      <w:r w:rsidRPr="0007572B">
        <w:rPr>
          <w:rFonts w:ascii="Arial" w:hAnsi="Arial" w:cs="Arial"/>
        </w:rPr>
        <w:t xml:space="preserve"> when liability falls due it is charged directly to the provision.</w:t>
      </w:r>
    </w:p>
    <w:p w14:paraId="1EA51C5C" w14:textId="77777777" w:rsidR="004F5004" w:rsidRPr="0007572B" w:rsidRDefault="004F5004" w:rsidP="0038082E">
      <w:pPr>
        <w:jc w:val="both"/>
        <w:rPr>
          <w:rFonts w:ascii="Arial" w:hAnsi="Arial" w:cs="Arial"/>
        </w:rPr>
      </w:pPr>
    </w:p>
    <w:p w14:paraId="413FBEA4" w14:textId="18504275" w:rsidR="009D75A5" w:rsidRPr="0007572B" w:rsidRDefault="00D871C0" w:rsidP="0038082E">
      <w:pPr>
        <w:rPr>
          <w:rFonts w:ascii="Arial" w:hAnsi="Arial" w:cs="Arial"/>
          <w:b/>
          <w:sz w:val="22"/>
          <w:szCs w:val="22"/>
        </w:rPr>
      </w:pPr>
      <w:r w:rsidRPr="00D871C0">
        <w:rPr>
          <w:noProof/>
        </w:rPr>
        <w:drawing>
          <wp:inline distT="0" distB="0" distL="0" distR="0" wp14:anchorId="4A9FCB1A" wp14:editId="3BB7E16F">
            <wp:extent cx="8542020" cy="267398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542020" cy="2673985"/>
                    </a:xfrm>
                    <a:prstGeom prst="rect">
                      <a:avLst/>
                    </a:prstGeom>
                    <a:noFill/>
                    <a:ln>
                      <a:noFill/>
                    </a:ln>
                  </pic:spPr>
                </pic:pic>
              </a:graphicData>
            </a:graphic>
          </wp:inline>
        </w:drawing>
      </w:r>
    </w:p>
    <w:p w14:paraId="36FD1AD9" w14:textId="77777777" w:rsidR="000B247E" w:rsidRPr="0007572B" w:rsidRDefault="000B247E" w:rsidP="0038082E">
      <w:pPr>
        <w:jc w:val="both"/>
        <w:rPr>
          <w:rFonts w:ascii="Arial" w:hAnsi="Arial" w:cs="Arial"/>
          <w:lang w:eastAsia="en-GB"/>
        </w:rPr>
      </w:pPr>
    </w:p>
    <w:p w14:paraId="461D9EE0" w14:textId="7D346DD2" w:rsidR="00952201" w:rsidRDefault="00952201" w:rsidP="0038082E">
      <w:pPr>
        <w:jc w:val="both"/>
        <w:rPr>
          <w:rFonts w:ascii="Arial" w:hAnsi="Arial" w:cs="Arial"/>
          <w:lang w:eastAsia="en-GB"/>
        </w:rPr>
      </w:pPr>
      <w:r w:rsidRPr="0007572B">
        <w:rPr>
          <w:rFonts w:ascii="Arial" w:hAnsi="Arial" w:cs="Arial"/>
          <w:lang w:eastAsia="en-GB"/>
        </w:rPr>
        <w:t xml:space="preserve">The provisions held by the </w:t>
      </w:r>
      <w:r w:rsidR="00D952FE" w:rsidRPr="0007572B">
        <w:rPr>
          <w:rFonts w:ascii="Arial" w:hAnsi="Arial" w:cs="Arial"/>
          <w:lang w:eastAsia="en-GB"/>
        </w:rPr>
        <w:t>A</w:t>
      </w:r>
      <w:r w:rsidRPr="0007572B">
        <w:rPr>
          <w:rFonts w:ascii="Arial" w:hAnsi="Arial" w:cs="Arial"/>
          <w:lang w:eastAsia="en-GB"/>
        </w:rPr>
        <w:t>uthority are described below:</w:t>
      </w:r>
    </w:p>
    <w:p w14:paraId="5F661862" w14:textId="77777777" w:rsidR="005403AF" w:rsidRPr="0007572B" w:rsidRDefault="005403AF" w:rsidP="0038082E">
      <w:pPr>
        <w:jc w:val="both"/>
        <w:rPr>
          <w:rFonts w:ascii="Arial" w:hAnsi="Arial" w:cs="Arial"/>
          <w:lang w:eastAsia="en-GB"/>
        </w:rPr>
      </w:pPr>
    </w:p>
    <w:p w14:paraId="4DB33B60" w14:textId="2AA82F9E" w:rsidR="00952201" w:rsidRPr="0007572B" w:rsidRDefault="00952201" w:rsidP="0038082E">
      <w:pPr>
        <w:pStyle w:val="Heading4bold"/>
        <w:rPr>
          <w:lang w:eastAsia="en-GB"/>
        </w:rPr>
      </w:pPr>
      <w:r w:rsidRPr="0007572B">
        <w:rPr>
          <w:lang w:eastAsia="en-GB"/>
        </w:rPr>
        <w:t>GMCA</w:t>
      </w:r>
    </w:p>
    <w:p w14:paraId="68AF34C9" w14:textId="77777777" w:rsidR="00952201" w:rsidRPr="0007572B" w:rsidRDefault="00952201" w:rsidP="0038082E">
      <w:pPr>
        <w:rPr>
          <w:rFonts w:ascii="Arial" w:hAnsi="Arial" w:cs="Arial"/>
          <w:lang w:eastAsia="en-GB"/>
        </w:rPr>
      </w:pPr>
    </w:p>
    <w:p w14:paraId="2488E2A1" w14:textId="6AC2549F" w:rsidR="00952201" w:rsidRPr="005403AF" w:rsidRDefault="00952201" w:rsidP="00EB27EB">
      <w:pPr>
        <w:pStyle w:val="ListParagraph"/>
        <w:numPr>
          <w:ilvl w:val="0"/>
          <w:numId w:val="34"/>
        </w:numPr>
        <w:spacing w:after="0" w:line="240" w:lineRule="auto"/>
        <w:rPr>
          <w:rFonts w:ascii="Arial" w:hAnsi="Arial" w:cs="Arial"/>
          <w:sz w:val="24"/>
          <w:szCs w:val="24"/>
          <w:u w:val="single"/>
        </w:rPr>
      </w:pPr>
      <w:r w:rsidRPr="0007572B">
        <w:rPr>
          <w:rFonts w:ascii="Arial" w:hAnsi="Arial" w:cs="Arial"/>
          <w:sz w:val="24"/>
          <w:szCs w:val="24"/>
        </w:rPr>
        <w:t>Landcare Provision -</w:t>
      </w:r>
      <w:r w:rsidR="000B247E" w:rsidRPr="0007572B">
        <w:rPr>
          <w:rFonts w:ascii="Arial" w:hAnsi="Arial" w:cs="Arial"/>
          <w:sz w:val="24"/>
          <w:szCs w:val="24"/>
        </w:rPr>
        <w:t xml:space="preserve"> </w:t>
      </w:r>
      <w:r w:rsidRPr="0007572B">
        <w:rPr>
          <w:rFonts w:ascii="Arial" w:hAnsi="Arial" w:cs="Arial"/>
          <w:sz w:val="24"/>
          <w:szCs w:val="24"/>
        </w:rPr>
        <w:t xml:space="preserve">The GMWDA sold 18 sites to the private sector (Landcare (Manchester) Limited) in December 2012 in return for agreeing a fixed ten year contribution less potential income from part of any enhanced value (overage) from future development of the sites. The Landcare provision represents the maximum amounts that GMCA would have to pay each year, </w:t>
      </w:r>
      <w:r w:rsidRPr="0007572B">
        <w:rPr>
          <w:rFonts w:ascii="Arial" w:hAnsi="Arial" w:cs="Arial"/>
          <w:sz w:val="24"/>
          <w:szCs w:val="24"/>
        </w:rPr>
        <w:lastRenderedPageBreak/>
        <w:t>however as there is an overage clause if Landcare were to make money from one of the sites transferred to them, there is a mechanism to reduce the annual payment.</w:t>
      </w:r>
    </w:p>
    <w:p w14:paraId="3C353C9E" w14:textId="77777777" w:rsidR="005403AF" w:rsidRPr="0007572B" w:rsidRDefault="005403AF" w:rsidP="005B25F0">
      <w:pPr>
        <w:pStyle w:val="ListParagraph"/>
        <w:spacing w:after="0" w:line="240" w:lineRule="auto"/>
        <w:rPr>
          <w:rFonts w:ascii="Arial" w:hAnsi="Arial" w:cs="Arial"/>
          <w:sz w:val="24"/>
          <w:szCs w:val="24"/>
          <w:u w:val="single"/>
        </w:rPr>
      </w:pPr>
    </w:p>
    <w:p w14:paraId="50AD8B82" w14:textId="77777777" w:rsidR="00952201" w:rsidRPr="0007572B" w:rsidRDefault="00952201" w:rsidP="0038082E">
      <w:pPr>
        <w:pStyle w:val="Heading4bold"/>
        <w:rPr>
          <w:lang w:eastAsia="en-GB"/>
        </w:rPr>
      </w:pPr>
      <w:r w:rsidRPr="0007572B">
        <w:rPr>
          <w:lang w:eastAsia="en-GB"/>
        </w:rPr>
        <w:t>Mayoral General Fund</w:t>
      </w:r>
    </w:p>
    <w:p w14:paraId="728C1C78" w14:textId="71597B41" w:rsidR="00952201" w:rsidRPr="0007572B" w:rsidRDefault="00952201" w:rsidP="00EB27EB">
      <w:pPr>
        <w:pStyle w:val="ListParagraph"/>
        <w:numPr>
          <w:ilvl w:val="0"/>
          <w:numId w:val="34"/>
        </w:numPr>
        <w:tabs>
          <w:tab w:val="left" w:pos="945"/>
        </w:tabs>
        <w:spacing w:after="0" w:line="240" w:lineRule="auto"/>
        <w:rPr>
          <w:rFonts w:ascii="Arial" w:hAnsi="Arial" w:cs="Arial"/>
          <w:sz w:val="24"/>
          <w:szCs w:val="24"/>
        </w:rPr>
      </w:pPr>
      <w:r w:rsidRPr="0007572B">
        <w:rPr>
          <w:rFonts w:ascii="Arial" w:hAnsi="Arial" w:cs="Arial"/>
          <w:sz w:val="24"/>
          <w:szCs w:val="24"/>
        </w:rPr>
        <w:t>Insurance Provision - This provision represents the value of an actuarial assessment of the remaining liability for all self-insured claims occurring in 20</w:t>
      </w:r>
      <w:r w:rsidR="00451E80" w:rsidRPr="0007572B">
        <w:rPr>
          <w:rFonts w:ascii="Arial" w:hAnsi="Arial" w:cs="Arial"/>
          <w:sz w:val="24"/>
          <w:szCs w:val="24"/>
        </w:rPr>
        <w:t>2</w:t>
      </w:r>
      <w:r w:rsidR="005B25F0">
        <w:rPr>
          <w:rFonts w:ascii="Arial" w:hAnsi="Arial" w:cs="Arial"/>
          <w:sz w:val="24"/>
          <w:szCs w:val="24"/>
        </w:rPr>
        <w:t>1</w:t>
      </w:r>
      <w:r w:rsidRPr="0007572B">
        <w:rPr>
          <w:rFonts w:ascii="Arial" w:hAnsi="Arial" w:cs="Arial"/>
          <w:sz w:val="24"/>
          <w:szCs w:val="24"/>
        </w:rPr>
        <w:t>/</w:t>
      </w:r>
      <w:r w:rsidR="000C19CD" w:rsidRPr="0007572B">
        <w:rPr>
          <w:rFonts w:ascii="Arial" w:hAnsi="Arial" w:cs="Arial"/>
          <w:sz w:val="24"/>
          <w:szCs w:val="24"/>
        </w:rPr>
        <w:t>2</w:t>
      </w:r>
      <w:r w:rsidR="005B25F0">
        <w:rPr>
          <w:rFonts w:ascii="Arial" w:hAnsi="Arial" w:cs="Arial"/>
          <w:sz w:val="24"/>
          <w:szCs w:val="24"/>
        </w:rPr>
        <w:t>2</w:t>
      </w:r>
      <w:r w:rsidRPr="0007572B">
        <w:rPr>
          <w:rFonts w:ascii="Arial" w:hAnsi="Arial" w:cs="Arial"/>
          <w:sz w:val="24"/>
          <w:szCs w:val="24"/>
        </w:rPr>
        <w:t xml:space="preserve">, all prior policy years and a prudent margin added for emerging claim types. </w:t>
      </w:r>
    </w:p>
    <w:p w14:paraId="042D25A1" w14:textId="77777777" w:rsidR="00952201" w:rsidRPr="0007572B" w:rsidRDefault="00952201" w:rsidP="0038082E">
      <w:pPr>
        <w:tabs>
          <w:tab w:val="left" w:pos="945"/>
        </w:tabs>
        <w:ind w:left="720"/>
        <w:rPr>
          <w:rFonts w:ascii="Arial" w:hAnsi="Arial" w:cs="Arial"/>
          <w:lang w:eastAsia="en-GB"/>
        </w:rPr>
      </w:pPr>
    </w:p>
    <w:p w14:paraId="530932AE" w14:textId="381210AB" w:rsidR="00952201" w:rsidRPr="0007572B" w:rsidRDefault="002555A0" w:rsidP="00EB27EB">
      <w:pPr>
        <w:pStyle w:val="ListParagraph"/>
        <w:numPr>
          <w:ilvl w:val="0"/>
          <w:numId w:val="34"/>
        </w:numPr>
        <w:tabs>
          <w:tab w:val="left" w:pos="945"/>
        </w:tabs>
        <w:spacing w:after="0" w:line="240" w:lineRule="auto"/>
        <w:rPr>
          <w:rFonts w:ascii="Arial" w:hAnsi="Arial" w:cs="Arial"/>
          <w:sz w:val="24"/>
          <w:szCs w:val="24"/>
        </w:rPr>
      </w:pPr>
      <w:r>
        <w:rPr>
          <w:rFonts w:ascii="Arial" w:hAnsi="Arial" w:cs="Arial"/>
          <w:sz w:val="24"/>
          <w:szCs w:val="24"/>
        </w:rPr>
        <w:t>Business Rates</w:t>
      </w:r>
      <w:r w:rsidR="00952201" w:rsidRPr="0007572B">
        <w:rPr>
          <w:rFonts w:ascii="Arial" w:hAnsi="Arial" w:cs="Arial"/>
          <w:sz w:val="24"/>
          <w:szCs w:val="24"/>
        </w:rPr>
        <w:t xml:space="preserve"> Appeals Provision - This is the estimated amount required to cover the cost of successful appeals against local non-domestic rateable values, where the cost of these appeals is required to be met locally.</w:t>
      </w:r>
    </w:p>
    <w:p w14:paraId="22EA28F6" w14:textId="77777777" w:rsidR="00952201" w:rsidRPr="0007572B" w:rsidRDefault="00952201" w:rsidP="0038082E">
      <w:pPr>
        <w:rPr>
          <w:rFonts w:ascii="Arial" w:hAnsi="Arial" w:cs="Arial"/>
          <w:u w:val="single"/>
          <w:lang w:eastAsia="en-GB"/>
        </w:rPr>
      </w:pPr>
    </w:p>
    <w:p w14:paraId="7A151AF2" w14:textId="532E5EE0" w:rsidR="00952201" w:rsidRPr="0007572B" w:rsidRDefault="00952201" w:rsidP="00EB27EB">
      <w:pPr>
        <w:pStyle w:val="ListParagraph"/>
        <w:numPr>
          <w:ilvl w:val="0"/>
          <w:numId w:val="34"/>
        </w:numPr>
        <w:spacing w:after="0" w:line="240" w:lineRule="auto"/>
        <w:rPr>
          <w:rFonts w:ascii="Arial" w:hAnsi="Arial" w:cs="Arial"/>
          <w:sz w:val="24"/>
          <w:szCs w:val="24"/>
        </w:rPr>
      </w:pPr>
      <w:r w:rsidRPr="0007572B">
        <w:rPr>
          <w:rFonts w:ascii="Arial" w:hAnsi="Arial" w:cs="Arial"/>
          <w:sz w:val="24"/>
          <w:szCs w:val="24"/>
        </w:rPr>
        <w:t>Bear Scotland v Fulton - The Employment Appeals Tribunal has ruled in this case that non-contractual overtime needs to be included when calculating holiday pay paid to firefighter employees. This provision is the estimated amount required to pay backdated claims.</w:t>
      </w:r>
    </w:p>
    <w:p w14:paraId="16B7B751" w14:textId="77777777" w:rsidR="00952201" w:rsidRPr="0007572B" w:rsidRDefault="00952201" w:rsidP="0038082E">
      <w:pPr>
        <w:pStyle w:val="ListParagraph"/>
        <w:spacing w:after="0" w:line="240" w:lineRule="auto"/>
        <w:rPr>
          <w:rFonts w:ascii="Arial" w:hAnsi="Arial" w:cs="Arial"/>
          <w:sz w:val="24"/>
          <w:szCs w:val="24"/>
          <w:highlight w:val="yellow"/>
        </w:rPr>
      </w:pPr>
    </w:p>
    <w:p w14:paraId="73D0A751" w14:textId="77777777" w:rsidR="00952201" w:rsidRPr="0007572B" w:rsidRDefault="00952201" w:rsidP="0038082E">
      <w:pPr>
        <w:pStyle w:val="Heading4bold"/>
        <w:rPr>
          <w:lang w:eastAsia="en-GB"/>
        </w:rPr>
      </w:pPr>
      <w:r w:rsidRPr="0007572B">
        <w:rPr>
          <w:lang w:eastAsia="en-GB"/>
        </w:rPr>
        <w:t>Mayoral Police Fund</w:t>
      </w:r>
    </w:p>
    <w:p w14:paraId="42969CA6" w14:textId="506F9C5D" w:rsidR="00952201" w:rsidRPr="0007572B" w:rsidRDefault="00952201" w:rsidP="00EB27EB">
      <w:pPr>
        <w:pStyle w:val="ListParagraph"/>
        <w:numPr>
          <w:ilvl w:val="0"/>
          <w:numId w:val="34"/>
        </w:numPr>
        <w:tabs>
          <w:tab w:val="left" w:pos="945"/>
        </w:tabs>
        <w:spacing w:after="0" w:line="240" w:lineRule="auto"/>
        <w:rPr>
          <w:rFonts w:ascii="Arial" w:hAnsi="Arial" w:cs="Arial"/>
          <w:sz w:val="24"/>
          <w:szCs w:val="24"/>
        </w:rPr>
      </w:pPr>
      <w:r w:rsidRPr="0007572B">
        <w:rPr>
          <w:rFonts w:ascii="Arial" w:hAnsi="Arial" w:cs="Arial"/>
          <w:sz w:val="24"/>
          <w:szCs w:val="24"/>
        </w:rPr>
        <w:t>Insurance Provision - This provision represents the value of an actuarial assessment of the remaining liability for all self-insured claims occurring in 20</w:t>
      </w:r>
      <w:r w:rsidR="009C7061" w:rsidRPr="0007572B">
        <w:rPr>
          <w:rFonts w:ascii="Arial" w:hAnsi="Arial" w:cs="Arial"/>
          <w:sz w:val="24"/>
          <w:szCs w:val="24"/>
        </w:rPr>
        <w:t>2</w:t>
      </w:r>
      <w:r w:rsidR="005B25F0">
        <w:rPr>
          <w:rFonts w:ascii="Arial" w:hAnsi="Arial" w:cs="Arial"/>
          <w:sz w:val="24"/>
          <w:szCs w:val="24"/>
        </w:rPr>
        <w:t>1</w:t>
      </w:r>
      <w:r w:rsidRPr="0007572B">
        <w:rPr>
          <w:rFonts w:ascii="Arial" w:hAnsi="Arial" w:cs="Arial"/>
          <w:sz w:val="24"/>
          <w:szCs w:val="24"/>
        </w:rPr>
        <w:t>/</w:t>
      </w:r>
      <w:r w:rsidR="000C19CD" w:rsidRPr="0007572B">
        <w:rPr>
          <w:rFonts w:ascii="Arial" w:hAnsi="Arial" w:cs="Arial"/>
          <w:sz w:val="24"/>
          <w:szCs w:val="24"/>
        </w:rPr>
        <w:t>2</w:t>
      </w:r>
      <w:r w:rsidR="005B25F0">
        <w:rPr>
          <w:rFonts w:ascii="Arial" w:hAnsi="Arial" w:cs="Arial"/>
          <w:sz w:val="24"/>
          <w:szCs w:val="24"/>
        </w:rPr>
        <w:t>2</w:t>
      </w:r>
      <w:r w:rsidRPr="0007572B">
        <w:rPr>
          <w:rFonts w:ascii="Arial" w:hAnsi="Arial" w:cs="Arial"/>
          <w:sz w:val="24"/>
          <w:szCs w:val="24"/>
        </w:rPr>
        <w:t xml:space="preserve">, all prior policy years and a prudent margin added for emerging claim types. </w:t>
      </w:r>
    </w:p>
    <w:p w14:paraId="2704768E" w14:textId="77777777" w:rsidR="00952201" w:rsidRPr="0007572B" w:rsidRDefault="00952201" w:rsidP="0038082E">
      <w:pPr>
        <w:tabs>
          <w:tab w:val="left" w:pos="945"/>
        </w:tabs>
        <w:ind w:left="720"/>
        <w:rPr>
          <w:rFonts w:ascii="Arial" w:hAnsi="Arial" w:cs="Arial"/>
          <w:lang w:eastAsia="en-GB"/>
        </w:rPr>
      </w:pPr>
    </w:p>
    <w:p w14:paraId="7144EECA" w14:textId="4BF1C632" w:rsidR="00952201" w:rsidRPr="0007572B" w:rsidRDefault="00952201" w:rsidP="00EB27EB">
      <w:pPr>
        <w:pStyle w:val="ListParagraph"/>
        <w:numPr>
          <w:ilvl w:val="0"/>
          <w:numId w:val="34"/>
        </w:numPr>
        <w:tabs>
          <w:tab w:val="left" w:pos="945"/>
        </w:tabs>
        <w:spacing w:after="0" w:line="240" w:lineRule="auto"/>
        <w:rPr>
          <w:rFonts w:ascii="Arial" w:hAnsi="Arial" w:cs="Arial"/>
          <w:sz w:val="24"/>
          <w:szCs w:val="24"/>
        </w:rPr>
      </w:pPr>
      <w:r w:rsidRPr="0007572B">
        <w:rPr>
          <w:rFonts w:ascii="Arial" w:hAnsi="Arial" w:cs="Arial"/>
          <w:sz w:val="24"/>
          <w:szCs w:val="24"/>
        </w:rPr>
        <w:t>Police Pension Lump Sum Provision - The Pensions Ombudsman determined there was an underpayment of lump sums, to pension scheme members who retired between December 2001 and August 2006. The Ombudsman concluded that commutation formulas to convert annual pensions payments to lump sums should have been updated between 2001 and 2006 and as a result</w:t>
      </w:r>
      <w:r w:rsidR="00577AA5" w:rsidRPr="0007572B">
        <w:rPr>
          <w:rFonts w:ascii="Arial" w:hAnsi="Arial" w:cs="Arial"/>
          <w:sz w:val="24"/>
          <w:szCs w:val="24"/>
        </w:rPr>
        <w:t>,</w:t>
      </w:r>
      <w:r w:rsidRPr="0007572B">
        <w:rPr>
          <w:rFonts w:ascii="Arial" w:hAnsi="Arial" w:cs="Arial"/>
          <w:sz w:val="24"/>
          <w:szCs w:val="24"/>
        </w:rPr>
        <w:t xml:space="preserve"> additional payments are due to those members who chose to commute pension for lump sum at retirement during these years. </w:t>
      </w:r>
    </w:p>
    <w:p w14:paraId="7C89A6FA" w14:textId="4DBC9B96" w:rsidR="00952201" w:rsidRPr="0007572B" w:rsidRDefault="00952201" w:rsidP="0038082E">
      <w:pPr>
        <w:pStyle w:val="ListParagraph"/>
        <w:tabs>
          <w:tab w:val="left" w:pos="945"/>
        </w:tabs>
        <w:spacing w:after="0" w:line="240" w:lineRule="auto"/>
        <w:rPr>
          <w:rFonts w:ascii="Arial" w:hAnsi="Arial" w:cs="Arial"/>
          <w:sz w:val="24"/>
          <w:szCs w:val="24"/>
        </w:rPr>
      </w:pPr>
    </w:p>
    <w:p w14:paraId="711FD028" w14:textId="163DF4A8" w:rsidR="000B247E" w:rsidRPr="0038082E" w:rsidRDefault="004D15B7" w:rsidP="00EB27EB">
      <w:pPr>
        <w:pStyle w:val="ListParagraph"/>
        <w:numPr>
          <w:ilvl w:val="0"/>
          <w:numId w:val="34"/>
        </w:numPr>
        <w:tabs>
          <w:tab w:val="left" w:pos="945"/>
        </w:tabs>
        <w:spacing w:after="0" w:line="240" w:lineRule="auto"/>
        <w:rPr>
          <w:rFonts w:ascii="Arial" w:hAnsi="Arial" w:cs="Arial"/>
        </w:rPr>
      </w:pPr>
      <w:r w:rsidRPr="0038082E">
        <w:rPr>
          <w:rFonts w:ascii="Arial" w:hAnsi="Arial" w:cs="Arial"/>
          <w:sz w:val="24"/>
          <w:szCs w:val="24"/>
        </w:rPr>
        <w:t>Capital Project Retentions Provision - This is a provision to hold a percentage of a projects total funding, which is retained during the contractual defects period.</w:t>
      </w:r>
    </w:p>
    <w:p w14:paraId="57969E5D" w14:textId="77777777" w:rsidR="000B247E" w:rsidRPr="0007572B" w:rsidRDefault="000B247E" w:rsidP="0038082E">
      <w:pPr>
        <w:pStyle w:val="ListParagraph"/>
        <w:tabs>
          <w:tab w:val="left" w:pos="945"/>
        </w:tabs>
        <w:spacing w:after="0" w:line="240" w:lineRule="auto"/>
        <w:jc w:val="both"/>
        <w:rPr>
          <w:rFonts w:ascii="Arial" w:hAnsi="Arial" w:cs="Arial"/>
        </w:rPr>
        <w:sectPr w:rsidR="000B247E" w:rsidRPr="0007572B" w:rsidSect="000B247E">
          <w:pgSz w:w="16838" w:h="11906" w:orient="landscape"/>
          <w:pgMar w:top="1080" w:right="1444" w:bottom="1416" w:left="1276" w:header="568" w:footer="567" w:gutter="0"/>
          <w:cols w:space="708"/>
          <w:docGrid w:linePitch="360"/>
        </w:sectPr>
      </w:pPr>
    </w:p>
    <w:p w14:paraId="74DA2DE6" w14:textId="18037470" w:rsidR="000B247E" w:rsidRPr="0007572B" w:rsidRDefault="000B247E" w:rsidP="0038082E">
      <w:pPr>
        <w:pStyle w:val="ListParagraph"/>
        <w:tabs>
          <w:tab w:val="left" w:pos="945"/>
        </w:tabs>
        <w:spacing w:after="0" w:line="240" w:lineRule="auto"/>
        <w:jc w:val="both"/>
        <w:rPr>
          <w:rFonts w:ascii="Arial" w:hAnsi="Arial" w:cs="Arial"/>
        </w:rPr>
      </w:pPr>
    </w:p>
    <w:p w14:paraId="58CC6C5A" w14:textId="7413FCBC" w:rsidR="00081DA7" w:rsidRPr="0007572B" w:rsidRDefault="00884440" w:rsidP="0038082E">
      <w:pPr>
        <w:pStyle w:val="Heading3greennumbered"/>
      </w:pPr>
      <w:bookmarkStart w:id="165" w:name="_Toc92894898"/>
      <w:bookmarkStart w:id="166" w:name="_Toc92895202"/>
      <w:bookmarkStart w:id="167" w:name="_Toc109922636"/>
      <w:r w:rsidRPr="0007572B">
        <w:t>2</w:t>
      </w:r>
      <w:r w:rsidR="00A40C51" w:rsidRPr="0007572B">
        <w:t>6</w:t>
      </w:r>
      <w:r w:rsidR="00081DA7" w:rsidRPr="0007572B">
        <w:t xml:space="preserve"> </w:t>
      </w:r>
      <w:r w:rsidR="00CE6A00" w:rsidRPr="0007572B">
        <w:t>Short and Long Term Leases including PFI</w:t>
      </w:r>
      <w:bookmarkEnd w:id="165"/>
      <w:bookmarkEnd w:id="166"/>
      <w:bookmarkEnd w:id="167"/>
    </w:p>
    <w:p w14:paraId="024BDDF5" w14:textId="77777777" w:rsidR="005403AF" w:rsidRPr="005403AF" w:rsidRDefault="005403AF" w:rsidP="0038082E"/>
    <w:p w14:paraId="181A5C42" w14:textId="0C10F9CD" w:rsidR="00CE020E" w:rsidRPr="0007572B" w:rsidRDefault="00CE020E" w:rsidP="0038082E">
      <w:pPr>
        <w:pStyle w:val="Heading4bold"/>
      </w:pPr>
      <w:r w:rsidRPr="0007572B">
        <w:t xml:space="preserve">Fire Station </w:t>
      </w:r>
    </w:p>
    <w:p w14:paraId="51C60325" w14:textId="20FB31BF" w:rsidR="00C676C5" w:rsidRPr="0007572B" w:rsidRDefault="00C676C5" w:rsidP="0038082E">
      <w:pPr>
        <w:rPr>
          <w:rFonts w:ascii="Arial" w:hAnsi="Arial" w:cs="Arial"/>
        </w:rPr>
      </w:pPr>
      <w:r w:rsidRPr="0007572B">
        <w:rPr>
          <w:rFonts w:ascii="Arial" w:hAnsi="Arial" w:cs="Arial"/>
        </w:rPr>
        <w:t>20</w:t>
      </w:r>
      <w:r w:rsidR="00451E80" w:rsidRPr="0007572B">
        <w:rPr>
          <w:rFonts w:ascii="Arial" w:hAnsi="Arial" w:cs="Arial"/>
        </w:rPr>
        <w:t>2</w:t>
      </w:r>
      <w:r w:rsidR="00D871C0">
        <w:rPr>
          <w:rFonts w:ascii="Arial" w:hAnsi="Arial" w:cs="Arial"/>
        </w:rPr>
        <w:t>1</w:t>
      </w:r>
      <w:r w:rsidRPr="0007572B">
        <w:rPr>
          <w:rFonts w:ascii="Arial" w:hAnsi="Arial" w:cs="Arial"/>
        </w:rPr>
        <w:t>/2</w:t>
      </w:r>
      <w:r w:rsidR="00D871C0">
        <w:rPr>
          <w:rFonts w:ascii="Arial" w:hAnsi="Arial" w:cs="Arial"/>
        </w:rPr>
        <w:t>2</w:t>
      </w:r>
      <w:r w:rsidRPr="0007572B">
        <w:rPr>
          <w:rFonts w:ascii="Arial" w:hAnsi="Arial" w:cs="Arial"/>
        </w:rPr>
        <w:t xml:space="preserve"> was the twenty </w:t>
      </w:r>
      <w:r w:rsidR="00451E80" w:rsidRPr="0007572B">
        <w:rPr>
          <w:rFonts w:ascii="Arial" w:hAnsi="Arial" w:cs="Arial"/>
        </w:rPr>
        <w:t>second</w:t>
      </w:r>
      <w:r w:rsidRPr="0007572B">
        <w:rPr>
          <w:rFonts w:ascii="Arial" w:hAnsi="Arial" w:cs="Arial"/>
        </w:rPr>
        <w:t xml:space="preserve"> year of a 25 year PFI contract (ending October 2024) for the construction, maintenance and provision of a Fire Station at Stretford, along with associated equipment. </w:t>
      </w:r>
    </w:p>
    <w:p w14:paraId="209FE44F" w14:textId="77777777" w:rsidR="00C676C5" w:rsidRPr="0007572B" w:rsidRDefault="00C676C5" w:rsidP="0038082E">
      <w:pPr>
        <w:rPr>
          <w:rFonts w:ascii="Arial" w:hAnsi="Arial" w:cs="Arial"/>
        </w:rPr>
      </w:pPr>
    </w:p>
    <w:p w14:paraId="3473953C" w14:textId="72C1240D" w:rsidR="00C676C5" w:rsidRPr="0007572B" w:rsidRDefault="00C676C5" w:rsidP="0038082E">
      <w:pPr>
        <w:rPr>
          <w:rFonts w:ascii="Arial" w:hAnsi="Arial" w:cs="Arial"/>
        </w:rPr>
      </w:pPr>
      <w:r w:rsidRPr="0007572B">
        <w:rPr>
          <w:rFonts w:ascii="Arial" w:hAnsi="Arial" w:cs="Arial"/>
        </w:rPr>
        <w:t xml:space="preserve">The contract specifies minimum standards for the services to be provided by the contractor, with deductions from the fee payable being made if facilities are unavailable or performance is below the minimum standards. The building and equipment will be transferred to the Authority at the end of the 25 year contract at nil value. </w:t>
      </w:r>
    </w:p>
    <w:p w14:paraId="7690EAAD" w14:textId="77777777" w:rsidR="00C676C5" w:rsidRPr="0007572B" w:rsidRDefault="00C676C5" w:rsidP="0038082E">
      <w:pPr>
        <w:rPr>
          <w:rFonts w:ascii="Arial" w:hAnsi="Arial" w:cs="Arial"/>
        </w:rPr>
      </w:pPr>
    </w:p>
    <w:p w14:paraId="5130DCC3" w14:textId="335CCD75" w:rsidR="00C676C5" w:rsidRDefault="00C676C5" w:rsidP="0038082E">
      <w:pPr>
        <w:rPr>
          <w:rFonts w:ascii="Arial" w:hAnsi="Arial" w:cs="Arial"/>
        </w:rPr>
      </w:pPr>
      <w:r w:rsidRPr="0007572B">
        <w:rPr>
          <w:rFonts w:ascii="Arial" w:hAnsi="Arial" w:cs="Arial"/>
        </w:rPr>
        <w:t>Over the remaining term of the contract, the Authority is committed to making gross payments of £</w:t>
      </w:r>
      <w:r w:rsidR="00D871C0">
        <w:rPr>
          <w:rFonts w:ascii="Arial" w:hAnsi="Arial" w:cs="Arial"/>
        </w:rPr>
        <w:t>1</w:t>
      </w:r>
      <w:r w:rsidR="00AD41B8" w:rsidRPr="0007572B">
        <w:rPr>
          <w:rFonts w:ascii="Arial" w:hAnsi="Arial" w:cs="Arial"/>
        </w:rPr>
        <w:t>.8</w:t>
      </w:r>
      <w:r w:rsidR="00D871C0">
        <w:rPr>
          <w:rFonts w:ascii="Arial" w:hAnsi="Arial" w:cs="Arial"/>
        </w:rPr>
        <w:t>68</w:t>
      </w:r>
      <w:r w:rsidRPr="0007572B">
        <w:rPr>
          <w:rFonts w:ascii="Arial" w:hAnsi="Arial" w:cs="Arial"/>
        </w:rPr>
        <w:t>m (average payment per year is £0.72</w:t>
      </w:r>
      <w:r w:rsidR="00D871C0">
        <w:rPr>
          <w:rFonts w:ascii="Arial" w:hAnsi="Arial" w:cs="Arial"/>
        </w:rPr>
        <w:t>3</w:t>
      </w:r>
      <w:r w:rsidRPr="0007572B">
        <w:rPr>
          <w:rFonts w:ascii="Arial" w:hAnsi="Arial" w:cs="Arial"/>
        </w:rPr>
        <w:t>m). However, the net cost to the Authority after income from specific government grant is estimated at £</w:t>
      </w:r>
      <w:r w:rsidR="00AD41B8" w:rsidRPr="0007572B">
        <w:rPr>
          <w:rFonts w:ascii="Arial" w:hAnsi="Arial" w:cs="Arial"/>
        </w:rPr>
        <w:t>0.</w:t>
      </w:r>
      <w:r w:rsidR="00D871C0">
        <w:rPr>
          <w:rFonts w:ascii="Arial" w:hAnsi="Arial" w:cs="Arial"/>
        </w:rPr>
        <w:t>625</w:t>
      </w:r>
      <w:r w:rsidRPr="0007572B">
        <w:rPr>
          <w:rFonts w:ascii="Arial" w:hAnsi="Arial" w:cs="Arial"/>
        </w:rPr>
        <w:t>m (average payment per year is £0.2</w:t>
      </w:r>
      <w:r w:rsidR="00AD41B8" w:rsidRPr="0007572B">
        <w:rPr>
          <w:rFonts w:ascii="Arial" w:hAnsi="Arial" w:cs="Arial"/>
        </w:rPr>
        <w:t>4</w:t>
      </w:r>
      <w:r w:rsidR="00D871C0">
        <w:rPr>
          <w:rFonts w:ascii="Arial" w:hAnsi="Arial" w:cs="Arial"/>
        </w:rPr>
        <w:t>2</w:t>
      </w:r>
      <w:r w:rsidRPr="0007572B">
        <w:rPr>
          <w:rFonts w:ascii="Arial" w:hAnsi="Arial" w:cs="Arial"/>
        </w:rPr>
        <w:t xml:space="preserve">m). </w:t>
      </w:r>
    </w:p>
    <w:p w14:paraId="206CAFB7" w14:textId="77777777" w:rsidR="005403AF" w:rsidRPr="0007572B" w:rsidRDefault="005403AF" w:rsidP="0038082E">
      <w:pPr>
        <w:rPr>
          <w:rFonts w:ascii="Arial" w:hAnsi="Arial" w:cs="Arial"/>
        </w:rPr>
      </w:pPr>
    </w:p>
    <w:p w14:paraId="15248154" w14:textId="77777777" w:rsidR="00CE020E" w:rsidRPr="0007572B" w:rsidRDefault="00CE020E" w:rsidP="0038082E">
      <w:pPr>
        <w:pStyle w:val="Heading4bold"/>
      </w:pPr>
      <w:r w:rsidRPr="0007572B">
        <w:t xml:space="preserve">Police Stations </w:t>
      </w:r>
    </w:p>
    <w:p w14:paraId="442951FC" w14:textId="040F1FCD" w:rsidR="00C676C5" w:rsidRPr="0007572B" w:rsidRDefault="00C676C5" w:rsidP="0038082E">
      <w:pPr>
        <w:rPr>
          <w:rFonts w:ascii="Arial" w:hAnsi="Arial" w:cs="Arial"/>
        </w:rPr>
      </w:pPr>
      <w:r w:rsidRPr="0007572B">
        <w:rPr>
          <w:rFonts w:ascii="Arial" w:hAnsi="Arial" w:cs="Arial"/>
        </w:rPr>
        <w:t>20</w:t>
      </w:r>
      <w:r w:rsidR="00451E80" w:rsidRPr="0007572B">
        <w:rPr>
          <w:rFonts w:ascii="Arial" w:hAnsi="Arial" w:cs="Arial"/>
        </w:rPr>
        <w:t>2</w:t>
      </w:r>
      <w:r w:rsidR="00D871C0">
        <w:rPr>
          <w:rFonts w:ascii="Arial" w:hAnsi="Arial" w:cs="Arial"/>
        </w:rPr>
        <w:t>1</w:t>
      </w:r>
      <w:r w:rsidRPr="0007572B">
        <w:rPr>
          <w:rFonts w:ascii="Arial" w:hAnsi="Arial" w:cs="Arial"/>
        </w:rPr>
        <w:t>/2</w:t>
      </w:r>
      <w:r w:rsidR="00D871C0">
        <w:rPr>
          <w:rFonts w:ascii="Arial" w:hAnsi="Arial" w:cs="Arial"/>
        </w:rPr>
        <w:t>2</w:t>
      </w:r>
      <w:r w:rsidRPr="0007572B">
        <w:rPr>
          <w:rFonts w:ascii="Arial" w:hAnsi="Arial" w:cs="Arial"/>
        </w:rPr>
        <w:t xml:space="preserve"> was the </w:t>
      </w:r>
      <w:r w:rsidR="00D871C0">
        <w:rPr>
          <w:rFonts w:ascii="Arial" w:hAnsi="Arial" w:cs="Arial"/>
        </w:rPr>
        <w:t>nine</w:t>
      </w:r>
      <w:r w:rsidR="00451E80" w:rsidRPr="0007572B">
        <w:rPr>
          <w:rFonts w:ascii="Arial" w:hAnsi="Arial" w:cs="Arial"/>
        </w:rPr>
        <w:t>teenth</w:t>
      </w:r>
      <w:r w:rsidRPr="0007572B">
        <w:rPr>
          <w:rFonts w:ascii="Arial" w:hAnsi="Arial" w:cs="Arial"/>
        </w:rPr>
        <w:t xml:space="preserve"> year of a Private Finance Initiativ</w:t>
      </w:r>
      <w:r w:rsidR="00A6759A" w:rsidRPr="0007572B">
        <w:rPr>
          <w:rFonts w:ascii="Arial" w:hAnsi="Arial" w:cs="Arial"/>
        </w:rPr>
        <w:t>e (PFI) contract (ending in 2030</w:t>
      </w:r>
      <w:r w:rsidRPr="0007572B">
        <w:rPr>
          <w:rFonts w:ascii="Arial" w:hAnsi="Arial" w:cs="Arial"/>
        </w:rPr>
        <w:t xml:space="preserve">) for the construction and maintenance of seventeen Police stations across the Greater Manchester area. The contractor will operate and service the stations for twenty-five years after which ownership will revert to the Authority, to be held on behalf of the Mayor, for nil consideration. </w:t>
      </w:r>
    </w:p>
    <w:p w14:paraId="0382C8E5" w14:textId="77777777" w:rsidR="00CE020E" w:rsidRPr="0007572B" w:rsidRDefault="00CE020E" w:rsidP="0038082E">
      <w:pPr>
        <w:rPr>
          <w:rFonts w:ascii="Arial" w:hAnsi="Arial" w:cs="Arial"/>
        </w:rPr>
      </w:pPr>
    </w:p>
    <w:p w14:paraId="2DA25620" w14:textId="30657C16" w:rsidR="00C676C5" w:rsidRDefault="00C676C5" w:rsidP="0038082E">
      <w:pPr>
        <w:rPr>
          <w:rFonts w:ascii="Arial" w:hAnsi="Arial" w:cs="Arial"/>
        </w:rPr>
      </w:pPr>
      <w:r w:rsidRPr="0007572B">
        <w:rPr>
          <w:rFonts w:ascii="Arial" w:hAnsi="Arial" w:cs="Arial"/>
        </w:rPr>
        <w:t>Over the remaining term of the contract, the Authority is committed to making gross payments of £</w:t>
      </w:r>
      <w:r w:rsidR="00AD41B8" w:rsidRPr="0007572B">
        <w:rPr>
          <w:rFonts w:ascii="Arial" w:hAnsi="Arial" w:cs="Arial"/>
        </w:rPr>
        <w:t>1</w:t>
      </w:r>
      <w:r w:rsidR="00285F28">
        <w:rPr>
          <w:rFonts w:ascii="Arial" w:hAnsi="Arial" w:cs="Arial"/>
        </w:rPr>
        <w:t>28</w:t>
      </w:r>
      <w:r w:rsidR="00AD41B8" w:rsidRPr="0007572B">
        <w:rPr>
          <w:rFonts w:ascii="Arial" w:hAnsi="Arial" w:cs="Arial"/>
        </w:rPr>
        <w:t>.</w:t>
      </w:r>
      <w:r w:rsidR="00285F28">
        <w:rPr>
          <w:rFonts w:ascii="Arial" w:hAnsi="Arial" w:cs="Arial"/>
        </w:rPr>
        <w:t>424</w:t>
      </w:r>
      <w:r w:rsidRPr="0007572B">
        <w:rPr>
          <w:rFonts w:ascii="Arial" w:hAnsi="Arial" w:cs="Arial"/>
        </w:rPr>
        <w:t>m (average payment per year is £1</w:t>
      </w:r>
      <w:r w:rsidR="00285F28">
        <w:rPr>
          <w:rFonts w:ascii="Arial" w:hAnsi="Arial" w:cs="Arial"/>
        </w:rPr>
        <w:t>6</w:t>
      </w:r>
      <w:r w:rsidRPr="0007572B">
        <w:rPr>
          <w:rFonts w:ascii="Arial" w:hAnsi="Arial" w:cs="Arial"/>
        </w:rPr>
        <w:t>.</w:t>
      </w:r>
      <w:r w:rsidR="00285F28">
        <w:rPr>
          <w:rFonts w:ascii="Arial" w:hAnsi="Arial" w:cs="Arial"/>
        </w:rPr>
        <w:t>053</w:t>
      </w:r>
      <w:r w:rsidRPr="0007572B">
        <w:rPr>
          <w:rFonts w:ascii="Arial" w:hAnsi="Arial" w:cs="Arial"/>
        </w:rPr>
        <w:t>m). However, the net cost to the Authority after income from specific government grant is estimated at £</w:t>
      </w:r>
      <w:r w:rsidR="00285F28">
        <w:rPr>
          <w:rFonts w:ascii="Arial" w:hAnsi="Arial" w:cs="Arial"/>
        </w:rPr>
        <w:t>8</w:t>
      </w:r>
      <w:r w:rsidR="00AD41B8" w:rsidRPr="0007572B">
        <w:rPr>
          <w:rFonts w:ascii="Arial" w:hAnsi="Arial" w:cs="Arial"/>
        </w:rPr>
        <w:t>5</w:t>
      </w:r>
      <w:r w:rsidRPr="0007572B">
        <w:rPr>
          <w:rFonts w:ascii="Arial" w:hAnsi="Arial" w:cs="Arial"/>
        </w:rPr>
        <w:t>.</w:t>
      </w:r>
      <w:r w:rsidR="00285F28">
        <w:rPr>
          <w:rFonts w:ascii="Arial" w:hAnsi="Arial" w:cs="Arial"/>
        </w:rPr>
        <w:t>905</w:t>
      </w:r>
      <w:r w:rsidRPr="0007572B">
        <w:rPr>
          <w:rFonts w:ascii="Arial" w:hAnsi="Arial" w:cs="Arial"/>
        </w:rPr>
        <w:t>m (average payment per year is £1</w:t>
      </w:r>
      <w:r w:rsidR="00285F28">
        <w:rPr>
          <w:rFonts w:ascii="Arial" w:hAnsi="Arial" w:cs="Arial"/>
        </w:rPr>
        <w:t>0</w:t>
      </w:r>
      <w:r w:rsidRPr="0007572B">
        <w:rPr>
          <w:rFonts w:ascii="Arial" w:hAnsi="Arial" w:cs="Arial"/>
        </w:rPr>
        <w:t>.</w:t>
      </w:r>
      <w:r w:rsidR="00285F28">
        <w:rPr>
          <w:rFonts w:ascii="Arial" w:hAnsi="Arial" w:cs="Arial"/>
        </w:rPr>
        <w:t>738</w:t>
      </w:r>
      <w:r w:rsidRPr="0007572B">
        <w:rPr>
          <w:rFonts w:ascii="Arial" w:hAnsi="Arial" w:cs="Arial"/>
        </w:rPr>
        <w:t xml:space="preserve">m). </w:t>
      </w:r>
    </w:p>
    <w:p w14:paraId="795F9CB8" w14:textId="77777777" w:rsidR="005403AF" w:rsidRPr="0007572B" w:rsidRDefault="005403AF" w:rsidP="0038082E">
      <w:pPr>
        <w:rPr>
          <w:rFonts w:ascii="Arial" w:hAnsi="Arial" w:cs="Arial"/>
        </w:rPr>
      </w:pPr>
    </w:p>
    <w:p w14:paraId="5CC46780" w14:textId="77777777" w:rsidR="00CE020E" w:rsidRPr="0007572B" w:rsidRDefault="00CE020E" w:rsidP="0038082E">
      <w:pPr>
        <w:pStyle w:val="Heading4bold"/>
      </w:pPr>
      <w:r w:rsidRPr="0007572B">
        <w:t>Property Plant and Equipment</w:t>
      </w:r>
    </w:p>
    <w:p w14:paraId="75C383F8" w14:textId="640C4138" w:rsidR="00CE020E" w:rsidRDefault="00CE020E" w:rsidP="0038082E">
      <w:pPr>
        <w:rPr>
          <w:rFonts w:ascii="Arial" w:hAnsi="Arial" w:cs="Arial"/>
        </w:rPr>
      </w:pPr>
      <w:r w:rsidRPr="0007572B">
        <w:rPr>
          <w:rFonts w:ascii="Arial" w:hAnsi="Arial" w:cs="Arial"/>
        </w:rPr>
        <w:t>The Stations and Equipment provided under the contracts are recognised on the Authority's Balance Sheet. Movements in their value over the year are detailed in the analysis of the movement on the Property Plant and Equipment balance in the notes to the Balance Sheet.</w:t>
      </w:r>
    </w:p>
    <w:p w14:paraId="452EDD48" w14:textId="77777777" w:rsidR="005403AF" w:rsidRPr="0007572B" w:rsidRDefault="005403AF" w:rsidP="0038082E">
      <w:pPr>
        <w:rPr>
          <w:rFonts w:ascii="Arial" w:hAnsi="Arial" w:cs="Arial"/>
        </w:rPr>
      </w:pPr>
    </w:p>
    <w:p w14:paraId="7A6A2AE8" w14:textId="77777777" w:rsidR="00CE020E" w:rsidRPr="0007572B" w:rsidRDefault="00CE020E" w:rsidP="0038082E">
      <w:pPr>
        <w:pStyle w:val="Heading4bold"/>
      </w:pPr>
      <w:r w:rsidRPr="0007572B">
        <w:t>Outstanding Liability</w:t>
      </w:r>
    </w:p>
    <w:p w14:paraId="55FD0150" w14:textId="2C4598BA" w:rsidR="00CE020E" w:rsidRPr="0007572B" w:rsidRDefault="00CE020E" w:rsidP="0038082E">
      <w:pPr>
        <w:rPr>
          <w:rFonts w:ascii="Arial" w:hAnsi="Arial" w:cs="Arial"/>
        </w:rPr>
      </w:pPr>
      <w:r w:rsidRPr="0007572B">
        <w:rPr>
          <w:rFonts w:ascii="Arial" w:hAnsi="Arial" w:cs="Arial"/>
        </w:rPr>
        <w:t xml:space="preserve">The PFI liability represents the </w:t>
      </w:r>
      <w:r w:rsidR="007512FA" w:rsidRPr="0007572B">
        <w:rPr>
          <w:rFonts w:ascii="Arial" w:hAnsi="Arial" w:cs="Arial"/>
        </w:rPr>
        <w:t xml:space="preserve">current </w:t>
      </w:r>
      <w:r w:rsidRPr="0007572B">
        <w:rPr>
          <w:rFonts w:ascii="Arial" w:hAnsi="Arial" w:cs="Arial"/>
        </w:rPr>
        <w:t>outstanding long term liability to the contr</w:t>
      </w:r>
      <w:r w:rsidR="00CE7425" w:rsidRPr="0007572B">
        <w:rPr>
          <w:rFonts w:ascii="Arial" w:hAnsi="Arial" w:cs="Arial"/>
        </w:rPr>
        <w:t xml:space="preserve">actor for capital expenditure. </w:t>
      </w:r>
      <w:r w:rsidR="00285F28">
        <w:rPr>
          <w:rFonts w:ascii="Arial" w:hAnsi="Arial" w:cs="Arial"/>
        </w:rPr>
        <w:t xml:space="preserve">A fair value disclosure has also been provided for the PFI liabilities in the Financial Instruments note. </w:t>
      </w:r>
      <w:r w:rsidRPr="0007572B">
        <w:rPr>
          <w:rFonts w:ascii="Arial" w:hAnsi="Arial" w:cs="Arial"/>
        </w:rPr>
        <w:t xml:space="preserve">The </w:t>
      </w:r>
      <w:r w:rsidR="007512FA" w:rsidRPr="0007572B">
        <w:rPr>
          <w:rFonts w:ascii="Arial" w:hAnsi="Arial" w:cs="Arial"/>
        </w:rPr>
        <w:t xml:space="preserve">current </w:t>
      </w:r>
      <w:r w:rsidRPr="0007572B">
        <w:rPr>
          <w:rFonts w:ascii="Arial" w:hAnsi="Arial" w:cs="Arial"/>
        </w:rPr>
        <w:t>value of the liability held under each PFI arrangement is as follows:</w:t>
      </w:r>
    </w:p>
    <w:p w14:paraId="19DE763E" w14:textId="77777777" w:rsidR="004F5004" w:rsidRPr="0007572B" w:rsidRDefault="004F5004" w:rsidP="0038082E">
      <w:pPr>
        <w:rPr>
          <w:rFonts w:ascii="Arial" w:hAnsi="Arial" w:cs="Arial"/>
        </w:rPr>
      </w:pPr>
    </w:p>
    <w:p w14:paraId="0D4EAC59" w14:textId="4362DA0D" w:rsidR="00451E80" w:rsidRPr="0007572B" w:rsidRDefault="00457D76" w:rsidP="0038082E">
      <w:pPr>
        <w:rPr>
          <w:rFonts w:ascii="Arial" w:hAnsi="Arial" w:cs="Arial"/>
        </w:rPr>
      </w:pPr>
      <w:r w:rsidRPr="00457D76">
        <w:rPr>
          <w:noProof/>
        </w:rPr>
        <w:lastRenderedPageBreak/>
        <w:drawing>
          <wp:inline distT="0" distB="0" distL="0" distR="0" wp14:anchorId="74741F49" wp14:editId="5FA4767F">
            <wp:extent cx="5474970" cy="191008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474970" cy="1910080"/>
                    </a:xfrm>
                    <a:prstGeom prst="rect">
                      <a:avLst/>
                    </a:prstGeom>
                    <a:noFill/>
                    <a:ln>
                      <a:noFill/>
                    </a:ln>
                  </pic:spPr>
                </pic:pic>
              </a:graphicData>
            </a:graphic>
          </wp:inline>
        </w:drawing>
      </w:r>
      <w:r w:rsidR="00451E80" w:rsidRPr="0007572B">
        <w:rPr>
          <w:rFonts w:ascii="Arial" w:hAnsi="Arial" w:cs="Arial"/>
        </w:rPr>
        <w:t xml:space="preserve"> </w:t>
      </w:r>
      <w:r w:rsidR="00285F28" w:rsidRPr="00285F28">
        <w:rPr>
          <w:rFonts w:ascii="Arial" w:hAnsi="Arial" w:cs="Arial"/>
        </w:rPr>
        <w:t xml:space="preserve"> </w:t>
      </w:r>
    </w:p>
    <w:p w14:paraId="5358CC8F" w14:textId="46FAC03A" w:rsidR="003109CE" w:rsidRPr="0007572B" w:rsidRDefault="003109CE" w:rsidP="0038082E">
      <w:pPr>
        <w:rPr>
          <w:rFonts w:ascii="Arial" w:hAnsi="Arial" w:cs="Arial"/>
        </w:rPr>
      </w:pPr>
    </w:p>
    <w:p w14:paraId="0C4111E1" w14:textId="77777777" w:rsidR="00CE020E" w:rsidRPr="0007572B" w:rsidRDefault="00CE020E" w:rsidP="0038082E">
      <w:pPr>
        <w:pStyle w:val="Heading4bold"/>
      </w:pPr>
      <w:r w:rsidRPr="0007572B">
        <w:t>Central Government Grant Subsidy</w:t>
      </w:r>
    </w:p>
    <w:p w14:paraId="3757ABFF" w14:textId="535554A5" w:rsidR="00CE020E" w:rsidRDefault="00CE020E" w:rsidP="0038082E">
      <w:pPr>
        <w:rPr>
          <w:rFonts w:ascii="Arial" w:hAnsi="Arial" w:cs="Arial"/>
        </w:rPr>
      </w:pPr>
      <w:r w:rsidRPr="0007572B">
        <w:rPr>
          <w:rFonts w:ascii="Arial" w:hAnsi="Arial" w:cs="Arial"/>
        </w:rPr>
        <w:t>The grant received in the form of Central Government Subsidy to partly offset the cost of each PFI is credited to revenue accounts in the year of receipt.</w:t>
      </w:r>
    </w:p>
    <w:p w14:paraId="0B9D0F18" w14:textId="77777777" w:rsidR="00D4492C" w:rsidRPr="0007572B" w:rsidRDefault="00D4492C" w:rsidP="0038082E">
      <w:pPr>
        <w:rPr>
          <w:rFonts w:ascii="Arial" w:hAnsi="Arial" w:cs="Arial"/>
        </w:rPr>
      </w:pPr>
    </w:p>
    <w:p w14:paraId="49D5E234" w14:textId="210F4E78" w:rsidR="00CE020E" w:rsidRPr="0007572B" w:rsidRDefault="00CE020E" w:rsidP="0038082E">
      <w:pPr>
        <w:pStyle w:val="Heading4bold"/>
      </w:pPr>
      <w:r w:rsidRPr="0007572B">
        <w:t>Payments due under the PFI Contracts</w:t>
      </w:r>
    </w:p>
    <w:p w14:paraId="4C3B4DE3" w14:textId="77777777" w:rsidR="00285F28" w:rsidRPr="00285F28" w:rsidRDefault="00285F28" w:rsidP="00285F28">
      <w:pPr>
        <w:autoSpaceDE w:val="0"/>
        <w:autoSpaceDN w:val="0"/>
        <w:adjustRightInd w:val="0"/>
        <w:rPr>
          <w:rFonts w:ascii="Arial" w:hAnsi="Arial" w:cs="Arial"/>
        </w:rPr>
      </w:pPr>
      <w:r w:rsidRPr="00285F28">
        <w:rPr>
          <w:rFonts w:ascii="Arial" w:hAnsi="Arial" w:cs="Arial"/>
        </w:rPr>
        <w:t xml:space="preserve">The Authority makes monthly payments which comprise of a service charge, a repayment of liability and interest charge, a payment in respect of business rates and a payment to provide for lifecycle replacement costs (known as the 'Sinking Fund'). The payments into the sinking fund are treated initially as a prepayment by the Authority. The Service Provider throughout the contractual term will utilise the sinking fund for the repair and replacement of the premises, and fixture and fittings with the consent of the Authority. All payments made, other than the liability and interest charge, are subject to annual inflation increases and can be reduced if the contractor fails to meet availability and performance standards in any year. The Authority on behalf of the Mayor has the right to terminate the contact only if the contractor is compensated in full for costs incurred and lost future profits. </w:t>
      </w:r>
    </w:p>
    <w:p w14:paraId="0313433A" w14:textId="77777777" w:rsidR="00CE020E" w:rsidRPr="0007572B" w:rsidRDefault="00CE020E" w:rsidP="0038082E">
      <w:pPr>
        <w:rPr>
          <w:rFonts w:ascii="Arial" w:hAnsi="Arial" w:cs="Arial"/>
        </w:rPr>
      </w:pPr>
    </w:p>
    <w:p w14:paraId="1506BE65" w14:textId="49E2C5CA" w:rsidR="00CE020E" w:rsidRDefault="00CE020E" w:rsidP="0038082E">
      <w:pPr>
        <w:rPr>
          <w:rFonts w:ascii="Arial" w:hAnsi="Arial" w:cs="Arial"/>
        </w:rPr>
      </w:pPr>
      <w:r w:rsidRPr="0007572B">
        <w:rPr>
          <w:rFonts w:ascii="Arial" w:hAnsi="Arial" w:cs="Arial"/>
        </w:rPr>
        <w:t>Future payments remaining to be made under the contracts (including an estimate of future inflation) are as follows:</w:t>
      </w:r>
    </w:p>
    <w:p w14:paraId="1BCA9FE4" w14:textId="4764A892" w:rsidR="00B141F0" w:rsidRDefault="00B141F0" w:rsidP="0038082E">
      <w:pPr>
        <w:rPr>
          <w:rFonts w:ascii="Arial" w:hAnsi="Arial" w:cs="Arial"/>
        </w:rPr>
      </w:pPr>
    </w:p>
    <w:p w14:paraId="7BA3D276" w14:textId="6F22CB58" w:rsidR="00B141F0" w:rsidRPr="0007572B" w:rsidRDefault="00EB27EB" w:rsidP="0038082E">
      <w:pPr>
        <w:rPr>
          <w:rFonts w:ascii="Arial" w:hAnsi="Arial" w:cs="Arial"/>
        </w:rPr>
      </w:pPr>
      <w:r w:rsidRPr="00EB27EB">
        <w:rPr>
          <w:noProof/>
        </w:rPr>
        <w:drawing>
          <wp:inline distT="0" distB="0" distL="0" distR="0" wp14:anchorId="49F6826F" wp14:editId="18CF98BA">
            <wp:extent cx="5470525" cy="22898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470525" cy="2289810"/>
                    </a:xfrm>
                    <a:prstGeom prst="rect">
                      <a:avLst/>
                    </a:prstGeom>
                    <a:noFill/>
                    <a:ln>
                      <a:noFill/>
                    </a:ln>
                  </pic:spPr>
                </pic:pic>
              </a:graphicData>
            </a:graphic>
          </wp:inline>
        </w:drawing>
      </w:r>
    </w:p>
    <w:p w14:paraId="55406CFD" w14:textId="4C631265" w:rsidR="0038082E" w:rsidRDefault="0038082E" w:rsidP="0038082E">
      <w:pPr>
        <w:rPr>
          <w:rFonts w:ascii="Arial" w:hAnsi="Arial" w:cs="Arial"/>
          <w:b/>
          <w:sz w:val="22"/>
          <w:szCs w:val="22"/>
        </w:rPr>
      </w:pPr>
    </w:p>
    <w:p w14:paraId="0FC59B83" w14:textId="24DFDC84" w:rsidR="00EB27EB" w:rsidRDefault="00EB27EB">
      <w:pPr>
        <w:rPr>
          <w:rFonts w:ascii="Arial" w:hAnsi="Arial" w:cs="Arial"/>
          <w:b/>
          <w:sz w:val="22"/>
          <w:szCs w:val="22"/>
        </w:rPr>
      </w:pPr>
      <w:r>
        <w:rPr>
          <w:rFonts w:ascii="Arial" w:hAnsi="Arial" w:cs="Arial"/>
          <w:b/>
          <w:sz w:val="22"/>
          <w:szCs w:val="22"/>
        </w:rPr>
        <w:br w:type="page"/>
      </w:r>
    </w:p>
    <w:p w14:paraId="3B1B7D02" w14:textId="2274B09C" w:rsidR="00457D76" w:rsidRDefault="00EB27EB" w:rsidP="0038082E">
      <w:pPr>
        <w:rPr>
          <w:rFonts w:ascii="Arial" w:hAnsi="Arial" w:cs="Arial"/>
          <w:b/>
          <w:sz w:val="22"/>
          <w:szCs w:val="22"/>
        </w:rPr>
      </w:pPr>
      <w:r w:rsidRPr="00EB27EB">
        <w:rPr>
          <w:noProof/>
        </w:rPr>
        <w:lastRenderedPageBreak/>
        <w:drawing>
          <wp:inline distT="0" distB="0" distL="0" distR="0" wp14:anchorId="02ACF584" wp14:editId="23F30B40">
            <wp:extent cx="5470525" cy="1025525"/>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470525" cy="1025525"/>
                    </a:xfrm>
                    <a:prstGeom prst="rect">
                      <a:avLst/>
                    </a:prstGeom>
                    <a:noFill/>
                    <a:ln>
                      <a:noFill/>
                    </a:ln>
                  </pic:spPr>
                </pic:pic>
              </a:graphicData>
            </a:graphic>
          </wp:inline>
        </w:drawing>
      </w:r>
    </w:p>
    <w:p w14:paraId="71A82018" w14:textId="5338BBD8" w:rsidR="00EB27EB" w:rsidRDefault="00EB27EB" w:rsidP="0038082E">
      <w:pPr>
        <w:rPr>
          <w:rFonts w:ascii="Arial" w:hAnsi="Arial" w:cs="Arial"/>
          <w:b/>
          <w:sz w:val="22"/>
          <w:szCs w:val="22"/>
        </w:rPr>
      </w:pPr>
    </w:p>
    <w:p w14:paraId="428B323F" w14:textId="77777777" w:rsidR="00EB27EB" w:rsidRPr="0007572B" w:rsidRDefault="00EB27EB" w:rsidP="0038082E">
      <w:pPr>
        <w:rPr>
          <w:rFonts w:ascii="Arial" w:hAnsi="Arial" w:cs="Arial"/>
          <w:b/>
          <w:sz w:val="22"/>
          <w:szCs w:val="22"/>
        </w:rPr>
      </w:pPr>
    </w:p>
    <w:p w14:paraId="230D87D2" w14:textId="490B9EFF" w:rsidR="00CE6A00" w:rsidRPr="0007572B" w:rsidRDefault="00884440" w:rsidP="0038082E">
      <w:pPr>
        <w:pStyle w:val="Heading3greennumbered"/>
      </w:pPr>
      <w:bookmarkStart w:id="168" w:name="_Toc92894899"/>
      <w:bookmarkStart w:id="169" w:name="_Toc92895203"/>
      <w:bookmarkStart w:id="170" w:name="_Toc109922637"/>
      <w:r w:rsidRPr="0007572B">
        <w:t>2</w:t>
      </w:r>
      <w:r w:rsidR="00D27132" w:rsidRPr="0007572B">
        <w:t>7</w:t>
      </w:r>
      <w:r w:rsidR="00CE6A00" w:rsidRPr="0007572B">
        <w:t xml:space="preserve"> Short and Long Term Deferred Liabilities</w:t>
      </w:r>
      <w:bookmarkEnd w:id="168"/>
      <w:bookmarkEnd w:id="169"/>
      <w:bookmarkEnd w:id="170"/>
    </w:p>
    <w:p w14:paraId="1D0AE597" w14:textId="77777777" w:rsidR="00D4492C" w:rsidRDefault="00D4492C" w:rsidP="0038082E">
      <w:pPr>
        <w:rPr>
          <w:rFonts w:ascii="Arial" w:hAnsi="Arial" w:cs="Arial"/>
        </w:rPr>
      </w:pPr>
    </w:p>
    <w:p w14:paraId="464EB2F1" w14:textId="2358B455" w:rsidR="002E22CF" w:rsidRPr="0007572B" w:rsidRDefault="00CE6A00" w:rsidP="0038082E">
      <w:pPr>
        <w:rPr>
          <w:rFonts w:ascii="Arial" w:hAnsi="Arial" w:cs="Arial"/>
        </w:rPr>
      </w:pPr>
      <w:r w:rsidRPr="0007572B">
        <w:rPr>
          <w:rFonts w:ascii="Arial" w:hAnsi="Arial" w:cs="Arial"/>
        </w:rPr>
        <w:t xml:space="preserve">This debt was created on 1 April 1986 </w:t>
      </w:r>
      <w:r w:rsidR="00E8112E" w:rsidRPr="0007572B">
        <w:rPr>
          <w:rFonts w:ascii="Arial" w:hAnsi="Arial" w:cs="Arial"/>
        </w:rPr>
        <w:t xml:space="preserve">when Greater Manchester Council was abolished and its debt was shared between </w:t>
      </w:r>
      <w:r w:rsidR="003B62A8" w:rsidRPr="0007572B">
        <w:rPr>
          <w:rFonts w:ascii="Arial" w:hAnsi="Arial" w:cs="Arial"/>
        </w:rPr>
        <w:t xml:space="preserve">the ten GM </w:t>
      </w:r>
      <w:r w:rsidR="002952F9" w:rsidRPr="0007572B">
        <w:rPr>
          <w:rFonts w:ascii="Arial" w:hAnsi="Arial" w:cs="Arial"/>
        </w:rPr>
        <w:t>Authorities</w:t>
      </w:r>
      <w:r w:rsidR="003B62A8" w:rsidRPr="0007572B">
        <w:rPr>
          <w:rFonts w:ascii="Arial" w:hAnsi="Arial" w:cs="Arial"/>
        </w:rPr>
        <w:t xml:space="preserve">, </w:t>
      </w:r>
      <w:r w:rsidR="002E22CF" w:rsidRPr="0007572B">
        <w:rPr>
          <w:rFonts w:ascii="Arial" w:hAnsi="Arial" w:cs="Arial"/>
        </w:rPr>
        <w:t xml:space="preserve">the </w:t>
      </w:r>
      <w:r w:rsidR="003B62A8" w:rsidRPr="0007572B">
        <w:rPr>
          <w:rFonts w:ascii="Arial" w:hAnsi="Arial" w:cs="Arial"/>
        </w:rPr>
        <w:t>Police</w:t>
      </w:r>
      <w:r w:rsidR="002E22CF" w:rsidRPr="0007572B">
        <w:rPr>
          <w:rFonts w:ascii="Arial" w:hAnsi="Arial" w:cs="Arial"/>
        </w:rPr>
        <w:t xml:space="preserve"> Authority</w:t>
      </w:r>
      <w:r w:rsidR="003B62A8" w:rsidRPr="0007572B">
        <w:rPr>
          <w:rFonts w:ascii="Arial" w:hAnsi="Arial" w:cs="Arial"/>
        </w:rPr>
        <w:t xml:space="preserve">, </w:t>
      </w:r>
      <w:r w:rsidR="002E22CF" w:rsidRPr="0007572B">
        <w:rPr>
          <w:rFonts w:ascii="Arial" w:hAnsi="Arial" w:cs="Arial"/>
        </w:rPr>
        <w:t xml:space="preserve">the </w:t>
      </w:r>
      <w:r w:rsidR="003B62A8" w:rsidRPr="0007572B">
        <w:rPr>
          <w:rFonts w:ascii="Arial" w:hAnsi="Arial" w:cs="Arial"/>
        </w:rPr>
        <w:t xml:space="preserve">Fire </w:t>
      </w:r>
      <w:r w:rsidR="002E22CF" w:rsidRPr="0007572B">
        <w:rPr>
          <w:rFonts w:ascii="Arial" w:hAnsi="Arial" w:cs="Arial"/>
        </w:rPr>
        <w:t>Authority</w:t>
      </w:r>
      <w:r w:rsidR="00261260" w:rsidRPr="0007572B">
        <w:rPr>
          <w:rFonts w:ascii="Arial" w:hAnsi="Arial" w:cs="Arial"/>
        </w:rPr>
        <w:t xml:space="preserve">, </w:t>
      </w:r>
      <w:r w:rsidR="000560AF" w:rsidRPr="0007572B">
        <w:rPr>
          <w:rFonts w:ascii="Arial" w:hAnsi="Arial" w:cs="Arial"/>
        </w:rPr>
        <w:t>GMWDA</w:t>
      </w:r>
      <w:r w:rsidR="002E22CF" w:rsidRPr="0007572B">
        <w:rPr>
          <w:rFonts w:ascii="Arial" w:hAnsi="Arial" w:cs="Arial"/>
        </w:rPr>
        <w:t xml:space="preserve"> </w:t>
      </w:r>
      <w:r w:rsidR="003B62A8" w:rsidRPr="0007572B">
        <w:rPr>
          <w:rFonts w:ascii="Arial" w:hAnsi="Arial" w:cs="Arial"/>
        </w:rPr>
        <w:t>and G</w:t>
      </w:r>
      <w:r w:rsidR="002E22CF" w:rsidRPr="0007572B">
        <w:rPr>
          <w:rFonts w:ascii="Arial" w:hAnsi="Arial" w:cs="Arial"/>
        </w:rPr>
        <w:t xml:space="preserve">reater </w:t>
      </w:r>
      <w:r w:rsidR="003B62A8" w:rsidRPr="0007572B">
        <w:rPr>
          <w:rFonts w:ascii="Arial" w:hAnsi="Arial" w:cs="Arial"/>
        </w:rPr>
        <w:t>M</w:t>
      </w:r>
      <w:r w:rsidR="002E22CF" w:rsidRPr="0007572B">
        <w:rPr>
          <w:rFonts w:ascii="Arial" w:hAnsi="Arial" w:cs="Arial"/>
        </w:rPr>
        <w:t>anchester</w:t>
      </w:r>
      <w:r w:rsidR="003B62A8" w:rsidRPr="0007572B">
        <w:rPr>
          <w:rFonts w:ascii="Arial" w:hAnsi="Arial" w:cs="Arial"/>
        </w:rPr>
        <w:t xml:space="preserve"> Transport.</w:t>
      </w:r>
    </w:p>
    <w:p w14:paraId="54339926" w14:textId="77777777" w:rsidR="002E22CF" w:rsidRPr="0007572B" w:rsidRDefault="002E22CF" w:rsidP="0038082E">
      <w:pPr>
        <w:rPr>
          <w:rFonts w:ascii="Arial" w:hAnsi="Arial" w:cs="Arial"/>
        </w:rPr>
      </w:pPr>
    </w:p>
    <w:p w14:paraId="0BDF986C" w14:textId="2F1FC68A" w:rsidR="00261260" w:rsidRDefault="002E22CF" w:rsidP="0038082E">
      <w:pPr>
        <w:rPr>
          <w:rFonts w:ascii="Arial" w:hAnsi="Arial" w:cs="Arial"/>
        </w:rPr>
      </w:pPr>
      <w:r w:rsidRPr="0007572B">
        <w:rPr>
          <w:rFonts w:ascii="Arial" w:hAnsi="Arial" w:cs="Arial"/>
        </w:rPr>
        <w:t>The debt is</w:t>
      </w:r>
      <w:r w:rsidR="00CE6A00" w:rsidRPr="0007572B">
        <w:rPr>
          <w:rFonts w:ascii="Arial" w:hAnsi="Arial" w:cs="Arial"/>
        </w:rPr>
        <w:t xml:space="preserve"> being repaid annually on an annuity basis over the 36 years to 31 March 2022.</w:t>
      </w:r>
    </w:p>
    <w:p w14:paraId="7110724C" w14:textId="1EFDC978" w:rsidR="007C0CAE" w:rsidRDefault="007C0CAE" w:rsidP="0038082E">
      <w:pPr>
        <w:rPr>
          <w:rFonts w:ascii="Arial" w:hAnsi="Arial" w:cs="Arial"/>
        </w:rPr>
      </w:pPr>
    </w:p>
    <w:p w14:paraId="0926BDD0" w14:textId="61087D88" w:rsidR="007C0CAE" w:rsidRPr="004A167F" w:rsidRDefault="00457D76" w:rsidP="0038082E">
      <w:pPr>
        <w:rPr>
          <w:rFonts w:ascii="Arial" w:hAnsi="Arial" w:cs="Arial"/>
        </w:rPr>
      </w:pPr>
      <w:r w:rsidRPr="00457D76">
        <w:rPr>
          <w:noProof/>
        </w:rPr>
        <w:drawing>
          <wp:inline distT="0" distB="0" distL="0" distR="0" wp14:anchorId="57B16A32" wp14:editId="2E0716F5">
            <wp:extent cx="5052060" cy="116332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052060" cy="1163320"/>
                    </a:xfrm>
                    <a:prstGeom prst="rect">
                      <a:avLst/>
                    </a:prstGeom>
                    <a:noFill/>
                    <a:ln>
                      <a:noFill/>
                    </a:ln>
                  </pic:spPr>
                </pic:pic>
              </a:graphicData>
            </a:graphic>
          </wp:inline>
        </w:drawing>
      </w:r>
    </w:p>
    <w:p w14:paraId="1BE70C40" w14:textId="1DC4C404" w:rsidR="00E76D50" w:rsidRPr="0007572B" w:rsidRDefault="00451E80" w:rsidP="0038082E">
      <w:pPr>
        <w:jc w:val="both"/>
        <w:rPr>
          <w:rFonts w:ascii="Arial" w:hAnsi="Arial" w:cs="Arial"/>
          <w:b/>
          <w:sz w:val="22"/>
          <w:szCs w:val="22"/>
        </w:rPr>
      </w:pPr>
      <w:r w:rsidRPr="0007572B">
        <w:rPr>
          <w:rFonts w:ascii="Arial" w:hAnsi="Arial" w:cs="Arial"/>
          <w:sz w:val="22"/>
          <w:szCs w:val="22"/>
        </w:rPr>
        <w:t xml:space="preserve"> </w:t>
      </w:r>
    </w:p>
    <w:p w14:paraId="35B50EE0" w14:textId="77777777" w:rsidR="00E76D50" w:rsidRPr="0007572B" w:rsidRDefault="00E76D50" w:rsidP="0038082E">
      <w:pPr>
        <w:jc w:val="both"/>
        <w:rPr>
          <w:rFonts w:ascii="Arial" w:hAnsi="Arial" w:cs="Arial"/>
          <w:b/>
          <w:sz w:val="22"/>
          <w:szCs w:val="22"/>
        </w:rPr>
      </w:pPr>
    </w:p>
    <w:p w14:paraId="689A22A1" w14:textId="1E3B1556" w:rsidR="007C0CAE" w:rsidRPr="0007572B" w:rsidRDefault="00884440" w:rsidP="0038082E">
      <w:pPr>
        <w:pStyle w:val="Heading3greennumbered"/>
      </w:pPr>
      <w:bookmarkStart w:id="171" w:name="_Toc92894900"/>
      <w:bookmarkStart w:id="172" w:name="_Toc92895204"/>
      <w:bookmarkStart w:id="173" w:name="_Toc109922638"/>
      <w:r w:rsidRPr="0007572B">
        <w:t>2</w:t>
      </w:r>
      <w:r w:rsidR="00D27132" w:rsidRPr="0007572B">
        <w:t>8</w:t>
      </w:r>
      <w:r w:rsidR="00CE6A00" w:rsidRPr="0007572B">
        <w:t xml:space="preserve"> Unusable Reserves</w:t>
      </w:r>
      <w:bookmarkEnd w:id="171"/>
      <w:bookmarkEnd w:id="172"/>
      <w:bookmarkEnd w:id="173"/>
    </w:p>
    <w:p w14:paraId="3288E6B4" w14:textId="15B88737" w:rsidR="00261260" w:rsidRDefault="00261260" w:rsidP="0038082E">
      <w:pPr>
        <w:jc w:val="both"/>
        <w:rPr>
          <w:rFonts w:ascii="Arial" w:hAnsi="Arial" w:cs="Arial"/>
          <w:b/>
          <w:sz w:val="22"/>
          <w:szCs w:val="22"/>
        </w:rPr>
      </w:pPr>
    </w:p>
    <w:p w14:paraId="63281063" w14:textId="717562AC" w:rsidR="007C0CAE" w:rsidRDefault="00457D76" w:rsidP="0038082E">
      <w:pPr>
        <w:jc w:val="both"/>
        <w:rPr>
          <w:rFonts w:ascii="Arial" w:hAnsi="Arial" w:cs="Arial"/>
          <w:b/>
          <w:sz w:val="22"/>
          <w:szCs w:val="22"/>
        </w:rPr>
      </w:pPr>
      <w:r w:rsidRPr="00457D76">
        <w:rPr>
          <w:noProof/>
        </w:rPr>
        <w:drawing>
          <wp:inline distT="0" distB="0" distL="0" distR="0" wp14:anchorId="21A79904" wp14:editId="1078482B">
            <wp:extent cx="5393690" cy="152781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393690" cy="1527810"/>
                    </a:xfrm>
                    <a:prstGeom prst="rect">
                      <a:avLst/>
                    </a:prstGeom>
                    <a:noFill/>
                    <a:ln>
                      <a:noFill/>
                    </a:ln>
                  </pic:spPr>
                </pic:pic>
              </a:graphicData>
            </a:graphic>
          </wp:inline>
        </w:drawing>
      </w:r>
    </w:p>
    <w:p w14:paraId="48508093" w14:textId="3D41184F" w:rsidR="00C50B58" w:rsidRPr="0007572B" w:rsidRDefault="00C50B58" w:rsidP="0038082E">
      <w:pPr>
        <w:rPr>
          <w:rFonts w:ascii="Arial" w:hAnsi="Arial" w:cs="Arial"/>
          <w:b/>
        </w:rPr>
      </w:pPr>
    </w:p>
    <w:p w14:paraId="2431EBE6" w14:textId="1D77A6DE" w:rsidR="007C45E2" w:rsidRPr="0007572B" w:rsidRDefault="00CE6A00" w:rsidP="0038082E">
      <w:pPr>
        <w:rPr>
          <w:rFonts w:ascii="Arial" w:hAnsi="Arial" w:cs="Arial"/>
        </w:rPr>
      </w:pPr>
      <w:r w:rsidRPr="0007572B">
        <w:rPr>
          <w:rFonts w:ascii="Arial" w:hAnsi="Arial" w:cs="Arial"/>
          <w:b/>
        </w:rPr>
        <w:t xml:space="preserve">The Capital Adjustment Account </w:t>
      </w:r>
      <w:r w:rsidR="00923E34" w:rsidRPr="0007572B">
        <w:rPr>
          <w:rFonts w:ascii="Arial" w:hAnsi="Arial" w:cs="Arial"/>
          <w:b/>
        </w:rPr>
        <w:t>(CAA)</w:t>
      </w:r>
      <w:r w:rsidR="00923E34" w:rsidRPr="0007572B">
        <w:rPr>
          <w:rFonts w:ascii="Arial" w:hAnsi="Arial" w:cs="Arial"/>
        </w:rPr>
        <w:t xml:space="preserve"> </w:t>
      </w:r>
      <w:r w:rsidRPr="0007572B">
        <w:rPr>
          <w:rFonts w:ascii="Arial" w:hAnsi="Arial" w:cs="Arial"/>
        </w:rPr>
        <w:t xml:space="preserve">absorbs the timing differences arising from the different arrangements for accounting for the consumption of non-current assets and for financing the acquisition, construction or enhancement of those assets under statutory provisions. </w:t>
      </w:r>
    </w:p>
    <w:p w14:paraId="2A339559" w14:textId="77777777" w:rsidR="007C45E2" w:rsidRPr="0007572B" w:rsidRDefault="007C45E2" w:rsidP="0038082E">
      <w:pPr>
        <w:jc w:val="both"/>
        <w:rPr>
          <w:rFonts w:ascii="Arial" w:hAnsi="Arial" w:cs="Arial"/>
        </w:rPr>
      </w:pPr>
    </w:p>
    <w:p w14:paraId="17F5330D" w14:textId="054E555C" w:rsidR="00CE6A00" w:rsidRPr="0007572B" w:rsidRDefault="00CE6A00" w:rsidP="0038082E">
      <w:pPr>
        <w:rPr>
          <w:rFonts w:ascii="Arial" w:hAnsi="Arial" w:cs="Arial"/>
        </w:rPr>
      </w:pPr>
      <w:r w:rsidRPr="0007572B">
        <w:rPr>
          <w:rFonts w:ascii="Arial" w:hAnsi="Arial" w:cs="Arial"/>
        </w:rPr>
        <w:t xml:space="preserve">The </w:t>
      </w:r>
      <w:r w:rsidR="00923E34" w:rsidRPr="0007572B">
        <w:rPr>
          <w:rFonts w:ascii="Arial" w:hAnsi="Arial" w:cs="Arial"/>
        </w:rPr>
        <w:t>CAA</w:t>
      </w:r>
      <w:r w:rsidRPr="0007572B">
        <w:rPr>
          <w:rFonts w:ascii="Arial" w:hAnsi="Arial" w:cs="Arial"/>
        </w:rPr>
        <w:t xml:space="preserve"> is debited with the cost of the capital grants payable to TfGM</w:t>
      </w:r>
      <w:r w:rsidR="00923E34" w:rsidRPr="0007572B">
        <w:rPr>
          <w:rFonts w:ascii="Arial" w:hAnsi="Arial" w:cs="Arial"/>
        </w:rPr>
        <w:t>,</w:t>
      </w:r>
      <w:r w:rsidRPr="0007572B">
        <w:rPr>
          <w:rFonts w:ascii="Arial" w:hAnsi="Arial" w:cs="Arial"/>
        </w:rPr>
        <w:t xml:space="preserve"> </w:t>
      </w:r>
      <w:r w:rsidR="002952F9" w:rsidRPr="0007572B">
        <w:rPr>
          <w:rFonts w:ascii="Arial" w:hAnsi="Arial" w:cs="Arial"/>
        </w:rPr>
        <w:t>GM Authorities</w:t>
      </w:r>
      <w:r w:rsidR="007C45E2" w:rsidRPr="0007572B">
        <w:rPr>
          <w:rFonts w:ascii="Arial" w:hAnsi="Arial" w:cs="Arial"/>
        </w:rPr>
        <w:t xml:space="preserve"> and other external organisations</w:t>
      </w:r>
      <w:r w:rsidR="00923E34" w:rsidRPr="0007572B">
        <w:rPr>
          <w:rFonts w:ascii="Arial" w:hAnsi="Arial" w:cs="Arial"/>
        </w:rPr>
        <w:t>,</w:t>
      </w:r>
      <w:r w:rsidRPr="0007572B">
        <w:rPr>
          <w:rFonts w:ascii="Arial" w:hAnsi="Arial" w:cs="Arial"/>
        </w:rPr>
        <w:t xml:space="preserve"> </w:t>
      </w:r>
      <w:r w:rsidR="007C45E2" w:rsidRPr="0007572B">
        <w:rPr>
          <w:rFonts w:ascii="Arial" w:hAnsi="Arial" w:cs="Arial"/>
        </w:rPr>
        <w:t>t</w:t>
      </w:r>
      <w:r w:rsidRPr="0007572B">
        <w:rPr>
          <w:rFonts w:ascii="Arial" w:hAnsi="Arial" w:cs="Arial"/>
        </w:rPr>
        <w:t xml:space="preserve">he annual depreciation charge and </w:t>
      </w:r>
      <w:r w:rsidR="00923E34" w:rsidRPr="0007572B">
        <w:rPr>
          <w:rFonts w:ascii="Arial" w:hAnsi="Arial" w:cs="Arial"/>
        </w:rPr>
        <w:t xml:space="preserve">any </w:t>
      </w:r>
      <w:r w:rsidRPr="0007572B">
        <w:rPr>
          <w:rFonts w:ascii="Arial" w:hAnsi="Arial" w:cs="Arial"/>
        </w:rPr>
        <w:t>los</w:t>
      </w:r>
      <w:r w:rsidR="007C45E2" w:rsidRPr="0007572B">
        <w:rPr>
          <w:rFonts w:ascii="Arial" w:hAnsi="Arial" w:cs="Arial"/>
        </w:rPr>
        <w:t>s on disposal of assets</w:t>
      </w:r>
      <w:r w:rsidR="00923E34" w:rsidRPr="0007572B">
        <w:rPr>
          <w:rFonts w:ascii="Arial" w:hAnsi="Arial" w:cs="Arial"/>
        </w:rPr>
        <w:t>. The CAA is</w:t>
      </w:r>
      <w:r w:rsidRPr="0007572B">
        <w:rPr>
          <w:rFonts w:ascii="Arial" w:hAnsi="Arial" w:cs="Arial"/>
        </w:rPr>
        <w:t xml:space="preserve"> credited with both the capital grants and contributions receivable and the amounts set aside by the Authority </w:t>
      </w:r>
      <w:r w:rsidR="00923E34" w:rsidRPr="0007572B">
        <w:rPr>
          <w:rFonts w:ascii="Arial" w:hAnsi="Arial" w:cs="Arial"/>
        </w:rPr>
        <w:t xml:space="preserve">to </w:t>
      </w:r>
      <w:r w:rsidR="00DA086E" w:rsidRPr="0007572B">
        <w:rPr>
          <w:rFonts w:ascii="Arial" w:hAnsi="Arial" w:cs="Arial"/>
        </w:rPr>
        <w:t xml:space="preserve">directly </w:t>
      </w:r>
      <w:r w:rsidRPr="0007572B">
        <w:rPr>
          <w:rFonts w:ascii="Arial" w:hAnsi="Arial" w:cs="Arial"/>
        </w:rPr>
        <w:t xml:space="preserve">finance </w:t>
      </w:r>
      <w:r w:rsidR="00FF27DD" w:rsidRPr="0007572B">
        <w:rPr>
          <w:rFonts w:ascii="Arial" w:hAnsi="Arial" w:cs="Arial"/>
        </w:rPr>
        <w:t xml:space="preserve">the </w:t>
      </w:r>
      <w:r w:rsidR="00DA086E" w:rsidRPr="0007572B">
        <w:rPr>
          <w:rFonts w:ascii="Arial" w:hAnsi="Arial" w:cs="Arial"/>
        </w:rPr>
        <w:t>capital</w:t>
      </w:r>
      <w:r w:rsidRPr="0007572B">
        <w:rPr>
          <w:rFonts w:ascii="Arial" w:hAnsi="Arial" w:cs="Arial"/>
        </w:rPr>
        <w:t xml:space="preserve"> costs of acquisition, construction and enhancement</w:t>
      </w:r>
      <w:r w:rsidR="007C45E2" w:rsidRPr="0007572B">
        <w:rPr>
          <w:rFonts w:ascii="Arial" w:hAnsi="Arial" w:cs="Arial"/>
        </w:rPr>
        <w:t xml:space="preserve"> of assets</w:t>
      </w:r>
      <w:r w:rsidRPr="0007572B">
        <w:rPr>
          <w:rFonts w:ascii="Arial" w:hAnsi="Arial" w:cs="Arial"/>
        </w:rPr>
        <w:t>.</w:t>
      </w:r>
    </w:p>
    <w:p w14:paraId="10693D56" w14:textId="7AA05E46" w:rsidR="0069432D" w:rsidRPr="0007572B" w:rsidRDefault="0069432D" w:rsidP="0038082E">
      <w:pPr>
        <w:rPr>
          <w:rFonts w:ascii="Arial" w:hAnsi="Arial" w:cs="Arial"/>
          <w:b/>
          <w:sz w:val="22"/>
          <w:szCs w:val="22"/>
        </w:rPr>
      </w:pPr>
    </w:p>
    <w:p w14:paraId="4531D042" w14:textId="5BBFBEB6" w:rsidR="00451E80" w:rsidRPr="0007572B" w:rsidRDefault="00457D76" w:rsidP="0038082E">
      <w:pPr>
        <w:rPr>
          <w:rFonts w:ascii="Arial" w:hAnsi="Arial" w:cs="Arial"/>
          <w:sz w:val="22"/>
          <w:szCs w:val="22"/>
        </w:rPr>
      </w:pPr>
      <w:r w:rsidRPr="00457D76">
        <w:rPr>
          <w:rFonts w:ascii="Arial" w:hAnsi="Arial" w:cs="Arial"/>
          <w:sz w:val="22"/>
          <w:szCs w:val="22"/>
        </w:rPr>
        <w:lastRenderedPageBreak/>
        <w:t xml:space="preserve"> </w:t>
      </w:r>
      <w:r w:rsidRPr="00457D76">
        <w:rPr>
          <w:noProof/>
        </w:rPr>
        <w:drawing>
          <wp:inline distT="0" distB="0" distL="0" distR="0" wp14:anchorId="5B6434B9" wp14:editId="1F9BE76E">
            <wp:extent cx="5975350" cy="3782060"/>
            <wp:effectExtent l="0" t="0" r="6350" b="889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975350" cy="3782060"/>
                    </a:xfrm>
                    <a:prstGeom prst="rect">
                      <a:avLst/>
                    </a:prstGeom>
                    <a:noFill/>
                    <a:ln>
                      <a:noFill/>
                    </a:ln>
                  </pic:spPr>
                </pic:pic>
              </a:graphicData>
            </a:graphic>
          </wp:inline>
        </w:drawing>
      </w:r>
    </w:p>
    <w:p w14:paraId="7B7BDA75" w14:textId="63BD21FE" w:rsidR="00596963" w:rsidRPr="0007572B" w:rsidRDefault="00596963" w:rsidP="0038082E">
      <w:pPr>
        <w:rPr>
          <w:rFonts w:ascii="Arial" w:hAnsi="Arial" w:cs="Arial"/>
          <w:b/>
        </w:rPr>
      </w:pPr>
    </w:p>
    <w:p w14:paraId="63D6000B" w14:textId="45CA4312" w:rsidR="00CE6A00" w:rsidRPr="0007572B" w:rsidRDefault="00CE6A00" w:rsidP="0038082E">
      <w:pPr>
        <w:rPr>
          <w:rFonts w:ascii="Arial" w:hAnsi="Arial" w:cs="Arial"/>
        </w:rPr>
      </w:pPr>
      <w:r w:rsidRPr="0007572B">
        <w:rPr>
          <w:rFonts w:ascii="Arial" w:hAnsi="Arial" w:cs="Arial"/>
          <w:b/>
        </w:rPr>
        <w:t>The Financial Instruments Adjustment Account</w:t>
      </w:r>
      <w:r w:rsidRPr="0007572B">
        <w:rPr>
          <w:rFonts w:ascii="Arial" w:hAnsi="Arial" w:cs="Arial"/>
        </w:rPr>
        <w:t xml:space="preserve"> absorbs the timing differences arising from the different arrangements for accounting for income and expenses relating to certain financial instruments and for bearing losses or benefiting from g</w:t>
      </w:r>
      <w:r w:rsidR="00DA086E" w:rsidRPr="0007572B">
        <w:rPr>
          <w:rFonts w:ascii="Arial" w:hAnsi="Arial" w:cs="Arial"/>
        </w:rPr>
        <w:t xml:space="preserve">ains per statutory provisions. </w:t>
      </w:r>
    </w:p>
    <w:p w14:paraId="23CC956B" w14:textId="77777777" w:rsidR="00261260" w:rsidRPr="0007572B" w:rsidRDefault="00261260" w:rsidP="0038082E">
      <w:pPr>
        <w:jc w:val="both"/>
        <w:rPr>
          <w:rFonts w:ascii="Arial" w:hAnsi="Arial" w:cs="Arial"/>
          <w:b/>
          <w:sz w:val="22"/>
          <w:szCs w:val="22"/>
        </w:rPr>
      </w:pPr>
    </w:p>
    <w:p w14:paraId="7A8CE12A" w14:textId="270FFCD0" w:rsidR="00D93FDB" w:rsidRPr="0007572B" w:rsidRDefault="00457D76" w:rsidP="0038082E">
      <w:pPr>
        <w:jc w:val="both"/>
        <w:rPr>
          <w:rFonts w:ascii="Arial" w:hAnsi="Arial" w:cs="Arial"/>
          <w:b/>
          <w:sz w:val="22"/>
          <w:szCs w:val="22"/>
        </w:rPr>
      </w:pPr>
      <w:r w:rsidRPr="00457D76">
        <w:rPr>
          <w:noProof/>
        </w:rPr>
        <w:drawing>
          <wp:inline distT="0" distB="0" distL="0" distR="0" wp14:anchorId="7A597D06" wp14:editId="43E79A1C">
            <wp:extent cx="5972810" cy="1649095"/>
            <wp:effectExtent l="0" t="0" r="8890" b="825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972810" cy="1649095"/>
                    </a:xfrm>
                    <a:prstGeom prst="rect">
                      <a:avLst/>
                    </a:prstGeom>
                    <a:noFill/>
                    <a:ln>
                      <a:noFill/>
                    </a:ln>
                  </pic:spPr>
                </pic:pic>
              </a:graphicData>
            </a:graphic>
          </wp:inline>
        </w:drawing>
      </w:r>
    </w:p>
    <w:p w14:paraId="3C1C96D0" w14:textId="77777777" w:rsidR="000B247E" w:rsidRPr="0007572B" w:rsidRDefault="000B247E" w:rsidP="0038082E">
      <w:pPr>
        <w:jc w:val="both"/>
        <w:rPr>
          <w:rFonts w:ascii="Arial" w:hAnsi="Arial" w:cs="Arial"/>
          <w:b/>
        </w:rPr>
      </w:pPr>
    </w:p>
    <w:p w14:paraId="131CFF7E" w14:textId="477C307A" w:rsidR="008E2CB8" w:rsidRPr="0007572B" w:rsidRDefault="008E2CB8" w:rsidP="0038082E">
      <w:pPr>
        <w:rPr>
          <w:rFonts w:ascii="Arial" w:hAnsi="Arial" w:cs="Arial"/>
        </w:rPr>
      </w:pPr>
      <w:r w:rsidRPr="0007572B">
        <w:rPr>
          <w:rFonts w:ascii="Arial" w:hAnsi="Arial" w:cs="Arial"/>
        </w:rPr>
        <w:t xml:space="preserve">The movement in year is due to the Authority being in receipt of two loans from central government that are interest free for the purposes of </w:t>
      </w:r>
      <w:r w:rsidR="009D4BF0" w:rsidRPr="0007572B">
        <w:rPr>
          <w:rFonts w:ascii="Arial" w:hAnsi="Arial" w:cs="Arial"/>
        </w:rPr>
        <w:t>HIF and City Deal</w:t>
      </w:r>
      <w:r w:rsidRPr="0007572B">
        <w:rPr>
          <w:rFonts w:ascii="Arial" w:hAnsi="Arial" w:cs="Arial"/>
        </w:rPr>
        <w:t>. In accordance with statutory accounting requirements an effective interest rate has been calculated to enable the value of the financial assistance being provided to the GMCA on a net present value basis to be separated from the financing costs of the loan.</w:t>
      </w:r>
    </w:p>
    <w:p w14:paraId="5A824908" w14:textId="77777777" w:rsidR="008E2CB8" w:rsidRPr="0007572B" w:rsidRDefault="008E2CB8" w:rsidP="0038082E">
      <w:pPr>
        <w:rPr>
          <w:rFonts w:ascii="Arial" w:hAnsi="Arial" w:cs="Arial"/>
        </w:rPr>
      </w:pPr>
    </w:p>
    <w:p w14:paraId="729F8F38" w14:textId="149962AB" w:rsidR="0043331B" w:rsidRPr="0007572B" w:rsidRDefault="008E2CB8" w:rsidP="0038082E">
      <w:pPr>
        <w:rPr>
          <w:rFonts w:ascii="Arial" w:hAnsi="Arial" w:cs="Arial"/>
        </w:rPr>
      </w:pPr>
      <w:r w:rsidRPr="0007572B">
        <w:rPr>
          <w:rFonts w:ascii="Arial" w:hAnsi="Arial" w:cs="Arial"/>
        </w:rPr>
        <w:t xml:space="preserve">The effect of this in the accounts is to discount the value of the loans received using an interest rate at which the Authority could borrow from the Public Works Loan Board for a loan with similar terms. This will result in a lower figure for the fair value of the loan when it is initially recognised as received but each year an element of the full fair value discount will be written back. Thereby increasing the loan value on the balance sheet </w:t>
      </w:r>
      <w:r w:rsidRPr="0007572B">
        <w:rPr>
          <w:rFonts w:ascii="Arial" w:hAnsi="Arial" w:cs="Arial"/>
        </w:rPr>
        <w:lastRenderedPageBreak/>
        <w:t>annually over the loan term. This will continue until the full loan value advanced is reflected in the balance sheet, which is the year repayment of the loan falls due.</w:t>
      </w:r>
    </w:p>
    <w:p w14:paraId="14C083A0" w14:textId="77777777" w:rsidR="008E2CB8" w:rsidRPr="0007572B" w:rsidRDefault="008E2CB8" w:rsidP="0038082E">
      <w:pPr>
        <w:rPr>
          <w:rFonts w:ascii="Arial" w:hAnsi="Arial" w:cs="Arial"/>
          <w:bCs/>
        </w:rPr>
      </w:pPr>
    </w:p>
    <w:p w14:paraId="0C6CF08E" w14:textId="1C212366" w:rsidR="007C45E2" w:rsidRDefault="00CE6A00" w:rsidP="0038082E">
      <w:pPr>
        <w:rPr>
          <w:rFonts w:ascii="Arial" w:hAnsi="Arial" w:cs="Arial"/>
        </w:rPr>
      </w:pPr>
      <w:r w:rsidRPr="0007572B">
        <w:rPr>
          <w:rFonts w:ascii="Arial" w:hAnsi="Arial" w:cs="Arial"/>
          <w:b/>
        </w:rPr>
        <w:t>The Pension Reserve</w:t>
      </w:r>
      <w:r w:rsidRPr="0007572B">
        <w:rPr>
          <w:rFonts w:ascii="Arial" w:hAnsi="Arial" w:cs="Arial"/>
        </w:rPr>
        <w:t xml:space="preserve"> relates to the net p</w:t>
      </w:r>
      <w:r w:rsidR="007C45E2" w:rsidRPr="0007572B">
        <w:rPr>
          <w:rFonts w:ascii="Arial" w:hAnsi="Arial" w:cs="Arial"/>
        </w:rPr>
        <w:t xml:space="preserve">ension asset as at 31 March </w:t>
      </w:r>
      <w:r w:rsidR="00502211">
        <w:rPr>
          <w:rFonts w:ascii="Arial" w:hAnsi="Arial" w:cs="Arial"/>
        </w:rPr>
        <w:t>2022</w:t>
      </w:r>
      <w:r w:rsidR="0043331B" w:rsidRPr="0007572B">
        <w:rPr>
          <w:rFonts w:ascii="Arial" w:hAnsi="Arial" w:cs="Arial"/>
        </w:rPr>
        <w:t xml:space="preserve"> </w:t>
      </w:r>
      <w:r w:rsidRPr="0007572B">
        <w:rPr>
          <w:rFonts w:ascii="Arial" w:hAnsi="Arial" w:cs="Arial"/>
        </w:rPr>
        <w:t>in accordance with the actuary's report.</w:t>
      </w:r>
    </w:p>
    <w:p w14:paraId="3E57B1F5" w14:textId="4552DCCB" w:rsidR="007C0CAE" w:rsidRDefault="007C0CAE" w:rsidP="0038082E">
      <w:pPr>
        <w:rPr>
          <w:rFonts w:ascii="Arial" w:hAnsi="Arial" w:cs="Arial"/>
        </w:rPr>
      </w:pPr>
    </w:p>
    <w:p w14:paraId="16ED3AF4" w14:textId="4BBA8174" w:rsidR="007C0CAE" w:rsidRPr="0007572B" w:rsidRDefault="00457D76" w:rsidP="0038082E">
      <w:pPr>
        <w:rPr>
          <w:rFonts w:ascii="Arial" w:hAnsi="Arial" w:cs="Arial"/>
        </w:rPr>
      </w:pPr>
      <w:r w:rsidRPr="00457D76">
        <w:rPr>
          <w:noProof/>
        </w:rPr>
        <w:drawing>
          <wp:inline distT="0" distB="0" distL="0" distR="0" wp14:anchorId="19635C89" wp14:editId="5D7EEAFA">
            <wp:extent cx="5975350" cy="1273175"/>
            <wp:effectExtent l="0" t="0" r="6350" b="317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975350" cy="1273175"/>
                    </a:xfrm>
                    <a:prstGeom prst="rect">
                      <a:avLst/>
                    </a:prstGeom>
                    <a:noFill/>
                    <a:ln>
                      <a:noFill/>
                    </a:ln>
                  </pic:spPr>
                </pic:pic>
              </a:graphicData>
            </a:graphic>
          </wp:inline>
        </w:drawing>
      </w:r>
    </w:p>
    <w:p w14:paraId="4A552511" w14:textId="77777777" w:rsidR="00261260" w:rsidRPr="0007572B" w:rsidRDefault="00261260" w:rsidP="0038082E">
      <w:pPr>
        <w:jc w:val="both"/>
        <w:rPr>
          <w:rFonts w:ascii="Arial" w:hAnsi="Arial" w:cs="Arial"/>
          <w:b/>
          <w:sz w:val="22"/>
          <w:szCs w:val="22"/>
        </w:rPr>
      </w:pPr>
    </w:p>
    <w:p w14:paraId="6183BFCC" w14:textId="5F657F2A" w:rsidR="00451E80" w:rsidRPr="0007572B" w:rsidRDefault="00451E80" w:rsidP="0038082E">
      <w:pPr>
        <w:jc w:val="both"/>
        <w:rPr>
          <w:rFonts w:ascii="Arial" w:hAnsi="Arial" w:cs="Arial"/>
          <w:sz w:val="22"/>
          <w:szCs w:val="22"/>
        </w:rPr>
      </w:pPr>
      <w:r w:rsidRPr="0007572B">
        <w:rPr>
          <w:rFonts w:ascii="Arial" w:hAnsi="Arial" w:cs="Arial"/>
          <w:sz w:val="22"/>
          <w:szCs w:val="22"/>
        </w:rPr>
        <w:t xml:space="preserve"> </w:t>
      </w:r>
    </w:p>
    <w:p w14:paraId="7C9F1E33" w14:textId="77777777" w:rsidR="004418BB" w:rsidRPr="0007572B" w:rsidRDefault="004418BB" w:rsidP="0038082E">
      <w:pPr>
        <w:rPr>
          <w:rFonts w:ascii="Arial" w:hAnsi="Arial" w:cs="Arial"/>
        </w:rPr>
      </w:pPr>
    </w:p>
    <w:p w14:paraId="2699A3A3" w14:textId="76610847" w:rsidR="007A2501" w:rsidRPr="0007572B" w:rsidRDefault="00746C9C" w:rsidP="0038082E">
      <w:pPr>
        <w:rPr>
          <w:rFonts w:ascii="Arial" w:hAnsi="Arial" w:cs="Arial"/>
        </w:rPr>
      </w:pPr>
      <w:r w:rsidRPr="0007572B">
        <w:rPr>
          <w:rFonts w:ascii="Arial" w:hAnsi="Arial" w:cs="Arial"/>
          <w:b/>
        </w:rPr>
        <w:t>T</w:t>
      </w:r>
      <w:r w:rsidR="007A2501" w:rsidRPr="0007572B">
        <w:rPr>
          <w:rFonts w:ascii="Arial" w:hAnsi="Arial" w:cs="Arial"/>
          <w:b/>
        </w:rPr>
        <w:t>he Revaluation Reserve</w:t>
      </w:r>
      <w:r w:rsidR="007A2501" w:rsidRPr="0007572B">
        <w:rPr>
          <w:rFonts w:ascii="Arial" w:hAnsi="Arial" w:cs="Arial"/>
        </w:rPr>
        <w:t xml:space="preserve"> contains the gains made by the Authority arising from increases in the value of Property, Plant and Equipment. The balance reduces when assets with accumulated gains are reduced through revaluation, impairment and depreciation or are disposed of.</w:t>
      </w:r>
    </w:p>
    <w:p w14:paraId="6F275FDB" w14:textId="77777777" w:rsidR="007A2501" w:rsidRPr="0007572B" w:rsidRDefault="007A2501" w:rsidP="0038082E">
      <w:pPr>
        <w:jc w:val="both"/>
        <w:rPr>
          <w:rFonts w:ascii="Arial" w:hAnsi="Arial" w:cs="Arial"/>
          <w:b/>
          <w:sz w:val="22"/>
          <w:szCs w:val="22"/>
        </w:rPr>
      </w:pPr>
    </w:p>
    <w:p w14:paraId="12410828" w14:textId="32BB1FC7" w:rsidR="00451E80" w:rsidRDefault="00457D76" w:rsidP="0038082E">
      <w:pPr>
        <w:jc w:val="both"/>
        <w:rPr>
          <w:rFonts w:ascii="Arial" w:hAnsi="Arial" w:cs="Arial"/>
          <w:sz w:val="22"/>
          <w:szCs w:val="22"/>
        </w:rPr>
      </w:pPr>
      <w:r w:rsidRPr="00457D76">
        <w:rPr>
          <w:rFonts w:ascii="Arial" w:hAnsi="Arial" w:cs="Arial"/>
          <w:sz w:val="22"/>
          <w:szCs w:val="22"/>
        </w:rPr>
        <w:t xml:space="preserve"> </w:t>
      </w:r>
      <w:r w:rsidRPr="00457D76">
        <w:rPr>
          <w:noProof/>
        </w:rPr>
        <w:drawing>
          <wp:inline distT="0" distB="0" distL="0" distR="0" wp14:anchorId="1F3AF87D" wp14:editId="358B0E94">
            <wp:extent cx="5914390" cy="193865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914390" cy="1938655"/>
                    </a:xfrm>
                    <a:prstGeom prst="rect">
                      <a:avLst/>
                    </a:prstGeom>
                    <a:noFill/>
                    <a:ln>
                      <a:noFill/>
                    </a:ln>
                  </pic:spPr>
                </pic:pic>
              </a:graphicData>
            </a:graphic>
          </wp:inline>
        </w:drawing>
      </w:r>
    </w:p>
    <w:p w14:paraId="314EE768" w14:textId="77777777" w:rsidR="009F299D" w:rsidRPr="0007572B" w:rsidRDefault="009F299D" w:rsidP="0038082E">
      <w:pPr>
        <w:jc w:val="both"/>
        <w:rPr>
          <w:rFonts w:ascii="Arial" w:hAnsi="Arial" w:cs="Arial"/>
          <w:sz w:val="22"/>
          <w:szCs w:val="22"/>
        </w:rPr>
      </w:pPr>
    </w:p>
    <w:p w14:paraId="549544E0" w14:textId="01576EC4" w:rsidR="00D93FDB" w:rsidRPr="0007572B" w:rsidRDefault="00D93FDB" w:rsidP="0038082E">
      <w:pPr>
        <w:jc w:val="both"/>
        <w:rPr>
          <w:rFonts w:ascii="Arial" w:hAnsi="Arial" w:cs="Arial"/>
          <w:b/>
          <w:sz w:val="22"/>
          <w:szCs w:val="22"/>
        </w:rPr>
      </w:pPr>
    </w:p>
    <w:p w14:paraId="63E2E484" w14:textId="71C738DD" w:rsidR="00084476" w:rsidRPr="0007572B" w:rsidRDefault="00084476" w:rsidP="0038082E">
      <w:pPr>
        <w:rPr>
          <w:rFonts w:ascii="Arial" w:hAnsi="Arial" w:cs="Arial"/>
        </w:rPr>
      </w:pPr>
      <w:r w:rsidRPr="0007572B">
        <w:rPr>
          <w:rFonts w:ascii="Arial" w:hAnsi="Arial" w:cs="Arial"/>
          <w:b/>
        </w:rPr>
        <w:t xml:space="preserve">The Financial Instruments Revaluation Reserve </w:t>
      </w:r>
      <w:r w:rsidRPr="0007572B">
        <w:rPr>
          <w:rFonts w:ascii="Arial" w:hAnsi="Arial" w:cs="Arial"/>
        </w:rPr>
        <w:t>contains the gains made by</w:t>
      </w:r>
      <w:r w:rsidRPr="0007572B">
        <w:rPr>
          <w:rFonts w:ascii="Arial" w:hAnsi="Arial" w:cs="Arial"/>
          <w:b/>
        </w:rPr>
        <w:t xml:space="preserve"> </w:t>
      </w:r>
      <w:r w:rsidRPr="0007572B">
        <w:rPr>
          <w:rFonts w:ascii="Arial" w:hAnsi="Arial" w:cs="Arial"/>
        </w:rPr>
        <w:t xml:space="preserve">the </w:t>
      </w:r>
      <w:r w:rsidR="00D952FE" w:rsidRPr="0007572B">
        <w:rPr>
          <w:rFonts w:ascii="Arial" w:hAnsi="Arial" w:cs="Arial"/>
        </w:rPr>
        <w:t>A</w:t>
      </w:r>
      <w:r w:rsidRPr="0007572B">
        <w:rPr>
          <w:rFonts w:ascii="Arial" w:hAnsi="Arial" w:cs="Arial"/>
        </w:rPr>
        <w:t xml:space="preserve">uthority arising from increases in the fair value of its investments that are measured at fair value through other comprehensive income. </w:t>
      </w:r>
    </w:p>
    <w:p w14:paraId="07CEE264" w14:textId="3DFDD30C" w:rsidR="004C6295" w:rsidRPr="0007572B" w:rsidRDefault="004C6295" w:rsidP="0038082E">
      <w:pPr>
        <w:rPr>
          <w:rFonts w:ascii="Arial" w:hAnsi="Arial" w:cs="Arial"/>
        </w:rPr>
      </w:pPr>
    </w:p>
    <w:p w14:paraId="5B338998" w14:textId="4E1E9F37" w:rsidR="00084476" w:rsidRPr="0007572B" w:rsidRDefault="00084476" w:rsidP="0038082E">
      <w:pPr>
        <w:rPr>
          <w:rFonts w:ascii="Arial" w:hAnsi="Arial" w:cs="Arial"/>
        </w:rPr>
      </w:pPr>
      <w:r w:rsidRPr="0007572B">
        <w:rPr>
          <w:rFonts w:ascii="Arial" w:hAnsi="Arial" w:cs="Arial"/>
        </w:rPr>
        <w:t>The balance is reduced when investments with accumulated gains are:</w:t>
      </w:r>
    </w:p>
    <w:p w14:paraId="633280A8" w14:textId="77777777" w:rsidR="00084476" w:rsidRPr="0007572B" w:rsidRDefault="00084476" w:rsidP="0038082E">
      <w:pPr>
        <w:rPr>
          <w:rFonts w:ascii="Arial" w:hAnsi="Arial" w:cs="Arial"/>
        </w:rPr>
      </w:pPr>
    </w:p>
    <w:p w14:paraId="237E9136" w14:textId="77777777" w:rsidR="00084476" w:rsidRPr="0007572B" w:rsidRDefault="00084476" w:rsidP="00EB27EB">
      <w:pPr>
        <w:pStyle w:val="ListParagraph"/>
        <w:numPr>
          <w:ilvl w:val="1"/>
          <w:numId w:val="55"/>
        </w:numPr>
        <w:spacing w:line="240" w:lineRule="auto"/>
        <w:rPr>
          <w:rFonts w:ascii="Arial" w:hAnsi="Arial" w:cs="Arial"/>
          <w:sz w:val="24"/>
          <w:szCs w:val="24"/>
        </w:rPr>
      </w:pPr>
      <w:r w:rsidRPr="0007572B">
        <w:rPr>
          <w:rFonts w:ascii="Arial" w:hAnsi="Arial" w:cs="Arial"/>
          <w:sz w:val="24"/>
          <w:szCs w:val="24"/>
        </w:rPr>
        <w:t>Revalued downwards, or impaired and gains are lost,</w:t>
      </w:r>
    </w:p>
    <w:p w14:paraId="499598D6" w14:textId="77777777" w:rsidR="00084476" w:rsidRPr="0007572B" w:rsidRDefault="00084476" w:rsidP="00EB27EB">
      <w:pPr>
        <w:pStyle w:val="ListParagraph"/>
        <w:numPr>
          <w:ilvl w:val="1"/>
          <w:numId w:val="55"/>
        </w:numPr>
        <w:spacing w:line="240" w:lineRule="auto"/>
        <w:rPr>
          <w:rFonts w:ascii="Arial" w:hAnsi="Arial" w:cs="Arial"/>
          <w:sz w:val="24"/>
          <w:szCs w:val="24"/>
        </w:rPr>
      </w:pPr>
      <w:r w:rsidRPr="0007572B">
        <w:rPr>
          <w:rFonts w:ascii="Arial" w:hAnsi="Arial" w:cs="Arial"/>
          <w:sz w:val="24"/>
          <w:szCs w:val="24"/>
        </w:rPr>
        <w:t>Disposed of and the gains are realised.</w:t>
      </w:r>
    </w:p>
    <w:p w14:paraId="39AE18A4" w14:textId="044D5C09" w:rsidR="006E6C8E" w:rsidRPr="0007572B" w:rsidRDefault="006E6C8E" w:rsidP="0038082E">
      <w:pPr>
        <w:jc w:val="both"/>
        <w:rPr>
          <w:rFonts w:ascii="Arial" w:hAnsi="Arial" w:cs="Arial"/>
          <w:b/>
          <w:sz w:val="22"/>
          <w:szCs w:val="22"/>
        </w:rPr>
      </w:pPr>
    </w:p>
    <w:p w14:paraId="3FAF67E5" w14:textId="3CFB9F16" w:rsidR="004254CB" w:rsidRPr="0007572B" w:rsidRDefault="00457D76" w:rsidP="0038082E">
      <w:pPr>
        <w:jc w:val="both"/>
        <w:rPr>
          <w:rFonts w:ascii="Arial" w:hAnsi="Arial" w:cs="Arial"/>
          <w:b/>
        </w:rPr>
      </w:pPr>
      <w:r w:rsidRPr="00457D76">
        <w:rPr>
          <w:noProof/>
        </w:rPr>
        <w:drawing>
          <wp:inline distT="0" distB="0" distL="0" distR="0" wp14:anchorId="508E87D0" wp14:editId="645571CD">
            <wp:extent cx="4925060" cy="920115"/>
            <wp:effectExtent l="0" t="0" r="889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925060" cy="920115"/>
                    </a:xfrm>
                    <a:prstGeom prst="rect">
                      <a:avLst/>
                    </a:prstGeom>
                    <a:noFill/>
                    <a:ln>
                      <a:noFill/>
                    </a:ln>
                  </pic:spPr>
                </pic:pic>
              </a:graphicData>
            </a:graphic>
          </wp:inline>
        </w:drawing>
      </w:r>
    </w:p>
    <w:p w14:paraId="1B8F1B63" w14:textId="77777777" w:rsidR="0038082E" w:rsidRDefault="0038082E">
      <w:pPr>
        <w:rPr>
          <w:rFonts w:ascii="Arial" w:hAnsi="Arial" w:cs="Arial"/>
          <w:b/>
        </w:rPr>
      </w:pPr>
      <w:r>
        <w:rPr>
          <w:rFonts w:ascii="Arial" w:hAnsi="Arial" w:cs="Arial"/>
          <w:b/>
        </w:rPr>
        <w:br w:type="page"/>
      </w:r>
    </w:p>
    <w:p w14:paraId="29F36C29" w14:textId="23A211BC" w:rsidR="007A2501" w:rsidRPr="0007572B" w:rsidRDefault="007A2501" w:rsidP="0038082E">
      <w:pPr>
        <w:rPr>
          <w:rFonts w:ascii="Arial" w:hAnsi="Arial" w:cs="Arial"/>
        </w:rPr>
      </w:pPr>
      <w:r w:rsidRPr="0007572B">
        <w:rPr>
          <w:rFonts w:ascii="Arial" w:hAnsi="Arial" w:cs="Arial"/>
          <w:b/>
        </w:rPr>
        <w:lastRenderedPageBreak/>
        <w:t>The Collection Fund Adjustment Account</w:t>
      </w:r>
      <w:r w:rsidRPr="0007572B">
        <w:rPr>
          <w:rFonts w:ascii="Arial" w:hAnsi="Arial" w:cs="Arial"/>
        </w:rPr>
        <w:t xml:space="preserve"> manages the differences arising from the recognition of the Authority’s portion of council tax income and national non</w:t>
      </w:r>
      <w:r w:rsidR="000C364F" w:rsidRPr="0007572B">
        <w:rPr>
          <w:rFonts w:ascii="Arial" w:hAnsi="Arial" w:cs="Arial"/>
        </w:rPr>
        <w:t>-</w:t>
      </w:r>
      <w:r w:rsidRPr="0007572B">
        <w:rPr>
          <w:rFonts w:ascii="Arial" w:hAnsi="Arial" w:cs="Arial"/>
        </w:rPr>
        <w:t>domestic rates income in the CIES as it falls due from payers compared with statutory arrangements for paying across amounts due to the Authority from billing authorities.</w:t>
      </w:r>
    </w:p>
    <w:p w14:paraId="7A892DC5" w14:textId="77777777" w:rsidR="00261260" w:rsidRPr="0007572B" w:rsidRDefault="00261260" w:rsidP="0038082E">
      <w:pPr>
        <w:jc w:val="both"/>
        <w:rPr>
          <w:rFonts w:ascii="Arial" w:hAnsi="Arial" w:cs="Arial"/>
          <w:b/>
        </w:rPr>
      </w:pPr>
    </w:p>
    <w:p w14:paraId="7BADC657" w14:textId="519669C2" w:rsidR="00B61F27" w:rsidRPr="0007572B" w:rsidRDefault="00457D76" w:rsidP="0038082E">
      <w:pPr>
        <w:jc w:val="both"/>
        <w:rPr>
          <w:rFonts w:ascii="Arial" w:hAnsi="Arial" w:cs="Arial"/>
          <w:b/>
          <w:sz w:val="22"/>
          <w:szCs w:val="22"/>
        </w:rPr>
      </w:pPr>
      <w:r w:rsidRPr="00457D76">
        <w:rPr>
          <w:noProof/>
        </w:rPr>
        <w:drawing>
          <wp:inline distT="0" distB="0" distL="0" distR="0" wp14:anchorId="2E172AAD" wp14:editId="552F248B">
            <wp:extent cx="5975350" cy="991235"/>
            <wp:effectExtent l="0" t="0" r="635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975350" cy="991235"/>
                    </a:xfrm>
                    <a:prstGeom prst="rect">
                      <a:avLst/>
                    </a:prstGeom>
                    <a:noFill/>
                    <a:ln>
                      <a:noFill/>
                    </a:ln>
                  </pic:spPr>
                </pic:pic>
              </a:graphicData>
            </a:graphic>
          </wp:inline>
        </w:drawing>
      </w:r>
    </w:p>
    <w:p w14:paraId="3AD80067" w14:textId="6F2C6166" w:rsidR="004254CB" w:rsidRPr="0007572B" w:rsidRDefault="004254CB" w:rsidP="0038082E">
      <w:pPr>
        <w:jc w:val="both"/>
        <w:rPr>
          <w:rFonts w:ascii="Arial" w:hAnsi="Arial" w:cs="Arial"/>
          <w:b/>
        </w:rPr>
      </w:pPr>
    </w:p>
    <w:p w14:paraId="48EAA31C" w14:textId="2F49DDA6" w:rsidR="007A2501" w:rsidRPr="0007572B" w:rsidRDefault="007A2501" w:rsidP="0038082E">
      <w:pPr>
        <w:rPr>
          <w:rFonts w:ascii="Arial" w:hAnsi="Arial" w:cs="Arial"/>
        </w:rPr>
      </w:pPr>
      <w:r w:rsidRPr="0007572B">
        <w:rPr>
          <w:rFonts w:ascii="Arial" w:hAnsi="Arial" w:cs="Arial"/>
          <w:b/>
        </w:rPr>
        <w:t>The Deferred Capital Receipts Reserve</w:t>
      </w:r>
      <w:r w:rsidR="00CB4C9A" w:rsidRPr="0007572B">
        <w:rPr>
          <w:rFonts w:ascii="Arial" w:hAnsi="Arial" w:cs="Arial"/>
        </w:rPr>
        <w:t xml:space="preserve"> holds the gains recognised on the disposal of non</w:t>
      </w:r>
      <w:r w:rsidR="00DD7CAF" w:rsidRPr="0007572B">
        <w:rPr>
          <w:rFonts w:ascii="Arial" w:hAnsi="Arial" w:cs="Arial"/>
        </w:rPr>
        <w:t>-</w:t>
      </w:r>
      <w:r w:rsidR="00CB4C9A" w:rsidRPr="0007572B">
        <w:rPr>
          <w:rFonts w:ascii="Arial" w:hAnsi="Arial" w:cs="Arial"/>
        </w:rPr>
        <w:t>current assets but for which the cash settlement has yet to take place.</w:t>
      </w:r>
    </w:p>
    <w:p w14:paraId="6C804807" w14:textId="77777777" w:rsidR="00261260" w:rsidRPr="0007572B" w:rsidRDefault="00261260" w:rsidP="0038082E">
      <w:pPr>
        <w:jc w:val="both"/>
        <w:rPr>
          <w:rFonts w:ascii="Arial" w:hAnsi="Arial" w:cs="Arial"/>
          <w:b/>
        </w:rPr>
      </w:pPr>
    </w:p>
    <w:p w14:paraId="67F7A60E" w14:textId="4CC344ED" w:rsidR="006E6C8E" w:rsidRPr="0007572B" w:rsidRDefault="00457D76" w:rsidP="0038082E">
      <w:pPr>
        <w:jc w:val="both"/>
        <w:rPr>
          <w:rFonts w:ascii="Arial" w:hAnsi="Arial" w:cs="Arial"/>
          <w:b/>
          <w:sz w:val="22"/>
          <w:szCs w:val="22"/>
        </w:rPr>
      </w:pPr>
      <w:r w:rsidRPr="00457D76">
        <w:rPr>
          <w:noProof/>
        </w:rPr>
        <w:drawing>
          <wp:inline distT="0" distB="0" distL="0" distR="0" wp14:anchorId="441F1BC7" wp14:editId="5E1FA127">
            <wp:extent cx="5903088" cy="810989"/>
            <wp:effectExtent l="0" t="0" r="2540" b="825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006271" cy="825165"/>
                    </a:xfrm>
                    <a:prstGeom prst="rect">
                      <a:avLst/>
                    </a:prstGeom>
                    <a:noFill/>
                    <a:ln>
                      <a:noFill/>
                    </a:ln>
                  </pic:spPr>
                </pic:pic>
              </a:graphicData>
            </a:graphic>
          </wp:inline>
        </w:drawing>
      </w:r>
    </w:p>
    <w:p w14:paraId="6315467D" w14:textId="4BE0B26F" w:rsidR="00746C9C" w:rsidRPr="0007572B" w:rsidRDefault="00746C9C" w:rsidP="0038082E">
      <w:pPr>
        <w:rPr>
          <w:rFonts w:ascii="Arial" w:hAnsi="Arial" w:cs="Arial"/>
          <w:sz w:val="22"/>
          <w:szCs w:val="22"/>
        </w:rPr>
      </w:pPr>
    </w:p>
    <w:p w14:paraId="50D84206" w14:textId="5C1A6062" w:rsidR="00AC4453" w:rsidRDefault="00AC4453" w:rsidP="0038082E">
      <w:pPr>
        <w:rPr>
          <w:rFonts w:ascii="Arial" w:eastAsia="Palatino Linotype" w:hAnsi="Arial" w:cs="Arial"/>
          <w:b/>
          <w:bCs/>
          <w:szCs w:val="28"/>
          <w:lang w:val="en-US"/>
        </w:rPr>
      </w:pPr>
      <w:bookmarkStart w:id="174" w:name="_Toc92894901"/>
      <w:bookmarkStart w:id="175" w:name="_Toc92895205"/>
    </w:p>
    <w:p w14:paraId="14C60ACD" w14:textId="5594B082" w:rsidR="004047A3" w:rsidRPr="0007572B" w:rsidRDefault="00680267" w:rsidP="0038082E">
      <w:pPr>
        <w:pStyle w:val="Heading3greennumbered"/>
      </w:pPr>
      <w:bookmarkStart w:id="176" w:name="_Toc109922639"/>
      <w:r w:rsidRPr="0007572B">
        <w:t>2</w:t>
      </w:r>
      <w:r w:rsidR="00876B48" w:rsidRPr="0007572B">
        <w:t>9</w:t>
      </w:r>
      <w:r w:rsidR="004047A3" w:rsidRPr="0007572B">
        <w:t xml:space="preserve"> Financial Instruments</w:t>
      </w:r>
      <w:bookmarkEnd w:id="174"/>
      <w:bookmarkEnd w:id="175"/>
      <w:bookmarkEnd w:id="176"/>
    </w:p>
    <w:p w14:paraId="7E71DC98" w14:textId="77777777" w:rsidR="00D4492C" w:rsidRDefault="00D4492C" w:rsidP="0038082E">
      <w:pPr>
        <w:rPr>
          <w:rFonts w:ascii="Arial" w:hAnsi="Arial" w:cs="Arial"/>
        </w:rPr>
      </w:pPr>
    </w:p>
    <w:p w14:paraId="68F5CE19" w14:textId="7128AFE6" w:rsidR="00CB45BA" w:rsidRDefault="00CB45BA" w:rsidP="0038082E">
      <w:pPr>
        <w:rPr>
          <w:rFonts w:ascii="Arial" w:hAnsi="Arial" w:cs="Arial"/>
        </w:rPr>
      </w:pPr>
      <w:r w:rsidRPr="0007572B">
        <w:rPr>
          <w:rFonts w:ascii="Arial" w:hAnsi="Arial" w:cs="Arial"/>
        </w:rPr>
        <w:t>Financial Instruments include the financial assets and liabilities of the Authority. These appear in different sections of the Balance Sheet depending on their characteristics.</w:t>
      </w:r>
    </w:p>
    <w:p w14:paraId="40F0EDFC" w14:textId="77777777" w:rsidR="00D4492C" w:rsidRPr="0007572B" w:rsidRDefault="00D4492C" w:rsidP="0038082E">
      <w:pPr>
        <w:rPr>
          <w:rFonts w:ascii="Arial" w:hAnsi="Arial" w:cs="Arial"/>
        </w:rPr>
      </w:pPr>
    </w:p>
    <w:p w14:paraId="1D42A32A" w14:textId="5909EF96" w:rsidR="000E2349" w:rsidRPr="0007572B" w:rsidRDefault="000E2349" w:rsidP="0038082E">
      <w:pPr>
        <w:pStyle w:val="Heading4bold"/>
      </w:pPr>
      <w:r w:rsidRPr="0007572B">
        <w:t>Categories of Financial Instruments</w:t>
      </w:r>
    </w:p>
    <w:p w14:paraId="207A3330" w14:textId="77777777" w:rsidR="000E2349" w:rsidRPr="0007572B" w:rsidRDefault="000E2349" w:rsidP="0038082E">
      <w:pPr>
        <w:rPr>
          <w:rFonts w:ascii="Arial" w:hAnsi="Arial" w:cs="Arial"/>
        </w:rPr>
      </w:pPr>
    </w:p>
    <w:p w14:paraId="0B0A835F" w14:textId="5422BBF4" w:rsidR="000E2349" w:rsidRPr="0007572B" w:rsidRDefault="000E2349" w:rsidP="0038082E">
      <w:pPr>
        <w:rPr>
          <w:rFonts w:ascii="Arial" w:hAnsi="Arial" w:cs="Arial"/>
        </w:rPr>
      </w:pPr>
      <w:r w:rsidRPr="0007572B">
        <w:rPr>
          <w:rFonts w:ascii="Arial" w:hAnsi="Arial" w:cs="Arial"/>
        </w:rPr>
        <w:t xml:space="preserve">The Authority is required to classify its financial assets into one of three categories. </w:t>
      </w:r>
    </w:p>
    <w:p w14:paraId="2D5E7934" w14:textId="77777777" w:rsidR="000E2349" w:rsidRPr="0007572B" w:rsidRDefault="000E2349" w:rsidP="0038082E">
      <w:pPr>
        <w:jc w:val="both"/>
        <w:rPr>
          <w:rFonts w:ascii="Arial" w:hAnsi="Arial" w:cs="Arial"/>
        </w:rPr>
      </w:pPr>
    </w:p>
    <w:p w14:paraId="1C5C8161" w14:textId="77777777" w:rsidR="000E2349" w:rsidRPr="0007572B" w:rsidRDefault="000E2349" w:rsidP="00EB27EB">
      <w:pPr>
        <w:pStyle w:val="ListParagraph"/>
        <w:numPr>
          <w:ilvl w:val="0"/>
          <w:numId w:val="43"/>
        </w:numPr>
        <w:spacing w:line="240" w:lineRule="auto"/>
        <w:rPr>
          <w:rFonts w:ascii="Arial" w:hAnsi="Arial" w:cs="Arial"/>
          <w:sz w:val="24"/>
          <w:szCs w:val="24"/>
        </w:rPr>
      </w:pPr>
      <w:r w:rsidRPr="0007572B">
        <w:rPr>
          <w:rFonts w:ascii="Arial" w:hAnsi="Arial" w:cs="Arial"/>
          <w:sz w:val="24"/>
          <w:szCs w:val="24"/>
        </w:rPr>
        <w:t>Financial Assets held at amortised cost. These assets relate to instruments where the amount received relating to them are solely principal and interest and they are held to generate cashflows. The amount presented in the balance sheet represents the outstanding principal plus any accrued interest. Interest credited to CIES is the amount receivable as per the instrument’s agreement.</w:t>
      </w:r>
    </w:p>
    <w:p w14:paraId="23DC36A3" w14:textId="77777777" w:rsidR="000E2349" w:rsidRPr="0007572B" w:rsidRDefault="000E2349" w:rsidP="0038082E">
      <w:pPr>
        <w:pStyle w:val="ListParagraph"/>
        <w:spacing w:line="240" w:lineRule="auto"/>
        <w:ind w:left="360"/>
        <w:rPr>
          <w:rFonts w:ascii="Arial" w:hAnsi="Arial" w:cs="Arial"/>
          <w:sz w:val="24"/>
          <w:szCs w:val="24"/>
        </w:rPr>
      </w:pPr>
    </w:p>
    <w:p w14:paraId="5228E13B" w14:textId="77777777" w:rsidR="000E2349" w:rsidRPr="0007572B" w:rsidRDefault="000E2349" w:rsidP="00EB27EB">
      <w:pPr>
        <w:pStyle w:val="ListParagraph"/>
        <w:numPr>
          <w:ilvl w:val="0"/>
          <w:numId w:val="43"/>
        </w:numPr>
        <w:spacing w:line="240" w:lineRule="auto"/>
        <w:rPr>
          <w:rFonts w:ascii="Arial" w:hAnsi="Arial" w:cs="Arial"/>
          <w:sz w:val="24"/>
          <w:szCs w:val="24"/>
        </w:rPr>
      </w:pPr>
      <w:r w:rsidRPr="0007572B">
        <w:rPr>
          <w:rFonts w:ascii="Arial" w:hAnsi="Arial" w:cs="Arial"/>
          <w:sz w:val="24"/>
          <w:szCs w:val="24"/>
        </w:rPr>
        <w:t>Fair Value through Other Comprehensive Income (FVOCI). Amounts received relate to principal and interest but the business model for holding the asset includes the possibility of sale. These assets are measured and carried at fair value. All gains and losses due to changes in fair value are accounted for through a reserve account (the Financial Instruments Revaluation Reserve), with the balance debited or credited to CIES when the asset is disposed of.</w:t>
      </w:r>
    </w:p>
    <w:p w14:paraId="0555825B" w14:textId="77777777" w:rsidR="000E2349" w:rsidRPr="0007572B" w:rsidRDefault="000E2349" w:rsidP="0038082E">
      <w:pPr>
        <w:pStyle w:val="ListParagraph"/>
        <w:spacing w:line="240" w:lineRule="auto"/>
        <w:ind w:left="360"/>
        <w:rPr>
          <w:rFonts w:ascii="Arial" w:hAnsi="Arial" w:cs="Arial"/>
          <w:sz w:val="24"/>
          <w:szCs w:val="24"/>
        </w:rPr>
      </w:pPr>
    </w:p>
    <w:p w14:paraId="3C76A271" w14:textId="77777777" w:rsidR="000E2349" w:rsidRPr="0007572B" w:rsidRDefault="000E2349" w:rsidP="00EB27EB">
      <w:pPr>
        <w:pStyle w:val="ListParagraph"/>
        <w:numPr>
          <w:ilvl w:val="0"/>
          <w:numId w:val="43"/>
        </w:numPr>
        <w:spacing w:line="240" w:lineRule="auto"/>
        <w:rPr>
          <w:rFonts w:ascii="Arial" w:hAnsi="Arial" w:cs="Arial"/>
          <w:sz w:val="24"/>
          <w:szCs w:val="24"/>
        </w:rPr>
      </w:pPr>
      <w:r w:rsidRPr="0007572B">
        <w:rPr>
          <w:rFonts w:ascii="Arial" w:hAnsi="Arial" w:cs="Arial"/>
          <w:sz w:val="24"/>
          <w:szCs w:val="24"/>
        </w:rPr>
        <w:t>Fair Value Through Profit and Loss (FVPL) – all other instruments where the amounts received relating to them are not principal and interest, for example dividends as part of equity instruments. These assets are measured and carried at fair value. All gains and losses due to changes in fair value (both realised and unrealised) are recognised in the CIES as they occur.</w:t>
      </w:r>
    </w:p>
    <w:p w14:paraId="4E95094F" w14:textId="758BCEF9" w:rsidR="000E2349" w:rsidRPr="0007572B" w:rsidRDefault="000E2349" w:rsidP="0038082E">
      <w:pPr>
        <w:rPr>
          <w:rFonts w:ascii="Arial" w:hAnsi="Arial" w:cs="Arial"/>
        </w:rPr>
      </w:pPr>
      <w:r w:rsidRPr="0007572B">
        <w:rPr>
          <w:rFonts w:ascii="Arial" w:hAnsi="Arial" w:cs="Arial"/>
        </w:rPr>
        <w:lastRenderedPageBreak/>
        <w:t>The following tables show the categories of financial instruments which are carried in the Balance Sheet:</w:t>
      </w:r>
    </w:p>
    <w:p w14:paraId="0F900FA9" w14:textId="77777777" w:rsidR="000B1D0E" w:rsidRPr="0007572B" w:rsidRDefault="000B1D0E" w:rsidP="0038082E">
      <w:pPr>
        <w:jc w:val="both"/>
        <w:rPr>
          <w:rFonts w:ascii="Arial" w:hAnsi="Arial" w:cs="Arial"/>
        </w:rPr>
      </w:pPr>
    </w:p>
    <w:p w14:paraId="676B2CEE" w14:textId="7002B762" w:rsidR="004047A3" w:rsidRPr="0007572B" w:rsidRDefault="00F20C43" w:rsidP="0038082E">
      <w:pPr>
        <w:rPr>
          <w:rFonts w:ascii="Arial" w:hAnsi="Arial" w:cs="Arial"/>
          <w:sz w:val="22"/>
          <w:szCs w:val="22"/>
        </w:rPr>
      </w:pPr>
      <w:r w:rsidRPr="00F20C43">
        <w:rPr>
          <w:noProof/>
        </w:rPr>
        <w:drawing>
          <wp:inline distT="0" distB="0" distL="0" distR="0" wp14:anchorId="43D96E5E" wp14:editId="382B4BAB">
            <wp:extent cx="5633085" cy="2096135"/>
            <wp:effectExtent l="0" t="0" r="5715"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633085" cy="2096135"/>
                    </a:xfrm>
                    <a:prstGeom prst="rect">
                      <a:avLst/>
                    </a:prstGeom>
                    <a:noFill/>
                    <a:ln>
                      <a:noFill/>
                    </a:ln>
                  </pic:spPr>
                </pic:pic>
              </a:graphicData>
            </a:graphic>
          </wp:inline>
        </w:drawing>
      </w:r>
    </w:p>
    <w:p w14:paraId="3C45F853" w14:textId="39937B9C" w:rsidR="00BC6411" w:rsidRPr="0007572B" w:rsidRDefault="00BC6411" w:rsidP="0038082E">
      <w:pPr>
        <w:rPr>
          <w:rFonts w:ascii="Arial" w:hAnsi="Arial" w:cs="Arial"/>
          <w:sz w:val="22"/>
          <w:szCs w:val="22"/>
        </w:rPr>
      </w:pPr>
    </w:p>
    <w:p w14:paraId="69F9D1D5" w14:textId="5FED2E70" w:rsidR="00BC6411" w:rsidRPr="0007572B" w:rsidRDefault="000E5109" w:rsidP="0038082E">
      <w:pPr>
        <w:rPr>
          <w:rFonts w:ascii="Arial" w:hAnsi="Arial" w:cs="Arial"/>
          <w:sz w:val="22"/>
          <w:szCs w:val="22"/>
        </w:rPr>
      </w:pPr>
      <w:r w:rsidRPr="000E5109">
        <w:rPr>
          <w:rFonts w:ascii="Arial" w:hAnsi="Arial" w:cs="Arial"/>
          <w:sz w:val="22"/>
          <w:szCs w:val="22"/>
        </w:rPr>
        <w:t xml:space="preserve"> </w:t>
      </w:r>
      <w:r w:rsidRPr="000E5109">
        <w:rPr>
          <w:noProof/>
        </w:rPr>
        <w:drawing>
          <wp:inline distT="0" distB="0" distL="0" distR="0" wp14:anchorId="33D362E7" wp14:editId="252C3AF6">
            <wp:extent cx="5975350" cy="2006600"/>
            <wp:effectExtent l="0" t="0" r="635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975350" cy="2006600"/>
                    </a:xfrm>
                    <a:prstGeom prst="rect">
                      <a:avLst/>
                    </a:prstGeom>
                    <a:noFill/>
                    <a:ln>
                      <a:noFill/>
                    </a:ln>
                  </pic:spPr>
                </pic:pic>
              </a:graphicData>
            </a:graphic>
          </wp:inline>
        </w:drawing>
      </w:r>
    </w:p>
    <w:p w14:paraId="739A41BF" w14:textId="3E4660B2" w:rsidR="000B1D0E" w:rsidRPr="0007572B" w:rsidRDefault="000B1D0E" w:rsidP="0038082E">
      <w:pPr>
        <w:jc w:val="both"/>
        <w:rPr>
          <w:rFonts w:ascii="Arial" w:hAnsi="Arial" w:cs="Arial"/>
          <w:sz w:val="22"/>
          <w:szCs w:val="22"/>
        </w:rPr>
      </w:pPr>
    </w:p>
    <w:p w14:paraId="2CF85007" w14:textId="55A3A0AE" w:rsidR="00BC6411" w:rsidRPr="0007572B" w:rsidRDefault="000E5109" w:rsidP="0038082E">
      <w:pPr>
        <w:jc w:val="both"/>
        <w:rPr>
          <w:rFonts w:ascii="Arial" w:hAnsi="Arial" w:cs="Arial"/>
          <w:sz w:val="22"/>
          <w:szCs w:val="22"/>
        </w:rPr>
      </w:pPr>
      <w:r w:rsidRPr="000E5109">
        <w:rPr>
          <w:noProof/>
        </w:rPr>
        <w:drawing>
          <wp:inline distT="0" distB="0" distL="0" distR="0" wp14:anchorId="13405358" wp14:editId="5379B309">
            <wp:extent cx="5975350" cy="1386840"/>
            <wp:effectExtent l="0" t="0" r="6350" b="381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975350" cy="1386840"/>
                    </a:xfrm>
                    <a:prstGeom prst="rect">
                      <a:avLst/>
                    </a:prstGeom>
                    <a:noFill/>
                    <a:ln>
                      <a:noFill/>
                    </a:ln>
                  </pic:spPr>
                </pic:pic>
              </a:graphicData>
            </a:graphic>
          </wp:inline>
        </w:drawing>
      </w:r>
    </w:p>
    <w:p w14:paraId="15A78CE4" w14:textId="3528A6F8" w:rsidR="00261260" w:rsidRPr="0007572B" w:rsidRDefault="00261260" w:rsidP="0038082E">
      <w:pPr>
        <w:jc w:val="both"/>
        <w:rPr>
          <w:rFonts w:ascii="Arial" w:hAnsi="Arial" w:cs="Arial"/>
          <w:b/>
          <w:sz w:val="22"/>
          <w:szCs w:val="22"/>
        </w:rPr>
      </w:pPr>
    </w:p>
    <w:p w14:paraId="5E24D334" w14:textId="4AA0C8AA" w:rsidR="006E6C8E" w:rsidRPr="0007572B" w:rsidRDefault="000E5109" w:rsidP="0038082E">
      <w:pPr>
        <w:rPr>
          <w:rFonts w:ascii="Arial" w:hAnsi="Arial" w:cs="Arial"/>
          <w:sz w:val="22"/>
          <w:szCs w:val="22"/>
        </w:rPr>
      </w:pPr>
      <w:r w:rsidRPr="000E5109">
        <w:rPr>
          <w:noProof/>
        </w:rPr>
        <w:drawing>
          <wp:inline distT="0" distB="0" distL="0" distR="0" wp14:anchorId="79DB6769" wp14:editId="694FCCFD">
            <wp:extent cx="5975350" cy="1391920"/>
            <wp:effectExtent l="0" t="0" r="635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975350" cy="1391920"/>
                    </a:xfrm>
                    <a:prstGeom prst="rect">
                      <a:avLst/>
                    </a:prstGeom>
                    <a:noFill/>
                    <a:ln>
                      <a:noFill/>
                    </a:ln>
                  </pic:spPr>
                </pic:pic>
              </a:graphicData>
            </a:graphic>
          </wp:inline>
        </w:drawing>
      </w:r>
    </w:p>
    <w:p w14:paraId="6E465947" w14:textId="40D6C6D4" w:rsidR="009712DE" w:rsidRPr="0007572B" w:rsidRDefault="009712DE" w:rsidP="0038082E">
      <w:pPr>
        <w:rPr>
          <w:rFonts w:ascii="Arial" w:hAnsi="Arial" w:cs="Arial"/>
        </w:rPr>
      </w:pPr>
    </w:p>
    <w:p w14:paraId="3ACEAC80" w14:textId="2F859BFF" w:rsidR="002E7A9F" w:rsidRDefault="005F4456" w:rsidP="0038082E">
      <w:pPr>
        <w:rPr>
          <w:rFonts w:ascii="Arial" w:hAnsi="Arial" w:cs="Arial"/>
        </w:rPr>
      </w:pPr>
      <w:r w:rsidRPr="0007572B">
        <w:rPr>
          <w:rFonts w:ascii="Arial" w:hAnsi="Arial" w:cs="Arial"/>
        </w:rPr>
        <w:t xml:space="preserve">The Authority </w:t>
      </w:r>
      <w:r w:rsidR="00BE0E75">
        <w:rPr>
          <w:rFonts w:ascii="Arial" w:hAnsi="Arial" w:cs="Arial"/>
        </w:rPr>
        <w:t>p</w:t>
      </w:r>
      <w:r w:rsidRPr="0007572B">
        <w:rPr>
          <w:rFonts w:ascii="Arial" w:hAnsi="Arial" w:cs="Arial"/>
        </w:rPr>
        <w:t>rovided two loans to the Growth Company in 2020/21 at less than market rates of interest (these are known as soft loans)</w:t>
      </w:r>
      <w:r w:rsidR="002E7A9F">
        <w:rPr>
          <w:rFonts w:ascii="Arial" w:hAnsi="Arial" w:cs="Arial"/>
        </w:rPr>
        <w:t>:</w:t>
      </w:r>
    </w:p>
    <w:p w14:paraId="737805C0" w14:textId="1668FFF4" w:rsidR="002E7A9F" w:rsidRPr="002E7A9F" w:rsidRDefault="002E7A9F" w:rsidP="00EB27EB">
      <w:pPr>
        <w:pStyle w:val="ListParagraph"/>
        <w:numPr>
          <w:ilvl w:val="0"/>
          <w:numId w:val="49"/>
        </w:numPr>
        <w:spacing w:line="240" w:lineRule="auto"/>
        <w:rPr>
          <w:rFonts w:ascii="Arial" w:hAnsi="Arial" w:cs="Arial"/>
          <w:sz w:val="24"/>
          <w:szCs w:val="24"/>
        </w:rPr>
      </w:pPr>
      <w:r w:rsidRPr="002E7A9F">
        <w:rPr>
          <w:rFonts w:ascii="Arial" w:hAnsi="Arial" w:cs="Arial"/>
          <w:sz w:val="24"/>
          <w:szCs w:val="24"/>
        </w:rPr>
        <w:t>a</w:t>
      </w:r>
      <w:r w:rsidR="005F4456" w:rsidRPr="002E7A9F">
        <w:rPr>
          <w:rFonts w:ascii="Arial" w:hAnsi="Arial" w:cs="Arial"/>
          <w:sz w:val="24"/>
          <w:szCs w:val="24"/>
        </w:rPr>
        <w:t xml:space="preserve"> £1.5m loan for the </w:t>
      </w:r>
      <w:r w:rsidR="005F4456" w:rsidRPr="002E7A9F">
        <w:rPr>
          <w:rFonts w:ascii="Arial" w:eastAsiaTheme="minorHAnsi" w:hAnsi="Arial" w:cs="Arial"/>
          <w:sz w:val="24"/>
          <w:szCs w:val="24"/>
        </w:rPr>
        <w:t>Coronavirus Business Interruption Scheme (CBILS)</w:t>
      </w:r>
      <w:r w:rsidRPr="002E7A9F">
        <w:rPr>
          <w:rFonts w:ascii="Arial" w:eastAsiaTheme="minorHAnsi" w:hAnsi="Arial" w:cs="Arial"/>
          <w:sz w:val="24"/>
          <w:szCs w:val="24"/>
        </w:rPr>
        <w:t>;</w:t>
      </w:r>
      <w:r w:rsidR="005F4456" w:rsidRPr="002E7A9F">
        <w:rPr>
          <w:rFonts w:ascii="Arial" w:eastAsiaTheme="minorHAnsi" w:hAnsi="Arial" w:cs="Arial"/>
          <w:sz w:val="24"/>
          <w:szCs w:val="24"/>
        </w:rPr>
        <w:t xml:space="preserve"> </w:t>
      </w:r>
      <w:r w:rsidR="005F4456" w:rsidRPr="002E7A9F">
        <w:rPr>
          <w:rFonts w:ascii="Arial" w:hAnsi="Arial" w:cs="Arial"/>
          <w:sz w:val="24"/>
          <w:szCs w:val="24"/>
        </w:rPr>
        <w:t>and</w:t>
      </w:r>
    </w:p>
    <w:p w14:paraId="6D5BDDEA" w14:textId="5E817D8D" w:rsidR="005F4456" w:rsidRPr="002E7A9F" w:rsidRDefault="005F4456" w:rsidP="00EB27EB">
      <w:pPr>
        <w:pStyle w:val="ListParagraph"/>
        <w:numPr>
          <w:ilvl w:val="0"/>
          <w:numId w:val="49"/>
        </w:numPr>
        <w:spacing w:line="240" w:lineRule="auto"/>
        <w:rPr>
          <w:rFonts w:ascii="Arial" w:hAnsi="Arial" w:cs="Arial"/>
          <w:sz w:val="24"/>
          <w:szCs w:val="24"/>
        </w:rPr>
      </w:pPr>
      <w:r w:rsidRPr="002E7A9F">
        <w:rPr>
          <w:rFonts w:ascii="Arial" w:hAnsi="Arial" w:cs="Arial"/>
          <w:sz w:val="24"/>
          <w:szCs w:val="24"/>
        </w:rPr>
        <w:lastRenderedPageBreak/>
        <w:t xml:space="preserve">a £6m loan for the Bounceback Loan Scheme, where the </w:t>
      </w:r>
      <w:r w:rsidRPr="002E7A9F">
        <w:rPr>
          <w:rFonts w:ascii="Arial" w:eastAsiaTheme="minorHAnsi" w:hAnsi="Arial" w:cs="Arial"/>
          <w:sz w:val="24"/>
          <w:szCs w:val="24"/>
        </w:rPr>
        <w:t xml:space="preserve">Growth Company Business Finance </w:t>
      </w:r>
      <w:r w:rsidRPr="002E7A9F">
        <w:rPr>
          <w:rFonts w:ascii="Arial" w:hAnsi="Arial" w:cs="Arial"/>
          <w:sz w:val="24"/>
          <w:szCs w:val="24"/>
        </w:rPr>
        <w:t xml:space="preserve">division </w:t>
      </w:r>
      <w:r w:rsidRPr="002E7A9F">
        <w:rPr>
          <w:rFonts w:ascii="Arial" w:eastAsiaTheme="minorHAnsi" w:hAnsi="Arial" w:cs="Arial"/>
          <w:sz w:val="24"/>
          <w:szCs w:val="24"/>
        </w:rPr>
        <w:t xml:space="preserve">are administering financial support to businesses as an accredited </w:t>
      </w:r>
      <w:r w:rsidRPr="002E7A9F">
        <w:rPr>
          <w:rFonts w:ascii="Arial" w:hAnsi="Arial" w:cs="Arial"/>
          <w:sz w:val="24"/>
          <w:szCs w:val="24"/>
        </w:rPr>
        <w:t xml:space="preserve">loan </w:t>
      </w:r>
      <w:r w:rsidRPr="002E7A9F">
        <w:rPr>
          <w:rFonts w:ascii="Arial" w:eastAsiaTheme="minorHAnsi" w:hAnsi="Arial" w:cs="Arial"/>
          <w:sz w:val="24"/>
          <w:szCs w:val="24"/>
        </w:rPr>
        <w:t>provider</w:t>
      </w:r>
      <w:r w:rsidRPr="002E7A9F">
        <w:rPr>
          <w:rFonts w:ascii="Arial" w:hAnsi="Arial" w:cs="Arial"/>
          <w:sz w:val="24"/>
          <w:szCs w:val="24"/>
        </w:rPr>
        <w:t>.</w:t>
      </w:r>
    </w:p>
    <w:p w14:paraId="785D3AE3" w14:textId="77777777" w:rsidR="005F4456" w:rsidRPr="0007572B" w:rsidRDefault="005F4456" w:rsidP="0038082E">
      <w:pPr>
        <w:rPr>
          <w:rFonts w:ascii="Arial" w:hAnsi="Arial" w:cs="Arial"/>
        </w:rPr>
      </w:pPr>
    </w:p>
    <w:p w14:paraId="0AC230BD" w14:textId="4FAE68E7" w:rsidR="005F4456" w:rsidRPr="0007572B" w:rsidRDefault="000E5109" w:rsidP="0038082E">
      <w:pPr>
        <w:rPr>
          <w:rFonts w:ascii="Arial" w:hAnsi="Arial" w:cs="Arial"/>
        </w:rPr>
      </w:pPr>
      <w:r w:rsidRPr="000E5109">
        <w:rPr>
          <w:rFonts w:ascii="Arial" w:hAnsi="Arial" w:cs="Arial"/>
        </w:rPr>
        <w:t xml:space="preserve"> </w:t>
      </w:r>
      <w:r w:rsidRPr="000E5109">
        <w:rPr>
          <w:noProof/>
        </w:rPr>
        <w:drawing>
          <wp:inline distT="0" distB="0" distL="0" distR="0" wp14:anchorId="1A16EE03" wp14:editId="19B1A908">
            <wp:extent cx="4849495" cy="1278890"/>
            <wp:effectExtent l="0" t="0" r="825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849495" cy="1278890"/>
                    </a:xfrm>
                    <a:prstGeom prst="rect">
                      <a:avLst/>
                    </a:prstGeom>
                    <a:noFill/>
                    <a:ln>
                      <a:noFill/>
                    </a:ln>
                  </pic:spPr>
                </pic:pic>
              </a:graphicData>
            </a:graphic>
          </wp:inline>
        </w:drawing>
      </w:r>
    </w:p>
    <w:p w14:paraId="0CAA83AA" w14:textId="77777777" w:rsidR="005F4456" w:rsidRPr="0007572B" w:rsidRDefault="005F4456" w:rsidP="0038082E">
      <w:pPr>
        <w:rPr>
          <w:rFonts w:ascii="Arial" w:hAnsi="Arial" w:cs="Arial"/>
        </w:rPr>
      </w:pPr>
    </w:p>
    <w:p w14:paraId="0489C0A4" w14:textId="036C5EDA" w:rsidR="005F4456" w:rsidRPr="0007572B" w:rsidRDefault="005F4456" w:rsidP="0038082E">
      <w:pPr>
        <w:rPr>
          <w:rFonts w:ascii="Arial" w:hAnsi="Arial" w:cs="Arial"/>
        </w:rPr>
      </w:pPr>
      <w:r w:rsidRPr="0007572B">
        <w:rPr>
          <w:rFonts w:ascii="Arial" w:hAnsi="Arial" w:cs="Arial"/>
        </w:rPr>
        <w:t xml:space="preserve">When the loans are made the amount of interest forgone over the life of the loan is charged to the </w:t>
      </w:r>
      <w:r w:rsidR="00577AA5" w:rsidRPr="0007572B">
        <w:rPr>
          <w:rFonts w:ascii="Arial" w:hAnsi="Arial" w:cs="Arial"/>
        </w:rPr>
        <w:t>CIES</w:t>
      </w:r>
      <w:r w:rsidRPr="0007572B">
        <w:rPr>
          <w:rFonts w:ascii="Arial" w:hAnsi="Arial" w:cs="Arial"/>
        </w:rPr>
        <w:t xml:space="preserve"> (debited to the appropriate service line) and the outstanding principal is reduced on the Balance Sheet. This represents the present value of the interest that will be forgone over the life of the loan agreement. Statutory provisions require that the impact of soft loans on the General Fund balance is the interest receivable in the year, so the amount of foregone interest is managed by a transfer from the Financial Instruments Adjustment Account to the Movement in Reserves Statement. </w:t>
      </w:r>
    </w:p>
    <w:p w14:paraId="6F7F7AEE" w14:textId="33BE62B3" w:rsidR="00B55523" w:rsidRDefault="00B55523" w:rsidP="0038082E">
      <w:pPr>
        <w:rPr>
          <w:rFonts w:ascii="Arial" w:hAnsi="Arial" w:cs="Arial"/>
        </w:rPr>
      </w:pPr>
    </w:p>
    <w:p w14:paraId="621DC996" w14:textId="2D90FAFC" w:rsidR="000E2349" w:rsidRPr="0007572B" w:rsidRDefault="000E2349" w:rsidP="0038082E">
      <w:pPr>
        <w:pStyle w:val="Heading4bold"/>
      </w:pPr>
      <w:r w:rsidRPr="0007572B">
        <w:t xml:space="preserve">Income, Expenses, </w:t>
      </w:r>
      <w:r w:rsidR="00F400A1" w:rsidRPr="0007572B">
        <w:t>G</w:t>
      </w:r>
      <w:r w:rsidRPr="0007572B">
        <w:t>ains and Losses</w:t>
      </w:r>
    </w:p>
    <w:p w14:paraId="40EA398F" w14:textId="43EC9CAA" w:rsidR="00261260" w:rsidRPr="0007572B" w:rsidRDefault="000E2349" w:rsidP="0038082E">
      <w:pPr>
        <w:rPr>
          <w:rFonts w:ascii="Arial" w:hAnsi="Arial" w:cs="Arial"/>
        </w:rPr>
      </w:pPr>
      <w:r w:rsidRPr="0007572B">
        <w:rPr>
          <w:rFonts w:ascii="Arial" w:hAnsi="Arial" w:cs="Arial"/>
        </w:rPr>
        <w:t>The gains and losses recognised in the Comprehensive Income and Expenditure Statement in relation to financial instruments are summarised in the table below:</w:t>
      </w:r>
    </w:p>
    <w:p w14:paraId="6742FA46" w14:textId="77777777" w:rsidR="000E2349" w:rsidRPr="0007572B" w:rsidRDefault="000E2349" w:rsidP="0038082E">
      <w:pPr>
        <w:jc w:val="both"/>
        <w:rPr>
          <w:rFonts w:ascii="Arial" w:hAnsi="Arial" w:cs="Arial"/>
          <w:b/>
        </w:rPr>
      </w:pPr>
    </w:p>
    <w:p w14:paraId="0D8DA5FF" w14:textId="51F6E79E" w:rsidR="006E6C8E" w:rsidRPr="0007572B" w:rsidRDefault="000E5109" w:rsidP="0038082E">
      <w:pPr>
        <w:jc w:val="both"/>
        <w:rPr>
          <w:rFonts w:ascii="Arial" w:hAnsi="Arial" w:cs="Arial"/>
          <w:b/>
          <w:sz w:val="22"/>
          <w:szCs w:val="22"/>
        </w:rPr>
      </w:pPr>
      <w:r w:rsidRPr="000E5109">
        <w:rPr>
          <w:rFonts w:ascii="Arial" w:hAnsi="Arial" w:cs="Arial"/>
          <w:b/>
          <w:sz w:val="22"/>
          <w:szCs w:val="22"/>
        </w:rPr>
        <w:t xml:space="preserve"> </w:t>
      </w:r>
      <w:r w:rsidRPr="000E5109">
        <w:rPr>
          <w:noProof/>
        </w:rPr>
        <w:drawing>
          <wp:inline distT="0" distB="0" distL="0" distR="0" wp14:anchorId="1F7509E7" wp14:editId="7E56ACF9">
            <wp:extent cx="5975350" cy="3543300"/>
            <wp:effectExtent l="0" t="0" r="635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975350" cy="3543300"/>
                    </a:xfrm>
                    <a:prstGeom prst="rect">
                      <a:avLst/>
                    </a:prstGeom>
                    <a:noFill/>
                    <a:ln>
                      <a:noFill/>
                    </a:ln>
                  </pic:spPr>
                </pic:pic>
              </a:graphicData>
            </a:graphic>
          </wp:inline>
        </w:drawing>
      </w:r>
    </w:p>
    <w:p w14:paraId="27B5ACAF" w14:textId="105AA2EA" w:rsidR="006E6C8E" w:rsidRPr="0007572B" w:rsidRDefault="006E6C8E" w:rsidP="0038082E">
      <w:pPr>
        <w:jc w:val="both"/>
        <w:rPr>
          <w:rFonts w:ascii="Arial" w:hAnsi="Arial" w:cs="Arial"/>
          <w:b/>
        </w:rPr>
      </w:pPr>
    </w:p>
    <w:p w14:paraId="46C780EE" w14:textId="42E415B0" w:rsidR="000E2349" w:rsidRPr="0007572B" w:rsidRDefault="000E2349" w:rsidP="0038082E">
      <w:pPr>
        <w:pStyle w:val="Heading4bold"/>
      </w:pPr>
      <w:r w:rsidRPr="0007572B">
        <w:lastRenderedPageBreak/>
        <w:t>Fair Value of Assets &amp; Liabilities</w:t>
      </w:r>
    </w:p>
    <w:p w14:paraId="0BCCEBA4" w14:textId="77777777" w:rsidR="000E2349" w:rsidRPr="0007572B" w:rsidRDefault="000E2349" w:rsidP="0038082E">
      <w:pPr>
        <w:rPr>
          <w:rFonts w:ascii="Arial" w:hAnsi="Arial" w:cs="Arial"/>
        </w:rPr>
      </w:pPr>
      <w:r w:rsidRPr="0007572B">
        <w:rPr>
          <w:rFonts w:ascii="Arial" w:hAnsi="Arial" w:cs="Arial"/>
        </w:rPr>
        <w:t>Fair Value is the price that would be received to sell an asset or paid to transfer a liability in an orderly transaction between market participants at the measurement date.</w:t>
      </w:r>
    </w:p>
    <w:p w14:paraId="4F789904" w14:textId="77777777" w:rsidR="000E2349" w:rsidRPr="0007572B" w:rsidRDefault="000E2349" w:rsidP="0038082E">
      <w:pPr>
        <w:rPr>
          <w:rFonts w:ascii="Arial" w:hAnsi="Arial" w:cs="Arial"/>
          <w:highlight w:val="cyan"/>
        </w:rPr>
      </w:pPr>
    </w:p>
    <w:p w14:paraId="60930F42" w14:textId="3A567411" w:rsidR="000E2349" w:rsidRPr="0007572B" w:rsidRDefault="000E2349" w:rsidP="0038082E">
      <w:pPr>
        <w:rPr>
          <w:rFonts w:ascii="Arial" w:hAnsi="Arial" w:cs="Arial"/>
        </w:rPr>
      </w:pPr>
      <w:r w:rsidRPr="0007572B">
        <w:rPr>
          <w:rFonts w:ascii="Arial" w:hAnsi="Arial" w:cs="Arial"/>
        </w:rPr>
        <w:t>Assets and liabilities are carried at amortised cost where part of their carrying amount (as per the balance sheet) will either be written down or written up via the Comprehensive Income and Expenditure Statement over the term of the financial instrument.</w:t>
      </w:r>
    </w:p>
    <w:p w14:paraId="21AF910F" w14:textId="77777777" w:rsidR="00F201F3" w:rsidRPr="0007572B" w:rsidRDefault="00F201F3" w:rsidP="0038082E">
      <w:pPr>
        <w:rPr>
          <w:rFonts w:ascii="Arial" w:hAnsi="Arial" w:cs="Arial"/>
        </w:rPr>
      </w:pPr>
    </w:p>
    <w:p w14:paraId="04BD4AE5" w14:textId="75E6B7E2" w:rsidR="000E2349" w:rsidRDefault="000E2349" w:rsidP="0038082E">
      <w:pPr>
        <w:rPr>
          <w:rFonts w:ascii="Arial" w:hAnsi="Arial" w:cs="Arial"/>
        </w:rPr>
      </w:pPr>
      <w:r w:rsidRPr="0007572B">
        <w:rPr>
          <w:rFonts w:ascii="Arial" w:hAnsi="Arial" w:cs="Arial"/>
        </w:rPr>
        <w:t>For the purposes of the notes to the accounts, all assets and liabilities are given a fair value, although this is only shown in the balance sheet for available for sale assets. For many financial instruments the fair value will be the same as the outstanding principal amount, but for others there could be a significant difference.</w:t>
      </w:r>
    </w:p>
    <w:p w14:paraId="2F29430D" w14:textId="77777777" w:rsidR="00D4492C" w:rsidRPr="0007572B" w:rsidRDefault="00D4492C" w:rsidP="0038082E">
      <w:pPr>
        <w:rPr>
          <w:rFonts w:ascii="Arial" w:hAnsi="Arial" w:cs="Arial"/>
        </w:rPr>
      </w:pPr>
    </w:p>
    <w:p w14:paraId="24111FED" w14:textId="77777777" w:rsidR="000E2349" w:rsidRPr="0007572B" w:rsidRDefault="000E2349" w:rsidP="0038082E">
      <w:pPr>
        <w:pStyle w:val="Heading4bold"/>
      </w:pPr>
      <w:r w:rsidRPr="0007572B">
        <w:t>Fair Value Hierarchy</w:t>
      </w:r>
    </w:p>
    <w:p w14:paraId="3AB4E49C" w14:textId="77777777" w:rsidR="000E2349" w:rsidRPr="0007572B" w:rsidRDefault="000E2349" w:rsidP="0038082E">
      <w:pPr>
        <w:rPr>
          <w:rFonts w:ascii="Arial" w:hAnsi="Arial" w:cs="Arial"/>
          <w:lang w:val="en-US"/>
        </w:rPr>
      </w:pPr>
      <w:r w:rsidRPr="0007572B">
        <w:rPr>
          <w:rFonts w:ascii="Arial" w:hAnsi="Arial" w:cs="Arial"/>
          <w:lang w:val="en-US"/>
        </w:rPr>
        <w:t>Inputs to the valuation techniques in respect of the Authority’s fair value measurement of its assets and liabilities are categorised within the fair value hierarchy as follows:</w:t>
      </w:r>
    </w:p>
    <w:p w14:paraId="48B2FFD3" w14:textId="77777777" w:rsidR="000E2349" w:rsidRPr="0007572B" w:rsidRDefault="000E2349" w:rsidP="0038082E">
      <w:pPr>
        <w:rPr>
          <w:rFonts w:ascii="Arial" w:hAnsi="Arial" w:cs="Arial"/>
          <w:lang w:val="en-US"/>
        </w:rPr>
      </w:pPr>
    </w:p>
    <w:p w14:paraId="160D229D" w14:textId="1BF7F3D5" w:rsidR="000E2349" w:rsidRPr="0007572B" w:rsidRDefault="000E2349" w:rsidP="00EB27EB">
      <w:pPr>
        <w:pStyle w:val="ListParagraph"/>
        <w:numPr>
          <w:ilvl w:val="0"/>
          <w:numId w:val="30"/>
        </w:numPr>
        <w:spacing w:line="240" w:lineRule="auto"/>
        <w:rPr>
          <w:rFonts w:ascii="Arial" w:hAnsi="Arial" w:cs="Arial"/>
          <w:sz w:val="24"/>
          <w:szCs w:val="24"/>
          <w:lang w:val="en-US"/>
        </w:rPr>
      </w:pPr>
      <w:r w:rsidRPr="0007572B">
        <w:rPr>
          <w:rFonts w:ascii="Arial" w:hAnsi="Arial" w:cs="Arial"/>
          <w:sz w:val="24"/>
          <w:szCs w:val="24"/>
          <w:lang w:val="en-US"/>
        </w:rPr>
        <w:t xml:space="preserve">Level 1 – quoted prices (unadjusted) in active markets for identical assets or liabilities that the </w:t>
      </w:r>
      <w:r w:rsidR="00D952FE" w:rsidRPr="0007572B">
        <w:rPr>
          <w:rFonts w:ascii="Arial" w:hAnsi="Arial" w:cs="Arial"/>
          <w:sz w:val="24"/>
          <w:szCs w:val="24"/>
          <w:lang w:val="en-US"/>
        </w:rPr>
        <w:t>A</w:t>
      </w:r>
      <w:r w:rsidRPr="0007572B">
        <w:rPr>
          <w:rFonts w:ascii="Arial" w:hAnsi="Arial" w:cs="Arial"/>
          <w:sz w:val="24"/>
          <w:szCs w:val="24"/>
          <w:lang w:val="en-US"/>
        </w:rPr>
        <w:t>uthority can access at the measurement date.</w:t>
      </w:r>
    </w:p>
    <w:p w14:paraId="10F5962A" w14:textId="77777777" w:rsidR="000E2349" w:rsidRPr="0007572B" w:rsidRDefault="000E2349" w:rsidP="00EB27EB">
      <w:pPr>
        <w:pStyle w:val="ListParagraph"/>
        <w:numPr>
          <w:ilvl w:val="0"/>
          <w:numId w:val="30"/>
        </w:numPr>
        <w:spacing w:line="240" w:lineRule="auto"/>
        <w:rPr>
          <w:rFonts w:ascii="Arial" w:hAnsi="Arial" w:cs="Arial"/>
          <w:sz w:val="24"/>
          <w:szCs w:val="24"/>
          <w:lang w:val="en-US"/>
        </w:rPr>
      </w:pPr>
      <w:r w:rsidRPr="0007572B">
        <w:rPr>
          <w:rFonts w:ascii="Arial" w:hAnsi="Arial" w:cs="Arial"/>
          <w:sz w:val="24"/>
          <w:szCs w:val="24"/>
          <w:lang w:val="en-US"/>
        </w:rPr>
        <w:t>Level 2 – inputs other than quoted prices included within Level 1 that are observable for the asset or liability, either directly or indirectly.</w:t>
      </w:r>
    </w:p>
    <w:p w14:paraId="388E746B" w14:textId="77777777" w:rsidR="000E2349" w:rsidRPr="0007572B" w:rsidRDefault="000E2349" w:rsidP="00EB27EB">
      <w:pPr>
        <w:pStyle w:val="ListParagraph"/>
        <w:numPr>
          <w:ilvl w:val="0"/>
          <w:numId w:val="30"/>
        </w:numPr>
        <w:spacing w:line="240" w:lineRule="auto"/>
        <w:rPr>
          <w:rFonts w:ascii="Arial" w:hAnsi="Arial" w:cs="Arial"/>
          <w:sz w:val="24"/>
          <w:szCs w:val="24"/>
          <w:lang w:val="en-US"/>
        </w:rPr>
      </w:pPr>
      <w:r w:rsidRPr="0007572B">
        <w:rPr>
          <w:rFonts w:ascii="Arial" w:hAnsi="Arial" w:cs="Arial"/>
          <w:sz w:val="24"/>
          <w:szCs w:val="24"/>
          <w:lang w:val="en-US"/>
        </w:rPr>
        <w:t>Level 3 – unobservable inputs for the asset or liability.</w:t>
      </w:r>
    </w:p>
    <w:p w14:paraId="4C14F853" w14:textId="77777777" w:rsidR="000E2349" w:rsidRPr="0007572B" w:rsidRDefault="000E2349" w:rsidP="0038082E">
      <w:pPr>
        <w:rPr>
          <w:rFonts w:ascii="Arial" w:hAnsi="Arial" w:cs="Arial"/>
        </w:rPr>
      </w:pPr>
    </w:p>
    <w:p w14:paraId="510562D2" w14:textId="539A5EE4" w:rsidR="00C42CA7" w:rsidRPr="0007572B" w:rsidRDefault="000E2349" w:rsidP="0038082E">
      <w:pPr>
        <w:rPr>
          <w:rFonts w:ascii="Arial" w:hAnsi="Arial" w:cs="Arial"/>
        </w:rPr>
      </w:pPr>
      <w:r w:rsidRPr="0007572B">
        <w:rPr>
          <w:rFonts w:ascii="Arial" w:hAnsi="Arial" w:cs="Arial"/>
        </w:rPr>
        <w:t>Set out below is a comparison by class of the carrying amounts and fair value of the Authority's financial assets and financial liabilities:</w:t>
      </w:r>
    </w:p>
    <w:p w14:paraId="6E0A4284" w14:textId="77777777" w:rsidR="00746C9C" w:rsidRPr="0007572B" w:rsidRDefault="00746C9C" w:rsidP="0038082E">
      <w:pPr>
        <w:rPr>
          <w:rFonts w:ascii="Arial" w:hAnsi="Arial" w:cs="Arial"/>
        </w:rPr>
      </w:pPr>
    </w:p>
    <w:p w14:paraId="455863BA" w14:textId="35129C7B" w:rsidR="00084BB4" w:rsidRPr="0007572B" w:rsidRDefault="000E5109" w:rsidP="0038082E">
      <w:pPr>
        <w:rPr>
          <w:rFonts w:ascii="Arial" w:hAnsi="Arial" w:cs="Arial"/>
          <w:b/>
          <w:sz w:val="22"/>
          <w:szCs w:val="22"/>
        </w:rPr>
      </w:pPr>
      <w:r w:rsidRPr="000E5109">
        <w:rPr>
          <w:noProof/>
        </w:rPr>
        <w:drawing>
          <wp:inline distT="0" distB="0" distL="0" distR="0" wp14:anchorId="3923688F" wp14:editId="409FA579">
            <wp:extent cx="5975350" cy="2041525"/>
            <wp:effectExtent l="0" t="0" r="635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975350" cy="2041525"/>
                    </a:xfrm>
                    <a:prstGeom prst="rect">
                      <a:avLst/>
                    </a:prstGeom>
                    <a:noFill/>
                    <a:ln>
                      <a:noFill/>
                    </a:ln>
                  </pic:spPr>
                </pic:pic>
              </a:graphicData>
            </a:graphic>
          </wp:inline>
        </w:drawing>
      </w:r>
    </w:p>
    <w:p w14:paraId="480A31D3" w14:textId="37E50013" w:rsidR="00BE10B3" w:rsidRPr="0007572B" w:rsidRDefault="00BE10B3" w:rsidP="0038082E">
      <w:pPr>
        <w:rPr>
          <w:rFonts w:ascii="Arial" w:hAnsi="Arial" w:cs="Arial"/>
          <w:sz w:val="22"/>
          <w:szCs w:val="22"/>
        </w:rPr>
      </w:pPr>
    </w:p>
    <w:p w14:paraId="01182FE6" w14:textId="77777777" w:rsidR="00BE10B3" w:rsidRPr="0007572B" w:rsidRDefault="00BE10B3" w:rsidP="0038082E">
      <w:pPr>
        <w:rPr>
          <w:rFonts w:ascii="Arial" w:hAnsi="Arial" w:cs="Arial"/>
        </w:rPr>
      </w:pPr>
    </w:p>
    <w:p w14:paraId="76BC23B1" w14:textId="77777777" w:rsidR="000E2349" w:rsidRPr="0007572B" w:rsidRDefault="000E2349" w:rsidP="0038082E">
      <w:pPr>
        <w:rPr>
          <w:rFonts w:ascii="Arial" w:hAnsi="Arial" w:cs="Arial"/>
        </w:rPr>
      </w:pPr>
      <w:r w:rsidRPr="0007572B">
        <w:rPr>
          <w:rFonts w:ascii="Arial" w:hAnsi="Arial" w:cs="Arial"/>
        </w:rPr>
        <w:t xml:space="preserve">The fair values disclosed in the table above have been assessed using the following assumptions: </w:t>
      </w:r>
    </w:p>
    <w:p w14:paraId="2AB22DFF" w14:textId="77777777" w:rsidR="000E2349" w:rsidRPr="0007572B" w:rsidRDefault="000E2349" w:rsidP="0038082E">
      <w:pPr>
        <w:rPr>
          <w:rFonts w:ascii="Arial" w:hAnsi="Arial" w:cs="Arial"/>
        </w:rPr>
      </w:pPr>
    </w:p>
    <w:p w14:paraId="109B4A4F" w14:textId="2A419D2B" w:rsidR="000E2349" w:rsidRPr="00CA26F7" w:rsidRDefault="000E2349" w:rsidP="00EB27EB">
      <w:pPr>
        <w:pStyle w:val="Normal0"/>
        <w:numPr>
          <w:ilvl w:val="0"/>
          <w:numId w:val="37"/>
        </w:numPr>
        <w:spacing w:after="120" w:line="240" w:lineRule="auto"/>
        <w:ind w:left="714" w:hanging="357"/>
        <w:rPr>
          <w:rFonts w:ascii="Arial" w:eastAsia="Verdana" w:hAnsi="Arial" w:cs="Arial"/>
          <w:sz w:val="24"/>
          <w:szCs w:val="24"/>
          <w:lang w:val="en-GB"/>
        </w:rPr>
      </w:pPr>
      <w:r w:rsidRPr="00CA26F7">
        <w:rPr>
          <w:rFonts w:ascii="Arial" w:eastAsia="Verdana" w:hAnsi="Arial" w:cs="Arial"/>
          <w:sz w:val="24"/>
          <w:szCs w:val="24"/>
          <w:lang w:val="en-GB"/>
        </w:rPr>
        <w:t>The Authority holds £</w:t>
      </w:r>
      <w:r w:rsidR="00350F78" w:rsidRPr="00CA26F7">
        <w:rPr>
          <w:rFonts w:ascii="Arial" w:eastAsia="Verdana" w:hAnsi="Arial" w:cs="Arial"/>
          <w:sz w:val="24"/>
          <w:szCs w:val="24"/>
          <w:lang w:val="en-GB"/>
        </w:rPr>
        <w:t>40,766m</w:t>
      </w:r>
      <w:r w:rsidRPr="00CA26F7">
        <w:rPr>
          <w:rFonts w:ascii="Arial" w:eastAsia="Verdana" w:hAnsi="Arial" w:cs="Arial"/>
          <w:sz w:val="24"/>
          <w:szCs w:val="24"/>
          <w:lang w:val="en-GB"/>
        </w:rPr>
        <w:t xml:space="preserve"> in equity investments for a number of businesses that previously held loans plus other direct investments in </w:t>
      </w:r>
      <w:r w:rsidR="00126BFE" w:rsidRPr="00CA26F7">
        <w:rPr>
          <w:rFonts w:ascii="Arial" w:eastAsia="Verdana" w:hAnsi="Arial" w:cs="Arial"/>
          <w:sz w:val="24"/>
          <w:szCs w:val="24"/>
          <w:lang w:val="en-GB"/>
        </w:rPr>
        <w:t>2021/22</w:t>
      </w:r>
      <w:r w:rsidRPr="00CA26F7">
        <w:rPr>
          <w:rFonts w:ascii="Arial" w:eastAsia="Verdana" w:hAnsi="Arial" w:cs="Arial"/>
          <w:sz w:val="24"/>
          <w:szCs w:val="24"/>
          <w:lang w:val="en-GB"/>
        </w:rPr>
        <w:t xml:space="preserve">. These shares are not traded in active markets. The shares are valued based on level 2 - observable input data from the companies, such as latest filed accounts and management accounting reports. </w:t>
      </w:r>
    </w:p>
    <w:p w14:paraId="7E535D25" w14:textId="09F28219" w:rsidR="000E2349" w:rsidRPr="00CA26F7" w:rsidRDefault="000E2349" w:rsidP="00EB27EB">
      <w:pPr>
        <w:pStyle w:val="Normal0"/>
        <w:numPr>
          <w:ilvl w:val="0"/>
          <w:numId w:val="37"/>
        </w:numPr>
        <w:spacing w:after="120" w:line="240" w:lineRule="auto"/>
        <w:ind w:left="714" w:hanging="357"/>
        <w:rPr>
          <w:rFonts w:ascii="Arial" w:hAnsi="Arial" w:cs="Arial"/>
          <w:sz w:val="24"/>
          <w:szCs w:val="24"/>
        </w:rPr>
      </w:pPr>
      <w:r w:rsidRPr="00CA26F7">
        <w:rPr>
          <w:rFonts w:ascii="Arial" w:eastAsia="Verdana" w:hAnsi="Arial" w:cs="Arial"/>
          <w:sz w:val="24"/>
          <w:szCs w:val="24"/>
          <w:lang w:val="en-GB"/>
        </w:rPr>
        <w:lastRenderedPageBreak/>
        <w:t>There have been no transfers between input levels or changes in valuation techniques during</w:t>
      </w:r>
      <w:r w:rsidRPr="00CA26F7">
        <w:rPr>
          <w:rFonts w:ascii="Arial" w:hAnsi="Arial" w:cs="Arial"/>
          <w:sz w:val="24"/>
          <w:szCs w:val="24"/>
        </w:rPr>
        <w:t xml:space="preserve"> </w:t>
      </w:r>
      <w:r w:rsidR="00126BFE" w:rsidRPr="00CA26F7">
        <w:rPr>
          <w:rFonts w:ascii="Arial" w:hAnsi="Arial" w:cs="Arial"/>
          <w:sz w:val="24"/>
          <w:szCs w:val="24"/>
        </w:rPr>
        <w:t>2021/22</w:t>
      </w:r>
      <w:r w:rsidRPr="00CA26F7">
        <w:rPr>
          <w:rFonts w:ascii="Arial" w:hAnsi="Arial" w:cs="Arial"/>
          <w:sz w:val="24"/>
          <w:szCs w:val="24"/>
        </w:rPr>
        <w:t xml:space="preserve"> for this class of asset.</w:t>
      </w:r>
    </w:p>
    <w:p w14:paraId="4D8787CC" w14:textId="1D8E3293" w:rsidR="000E2349" w:rsidRPr="00CA26F7" w:rsidRDefault="000E2349" w:rsidP="00EB27EB">
      <w:pPr>
        <w:pStyle w:val="Normal0"/>
        <w:numPr>
          <w:ilvl w:val="0"/>
          <w:numId w:val="37"/>
        </w:numPr>
        <w:spacing w:after="120" w:line="240" w:lineRule="auto"/>
        <w:ind w:left="714" w:hanging="357"/>
        <w:rPr>
          <w:rFonts w:ascii="Arial" w:eastAsia="Verdana" w:hAnsi="Arial" w:cs="Arial"/>
          <w:sz w:val="24"/>
          <w:szCs w:val="24"/>
          <w:lang w:val="en-GB"/>
        </w:rPr>
      </w:pPr>
      <w:r w:rsidRPr="00CA26F7">
        <w:rPr>
          <w:rFonts w:ascii="Arial" w:eastAsia="Verdana" w:hAnsi="Arial" w:cs="Arial"/>
          <w:sz w:val="24"/>
          <w:szCs w:val="24"/>
          <w:lang w:val="en-GB"/>
        </w:rPr>
        <w:t xml:space="preserve">The fair value of cash and cash equivalents, short-term debtors and short-term creditors is taken to be their carrying amount as this is deemed to provide a reasonable approximation in accordance with the </w:t>
      </w:r>
      <w:r w:rsidR="00F802A8" w:rsidRPr="00CA26F7">
        <w:rPr>
          <w:rFonts w:ascii="Arial" w:eastAsia="Verdana" w:hAnsi="Arial" w:cs="Arial"/>
          <w:sz w:val="24"/>
          <w:szCs w:val="24"/>
          <w:lang w:val="en-GB"/>
        </w:rPr>
        <w:t>CIPFA</w:t>
      </w:r>
      <w:r w:rsidRPr="00CA26F7">
        <w:rPr>
          <w:rFonts w:ascii="Arial" w:eastAsia="Verdana" w:hAnsi="Arial" w:cs="Arial"/>
          <w:sz w:val="24"/>
          <w:szCs w:val="24"/>
          <w:lang w:val="en-GB"/>
        </w:rPr>
        <w:t xml:space="preserve"> Code of Practice.</w:t>
      </w:r>
    </w:p>
    <w:p w14:paraId="79C37A66" w14:textId="6BFA0812" w:rsidR="000E2349" w:rsidRPr="00CA26F7" w:rsidRDefault="00B55523" w:rsidP="00EB27EB">
      <w:pPr>
        <w:pStyle w:val="Normal0"/>
        <w:numPr>
          <w:ilvl w:val="0"/>
          <w:numId w:val="37"/>
        </w:numPr>
        <w:spacing w:after="120" w:line="240" w:lineRule="auto"/>
        <w:ind w:left="714" w:hanging="357"/>
        <w:rPr>
          <w:rFonts w:ascii="Arial" w:eastAsia="Verdana" w:hAnsi="Arial" w:cs="Arial"/>
          <w:sz w:val="24"/>
          <w:szCs w:val="24"/>
          <w:lang w:val="en-GB"/>
        </w:rPr>
      </w:pPr>
      <w:r w:rsidRPr="00CA26F7">
        <w:rPr>
          <w:rFonts w:ascii="Arial" w:eastAsia="Verdana" w:hAnsi="Arial" w:cs="Arial"/>
          <w:sz w:val="24"/>
          <w:szCs w:val="24"/>
          <w:lang w:val="en-GB"/>
        </w:rPr>
        <w:t xml:space="preserve">The fair value of soft loan short-term and long-term debtors has been calculated using an interest rate arrived at by taking the </w:t>
      </w:r>
      <w:r w:rsidR="00D952FE" w:rsidRPr="00CA26F7">
        <w:rPr>
          <w:rFonts w:ascii="Arial" w:eastAsia="Verdana" w:hAnsi="Arial" w:cs="Arial"/>
          <w:sz w:val="24"/>
          <w:szCs w:val="24"/>
          <w:lang w:val="en-GB"/>
        </w:rPr>
        <w:t>A</w:t>
      </w:r>
      <w:r w:rsidRPr="00CA26F7">
        <w:rPr>
          <w:rFonts w:ascii="Arial" w:eastAsia="Verdana" w:hAnsi="Arial" w:cs="Arial"/>
          <w:sz w:val="24"/>
          <w:szCs w:val="24"/>
          <w:lang w:val="en-GB"/>
        </w:rPr>
        <w:t>uthority’s prevailing cost of borrowing and adding an allowance for the risk that the loans might not be repaid.</w:t>
      </w:r>
    </w:p>
    <w:p w14:paraId="696882C3" w14:textId="416942AF" w:rsidR="00B55523" w:rsidRPr="00CA26F7" w:rsidRDefault="00B55523" w:rsidP="00EB27EB">
      <w:pPr>
        <w:pStyle w:val="Normal0"/>
        <w:numPr>
          <w:ilvl w:val="0"/>
          <w:numId w:val="37"/>
        </w:numPr>
        <w:spacing w:after="120" w:line="240" w:lineRule="auto"/>
        <w:ind w:left="714" w:hanging="357"/>
        <w:rPr>
          <w:rFonts w:ascii="Arial" w:eastAsia="Verdana" w:hAnsi="Arial" w:cs="Arial"/>
          <w:sz w:val="24"/>
          <w:szCs w:val="24"/>
          <w:lang w:val="en-GB"/>
        </w:rPr>
      </w:pPr>
      <w:r w:rsidRPr="00CA26F7">
        <w:rPr>
          <w:rFonts w:ascii="Arial" w:eastAsia="Verdana" w:hAnsi="Arial" w:cs="Arial"/>
          <w:sz w:val="24"/>
          <w:szCs w:val="24"/>
          <w:lang w:val="en-GB"/>
        </w:rPr>
        <w:t>The fair value of other long-term debtors has been evaluated and where these relate to loan advances greater than £3m, prevailing benchmark market rates have been applied to provide the fair value. All other long-term debtors are included at their carrying value</w:t>
      </w:r>
      <w:r w:rsidR="00D024DF" w:rsidRPr="00CA26F7">
        <w:rPr>
          <w:rFonts w:ascii="Arial" w:eastAsia="Verdana" w:hAnsi="Arial" w:cs="Arial"/>
          <w:sz w:val="24"/>
          <w:szCs w:val="24"/>
          <w:lang w:val="en-GB"/>
        </w:rPr>
        <w:t>.</w:t>
      </w:r>
    </w:p>
    <w:p w14:paraId="54829931" w14:textId="33824919" w:rsidR="000E2349" w:rsidRPr="0007572B" w:rsidRDefault="000E2349" w:rsidP="00EB27EB">
      <w:pPr>
        <w:pStyle w:val="Normal0"/>
        <w:numPr>
          <w:ilvl w:val="0"/>
          <w:numId w:val="37"/>
        </w:numPr>
        <w:spacing w:after="120" w:line="240" w:lineRule="auto"/>
        <w:ind w:left="714" w:hanging="357"/>
        <w:rPr>
          <w:rFonts w:ascii="Arial" w:eastAsia="Verdana" w:hAnsi="Arial" w:cs="Arial"/>
          <w:sz w:val="24"/>
          <w:szCs w:val="24"/>
          <w:lang w:val="en-GB"/>
        </w:rPr>
      </w:pPr>
      <w:r w:rsidRPr="0007572B">
        <w:rPr>
          <w:rFonts w:ascii="Arial" w:eastAsia="Verdana" w:hAnsi="Arial" w:cs="Arial"/>
          <w:sz w:val="24"/>
          <w:szCs w:val="24"/>
          <w:lang w:val="en-GB"/>
        </w:rPr>
        <w:t xml:space="preserve">Fair value for PFI schemes cannot be obtained as there is no comparable information </w:t>
      </w:r>
      <w:r w:rsidR="0022418C" w:rsidRPr="0007572B">
        <w:rPr>
          <w:rFonts w:ascii="Arial" w:eastAsia="Verdana" w:hAnsi="Arial" w:cs="Arial"/>
          <w:sz w:val="24"/>
          <w:szCs w:val="24"/>
          <w:lang w:val="en-GB"/>
        </w:rPr>
        <w:t>available,</w:t>
      </w:r>
      <w:r w:rsidRPr="0007572B">
        <w:rPr>
          <w:rFonts w:ascii="Arial" w:eastAsia="Verdana" w:hAnsi="Arial" w:cs="Arial"/>
          <w:sz w:val="24"/>
          <w:szCs w:val="24"/>
          <w:lang w:val="en-GB"/>
        </w:rPr>
        <w:t xml:space="preserve"> and these have therefore been shown at cost.</w:t>
      </w:r>
    </w:p>
    <w:p w14:paraId="5D23948B" w14:textId="3C724BBE" w:rsidR="000E2349" w:rsidRPr="0007572B" w:rsidRDefault="000E2349" w:rsidP="00EB27EB">
      <w:pPr>
        <w:pStyle w:val="Normal0"/>
        <w:numPr>
          <w:ilvl w:val="0"/>
          <w:numId w:val="37"/>
        </w:numPr>
        <w:spacing w:after="120" w:line="240" w:lineRule="auto"/>
        <w:ind w:left="714" w:hanging="357"/>
        <w:rPr>
          <w:rFonts w:ascii="Arial" w:eastAsia="Verdana" w:hAnsi="Arial" w:cs="Arial"/>
          <w:sz w:val="24"/>
          <w:szCs w:val="24"/>
          <w:lang w:val="en-GB"/>
        </w:rPr>
      </w:pPr>
      <w:r w:rsidRPr="0007572B">
        <w:rPr>
          <w:rFonts w:ascii="Arial" w:eastAsia="Verdana" w:hAnsi="Arial" w:cs="Arial"/>
          <w:sz w:val="24"/>
          <w:szCs w:val="24"/>
          <w:lang w:val="en-GB"/>
        </w:rPr>
        <w:t xml:space="preserve">PWLB loans – premature repayment loan rates from the PWLB have been applied to provide the fair value. In comparison, by applying PWLB new loan rates their fair value would be </w:t>
      </w:r>
      <w:r w:rsidRPr="00A2072D">
        <w:rPr>
          <w:rFonts w:ascii="Arial" w:eastAsia="Verdana" w:hAnsi="Arial" w:cs="Arial"/>
          <w:sz w:val="24"/>
          <w:szCs w:val="24"/>
          <w:lang w:val="en-GB"/>
        </w:rPr>
        <w:t>£</w:t>
      </w:r>
      <w:r w:rsidR="00114D57" w:rsidRPr="00A2072D">
        <w:rPr>
          <w:rFonts w:ascii="Arial" w:eastAsia="Verdana" w:hAnsi="Arial" w:cs="Arial"/>
          <w:sz w:val="24"/>
          <w:szCs w:val="24"/>
          <w:lang w:val="en-GB"/>
        </w:rPr>
        <w:t>682</w:t>
      </w:r>
      <w:r w:rsidR="003F1F09" w:rsidRPr="00A2072D">
        <w:rPr>
          <w:rFonts w:ascii="Arial" w:eastAsia="Verdana" w:hAnsi="Arial" w:cs="Arial"/>
          <w:sz w:val="24"/>
          <w:szCs w:val="24"/>
          <w:lang w:val="en-GB"/>
        </w:rPr>
        <w:t>.</w:t>
      </w:r>
      <w:r w:rsidR="00114D57" w:rsidRPr="00A2072D">
        <w:rPr>
          <w:rFonts w:ascii="Arial" w:eastAsia="Verdana" w:hAnsi="Arial" w:cs="Arial"/>
          <w:sz w:val="24"/>
          <w:szCs w:val="24"/>
          <w:lang w:val="en-GB"/>
        </w:rPr>
        <w:t>266</w:t>
      </w:r>
      <w:r w:rsidR="003F1F09" w:rsidRPr="00A2072D">
        <w:rPr>
          <w:rFonts w:ascii="Arial" w:eastAsia="Verdana" w:hAnsi="Arial" w:cs="Arial"/>
          <w:sz w:val="24"/>
          <w:szCs w:val="24"/>
          <w:lang w:val="en-GB"/>
        </w:rPr>
        <w:t>m</w:t>
      </w:r>
      <w:r w:rsidRPr="00A2072D">
        <w:rPr>
          <w:rFonts w:ascii="Arial" w:eastAsia="Verdana" w:hAnsi="Arial" w:cs="Arial"/>
          <w:sz w:val="24"/>
          <w:szCs w:val="24"/>
          <w:lang w:val="en-GB"/>
        </w:rPr>
        <w:t>.</w:t>
      </w:r>
    </w:p>
    <w:p w14:paraId="47B91AC7" w14:textId="678B5657" w:rsidR="000E2349" w:rsidRDefault="000E2349" w:rsidP="00EB27EB">
      <w:pPr>
        <w:pStyle w:val="Normal0"/>
        <w:numPr>
          <w:ilvl w:val="0"/>
          <w:numId w:val="37"/>
        </w:numPr>
        <w:spacing w:line="240" w:lineRule="auto"/>
        <w:rPr>
          <w:rFonts w:ascii="Arial" w:eastAsia="Verdana" w:hAnsi="Arial" w:cs="Arial"/>
          <w:sz w:val="24"/>
          <w:szCs w:val="24"/>
          <w:lang w:val="en-GB"/>
        </w:rPr>
      </w:pPr>
      <w:r w:rsidRPr="0007572B">
        <w:rPr>
          <w:rFonts w:ascii="Arial" w:eastAsia="Verdana" w:hAnsi="Arial" w:cs="Arial"/>
          <w:sz w:val="24"/>
          <w:szCs w:val="24"/>
          <w:lang w:val="en-GB"/>
        </w:rPr>
        <w:t xml:space="preserve">Non-PWLB loans – premature repayment loan rates from the PWLB have been applied to provide the fair value. In comparison, by applying PWLB new loan rates their fair value would be </w:t>
      </w:r>
      <w:r w:rsidRPr="00A2072D">
        <w:rPr>
          <w:rFonts w:ascii="Arial" w:eastAsia="Verdana" w:hAnsi="Arial" w:cs="Arial"/>
          <w:sz w:val="24"/>
          <w:szCs w:val="24"/>
          <w:lang w:val="en-GB"/>
        </w:rPr>
        <w:t>£</w:t>
      </w:r>
      <w:r w:rsidR="003F1F09" w:rsidRPr="00A2072D">
        <w:rPr>
          <w:rFonts w:ascii="Arial" w:eastAsia="Verdana" w:hAnsi="Arial" w:cs="Arial"/>
          <w:sz w:val="24"/>
          <w:szCs w:val="24"/>
          <w:lang w:val="en-GB"/>
        </w:rPr>
        <w:t>1,</w:t>
      </w:r>
      <w:r w:rsidR="00114D57" w:rsidRPr="00A2072D">
        <w:rPr>
          <w:rFonts w:ascii="Arial" w:eastAsia="Verdana" w:hAnsi="Arial" w:cs="Arial"/>
          <w:sz w:val="24"/>
          <w:szCs w:val="24"/>
          <w:lang w:val="en-GB"/>
        </w:rPr>
        <w:t>003</w:t>
      </w:r>
      <w:r w:rsidR="003F1F09" w:rsidRPr="00A2072D">
        <w:rPr>
          <w:rFonts w:ascii="Arial" w:eastAsia="Verdana" w:hAnsi="Arial" w:cs="Arial"/>
          <w:sz w:val="24"/>
          <w:szCs w:val="24"/>
          <w:lang w:val="en-GB"/>
        </w:rPr>
        <w:t>.</w:t>
      </w:r>
      <w:r w:rsidR="00114D57" w:rsidRPr="00A2072D">
        <w:rPr>
          <w:rFonts w:ascii="Arial" w:eastAsia="Verdana" w:hAnsi="Arial" w:cs="Arial"/>
          <w:sz w:val="24"/>
          <w:szCs w:val="24"/>
          <w:lang w:val="en-GB"/>
        </w:rPr>
        <w:t>138</w:t>
      </w:r>
      <w:r w:rsidR="003F1F09" w:rsidRPr="00A2072D">
        <w:rPr>
          <w:rFonts w:ascii="Arial" w:eastAsia="Verdana" w:hAnsi="Arial" w:cs="Arial"/>
          <w:sz w:val="24"/>
          <w:szCs w:val="24"/>
          <w:lang w:val="en-GB"/>
        </w:rPr>
        <w:t>m</w:t>
      </w:r>
      <w:r w:rsidRPr="00A2072D">
        <w:rPr>
          <w:rFonts w:ascii="Arial" w:eastAsia="Verdana" w:hAnsi="Arial" w:cs="Arial"/>
          <w:sz w:val="24"/>
          <w:szCs w:val="24"/>
          <w:lang w:val="en-GB"/>
        </w:rPr>
        <w:t>.</w:t>
      </w:r>
    </w:p>
    <w:p w14:paraId="30445641" w14:textId="77777777" w:rsidR="00CF101C" w:rsidRPr="0007572B" w:rsidRDefault="00CF101C" w:rsidP="006219CE">
      <w:pPr>
        <w:pStyle w:val="Normal0"/>
        <w:spacing w:line="240" w:lineRule="auto"/>
        <w:ind w:left="720"/>
        <w:rPr>
          <w:rFonts w:ascii="Arial" w:eastAsia="Verdana" w:hAnsi="Arial" w:cs="Arial"/>
          <w:sz w:val="24"/>
          <w:szCs w:val="24"/>
          <w:lang w:val="en-GB"/>
        </w:rPr>
      </w:pPr>
    </w:p>
    <w:p w14:paraId="2B0CADC5" w14:textId="77777777" w:rsidR="000E2349" w:rsidRPr="0007572B" w:rsidRDefault="000E2349" w:rsidP="00EB27EB">
      <w:pPr>
        <w:pStyle w:val="Normal0"/>
        <w:numPr>
          <w:ilvl w:val="0"/>
          <w:numId w:val="37"/>
        </w:numPr>
        <w:spacing w:line="240" w:lineRule="auto"/>
        <w:rPr>
          <w:rFonts w:ascii="Arial" w:eastAsia="Verdana" w:hAnsi="Arial" w:cs="Arial"/>
          <w:sz w:val="24"/>
          <w:szCs w:val="24"/>
          <w:lang w:val="en-GB"/>
        </w:rPr>
      </w:pPr>
      <w:r w:rsidRPr="0007572B">
        <w:rPr>
          <w:rFonts w:ascii="Arial" w:eastAsia="Verdana" w:hAnsi="Arial" w:cs="Arial"/>
          <w:sz w:val="24"/>
          <w:szCs w:val="24"/>
          <w:lang w:val="en-GB"/>
        </w:rPr>
        <w:t>The valuation techniques used for PWLB and non-PWLB debt are level 2 –observable inputs. There have been no changes in valuation technique during the financial year.</w:t>
      </w:r>
    </w:p>
    <w:p w14:paraId="7D8753A0" w14:textId="77777777" w:rsidR="000E2349" w:rsidRPr="0007572B" w:rsidRDefault="000E2349" w:rsidP="0038082E">
      <w:pPr>
        <w:pStyle w:val="Normal0"/>
        <w:spacing w:line="240" w:lineRule="auto"/>
        <w:ind w:left="720" w:hanging="720"/>
        <w:rPr>
          <w:rFonts w:ascii="Arial" w:eastAsia="Verdana" w:hAnsi="Arial" w:cs="Arial"/>
          <w:sz w:val="24"/>
          <w:szCs w:val="24"/>
          <w:lang w:val="en-GB"/>
        </w:rPr>
      </w:pPr>
    </w:p>
    <w:p w14:paraId="4BA01796" w14:textId="4EF68536" w:rsidR="000E2349" w:rsidRPr="0007572B" w:rsidRDefault="000E2349" w:rsidP="0038082E">
      <w:pPr>
        <w:pStyle w:val="Normal0"/>
        <w:spacing w:line="240" w:lineRule="auto"/>
        <w:rPr>
          <w:rFonts w:ascii="Arial" w:eastAsia="Verdana" w:hAnsi="Arial" w:cs="Arial"/>
          <w:sz w:val="24"/>
          <w:szCs w:val="24"/>
          <w:lang w:val="en-GB"/>
        </w:rPr>
      </w:pPr>
      <w:r w:rsidRPr="0007572B">
        <w:rPr>
          <w:rFonts w:ascii="Arial" w:eastAsia="Verdana" w:hAnsi="Arial" w:cs="Arial"/>
          <w:sz w:val="24"/>
          <w:szCs w:val="24"/>
          <w:lang w:val="en-GB"/>
        </w:rPr>
        <w:t>The purpose of the fair value disclosure is primarily to provide a comparison with the carrying value, which includes accrued interest as at the balance sheet date. The Authority has therefore included accrued interest in the fair value calculation.</w:t>
      </w:r>
    </w:p>
    <w:p w14:paraId="57B5B613" w14:textId="77777777" w:rsidR="000E2349" w:rsidRPr="0007572B" w:rsidRDefault="000E2349" w:rsidP="0038082E">
      <w:pPr>
        <w:pStyle w:val="Normal0"/>
        <w:spacing w:line="240" w:lineRule="auto"/>
        <w:ind w:left="720" w:hanging="720"/>
        <w:rPr>
          <w:rFonts w:ascii="Arial" w:eastAsia="Verdana" w:hAnsi="Arial" w:cs="Arial"/>
          <w:sz w:val="24"/>
          <w:szCs w:val="24"/>
          <w:lang w:val="en-GB"/>
        </w:rPr>
      </w:pPr>
      <w:r w:rsidRPr="0007572B">
        <w:rPr>
          <w:rFonts w:ascii="Arial" w:eastAsia="Verdana" w:hAnsi="Arial" w:cs="Arial"/>
          <w:sz w:val="24"/>
          <w:szCs w:val="24"/>
          <w:lang w:val="en-GB"/>
        </w:rPr>
        <w:tab/>
      </w:r>
    </w:p>
    <w:p w14:paraId="7116D5E9" w14:textId="5DCA699D" w:rsidR="000E2349" w:rsidRPr="0007572B" w:rsidRDefault="000E2349" w:rsidP="0038082E">
      <w:pPr>
        <w:pStyle w:val="Normal0"/>
        <w:spacing w:line="240" w:lineRule="auto"/>
        <w:rPr>
          <w:rFonts w:ascii="Arial" w:eastAsia="Verdana" w:hAnsi="Arial" w:cs="Arial"/>
          <w:sz w:val="24"/>
          <w:szCs w:val="24"/>
          <w:lang w:val="en-GB"/>
        </w:rPr>
      </w:pPr>
      <w:r w:rsidRPr="0007572B">
        <w:rPr>
          <w:rFonts w:ascii="Arial" w:eastAsia="Verdana" w:hAnsi="Arial" w:cs="Arial"/>
          <w:sz w:val="24"/>
          <w:szCs w:val="24"/>
          <w:lang w:val="en-GB"/>
        </w:rPr>
        <w:t>The discount rates used for the evaluation were obtained by the Authority from Link Asset Services. The Link Asset Group is a leading and independent provider of capital financing, treasury advisory and strategic advisory consulting services to the public sector.</w:t>
      </w:r>
    </w:p>
    <w:p w14:paraId="141931C6" w14:textId="77777777" w:rsidR="000E2349" w:rsidRPr="0007572B" w:rsidRDefault="000E2349" w:rsidP="0038082E">
      <w:pPr>
        <w:pStyle w:val="Normal0"/>
        <w:spacing w:line="240" w:lineRule="auto"/>
        <w:rPr>
          <w:rFonts w:ascii="Arial" w:eastAsia="Verdana" w:hAnsi="Arial" w:cs="Arial"/>
          <w:sz w:val="24"/>
          <w:szCs w:val="24"/>
          <w:lang w:val="en-GB"/>
        </w:rPr>
      </w:pPr>
    </w:p>
    <w:p w14:paraId="25974296" w14:textId="77777777" w:rsidR="000E2349" w:rsidRPr="0007572B" w:rsidRDefault="000E2349" w:rsidP="0038082E">
      <w:pPr>
        <w:rPr>
          <w:rFonts w:ascii="Arial" w:hAnsi="Arial" w:cs="Arial"/>
        </w:rPr>
      </w:pPr>
      <w:r w:rsidRPr="0007572B">
        <w:rPr>
          <w:rFonts w:ascii="Arial" w:eastAsia="Verdana" w:hAnsi="Arial" w:cs="Arial"/>
        </w:rPr>
        <w:t>Assumptions used, which do not have a material effect on the fair value evaluation are: interest is calculated using a 365 day basis; interest is paid on the maturity date; no adjustment is made to the interest value and date where a relevant date occurs on a non-working day.</w:t>
      </w:r>
    </w:p>
    <w:p w14:paraId="36E23D2C" w14:textId="77777777" w:rsidR="000E2349" w:rsidRPr="0007572B" w:rsidRDefault="000E2349" w:rsidP="0038082E">
      <w:pPr>
        <w:rPr>
          <w:rFonts w:ascii="Arial" w:hAnsi="Arial" w:cs="Arial"/>
          <w:sz w:val="22"/>
          <w:szCs w:val="22"/>
        </w:rPr>
      </w:pPr>
    </w:p>
    <w:p w14:paraId="31DDE2F0" w14:textId="77777777" w:rsidR="00EB27EB" w:rsidRDefault="00EB27EB">
      <w:pPr>
        <w:rPr>
          <w:rFonts w:ascii="Arial" w:hAnsi="Arial" w:cs="Arial"/>
        </w:rPr>
      </w:pPr>
      <w:r>
        <w:rPr>
          <w:rFonts w:ascii="Arial" w:hAnsi="Arial" w:cs="Arial"/>
        </w:rPr>
        <w:br w:type="page"/>
      </w:r>
    </w:p>
    <w:p w14:paraId="6B9EA7C6" w14:textId="553D75D2" w:rsidR="002B3C1D" w:rsidRDefault="000E2349" w:rsidP="0038082E">
      <w:pPr>
        <w:rPr>
          <w:rFonts w:ascii="Arial" w:hAnsi="Arial" w:cs="Arial"/>
        </w:rPr>
      </w:pPr>
      <w:r w:rsidRPr="0007572B">
        <w:rPr>
          <w:rFonts w:ascii="Arial" w:hAnsi="Arial" w:cs="Arial"/>
        </w:rPr>
        <w:lastRenderedPageBreak/>
        <w:t>Loans and Borrowings are set out by type of loan and by maturity in the table below:</w:t>
      </w:r>
    </w:p>
    <w:p w14:paraId="77677A2E" w14:textId="33216540" w:rsidR="00D4492C" w:rsidRDefault="00D4492C" w:rsidP="0038082E">
      <w:pPr>
        <w:rPr>
          <w:rFonts w:ascii="Arial" w:hAnsi="Arial" w:cs="Arial"/>
        </w:rPr>
      </w:pPr>
    </w:p>
    <w:p w14:paraId="233617C0" w14:textId="7A9FFC3F" w:rsidR="000E5109" w:rsidRPr="0007572B" w:rsidRDefault="000E5109" w:rsidP="0038082E">
      <w:pPr>
        <w:rPr>
          <w:rFonts w:ascii="Arial" w:hAnsi="Arial" w:cs="Arial"/>
        </w:rPr>
      </w:pPr>
      <w:r w:rsidRPr="000E5109">
        <w:rPr>
          <w:noProof/>
        </w:rPr>
        <w:drawing>
          <wp:inline distT="0" distB="0" distL="0" distR="0" wp14:anchorId="7F97EF50" wp14:editId="6B78D1F7">
            <wp:extent cx="5975350" cy="4333875"/>
            <wp:effectExtent l="0" t="0" r="635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975350" cy="4333875"/>
                    </a:xfrm>
                    <a:prstGeom prst="rect">
                      <a:avLst/>
                    </a:prstGeom>
                    <a:noFill/>
                    <a:ln>
                      <a:noFill/>
                    </a:ln>
                  </pic:spPr>
                </pic:pic>
              </a:graphicData>
            </a:graphic>
          </wp:inline>
        </w:drawing>
      </w:r>
    </w:p>
    <w:p w14:paraId="5BB90A61" w14:textId="5E8BC56A" w:rsidR="00C70967" w:rsidRPr="0007572B" w:rsidRDefault="00C70967" w:rsidP="0038082E">
      <w:pPr>
        <w:jc w:val="both"/>
        <w:rPr>
          <w:rFonts w:ascii="Arial" w:hAnsi="Arial" w:cs="Arial"/>
          <w:b/>
          <w:sz w:val="22"/>
          <w:szCs w:val="22"/>
        </w:rPr>
      </w:pPr>
    </w:p>
    <w:p w14:paraId="7C5216BC" w14:textId="242D02B8" w:rsidR="007C64B7" w:rsidRPr="0007572B" w:rsidRDefault="00876B48" w:rsidP="0038082E">
      <w:pPr>
        <w:pStyle w:val="Heading3greennumbered"/>
      </w:pPr>
      <w:bookmarkStart w:id="177" w:name="_Toc92894902"/>
      <w:bookmarkStart w:id="178" w:name="_Toc92895206"/>
      <w:bookmarkStart w:id="179" w:name="_Toc109922640"/>
      <w:r w:rsidRPr="0007572B">
        <w:t>30</w:t>
      </w:r>
      <w:r w:rsidR="004047A3" w:rsidRPr="0007572B">
        <w:t xml:space="preserve"> Nature and Extent of Risks Arising from Financial Instruments</w:t>
      </w:r>
      <w:bookmarkEnd w:id="177"/>
      <w:bookmarkEnd w:id="178"/>
      <w:bookmarkEnd w:id="179"/>
    </w:p>
    <w:p w14:paraId="6261EE7D" w14:textId="77777777" w:rsidR="00D4492C" w:rsidRDefault="00D4492C" w:rsidP="0038082E">
      <w:pPr>
        <w:rPr>
          <w:rFonts w:ascii="Arial" w:eastAsiaTheme="minorHAnsi" w:hAnsi="Arial" w:cs="Arial"/>
        </w:rPr>
      </w:pPr>
    </w:p>
    <w:p w14:paraId="2214F5D2" w14:textId="171A2DF6" w:rsidR="00C802FD" w:rsidRPr="0007572B" w:rsidRDefault="00D4492C" w:rsidP="0038082E">
      <w:pPr>
        <w:spacing w:after="160"/>
        <w:rPr>
          <w:rFonts w:ascii="Arial" w:eastAsiaTheme="minorHAnsi" w:hAnsi="Arial" w:cs="Arial"/>
        </w:rPr>
      </w:pPr>
      <w:r>
        <w:rPr>
          <w:rFonts w:ascii="Arial" w:eastAsiaTheme="minorHAnsi" w:hAnsi="Arial" w:cs="Arial"/>
        </w:rPr>
        <w:t>T</w:t>
      </w:r>
      <w:r w:rsidR="00C802FD" w:rsidRPr="0007572B">
        <w:rPr>
          <w:rFonts w:ascii="Arial" w:eastAsiaTheme="minorHAnsi" w:hAnsi="Arial" w:cs="Arial"/>
        </w:rPr>
        <w:t>he Authority’s activities expose it to a variety of financial risks, the key risks are:</w:t>
      </w:r>
      <w:r w:rsidR="00C802FD" w:rsidRPr="0007572B">
        <w:rPr>
          <w:rFonts w:ascii="Arial" w:eastAsiaTheme="minorHAnsi" w:hAnsi="Arial" w:cs="Arial"/>
        </w:rPr>
        <w:tab/>
      </w:r>
    </w:p>
    <w:p w14:paraId="192736A8" w14:textId="77777777" w:rsidR="00C802FD" w:rsidRPr="0007572B" w:rsidRDefault="00C802FD" w:rsidP="00EB27EB">
      <w:pPr>
        <w:numPr>
          <w:ilvl w:val="0"/>
          <w:numId w:val="7"/>
        </w:numPr>
        <w:spacing w:after="160"/>
        <w:contextualSpacing/>
        <w:rPr>
          <w:rFonts w:ascii="Arial" w:eastAsiaTheme="minorHAnsi" w:hAnsi="Arial" w:cs="Arial"/>
          <w:lang w:eastAsia="en-GB"/>
        </w:rPr>
      </w:pPr>
      <w:r w:rsidRPr="0007572B">
        <w:rPr>
          <w:rFonts w:ascii="Arial" w:eastAsiaTheme="minorHAnsi" w:hAnsi="Arial" w:cs="Arial"/>
          <w:lang w:eastAsia="en-GB"/>
        </w:rPr>
        <w:t>Credit Risk – the possibility that other parties might fail to pay amounts due to the Authority;</w:t>
      </w:r>
    </w:p>
    <w:p w14:paraId="10689BCF" w14:textId="77777777" w:rsidR="00C802FD" w:rsidRPr="0007572B" w:rsidRDefault="00C802FD" w:rsidP="00EB27EB">
      <w:pPr>
        <w:numPr>
          <w:ilvl w:val="0"/>
          <w:numId w:val="7"/>
        </w:numPr>
        <w:spacing w:after="160"/>
        <w:contextualSpacing/>
        <w:rPr>
          <w:rFonts w:ascii="Arial" w:eastAsiaTheme="minorHAnsi" w:hAnsi="Arial" w:cs="Arial"/>
          <w:lang w:eastAsia="en-GB"/>
        </w:rPr>
      </w:pPr>
      <w:r w:rsidRPr="0007572B">
        <w:rPr>
          <w:rFonts w:ascii="Arial" w:eastAsiaTheme="minorHAnsi" w:hAnsi="Arial" w:cs="Arial"/>
          <w:lang w:eastAsia="en-GB"/>
        </w:rPr>
        <w:t>Liquidity Risk – the possibility that the Authority might not have funds available to meet its commitments to make payments;</w:t>
      </w:r>
    </w:p>
    <w:p w14:paraId="182E0056" w14:textId="77777777" w:rsidR="00C802FD" w:rsidRPr="0007572B" w:rsidRDefault="00C802FD" w:rsidP="00EB27EB">
      <w:pPr>
        <w:numPr>
          <w:ilvl w:val="0"/>
          <w:numId w:val="7"/>
        </w:numPr>
        <w:spacing w:after="160"/>
        <w:contextualSpacing/>
        <w:rPr>
          <w:rFonts w:ascii="Arial" w:eastAsiaTheme="minorHAnsi" w:hAnsi="Arial" w:cs="Arial"/>
          <w:lang w:eastAsia="en-GB"/>
        </w:rPr>
      </w:pPr>
      <w:r w:rsidRPr="0007572B">
        <w:rPr>
          <w:rFonts w:ascii="Arial" w:eastAsiaTheme="minorHAnsi" w:hAnsi="Arial" w:cs="Arial"/>
          <w:lang w:eastAsia="en-GB"/>
        </w:rPr>
        <w:t>Re-financing risk – the possibility that the Authority might be requiring to renew a financial instrument on maturity at disadvantageous interest rates or terms;</w:t>
      </w:r>
    </w:p>
    <w:p w14:paraId="37CF9632" w14:textId="25C7372F" w:rsidR="00C802FD" w:rsidRDefault="00C802FD" w:rsidP="00EB27EB">
      <w:pPr>
        <w:numPr>
          <w:ilvl w:val="0"/>
          <w:numId w:val="7"/>
        </w:numPr>
        <w:spacing w:after="160"/>
        <w:contextualSpacing/>
        <w:rPr>
          <w:rFonts w:ascii="Arial" w:eastAsiaTheme="minorHAnsi" w:hAnsi="Arial" w:cs="Arial"/>
          <w:lang w:eastAsia="en-GB"/>
        </w:rPr>
      </w:pPr>
      <w:r w:rsidRPr="0007572B">
        <w:rPr>
          <w:rFonts w:ascii="Arial" w:eastAsiaTheme="minorHAnsi" w:hAnsi="Arial" w:cs="Arial"/>
          <w:lang w:eastAsia="en-GB"/>
        </w:rPr>
        <w:t>Market Risk – the possibility that financial loss might arise for the Authority as a result of changes in such measures as interest rates or stock market movements.</w:t>
      </w:r>
    </w:p>
    <w:p w14:paraId="31C1C36C" w14:textId="77777777" w:rsidR="00C802FD" w:rsidRPr="0007572B" w:rsidRDefault="00C802FD" w:rsidP="0038082E">
      <w:pPr>
        <w:spacing w:after="160"/>
        <w:ind w:left="720"/>
        <w:contextualSpacing/>
        <w:rPr>
          <w:rFonts w:ascii="Arial" w:eastAsiaTheme="minorHAnsi" w:hAnsi="Arial" w:cs="Arial"/>
          <w:lang w:eastAsia="en-GB"/>
        </w:rPr>
      </w:pPr>
    </w:p>
    <w:p w14:paraId="7172D61B" w14:textId="77777777" w:rsidR="00C802FD" w:rsidRPr="0007572B" w:rsidRDefault="00C802FD" w:rsidP="0038082E">
      <w:pPr>
        <w:spacing w:after="160"/>
        <w:rPr>
          <w:rFonts w:ascii="Arial" w:eastAsiaTheme="minorHAnsi" w:hAnsi="Arial" w:cs="Arial"/>
          <w:sz w:val="28"/>
          <w:szCs w:val="28"/>
        </w:rPr>
      </w:pPr>
      <w:r w:rsidRPr="0007572B">
        <w:rPr>
          <w:rFonts w:ascii="Arial" w:eastAsiaTheme="minorHAnsi" w:hAnsi="Arial" w:cs="Arial"/>
        </w:rPr>
        <w:t>The Authority’s overall risk management programme focuses on the unpredictability of financial markets and seeks to minimise potential adverse effects on the resources available to fund services.</w:t>
      </w:r>
    </w:p>
    <w:p w14:paraId="5D8CBBC6" w14:textId="77777777" w:rsidR="00C802FD" w:rsidRPr="0007572B" w:rsidRDefault="00C802FD" w:rsidP="0038082E">
      <w:pPr>
        <w:spacing w:after="160"/>
        <w:rPr>
          <w:rFonts w:ascii="Arial" w:eastAsiaTheme="minorHAnsi" w:hAnsi="Arial" w:cs="Arial"/>
        </w:rPr>
      </w:pPr>
      <w:r w:rsidRPr="0007572B">
        <w:rPr>
          <w:rFonts w:ascii="Arial" w:eastAsiaTheme="minorHAnsi" w:hAnsi="Arial" w:cs="Arial"/>
        </w:rPr>
        <w:t>The procedures for risk management are set out through a legal framework, based on the Local Government Act 2003 and associated regulations. These require the Authority to comply with the CIPFA Prudential Code, the CIPFA Code of Practice on Treasury Management in the Public Services and investment guidance issued through the Act. Overall these procedures require the Authority to manage risk in the following ways:</w:t>
      </w:r>
    </w:p>
    <w:p w14:paraId="7B0C7F68" w14:textId="77777777" w:rsidR="00C802FD" w:rsidRPr="0007572B" w:rsidRDefault="00C802FD" w:rsidP="00EB27EB">
      <w:pPr>
        <w:pStyle w:val="FIBody"/>
        <w:numPr>
          <w:ilvl w:val="0"/>
          <w:numId w:val="48"/>
        </w:numPr>
        <w:spacing w:line="240" w:lineRule="auto"/>
        <w:jc w:val="left"/>
        <w:rPr>
          <w:rFonts w:ascii="Arial" w:hAnsi="Arial"/>
          <w:color w:val="auto"/>
          <w:sz w:val="24"/>
          <w:szCs w:val="24"/>
          <w:lang w:eastAsia="en-GB"/>
        </w:rPr>
      </w:pPr>
      <w:r w:rsidRPr="0007572B">
        <w:rPr>
          <w:rFonts w:ascii="Arial" w:hAnsi="Arial"/>
          <w:color w:val="auto"/>
          <w:sz w:val="24"/>
          <w:szCs w:val="24"/>
          <w:lang w:eastAsia="en-GB"/>
        </w:rPr>
        <w:lastRenderedPageBreak/>
        <w:t>by formally adopting the requirements of the</w:t>
      </w:r>
      <w:r w:rsidRPr="0007572B">
        <w:rPr>
          <w:rFonts w:ascii="Arial" w:hAnsi="Arial"/>
          <w:sz w:val="24"/>
          <w:szCs w:val="24"/>
          <w:lang w:eastAsia="en-GB"/>
        </w:rPr>
        <w:t xml:space="preserve"> </w:t>
      </w:r>
      <w:r w:rsidRPr="0007572B">
        <w:rPr>
          <w:rFonts w:ascii="Arial" w:hAnsi="Arial"/>
          <w:color w:val="auto"/>
          <w:sz w:val="24"/>
          <w:szCs w:val="24"/>
          <w:lang w:eastAsia="en-GB"/>
        </w:rPr>
        <w:t>CIPFA Treasury Management</w:t>
      </w:r>
      <w:r w:rsidRPr="0007572B">
        <w:rPr>
          <w:rFonts w:ascii="Arial" w:hAnsi="Arial"/>
          <w:i/>
          <w:color w:val="auto"/>
          <w:sz w:val="24"/>
          <w:szCs w:val="24"/>
        </w:rPr>
        <w:t xml:space="preserve"> </w:t>
      </w:r>
      <w:r w:rsidRPr="0007572B">
        <w:rPr>
          <w:rFonts w:ascii="Arial" w:hAnsi="Arial"/>
          <w:color w:val="auto"/>
          <w:sz w:val="24"/>
          <w:szCs w:val="24"/>
          <w:lang w:eastAsia="en-GB"/>
        </w:rPr>
        <w:t>Code of Practice;</w:t>
      </w:r>
    </w:p>
    <w:p w14:paraId="2980A8E0" w14:textId="77777777" w:rsidR="00C802FD" w:rsidRPr="0007572B" w:rsidRDefault="00C802FD" w:rsidP="00EB27EB">
      <w:pPr>
        <w:pStyle w:val="FIBody"/>
        <w:numPr>
          <w:ilvl w:val="0"/>
          <w:numId w:val="48"/>
        </w:numPr>
        <w:spacing w:line="240" w:lineRule="auto"/>
        <w:jc w:val="left"/>
        <w:rPr>
          <w:rFonts w:ascii="Arial" w:hAnsi="Arial"/>
          <w:color w:val="auto"/>
          <w:sz w:val="24"/>
          <w:szCs w:val="24"/>
          <w:lang w:eastAsia="en-GB"/>
        </w:rPr>
      </w:pPr>
      <w:r w:rsidRPr="0007572B">
        <w:rPr>
          <w:rFonts w:ascii="Arial" w:hAnsi="Arial"/>
          <w:color w:val="auto"/>
          <w:sz w:val="24"/>
          <w:szCs w:val="24"/>
          <w:lang w:eastAsia="en-GB"/>
        </w:rPr>
        <w:t>by the adoption of a Treasury Policy Statement and treasury management clauses within its financial regulations/standing orders/constitution;</w:t>
      </w:r>
    </w:p>
    <w:p w14:paraId="47DB6906" w14:textId="77777777" w:rsidR="00C802FD" w:rsidRPr="0007572B" w:rsidRDefault="00C802FD" w:rsidP="00EB27EB">
      <w:pPr>
        <w:numPr>
          <w:ilvl w:val="0"/>
          <w:numId w:val="48"/>
        </w:numPr>
        <w:spacing w:after="160"/>
        <w:contextualSpacing/>
        <w:rPr>
          <w:rFonts w:ascii="Arial" w:eastAsiaTheme="minorHAnsi" w:hAnsi="Arial" w:cs="Arial"/>
          <w:lang w:eastAsia="en-GB"/>
        </w:rPr>
      </w:pPr>
      <w:r w:rsidRPr="0007572B">
        <w:rPr>
          <w:rFonts w:ascii="Arial" w:eastAsiaTheme="minorHAnsi" w:hAnsi="Arial" w:cs="Arial"/>
          <w:lang w:eastAsia="en-GB"/>
        </w:rPr>
        <w:t>by approving annually in advance prudential indicators for the following three years limiting:</w:t>
      </w:r>
    </w:p>
    <w:p w14:paraId="4758E83E" w14:textId="77777777" w:rsidR="00C802FD" w:rsidRPr="0007572B" w:rsidRDefault="00C802FD" w:rsidP="00EB27EB">
      <w:pPr>
        <w:pStyle w:val="ListParagraph"/>
        <w:numPr>
          <w:ilvl w:val="0"/>
          <w:numId w:val="44"/>
        </w:numPr>
        <w:spacing w:after="160" w:line="240" w:lineRule="auto"/>
        <w:rPr>
          <w:rFonts w:ascii="Arial" w:eastAsiaTheme="minorHAnsi" w:hAnsi="Arial" w:cs="Arial"/>
          <w:sz w:val="24"/>
          <w:szCs w:val="24"/>
        </w:rPr>
      </w:pPr>
      <w:r w:rsidRPr="0007572B">
        <w:rPr>
          <w:rFonts w:ascii="Arial" w:eastAsiaTheme="minorHAnsi" w:hAnsi="Arial" w:cs="Arial"/>
          <w:sz w:val="24"/>
          <w:szCs w:val="24"/>
        </w:rPr>
        <w:t>The Authority’s overall borrowing;</w:t>
      </w:r>
    </w:p>
    <w:p w14:paraId="38D25CEE" w14:textId="77777777" w:rsidR="00C802FD" w:rsidRPr="0007572B" w:rsidRDefault="00C802FD" w:rsidP="00EB27EB">
      <w:pPr>
        <w:pStyle w:val="ListParagraph"/>
        <w:numPr>
          <w:ilvl w:val="0"/>
          <w:numId w:val="44"/>
        </w:numPr>
        <w:spacing w:after="160" w:line="240" w:lineRule="auto"/>
        <w:rPr>
          <w:rFonts w:ascii="Arial" w:eastAsiaTheme="minorHAnsi" w:hAnsi="Arial" w:cs="Arial"/>
          <w:sz w:val="24"/>
          <w:szCs w:val="24"/>
        </w:rPr>
      </w:pPr>
      <w:r w:rsidRPr="0007572B">
        <w:rPr>
          <w:rFonts w:ascii="Arial" w:eastAsiaTheme="minorHAnsi" w:hAnsi="Arial" w:cs="Arial"/>
          <w:sz w:val="24"/>
          <w:szCs w:val="24"/>
        </w:rPr>
        <w:t>Its maximum and minimum exposures in the maturity structure of its debt;</w:t>
      </w:r>
    </w:p>
    <w:p w14:paraId="7943D818" w14:textId="77777777" w:rsidR="00C802FD" w:rsidRPr="0007572B" w:rsidRDefault="00C802FD" w:rsidP="00EB27EB">
      <w:pPr>
        <w:pStyle w:val="ListParagraph"/>
        <w:numPr>
          <w:ilvl w:val="0"/>
          <w:numId w:val="44"/>
        </w:numPr>
        <w:spacing w:after="160" w:line="240" w:lineRule="auto"/>
        <w:rPr>
          <w:rFonts w:ascii="Arial" w:eastAsiaTheme="minorHAnsi" w:hAnsi="Arial" w:cs="Arial"/>
          <w:sz w:val="24"/>
          <w:szCs w:val="24"/>
        </w:rPr>
      </w:pPr>
      <w:r w:rsidRPr="0007572B">
        <w:rPr>
          <w:rFonts w:ascii="Arial" w:eastAsiaTheme="minorHAnsi" w:hAnsi="Arial" w:cs="Arial"/>
          <w:sz w:val="24"/>
          <w:szCs w:val="24"/>
        </w:rPr>
        <w:t>Its management of interest rate exposure:</w:t>
      </w:r>
    </w:p>
    <w:p w14:paraId="3AC6156B" w14:textId="77777777" w:rsidR="00C802FD" w:rsidRPr="0007572B" w:rsidRDefault="00C802FD" w:rsidP="00EB27EB">
      <w:pPr>
        <w:pStyle w:val="ListParagraph"/>
        <w:numPr>
          <w:ilvl w:val="0"/>
          <w:numId w:val="44"/>
        </w:numPr>
        <w:spacing w:after="160" w:line="240" w:lineRule="auto"/>
        <w:rPr>
          <w:rFonts w:ascii="Arial" w:eastAsiaTheme="minorHAnsi" w:hAnsi="Arial" w:cs="Arial"/>
          <w:sz w:val="24"/>
          <w:szCs w:val="24"/>
        </w:rPr>
      </w:pPr>
      <w:r w:rsidRPr="0007572B">
        <w:rPr>
          <w:rFonts w:ascii="Arial" w:eastAsiaTheme="minorHAnsi" w:hAnsi="Arial" w:cs="Arial"/>
          <w:sz w:val="24"/>
          <w:szCs w:val="24"/>
        </w:rPr>
        <w:t>Its maximum and minimum exposures to investments maturing beyond a year.</w:t>
      </w:r>
    </w:p>
    <w:p w14:paraId="5C3077B8" w14:textId="77777777" w:rsidR="00C802FD" w:rsidRPr="0007572B" w:rsidRDefault="00C802FD" w:rsidP="00EB27EB">
      <w:pPr>
        <w:numPr>
          <w:ilvl w:val="0"/>
          <w:numId w:val="8"/>
        </w:numPr>
        <w:spacing w:after="160"/>
        <w:ind w:left="850" w:hanging="425"/>
        <w:contextualSpacing/>
        <w:rPr>
          <w:rFonts w:ascii="Arial" w:eastAsiaTheme="minorHAnsi" w:hAnsi="Arial" w:cs="Arial"/>
          <w:lang w:eastAsia="en-GB"/>
        </w:rPr>
      </w:pPr>
      <w:r w:rsidRPr="0007572B">
        <w:rPr>
          <w:rFonts w:ascii="Arial" w:eastAsiaTheme="minorHAnsi" w:hAnsi="Arial" w:cs="Arial"/>
          <w:lang w:eastAsia="en-GB"/>
        </w:rPr>
        <w:t>by approving an investment strategy for the forthcoming year, setting out its criteria for both investing and selecting Investment counter parties in compliance with the Government Guidance.</w:t>
      </w:r>
    </w:p>
    <w:p w14:paraId="6FF12643" w14:textId="77777777" w:rsidR="00C802FD" w:rsidRPr="0007572B" w:rsidRDefault="00C802FD" w:rsidP="0038082E">
      <w:pPr>
        <w:pStyle w:val="FIBody"/>
        <w:spacing w:line="240" w:lineRule="auto"/>
        <w:ind w:left="0"/>
        <w:jc w:val="left"/>
        <w:rPr>
          <w:rFonts w:ascii="Arial" w:hAnsi="Arial"/>
          <w:color w:val="auto"/>
          <w:sz w:val="24"/>
          <w:szCs w:val="24"/>
          <w:lang w:eastAsia="en-GB"/>
        </w:rPr>
      </w:pPr>
      <w:r w:rsidRPr="0007572B">
        <w:rPr>
          <w:rFonts w:ascii="Arial" w:hAnsi="Arial"/>
          <w:color w:val="auto"/>
          <w:sz w:val="24"/>
          <w:szCs w:val="24"/>
          <w:lang w:eastAsia="en-GB"/>
        </w:rPr>
        <w:t xml:space="preserve">These are required to be reported and approved at or before the Authority’s annual setting of the budget or before the start of the year to which they relate.  These items are reported with the annual treasury management strategy which outlines the detailed approach to managing risk in relation to the Council’s financial instrument exposure.  Actual performance is also reported after each year, as is a mid-year update.  </w:t>
      </w:r>
    </w:p>
    <w:p w14:paraId="1155DDB7" w14:textId="77777777" w:rsidR="00C802FD" w:rsidRPr="0007572B" w:rsidRDefault="00C802FD" w:rsidP="0038082E">
      <w:pPr>
        <w:pStyle w:val="FIBody"/>
        <w:spacing w:line="240" w:lineRule="auto"/>
        <w:ind w:left="0"/>
        <w:jc w:val="left"/>
        <w:rPr>
          <w:rFonts w:ascii="Arial" w:hAnsi="Arial"/>
          <w:color w:val="auto"/>
          <w:sz w:val="24"/>
          <w:szCs w:val="24"/>
          <w:lang w:eastAsia="en-GB"/>
        </w:rPr>
      </w:pPr>
    </w:p>
    <w:p w14:paraId="2627753F" w14:textId="0C0136D1" w:rsidR="00C802FD" w:rsidRPr="0007572B" w:rsidRDefault="00C802FD" w:rsidP="0038082E">
      <w:pPr>
        <w:pStyle w:val="FIBody"/>
        <w:spacing w:line="240" w:lineRule="auto"/>
        <w:ind w:left="0"/>
        <w:jc w:val="left"/>
        <w:rPr>
          <w:rFonts w:ascii="Arial" w:hAnsi="Arial"/>
          <w:color w:val="auto"/>
          <w:sz w:val="24"/>
          <w:szCs w:val="24"/>
          <w:lang w:eastAsia="en-GB"/>
        </w:rPr>
      </w:pPr>
      <w:r w:rsidRPr="009D2D1A">
        <w:rPr>
          <w:rFonts w:ascii="Arial" w:hAnsi="Arial"/>
          <w:color w:val="auto"/>
          <w:sz w:val="24"/>
          <w:szCs w:val="24"/>
          <w:lang w:eastAsia="en-GB"/>
        </w:rPr>
        <w:t xml:space="preserve">The annual treasury management strategy which incorporates the prudential indicators was approved by the Combined Authority on </w:t>
      </w:r>
      <w:r w:rsidR="009D2D1A" w:rsidRPr="009D2D1A">
        <w:rPr>
          <w:rFonts w:ascii="Arial" w:hAnsi="Arial"/>
          <w:color w:val="auto"/>
          <w:sz w:val="24"/>
          <w:szCs w:val="24"/>
          <w:lang w:eastAsia="en-GB"/>
        </w:rPr>
        <w:t>12</w:t>
      </w:r>
      <w:r w:rsidRPr="009D2D1A">
        <w:rPr>
          <w:rFonts w:ascii="Arial" w:hAnsi="Arial"/>
          <w:color w:val="auto"/>
          <w:sz w:val="24"/>
          <w:szCs w:val="24"/>
          <w:lang w:eastAsia="en-GB"/>
        </w:rPr>
        <w:t>/0</w:t>
      </w:r>
      <w:r w:rsidR="009D2D1A" w:rsidRPr="009D2D1A">
        <w:rPr>
          <w:rFonts w:ascii="Arial" w:hAnsi="Arial"/>
          <w:color w:val="auto"/>
          <w:sz w:val="24"/>
          <w:szCs w:val="24"/>
          <w:lang w:eastAsia="en-GB"/>
        </w:rPr>
        <w:t>2</w:t>
      </w:r>
      <w:r w:rsidRPr="009D2D1A">
        <w:rPr>
          <w:rFonts w:ascii="Arial" w:hAnsi="Arial"/>
          <w:color w:val="auto"/>
          <w:sz w:val="24"/>
          <w:szCs w:val="24"/>
          <w:lang w:eastAsia="en-GB"/>
        </w:rPr>
        <w:t>/202</w:t>
      </w:r>
      <w:r w:rsidR="009D2D1A" w:rsidRPr="009D2D1A">
        <w:rPr>
          <w:rFonts w:ascii="Arial" w:hAnsi="Arial"/>
          <w:color w:val="auto"/>
          <w:sz w:val="24"/>
          <w:szCs w:val="24"/>
          <w:lang w:eastAsia="en-GB"/>
        </w:rPr>
        <w:t>1</w:t>
      </w:r>
      <w:r w:rsidRPr="0007572B">
        <w:rPr>
          <w:rFonts w:ascii="Arial" w:hAnsi="Arial"/>
          <w:color w:val="auto"/>
          <w:sz w:val="24"/>
          <w:szCs w:val="24"/>
          <w:lang w:eastAsia="en-GB"/>
        </w:rPr>
        <w:t xml:space="preserve"> and is available on the Greater Manchester Combined Authority website.  </w:t>
      </w:r>
    </w:p>
    <w:p w14:paraId="52C9BB77" w14:textId="77777777" w:rsidR="00C802FD" w:rsidRPr="0007572B" w:rsidRDefault="00C802FD" w:rsidP="0038082E">
      <w:pPr>
        <w:rPr>
          <w:rFonts w:ascii="Arial" w:eastAsiaTheme="minorHAnsi" w:hAnsi="Arial" w:cs="Arial"/>
        </w:rPr>
      </w:pPr>
    </w:p>
    <w:p w14:paraId="2029AC4F" w14:textId="2B50462D" w:rsidR="00C802FD" w:rsidRDefault="00C802FD" w:rsidP="0038082E">
      <w:pPr>
        <w:rPr>
          <w:rFonts w:ascii="Arial" w:eastAsiaTheme="minorHAnsi" w:hAnsi="Arial" w:cs="Arial"/>
        </w:rPr>
      </w:pPr>
      <w:r w:rsidRPr="0007572B">
        <w:rPr>
          <w:rFonts w:ascii="Arial" w:eastAsiaTheme="minorHAnsi" w:hAnsi="Arial" w:cs="Arial"/>
        </w:rPr>
        <w:t>Risk management is carried out by a central treasury team, under policies approved by the Authority in the annual treasury management strategy.</w:t>
      </w:r>
      <w:r w:rsidRPr="0007572B">
        <w:rPr>
          <w:rFonts w:ascii="Arial" w:hAnsi="Arial" w:cs="Arial"/>
          <w:sz w:val="28"/>
          <w:szCs w:val="28"/>
        </w:rPr>
        <w:t xml:space="preserve"> </w:t>
      </w:r>
      <w:r w:rsidRPr="0007572B">
        <w:rPr>
          <w:rFonts w:ascii="Arial" w:eastAsiaTheme="minorHAnsi" w:hAnsi="Arial" w:cs="Arial"/>
        </w:rPr>
        <w:t>The Authority maintains written principles for overall risk management, as well as written policies covering specific areas, such as interest rate risk, credit risk, and the investment of surplus cash through Treasury Management Practices (TMPs). These TMPs are a requirement of the Code of Practice and are reviewed periodically.</w:t>
      </w:r>
    </w:p>
    <w:p w14:paraId="41A0E7EA" w14:textId="77777777" w:rsidR="00D4492C" w:rsidRPr="0007572B" w:rsidRDefault="00D4492C" w:rsidP="0038082E">
      <w:pPr>
        <w:rPr>
          <w:rFonts w:ascii="Arial" w:eastAsiaTheme="minorHAnsi" w:hAnsi="Arial" w:cs="Arial"/>
        </w:rPr>
      </w:pPr>
    </w:p>
    <w:p w14:paraId="71E58A3B" w14:textId="77777777" w:rsidR="00C802FD" w:rsidRPr="0007572B" w:rsidRDefault="00C802FD" w:rsidP="0038082E">
      <w:pPr>
        <w:pStyle w:val="Heading4bold"/>
        <w:rPr>
          <w:rFonts w:eastAsiaTheme="minorHAnsi"/>
        </w:rPr>
      </w:pPr>
      <w:r w:rsidRPr="0007572B">
        <w:rPr>
          <w:rFonts w:eastAsiaTheme="minorHAnsi"/>
        </w:rPr>
        <w:t>Specified Investments</w:t>
      </w:r>
    </w:p>
    <w:p w14:paraId="0DF4E88E" w14:textId="77777777" w:rsidR="00C802FD" w:rsidRPr="0007572B" w:rsidRDefault="00C802FD" w:rsidP="0038082E">
      <w:pPr>
        <w:rPr>
          <w:rFonts w:ascii="Arial" w:eastAsiaTheme="minorHAnsi" w:hAnsi="Arial" w:cs="Arial"/>
        </w:rPr>
      </w:pPr>
    </w:p>
    <w:p w14:paraId="078A5174" w14:textId="77777777" w:rsidR="00C802FD" w:rsidRPr="0007572B" w:rsidRDefault="00C802FD" w:rsidP="0038082E">
      <w:pPr>
        <w:spacing w:after="160"/>
        <w:rPr>
          <w:rFonts w:ascii="Arial" w:eastAsiaTheme="minorHAnsi" w:hAnsi="Arial" w:cs="Arial"/>
        </w:rPr>
      </w:pPr>
      <w:r w:rsidRPr="0007572B">
        <w:rPr>
          <w:rFonts w:ascii="Arial" w:eastAsiaTheme="minorHAnsi" w:hAnsi="Arial" w:cs="Arial"/>
        </w:rPr>
        <w:t>Specified Investments are investments in sterling denomination, with maturities up to a maximum of 1 year.  All specified investments meet the minimum ‘high’ ratings criteria where applicable.</w:t>
      </w:r>
    </w:p>
    <w:p w14:paraId="606375A7" w14:textId="77777777" w:rsidR="00C802FD" w:rsidRPr="0007572B" w:rsidRDefault="00C802FD" w:rsidP="00EB27EB">
      <w:pPr>
        <w:numPr>
          <w:ilvl w:val="1"/>
          <w:numId w:val="9"/>
        </w:numPr>
        <w:spacing w:after="160"/>
        <w:ind w:left="709" w:hanging="425"/>
        <w:contextualSpacing/>
        <w:rPr>
          <w:rFonts w:ascii="Arial" w:eastAsiaTheme="minorHAnsi" w:hAnsi="Arial" w:cs="Arial"/>
          <w:lang w:eastAsia="en-GB"/>
        </w:rPr>
      </w:pPr>
      <w:r w:rsidRPr="0007572B">
        <w:rPr>
          <w:rFonts w:ascii="Arial" w:eastAsiaTheme="minorHAnsi" w:hAnsi="Arial" w:cs="Arial"/>
          <w:lang w:eastAsia="en-GB"/>
        </w:rPr>
        <w:t>Term deposits – Other local authorities: Credit Criteria high security;</w:t>
      </w:r>
    </w:p>
    <w:p w14:paraId="62A56F71" w14:textId="77777777" w:rsidR="00C802FD" w:rsidRPr="0007572B" w:rsidRDefault="00C802FD" w:rsidP="00EB27EB">
      <w:pPr>
        <w:numPr>
          <w:ilvl w:val="1"/>
          <w:numId w:val="9"/>
        </w:numPr>
        <w:spacing w:after="160"/>
        <w:ind w:left="709" w:hanging="425"/>
        <w:contextualSpacing/>
        <w:rPr>
          <w:rFonts w:ascii="Arial" w:eastAsiaTheme="minorHAnsi" w:hAnsi="Arial" w:cs="Arial"/>
          <w:lang w:eastAsia="en-GB"/>
        </w:rPr>
      </w:pPr>
      <w:r w:rsidRPr="0007572B">
        <w:rPr>
          <w:rFonts w:ascii="Arial" w:eastAsiaTheme="minorHAnsi" w:hAnsi="Arial" w:cs="Arial"/>
          <w:lang w:eastAsia="en-GB"/>
        </w:rPr>
        <w:t>Term deposits – Banks and building societies; Credit Criteria Varied;</w:t>
      </w:r>
    </w:p>
    <w:p w14:paraId="7FB131D7" w14:textId="77777777" w:rsidR="00C802FD" w:rsidRPr="0007572B" w:rsidRDefault="00C802FD" w:rsidP="00EB27EB">
      <w:pPr>
        <w:numPr>
          <w:ilvl w:val="1"/>
          <w:numId w:val="9"/>
        </w:numPr>
        <w:spacing w:after="160"/>
        <w:ind w:left="709" w:hanging="425"/>
        <w:contextualSpacing/>
        <w:rPr>
          <w:rFonts w:ascii="Arial" w:eastAsiaTheme="minorHAnsi" w:hAnsi="Arial" w:cs="Arial"/>
          <w:lang w:eastAsia="en-GB"/>
        </w:rPr>
      </w:pPr>
      <w:r w:rsidRPr="0007572B">
        <w:rPr>
          <w:rFonts w:ascii="Arial" w:eastAsiaTheme="minorHAnsi" w:hAnsi="Arial" w:cs="Arial"/>
          <w:lang w:eastAsia="en-GB"/>
        </w:rPr>
        <w:t>Debt Management Agency Deposit Facility &amp; UK Nationalised Banks – UK Government Backed;</w:t>
      </w:r>
    </w:p>
    <w:p w14:paraId="4BD2059B" w14:textId="77777777" w:rsidR="00C802FD" w:rsidRPr="0007572B" w:rsidRDefault="00C802FD" w:rsidP="00EB27EB">
      <w:pPr>
        <w:numPr>
          <w:ilvl w:val="1"/>
          <w:numId w:val="9"/>
        </w:numPr>
        <w:spacing w:after="160"/>
        <w:ind w:left="709" w:hanging="425"/>
        <w:contextualSpacing/>
        <w:rPr>
          <w:rFonts w:ascii="Arial" w:eastAsiaTheme="minorHAnsi" w:hAnsi="Arial" w:cs="Arial"/>
          <w:lang w:eastAsia="en-GB"/>
        </w:rPr>
      </w:pPr>
      <w:r w:rsidRPr="0007572B">
        <w:rPr>
          <w:rFonts w:ascii="Arial" w:eastAsiaTheme="minorHAnsi" w:hAnsi="Arial" w:cs="Arial"/>
          <w:lang w:eastAsia="en-GB"/>
        </w:rPr>
        <w:tab/>
        <w:t>Certificates of deposits issued by banks and building societies covered by UK Government guarantees – UK Government explicit guarantee;</w:t>
      </w:r>
    </w:p>
    <w:p w14:paraId="532DF8EE" w14:textId="77777777" w:rsidR="00C802FD" w:rsidRPr="0007572B" w:rsidRDefault="00C802FD" w:rsidP="00EB27EB">
      <w:pPr>
        <w:numPr>
          <w:ilvl w:val="1"/>
          <w:numId w:val="9"/>
        </w:numPr>
        <w:spacing w:after="160"/>
        <w:ind w:left="709" w:hanging="425"/>
        <w:contextualSpacing/>
        <w:rPr>
          <w:rFonts w:ascii="Arial" w:eastAsiaTheme="minorHAnsi" w:hAnsi="Arial" w:cs="Arial"/>
          <w:lang w:eastAsia="en-GB"/>
        </w:rPr>
      </w:pPr>
      <w:r w:rsidRPr="0007572B">
        <w:rPr>
          <w:rFonts w:ascii="Arial" w:eastAsiaTheme="minorHAnsi" w:hAnsi="Arial" w:cs="Arial"/>
          <w:lang w:eastAsia="en-GB"/>
        </w:rPr>
        <w:tab/>
        <w:t>Money Market Funds, credit criteria AAA;</w:t>
      </w:r>
    </w:p>
    <w:p w14:paraId="25B39256" w14:textId="77777777" w:rsidR="00C802FD" w:rsidRPr="0007572B" w:rsidRDefault="00C802FD" w:rsidP="00EB27EB">
      <w:pPr>
        <w:numPr>
          <w:ilvl w:val="1"/>
          <w:numId w:val="9"/>
        </w:numPr>
        <w:spacing w:after="160"/>
        <w:ind w:left="709" w:hanging="425"/>
        <w:contextualSpacing/>
        <w:rPr>
          <w:rFonts w:ascii="Arial" w:eastAsiaTheme="minorHAnsi" w:hAnsi="Arial" w:cs="Arial"/>
          <w:lang w:eastAsia="en-GB"/>
        </w:rPr>
      </w:pPr>
      <w:r w:rsidRPr="0007572B">
        <w:rPr>
          <w:rFonts w:ascii="Arial" w:eastAsiaTheme="minorHAnsi" w:hAnsi="Arial" w:cs="Arial"/>
          <w:lang w:eastAsia="en-GB"/>
        </w:rPr>
        <w:tab/>
        <w:t>Non-UK Banks / Building Societies – Domiciled in a country which has a minimum sovereign Long Term rating of AAA;</w:t>
      </w:r>
    </w:p>
    <w:p w14:paraId="7501B8D8" w14:textId="77777777" w:rsidR="00C802FD" w:rsidRPr="0007572B" w:rsidRDefault="00C802FD" w:rsidP="00EB27EB">
      <w:pPr>
        <w:numPr>
          <w:ilvl w:val="1"/>
          <w:numId w:val="9"/>
        </w:numPr>
        <w:spacing w:after="160"/>
        <w:ind w:left="709" w:hanging="425"/>
        <w:contextualSpacing/>
        <w:rPr>
          <w:rFonts w:ascii="Arial" w:eastAsiaTheme="minorHAnsi" w:hAnsi="Arial" w:cs="Arial"/>
          <w:lang w:eastAsia="en-GB"/>
        </w:rPr>
      </w:pPr>
      <w:r w:rsidRPr="0007572B">
        <w:rPr>
          <w:rFonts w:ascii="Arial" w:eastAsiaTheme="minorHAnsi" w:hAnsi="Arial" w:cs="Arial"/>
          <w:lang w:eastAsia="en-GB"/>
        </w:rPr>
        <w:tab/>
        <w:t>Treasury Bills – UK Government backed;</w:t>
      </w:r>
    </w:p>
    <w:p w14:paraId="5E1D1ADF" w14:textId="77777777" w:rsidR="00C802FD" w:rsidRPr="0007572B" w:rsidRDefault="00C802FD" w:rsidP="00EB27EB">
      <w:pPr>
        <w:numPr>
          <w:ilvl w:val="1"/>
          <w:numId w:val="9"/>
        </w:numPr>
        <w:spacing w:after="160"/>
        <w:ind w:left="709" w:hanging="425"/>
        <w:contextualSpacing/>
        <w:rPr>
          <w:rFonts w:ascii="Arial" w:eastAsiaTheme="minorHAnsi" w:hAnsi="Arial" w:cs="Arial"/>
          <w:lang w:eastAsia="en-GB"/>
        </w:rPr>
      </w:pPr>
      <w:r w:rsidRPr="0007572B">
        <w:rPr>
          <w:rFonts w:ascii="Arial" w:eastAsiaTheme="minorHAnsi" w:hAnsi="Arial" w:cs="Arial"/>
          <w:lang w:eastAsia="en-GB"/>
        </w:rPr>
        <w:t>Covered Bonds – Credit Criteria AAA.</w:t>
      </w:r>
    </w:p>
    <w:p w14:paraId="226A007D" w14:textId="77777777" w:rsidR="00C802FD" w:rsidRPr="0007572B" w:rsidRDefault="00C802FD" w:rsidP="0038082E">
      <w:pPr>
        <w:pStyle w:val="Heading4bold"/>
        <w:rPr>
          <w:rFonts w:eastAsiaTheme="minorHAnsi"/>
        </w:rPr>
      </w:pPr>
      <w:r w:rsidRPr="0007572B">
        <w:rPr>
          <w:rFonts w:eastAsiaTheme="minorHAnsi"/>
        </w:rPr>
        <w:lastRenderedPageBreak/>
        <w:t>Non-Specified Investments</w:t>
      </w:r>
    </w:p>
    <w:p w14:paraId="57A171BB" w14:textId="77777777" w:rsidR="00C802FD" w:rsidRPr="0007572B" w:rsidRDefault="00C802FD" w:rsidP="0038082E">
      <w:pPr>
        <w:spacing w:after="160"/>
        <w:rPr>
          <w:rFonts w:ascii="Arial" w:eastAsiaTheme="minorHAnsi" w:hAnsi="Arial" w:cs="Arial"/>
        </w:rPr>
      </w:pPr>
      <w:r w:rsidRPr="0007572B">
        <w:rPr>
          <w:rFonts w:ascii="Arial" w:eastAsiaTheme="minorHAnsi" w:hAnsi="Arial" w:cs="Arial"/>
        </w:rPr>
        <w:t>Non-specified investments are any other type of investment not defined as specified above. Any proposals to use any non-specified investments will be reported to members for approval.</w:t>
      </w:r>
    </w:p>
    <w:p w14:paraId="67950738" w14:textId="77777777" w:rsidR="00C802FD" w:rsidRPr="0007572B" w:rsidRDefault="00C802FD" w:rsidP="0038082E">
      <w:pPr>
        <w:pStyle w:val="Heading4bold"/>
        <w:rPr>
          <w:rFonts w:eastAsiaTheme="minorHAnsi"/>
        </w:rPr>
      </w:pPr>
      <w:r w:rsidRPr="0007572B">
        <w:rPr>
          <w:rFonts w:eastAsiaTheme="minorHAnsi"/>
        </w:rPr>
        <w:t>Investment Limits</w:t>
      </w:r>
    </w:p>
    <w:p w14:paraId="5B42EBF3" w14:textId="77777777" w:rsidR="00C802FD" w:rsidRPr="0007572B" w:rsidRDefault="00C802FD" w:rsidP="0038082E">
      <w:pPr>
        <w:spacing w:after="160"/>
        <w:jc w:val="both"/>
        <w:rPr>
          <w:rFonts w:ascii="Arial" w:eastAsiaTheme="minorHAnsi" w:hAnsi="Arial" w:cs="Arial"/>
        </w:rPr>
      </w:pPr>
      <w:r w:rsidRPr="0007572B">
        <w:rPr>
          <w:rFonts w:ascii="Arial" w:eastAsiaTheme="minorHAnsi" w:hAnsi="Arial" w:cs="Arial"/>
        </w:rPr>
        <w:t>The financial investment limits of banks and building societies are linked to their Fitch long-term ratings (or equivalent), as follows:</w:t>
      </w:r>
    </w:p>
    <w:p w14:paraId="3162A5BD" w14:textId="77777777" w:rsidR="00C802FD" w:rsidRPr="0007572B" w:rsidRDefault="00C802FD" w:rsidP="00EB27EB">
      <w:pPr>
        <w:pStyle w:val="ListParagraph"/>
        <w:numPr>
          <w:ilvl w:val="0"/>
          <w:numId w:val="32"/>
        </w:numPr>
        <w:spacing w:line="240" w:lineRule="auto"/>
        <w:jc w:val="both"/>
        <w:rPr>
          <w:rFonts w:ascii="Arial" w:eastAsiaTheme="minorHAnsi" w:hAnsi="Arial" w:cs="Arial"/>
          <w:sz w:val="24"/>
          <w:szCs w:val="24"/>
        </w:rPr>
      </w:pPr>
      <w:r w:rsidRPr="0007572B">
        <w:rPr>
          <w:rFonts w:ascii="Arial" w:eastAsiaTheme="minorHAnsi" w:hAnsi="Arial" w:cs="Arial"/>
          <w:sz w:val="24"/>
          <w:szCs w:val="24"/>
        </w:rPr>
        <w:t>Banks and Building Societies</w:t>
      </w:r>
    </w:p>
    <w:p w14:paraId="307D230C" w14:textId="38D30D24" w:rsidR="00C802FD" w:rsidRPr="0007572B" w:rsidRDefault="00C802FD" w:rsidP="00EB27EB">
      <w:pPr>
        <w:pStyle w:val="ListParagraph"/>
        <w:numPr>
          <w:ilvl w:val="0"/>
          <w:numId w:val="33"/>
        </w:numPr>
        <w:spacing w:line="240" w:lineRule="auto"/>
        <w:jc w:val="both"/>
        <w:rPr>
          <w:rFonts w:ascii="Arial" w:eastAsiaTheme="minorHAnsi" w:hAnsi="Arial" w:cs="Arial"/>
          <w:sz w:val="24"/>
          <w:szCs w:val="24"/>
        </w:rPr>
      </w:pPr>
      <w:r w:rsidRPr="0007572B">
        <w:rPr>
          <w:rFonts w:ascii="Arial" w:eastAsiaTheme="minorHAnsi" w:hAnsi="Arial" w:cs="Arial"/>
          <w:sz w:val="24"/>
          <w:szCs w:val="24"/>
        </w:rPr>
        <w:t>Fitch AA+ and above AAAM</w:t>
      </w:r>
      <w:r w:rsidRPr="0007572B">
        <w:rPr>
          <w:rFonts w:ascii="Arial" w:eastAsiaTheme="minorHAnsi" w:hAnsi="Arial" w:cs="Arial"/>
          <w:sz w:val="24"/>
          <w:szCs w:val="24"/>
        </w:rPr>
        <w:tab/>
      </w:r>
      <w:r w:rsidR="006219CE">
        <w:rPr>
          <w:rFonts w:ascii="Arial" w:eastAsiaTheme="minorHAnsi" w:hAnsi="Arial" w:cs="Arial"/>
          <w:sz w:val="24"/>
          <w:szCs w:val="24"/>
        </w:rPr>
        <w:tab/>
      </w:r>
      <w:r w:rsidRPr="0007572B">
        <w:rPr>
          <w:rFonts w:ascii="Arial" w:eastAsiaTheme="minorHAnsi" w:hAnsi="Arial" w:cs="Arial"/>
          <w:sz w:val="24"/>
          <w:szCs w:val="24"/>
        </w:rPr>
        <w:t>£25m</w:t>
      </w:r>
    </w:p>
    <w:p w14:paraId="4BB63F9A" w14:textId="77777777" w:rsidR="00C802FD" w:rsidRPr="0007572B" w:rsidRDefault="00C802FD" w:rsidP="00EB27EB">
      <w:pPr>
        <w:pStyle w:val="ListParagraph"/>
        <w:numPr>
          <w:ilvl w:val="0"/>
          <w:numId w:val="33"/>
        </w:numPr>
        <w:spacing w:line="240" w:lineRule="auto"/>
        <w:jc w:val="both"/>
        <w:rPr>
          <w:rFonts w:ascii="Arial" w:eastAsiaTheme="minorHAnsi" w:hAnsi="Arial" w:cs="Arial"/>
          <w:sz w:val="24"/>
          <w:szCs w:val="24"/>
        </w:rPr>
      </w:pPr>
      <w:r w:rsidRPr="0007572B">
        <w:rPr>
          <w:rFonts w:ascii="Arial" w:eastAsiaTheme="minorHAnsi" w:hAnsi="Arial" w:cs="Arial"/>
          <w:sz w:val="24"/>
          <w:szCs w:val="24"/>
        </w:rPr>
        <w:t>Fitch AA+/AA-</w:t>
      </w:r>
      <w:r w:rsidRPr="0007572B">
        <w:rPr>
          <w:rFonts w:ascii="Arial" w:eastAsiaTheme="minorHAnsi" w:hAnsi="Arial" w:cs="Arial"/>
          <w:sz w:val="24"/>
          <w:szCs w:val="24"/>
        </w:rPr>
        <w:tab/>
      </w:r>
      <w:r w:rsidRPr="0007572B">
        <w:rPr>
          <w:rFonts w:ascii="Arial" w:eastAsiaTheme="minorHAnsi" w:hAnsi="Arial" w:cs="Arial"/>
          <w:sz w:val="24"/>
          <w:szCs w:val="24"/>
        </w:rPr>
        <w:tab/>
      </w:r>
      <w:r w:rsidRPr="0007572B">
        <w:rPr>
          <w:rFonts w:ascii="Arial" w:eastAsiaTheme="minorHAnsi" w:hAnsi="Arial" w:cs="Arial"/>
          <w:sz w:val="24"/>
          <w:szCs w:val="24"/>
        </w:rPr>
        <w:tab/>
      </w:r>
      <w:r w:rsidRPr="0007572B">
        <w:rPr>
          <w:rFonts w:ascii="Arial" w:eastAsiaTheme="minorHAnsi" w:hAnsi="Arial" w:cs="Arial"/>
          <w:sz w:val="24"/>
          <w:szCs w:val="24"/>
        </w:rPr>
        <w:tab/>
        <w:t>£15m</w:t>
      </w:r>
    </w:p>
    <w:p w14:paraId="29B2D249" w14:textId="77777777" w:rsidR="00C802FD" w:rsidRPr="0007572B" w:rsidRDefault="00C802FD" w:rsidP="00EB27EB">
      <w:pPr>
        <w:pStyle w:val="ListParagraph"/>
        <w:numPr>
          <w:ilvl w:val="0"/>
          <w:numId w:val="33"/>
        </w:numPr>
        <w:spacing w:line="240" w:lineRule="auto"/>
        <w:jc w:val="both"/>
        <w:rPr>
          <w:rFonts w:ascii="Arial" w:eastAsiaTheme="minorHAnsi" w:hAnsi="Arial" w:cs="Arial"/>
          <w:sz w:val="24"/>
          <w:szCs w:val="24"/>
        </w:rPr>
      </w:pPr>
      <w:r w:rsidRPr="0007572B">
        <w:rPr>
          <w:rFonts w:ascii="Arial" w:eastAsiaTheme="minorHAnsi" w:hAnsi="Arial" w:cs="Arial"/>
          <w:sz w:val="24"/>
          <w:szCs w:val="24"/>
        </w:rPr>
        <w:t>Fitch A+/A</w:t>
      </w:r>
      <w:r w:rsidRPr="0007572B">
        <w:rPr>
          <w:rFonts w:ascii="Arial" w:eastAsiaTheme="minorHAnsi" w:hAnsi="Arial" w:cs="Arial"/>
          <w:sz w:val="24"/>
          <w:szCs w:val="24"/>
        </w:rPr>
        <w:tab/>
      </w:r>
      <w:r w:rsidRPr="0007572B">
        <w:rPr>
          <w:rFonts w:ascii="Arial" w:eastAsiaTheme="minorHAnsi" w:hAnsi="Arial" w:cs="Arial"/>
          <w:sz w:val="24"/>
          <w:szCs w:val="24"/>
        </w:rPr>
        <w:tab/>
      </w:r>
      <w:r w:rsidRPr="0007572B">
        <w:rPr>
          <w:rFonts w:ascii="Arial" w:eastAsiaTheme="minorHAnsi" w:hAnsi="Arial" w:cs="Arial"/>
          <w:sz w:val="24"/>
          <w:szCs w:val="24"/>
        </w:rPr>
        <w:tab/>
      </w:r>
      <w:r w:rsidRPr="0007572B">
        <w:rPr>
          <w:rFonts w:ascii="Arial" w:eastAsiaTheme="minorHAnsi" w:hAnsi="Arial" w:cs="Arial"/>
          <w:sz w:val="24"/>
          <w:szCs w:val="24"/>
        </w:rPr>
        <w:tab/>
        <w:t>£15m</w:t>
      </w:r>
    </w:p>
    <w:p w14:paraId="4C39FE1B" w14:textId="77777777" w:rsidR="00C802FD" w:rsidRPr="0007572B" w:rsidRDefault="00C802FD" w:rsidP="00EB27EB">
      <w:pPr>
        <w:pStyle w:val="ListParagraph"/>
        <w:numPr>
          <w:ilvl w:val="0"/>
          <w:numId w:val="33"/>
        </w:numPr>
        <w:spacing w:line="240" w:lineRule="auto"/>
        <w:jc w:val="both"/>
        <w:rPr>
          <w:rFonts w:ascii="Arial" w:eastAsiaTheme="minorHAnsi" w:hAnsi="Arial" w:cs="Arial"/>
          <w:sz w:val="24"/>
          <w:szCs w:val="24"/>
        </w:rPr>
      </w:pPr>
      <w:r w:rsidRPr="0007572B">
        <w:rPr>
          <w:rFonts w:ascii="Arial" w:eastAsiaTheme="minorHAnsi" w:hAnsi="Arial" w:cs="Arial"/>
          <w:sz w:val="24"/>
          <w:szCs w:val="24"/>
        </w:rPr>
        <w:t>Fitch A-</w:t>
      </w:r>
      <w:r w:rsidRPr="0007572B">
        <w:rPr>
          <w:rFonts w:ascii="Arial" w:eastAsiaTheme="minorHAnsi" w:hAnsi="Arial" w:cs="Arial"/>
          <w:sz w:val="24"/>
          <w:szCs w:val="24"/>
        </w:rPr>
        <w:tab/>
      </w:r>
      <w:r w:rsidRPr="0007572B">
        <w:rPr>
          <w:rFonts w:ascii="Arial" w:eastAsiaTheme="minorHAnsi" w:hAnsi="Arial" w:cs="Arial"/>
          <w:sz w:val="24"/>
          <w:szCs w:val="24"/>
        </w:rPr>
        <w:tab/>
      </w:r>
      <w:r w:rsidRPr="0007572B">
        <w:rPr>
          <w:rFonts w:ascii="Arial" w:eastAsiaTheme="minorHAnsi" w:hAnsi="Arial" w:cs="Arial"/>
          <w:sz w:val="24"/>
          <w:szCs w:val="24"/>
        </w:rPr>
        <w:tab/>
      </w:r>
      <w:r w:rsidRPr="0007572B">
        <w:rPr>
          <w:rFonts w:ascii="Arial" w:eastAsiaTheme="minorHAnsi" w:hAnsi="Arial" w:cs="Arial"/>
          <w:sz w:val="24"/>
          <w:szCs w:val="24"/>
        </w:rPr>
        <w:tab/>
      </w:r>
      <w:r w:rsidRPr="0007572B">
        <w:rPr>
          <w:rFonts w:ascii="Arial" w:eastAsiaTheme="minorHAnsi" w:hAnsi="Arial" w:cs="Arial"/>
          <w:sz w:val="24"/>
          <w:szCs w:val="24"/>
        </w:rPr>
        <w:tab/>
        <w:t>£10m</w:t>
      </w:r>
    </w:p>
    <w:p w14:paraId="67D62580" w14:textId="57D675F8" w:rsidR="00C802FD" w:rsidRPr="0007572B" w:rsidRDefault="00C802FD" w:rsidP="00EB27EB">
      <w:pPr>
        <w:pStyle w:val="ListParagraph"/>
        <w:numPr>
          <w:ilvl w:val="0"/>
          <w:numId w:val="33"/>
        </w:numPr>
        <w:spacing w:line="240" w:lineRule="auto"/>
        <w:jc w:val="both"/>
        <w:rPr>
          <w:rFonts w:ascii="Arial" w:eastAsiaTheme="minorHAnsi" w:hAnsi="Arial" w:cs="Arial"/>
          <w:sz w:val="24"/>
          <w:szCs w:val="24"/>
        </w:rPr>
      </w:pPr>
      <w:r w:rsidRPr="0007572B">
        <w:rPr>
          <w:rFonts w:ascii="Arial" w:eastAsiaTheme="minorHAnsi" w:hAnsi="Arial" w:cs="Arial"/>
          <w:sz w:val="24"/>
          <w:szCs w:val="24"/>
        </w:rPr>
        <w:t>Fitch BBB+</w:t>
      </w:r>
      <w:r w:rsidRPr="0007572B">
        <w:rPr>
          <w:rFonts w:ascii="Arial" w:eastAsiaTheme="minorHAnsi" w:hAnsi="Arial" w:cs="Arial"/>
          <w:sz w:val="24"/>
          <w:szCs w:val="24"/>
        </w:rPr>
        <w:tab/>
      </w:r>
      <w:r w:rsidRPr="0007572B">
        <w:rPr>
          <w:rFonts w:ascii="Arial" w:eastAsiaTheme="minorHAnsi" w:hAnsi="Arial" w:cs="Arial"/>
          <w:sz w:val="24"/>
          <w:szCs w:val="24"/>
        </w:rPr>
        <w:tab/>
      </w:r>
      <w:r w:rsidRPr="0007572B">
        <w:rPr>
          <w:rFonts w:ascii="Arial" w:eastAsiaTheme="minorHAnsi" w:hAnsi="Arial" w:cs="Arial"/>
          <w:sz w:val="24"/>
          <w:szCs w:val="24"/>
        </w:rPr>
        <w:tab/>
      </w:r>
      <w:r w:rsidR="00A041A7" w:rsidRPr="0007572B">
        <w:rPr>
          <w:rFonts w:ascii="Arial" w:eastAsiaTheme="minorHAnsi" w:hAnsi="Arial" w:cs="Arial"/>
          <w:sz w:val="24"/>
          <w:szCs w:val="24"/>
        </w:rPr>
        <w:tab/>
      </w:r>
      <w:r w:rsidRPr="0007572B">
        <w:rPr>
          <w:rFonts w:ascii="Arial" w:eastAsiaTheme="minorHAnsi" w:hAnsi="Arial" w:cs="Arial"/>
          <w:sz w:val="24"/>
          <w:szCs w:val="24"/>
        </w:rPr>
        <w:t>£10m</w:t>
      </w:r>
    </w:p>
    <w:p w14:paraId="1D699B95" w14:textId="77777777" w:rsidR="00C802FD" w:rsidRPr="0007572B" w:rsidRDefault="00C802FD" w:rsidP="0038082E">
      <w:pPr>
        <w:pStyle w:val="ListParagraph"/>
        <w:spacing w:line="240" w:lineRule="auto"/>
        <w:ind w:left="1080"/>
        <w:jc w:val="both"/>
        <w:rPr>
          <w:rFonts w:ascii="Arial" w:eastAsiaTheme="minorHAnsi" w:hAnsi="Arial" w:cs="Arial"/>
          <w:sz w:val="24"/>
          <w:szCs w:val="24"/>
          <w:highlight w:val="yellow"/>
        </w:rPr>
      </w:pPr>
    </w:p>
    <w:p w14:paraId="7782752C" w14:textId="77777777" w:rsidR="00C802FD" w:rsidRPr="0007572B" w:rsidRDefault="00C802FD" w:rsidP="0038082E">
      <w:pPr>
        <w:spacing w:after="160"/>
        <w:jc w:val="both"/>
        <w:rPr>
          <w:rFonts w:ascii="Arial" w:eastAsiaTheme="minorHAnsi" w:hAnsi="Arial" w:cs="Arial"/>
        </w:rPr>
      </w:pPr>
      <w:r w:rsidRPr="0007572B">
        <w:rPr>
          <w:rFonts w:ascii="Arial" w:eastAsiaTheme="minorHAnsi" w:hAnsi="Arial" w:cs="Arial"/>
        </w:rPr>
        <w:t>The GMCA will only utilise institutions that have a short term rating of F2 or higher (Fitch or equivalent).</w:t>
      </w:r>
    </w:p>
    <w:p w14:paraId="62D61537" w14:textId="77777777" w:rsidR="00C802FD" w:rsidRPr="0007572B" w:rsidRDefault="00C802FD" w:rsidP="00EB27EB">
      <w:pPr>
        <w:pStyle w:val="ListParagraph"/>
        <w:numPr>
          <w:ilvl w:val="0"/>
          <w:numId w:val="31"/>
        </w:numPr>
        <w:spacing w:line="240" w:lineRule="auto"/>
        <w:jc w:val="both"/>
        <w:rPr>
          <w:rFonts w:ascii="Arial" w:eastAsiaTheme="minorHAnsi" w:hAnsi="Arial" w:cs="Arial"/>
          <w:sz w:val="24"/>
          <w:szCs w:val="24"/>
        </w:rPr>
      </w:pPr>
      <w:r w:rsidRPr="0007572B">
        <w:rPr>
          <w:rFonts w:ascii="Arial" w:eastAsiaTheme="minorHAnsi" w:hAnsi="Arial" w:cs="Arial"/>
          <w:sz w:val="24"/>
          <w:szCs w:val="24"/>
        </w:rPr>
        <w:t>Debt Management Office</w:t>
      </w:r>
      <w:r w:rsidRPr="0007572B">
        <w:rPr>
          <w:rFonts w:ascii="Arial" w:eastAsiaTheme="minorHAnsi" w:hAnsi="Arial" w:cs="Arial"/>
          <w:sz w:val="24"/>
          <w:szCs w:val="24"/>
        </w:rPr>
        <w:tab/>
      </w:r>
      <w:r w:rsidRPr="0007572B">
        <w:rPr>
          <w:rFonts w:ascii="Arial" w:eastAsiaTheme="minorHAnsi" w:hAnsi="Arial" w:cs="Arial"/>
          <w:sz w:val="24"/>
          <w:szCs w:val="24"/>
        </w:rPr>
        <w:tab/>
        <w:t>£200m</w:t>
      </w:r>
    </w:p>
    <w:p w14:paraId="49F8BF1D" w14:textId="43713223" w:rsidR="00C802FD" w:rsidRPr="0007572B" w:rsidRDefault="00C802FD" w:rsidP="00EB27EB">
      <w:pPr>
        <w:pStyle w:val="ListParagraph"/>
        <w:numPr>
          <w:ilvl w:val="0"/>
          <w:numId w:val="31"/>
        </w:numPr>
        <w:spacing w:line="240" w:lineRule="auto"/>
        <w:jc w:val="both"/>
        <w:rPr>
          <w:rFonts w:ascii="Arial" w:eastAsiaTheme="minorHAnsi" w:hAnsi="Arial" w:cs="Arial"/>
          <w:sz w:val="24"/>
          <w:szCs w:val="24"/>
        </w:rPr>
      </w:pPr>
      <w:r w:rsidRPr="0007572B">
        <w:rPr>
          <w:rFonts w:ascii="Arial" w:eastAsiaTheme="minorHAnsi" w:hAnsi="Arial" w:cs="Arial"/>
          <w:sz w:val="24"/>
          <w:szCs w:val="24"/>
        </w:rPr>
        <w:t>Manchester City Council</w:t>
      </w:r>
      <w:r w:rsidRPr="0007572B">
        <w:rPr>
          <w:rFonts w:ascii="Arial" w:eastAsiaTheme="minorHAnsi" w:hAnsi="Arial" w:cs="Arial"/>
          <w:sz w:val="24"/>
          <w:szCs w:val="24"/>
        </w:rPr>
        <w:tab/>
      </w:r>
      <w:r w:rsidRPr="0007572B">
        <w:rPr>
          <w:rFonts w:ascii="Arial" w:eastAsiaTheme="minorHAnsi" w:hAnsi="Arial" w:cs="Arial"/>
          <w:sz w:val="24"/>
          <w:szCs w:val="24"/>
        </w:rPr>
        <w:tab/>
        <w:t>£50m</w:t>
      </w:r>
    </w:p>
    <w:p w14:paraId="66C89718" w14:textId="6555A29C" w:rsidR="00C802FD" w:rsidRPr="0007572B" w:rsidRDefault="00C802FD" w:rsidP="00EB27EB">
      <w:pPr>
        <w:pStyle w:val="ListParagraph"/>
        <w:numPr>
          <w:ilvl w:val="0"/>
          <w:numId w:val="31"/>
        </w:numPr>
        <w:spacing w:after="160" w:line="240" w:lineRule="auto"/>
        <w:jc w:val="both"/>
        <w:rPr>
          <w:rFonts w:ascii="Arial" w:eastAsiaTheme="minorHAnsi" w:hAnsi="Arial" w:cs="Arial"/>
          <w:sz w:val="24"/>
          <w:szCs w:val="24"/>
        </w:rPr>
      </w:pPr>
      <w:r w:rsidRPr="0007572B">
        <w:rPr>
          <w:rFonts w:ascii="Arial" w:eastAsiaTheme="minorHAnsi" w:hAnsi="Arial" w:cs="Arial"/>
          <w:sz w:val="24"/>
          <w:szCs w:val="24"/>
        </w:rPr>
        <w:t>Other local authorities</w:t>
      </w:r>
      <w:r w:rsidRPr="0007572B">
        <w:rPr>
          <w:rFonts w:ascii="Arial" w:eastAsiaTheme="minorHAnsi" w:hAnsi="Arial" w:cs="Arial"/>
          <w:sz w:val="24"/>
          <w:szCs w:val="24"/>
        </w:rPr>
        <w:tab/>
        <w:t xml:space="preserve">  </w:t>
      </w:r>
      <w:r w:rsidRPr="0007572B">
        <w:rPr>
          <w:rFonts w:ascii="Arial" w:eastAsiaTheme="minorHAnsi" w:hAnsi="Arial" w:cs="Arial"/>
          <w:sz w:val="24"/>
          <w:szCs w:val="24"/>
        </w:rPr>
        <w:tab/>
        <w:t>£20m</w:t>
      </w:r>
    </w:p>
    <w:p w14:paraId="5A8D38BC" w14:textId="77777777" w:rsidR="00C802FD" w:rsidRPr="0007572B" w:rsidRDefault="00C802FD" w:rsidP="0038082E">
      <w:pPr>
        <w:pStyle w:val="Heading4bold"/>
        <w:rPr>
          <w:rFonts w:eastAsiaTheme="minorHAnsi"/>
        </w:rPr>
      </w:pPr>
      <w:r w:rsidRPr="0007572B">
        <w:rPr>
          <w:rFonts w:eastAsiaTheme="minorHAnsi"/>
        </w:rPr>
        <w:t>Credit Risk</w:t>
      </w:r>
    </w:p>
    <w:p w14:paraId="32A33B90" w14:textId="77777777" w:rsidR="00C802FD" w:rsidRPr="0007572B" w:rsidRDefault="00C802FD" w:rsidP="0038082E">
      <w:pPr>
        <w:rPr>
          <w:rFonts w:ascii="Arial" w:eastAsiaTheme="minorHAnsi" w:hAnsi="Arial" w:cs="Arial"/>
        </w:rPr>
      </w:pPr>
      <w:r w:rsidRPr="0007572B">
        <w:rPr>
          <w:rFonts w:ascii="Arial" w:eastAsiaTheme="minorHAnsi" w:hAnsi="Arial" w:cs="Arial"/>
        </w:rPr>
        <w:t>Credit risk arises from deposits with banks and financial institutions, as well as credit exposures to the Authority’s debtors and creditors.</w:t>
      </w:r>
    </w:p>
    <w:p w14:paraId="3B30C1E1" w14:textId="77777777" w:rsidR="00C802FD" w:rsidRPr="0007572B" w:rsidRDefault="00C802FD" w:rsidP="0038082E">
      <w:pPr>
        <w:rPr>
          <w:rFonts w:ascii="Arial" w:eastAsiaTheme="minorHAnsi" w:hAnsi="Arial" w:cs="Arial"/>
        </w:rPr>
      </w:pPr>
    </w:p>
    <w:p w14:paraId="588AA1EA" w14:textId="3BB48E51" w:rsidR="00C802FD" w:rsidRPr="0007572B" w:rsidRDefault="00C802FD" w:rsidP="0038082E">
      <w:pPr>
        <w:rPr>
          <w:rFonts w:ascii="Arial" w:eastAsiaTheme="minorHAnsi" w:hAnsi="Arial" w:cs="Arial"/>
        </w:rPr>
      </w:pPr>
      <w:r w:rsidRPr="0007572B">
        <w:rPr>
          <w:rFonts w:ascii="Arial" w:eastAsiaTheme="minorHAnsi" w:hAnsi="Arial" w:cs="Arial"/>
        </w:rPr>
        <w:t>This risk is minimised through the Annual Investment Strategy, which requires that deposits are not made with financial institutions unless they meet identified minimum credit criteria, in accordance with the Fitch and Moody’s Ratings Services. The Annual Investment Strategy also imposes a maximum sum to be invested with a financial institution located within each category. Deposits are not made with banks and financial institutions unless they meet the minimum requirements of the investment criteria outlined above. All investments held as at 31 March 202</w:t>
      </w:r>
      <w:r w:rsidR="00502211">
        <w:rPr>
          <w:rFonts w:ascii="Arial" w:eastAsiaTheme="minorHAnsi" w:hAnsi="Arial" w:cs="Arial"/>
        </w:rPr>
        <w:t>2</w:t>
      </w:r>
      <w:r w:rsidRPr="0007572B">
        <w:rPr>
          <w:rFonts w:ascii="Arial" w:eastAsiaTheme="minorHAnsi" w:hAnsi="Arial" w:cs="Arial"/>
        </w:rPr>
        <w:t xml:space="preserve"> were with the HM Treasury Debt Management Office, other local authorities or UK banks and building societies.</w:t>
      </w:r>
    </w:p>
    <w:p w14:paraId="59726B4B" w14:textId="77777777" w:rsidR="00C802FD" w:rsidRPr="0007572B" w:rsidRDefault="00C802FD" w:rsidP="0038082E">
      <w:pPr>
        <w:rPr>
          <w:rFonts w:ascii="Arial" w:eastAsiaTheme="minorHAnsi" w:hAnsi="Arial" w:cs="Arial"/>
        </w:rPr>
      </w:pPr>
    </w:p>
    <w:p w14:paraId="521C342A" w14:textId="77777777" w:rsidR="00C802FD" w:rsidRPr="0007572B" w:rsidRDefault="00C802FD" w:rsidP="0038082E">
      <w:pPr>
        <w:rPr>
          <w:rFonts w:ascii="Arial" w:eastAsiaTheme="minorHAnsi" w:hAnsi="Arial" w:cs="Arial"/>
          <w:color w:val="000000" w:themeColor="text1"/>
        </w:rPr>
      </w:pPr>
      <w:r w:rsidRPr="0007572B">
        <w:rPr>
          <w:rFonts w:ascii="Arial" w:eastAsiaTheme="minorHAnsi" w:hAnsi="Arial" w:cs="Arial"/>
        </w:rPr>
        <w:t xml:space="preserve">The Authority has not used any non-credit rated institutions (for instance smaller building societies or bank subsidiaries where the parent has a satisfactory rating). In these circumstances, these investments would have been classified as other </w:t>
      </w:r>
      <w:r w:rsidRPr="0007572B">
        <w:rPr>
          <w:rFonts w:ascii="Arial" w:eastAsiaTheme="minorHAnsi" w:hAnsi="Arial" w:cs="Arial"/>
          <w:color w:val="000000" w:themeColor="text1"/>
        </w:rPr>
        <w:t>counterparties.</w:t>
      </w:r>
    </w:p>
    <w:p w14:paraId="1F0A18D6" w14:textId="77777777" w:rsidR="00C802FD" w:rsidRPr="0007572B" w:rsidRDefault="00C802FD" w:rsidP="0038082E">
      <w:pPr>
        <w:rPr>
          <w:rFonts w:ascii="Arial" w:eastAsiaTheme="minorHAnsi" w:hAnsi="Arial" w:cs="Arial"/>
          <w:color w:val="000000" w:themeColor="text1"/>
        </w:rPr>
      </w:pPr>
    </w:p>
    <w:p w14:paraId="61677A98" w14:textId="77777777" w:rsidR="00C802FD" w:rsidRPr="0007572B" w:rsidRDefault="00C802FD" w:rsidP="0038082E">
      <w:pPr>
        <w:rPr>
          <w:rFonts w:ascii="Arial" w:eastAsiaTheme="minorHAnsi" w:hAnsi="Arial" w:cs="Arial"/>
        </w:rPr>
      </w:pPr>
      <w:r w:rsidRPr="0007572B">
        <w:rPr>
          <w:rFonts w:ascii="Arial" w:eastAsiaTheme="minorHAnsi" w:hAnsi="Arial" w:cs="Arial"/>
        </w:rPr>
        <w:t>The following significant inputs, assumptions and estimation techniques have been used in calculating impairment loss allowances:</w:t>
      </w:r>
    </w:p>
    <w:p w14:paraId="59D7038A" w14:textId="77777777" w:rsidR="00C802FD" w:rsidRPr="0007572B" w:rsidRDefault="00C802FD" w:rsidP="0038082E">
      <w:pPr>
        <w:jc w:val="both"/>
        <w:rPr>
          <w:rFonts w:ascii="Arial" w:eastAsiaTheme="minorHAnsi" w:hAnsi="Arial" w:cs="Arial"/>
        </w:rPr>
      </w:pPr>
    </w:p>
    <w:p w14:paraId="28AFBBAC" w14:textId="77777777" w:rsidR="00C802FD" w:rsidRPr="0007572B" w:rsidRDefault="00C802FD" w:rsidP="00EB27EB">
      <w:pPr>
        <w:pStyle w:val="ListParagraph"/>
        <w:numPr>
          <w:ilvl w:val="0"/>
          <w:numId w:val="36"/>
        </w:numPr>
        <w:spacing w:line="240" w:lineRule="auto"/>
        <w:rPr>
          <w:rFonts w:ascii="Arial" w:hAnsi="Arial" w:cs="Arial"/>
          <w:sz w:val="24"/>
          <w:szCs w:val="24"/>
        </w:rPr>
      </w:pPr>
      <w:r w:rsidRPr="0007572B">
        <w:rPr>
          <w:rFonts w:ascii="Arial" w:hAnsi="Arial" w:cs="Arial"/>
          <w:sz w:val="24"/>
          <w:szCs w:val="24"/>
        </w:rPr>
        <w:t>The Authority assesses each loan it provides individually in terms of likelihood and quantum of recovery, taking a forward-looking approach to the assessment from two different aspects:</w:t>
      </w:r>
    </w:p>
    <w:p w14:paraId="78BF7698" w14:textId="77777777" w:rsidR="00C802FD" w:rsidRPr="0007572B" w:rsidRDefault="00C802FD" w:rsidP="0038082E">
      <w:pPr>
        <w:pStyle w:val="ListParagraph"/>
        <w:spacing w:line="240" w:lineRule="auto"/>
        <w:rPr>
          <w:rFonts w:ascii="Arial" w:hAnsi="Arial" w:cs="Arial"/>
          <w:sz w:val="24"/>
          <w:szCs w:val="24"/>
        </w:rPr>
      </w:pPr>
    </w:p>
    <w:p w14:paraId="64359F80" w14:textId="77777777" w:rsidR="00C802FD" w:rsidRPr="0007572B" w:rsidRDefault="00C802FD" w:rsidP="00EB27EB">
      <w:pPr>
        <w:pStyle w:val="ListParagraph"/>
        <w:numPr>
          <w:ilvl w:val="0"/>
          <w:numId w:val="39"/>
        </w:numPr>
        <w:spacing w:line="240" w:lineRule="auto"/>
        <w:rPr>
          <w:rFonts w:ascii="Arial" w:hAnsi="Arial" w:cs="Arial"/>
          <w:sz w:val="24"/>
          <w:szCs w:val="24"/>
        </w:rPr>
      </w:pPr>
      <w:r w:rsidRPr="0007572B">
        <w:rPr>
          <w:rFonts w:ascii="Arial" w:hAnsi="Arial" w:cs="Arial"/>
          <w:sz w:val="24"/>
          <w:szCs w:val="24"/>
        </w:rPr>
        <w:t>Performance - reviewing portfolio and management information to assess business risk from a performance perspective.</w:t>
      </w:r>
    </w:p>
    <w:p w14:paraId="7834DC1F" w14:textId="77777777" w:rsidR="00C802FD" w:rsidRPr="0007572B" w:rsidRDefault="00C802FD" w:rsidP="0038082E">
      <w:pPr>
        <w:pStyle w:val="ListParagraph"/>
        <w:spacing w:line="240" w:lineRule="auto"/>
        <w:ind w:left="1080"/>
        <w:rPr>
          <w:rFonts w:ascii="Arial" w:hAnsi="Arial" w:cs="Arial"/>
          <w:sz w:val="24"/>
          <w:szCs w:val="24"/>
        </w:rPr>
      </w:pPr>
    </w:p>
    <w:p w14:paraId="1EED7D50" w14:textId="31A3A651" w:rsidR="00C802FD" w:rsidRDefault="00C802FD" w:rsidP="00EB27EB">
      <w:pPr>
        <w:pStyle w:val="ListParagraph"/>
        <w:numPr>
          <w:ilvl w:val="0"/>
          <w:numId w:val="39"/>
        </w:numPr>
        <w:spacing w:line="240" w:lineRule="auto"/>
        <w:rPr>
          <w:rFonts w:ascii="Arial" w:hAnsi="Arial" w:cs="Arial"/>
          <w:sz w:val="24"/>
          <w:szCs w:val="24"/>
        </w:rPr>
      </w:pPr>
      <w:r w:rsidRPr="0007572B">
        <w:rPr>
          <w:rFonts w:ascii="Arial" w:hAnsi="Arial" w:cs="Arial"/>
          <w:sz w:val="24"/>
          <w:szCs w:val="24"/>
        </w:rPr>
        <w:t>Security</w:t>
      </w:r>
      <w:r w:rsidR="00A041A7" w:rsidRPr="0007572B">
        <w:rPr>
          <w:rFonts w:ascii="Arial" w:hAnsi="Arial" w:cs="Arial"/>
          <w:sz w:val="24"/>
          <w:szCs w:val="24"/>
        </w:rPr>
        <w:t xml:space="preserve"> </w:t>
      </w:r>
      <w:r w:rsidRPr="0007572B">
        <w:rPr>
          <w:rFonts w:ascii="Arial" w:hAnsi="Arial" w:cs="Arial"/>
          <w:sz w:val="24"/>
          <w:szCs w:val="24"/>
        </w:rPr>
        <w:t xml:space="preserve">- reviewing the strength of the Authority’s security in a loan recovery situation to allow this to be factored into the loss allowance assessment. </w:t>
      </w:r>
    </w:p>
    <w:p w14:paraId="4A82A6E1" w14:textId="77777777" w:rsidR="003941CA" w:rsidRPr="003941CA" w:rsidRDefault="003941CA" w:rsidP="003941CA">
      <w:pPr>
        <w:pStyle w:val="ListParagraph"/>
        <w:rPr>
          <w:rFonts w:ascii="Arial" w:hAnsi="Arial" w:cs="Arial"/>
          <w:sz w:val="24"/>
          <w:szCs w:val="24"/>
        </w:rPr>
      </w:pPr>
    </w:p>
    <w:p w14:paraId="6E303588" w14:textId="40D46306" w:rsidR="003941CA" w:rsidRPr="003941CA" w:rsidRDefault="00392BE2" w:rsidP="003941CA">
      <w:pPr>
        <w:rPr>
          <w:rFonts w:ascii="Arial" w:hAnsi="Arial" w:cs="Arial"/>
        </w:rPr>
      </w:pPr>
      <w:r w:rsidRPr="00392BE2">
        <w:rPr>
          <w:noProof/>
        </w:rPr>
        <w:drawing>
          <wp:inline distT="0" distB="0" distL="0" distR="0" wp14:anchorId="537C7BF1" wp14:editId="265909A9">
            <wp:extent cx="5975350" cy="1501140"/>
            <wp:effectExtent l="0" t="0" r="6350" b="381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975350" cy="1501140"/>
                    </a:xfrm>
                    <a:prstGeom prst="rect">
                      <a:avLst/>
                    </a:prstGeom>
                    <a:noFill/>
                    <a:ln>
                      <a:noFill/>
                    </a:ln>
                  </pic:spPr>
                </pic:pic>
              </a:graphicData>
            </a:graphic>
          </wp:inline>
        </w:drawing>
      </w:r>
    </w:p>
    <w:p w14:paraId="5457EA6B" w14:textId="259D8FAF" w:rsidR="00C802FD" w:rsidRPr="0007572B" w:rsidRDefault="00C802FD" w:rsidP="0038082E">
      <w:pPr>
        <w:jc w:val="both"/>
        <w:rPr>
          <w:rFonts w:ascii="Arial" w:hAnsi="Arial" w:cs="Arial"/>
        </w:rPr>
      </w:pPr>
    </w:p>
    <w:p w14:paraId="7D921975" w14:textId="25EC7520" w:rsidR="00C802FD" w:rsidRPr="00176124" w:rsidRDefault="00C802FD" w:rsidP="00EB27EB">
      <w:pPr>
        <w:pStyle w:val="ListParagraph"/>
        <w:numPr>
          <w:ilvl w:val="0"/>
          <w:numId w:val="36"/>
        </w:numPr>
        <w:spacing w:line="240" w:lineRule="auto"/>
        <w:rPr>
          <w:rFonts w:ascii="Arial" w:eastAsiaTheme="minorHAnsi" w:hAnsi="Arial" w:cs="Arial"/>
          <w:sz w:val="24"/>
          <w:szCs w:val="24"/>
        </w:rPr>
      </w:pPr>
      <w:bookmarkStart w:id="180" w:name="_Hlk109071599"/>
      <w:r w:rsidRPr="00176124">
        <w:rPr>
          <w:rFonts w:ascii="Arial" w:eastAsiaTheme="minorHAnsi" w:hAnsi="Arial" w:cs="Arial"/>
          <w:sz w:val="24"/>
          <w:szCs w:val="24"/>
        </w:rPr>
        <w:t xml:space="preserve">The Authority’s debtors relate primarily to claims on </w:t>
      </w:r>
      <w:r w:rsidR="000713CE" w:rsidRPr="00176124">
        <w:rPr>
          <w:rFonts w:ascii="Arial" w:eastAsiaTheme="minorHAnsi" w:hAnsi="Arial" w:cs="Arial"/>
          <w:sz w:val="24"/>
          <w:szCs w:val="24"/>
        </w:rPr>
        <w:t>c</w:t>
      </w:r>
      <w:r w:rsidRPr="00176124">
        <w:rPr>
          <w:rFonts w:ascii="Arial" w:eastAsiaTheme="minorHAnsi" w:hAnsi="Arial" w:cs="Arial"/>
          <w:sz w:val="24"/>
          <w:szCs w:val="24"/>
        </w:rPr>
        <w:t xml:space="preserve">entral and </w:t>
      </w:r>
      <w:r w:rsidR="000713CE" w:rsidRPr="00176124">
        <w:rPr>
          <w:rFonts w:ascii="Arial" w:eastAsiaTheme="minorHAnsi" w:hAnsi="Arial" w:cs="Arial"/>
          <w:sz w:val="24"/>
          <w:szCs w:val="24"/>
        </w:rPr>
        <w:t>l</w:t>
      </w:r>
      <w:r w:rsidRPr="00176124">
        <w:rPr>
          <w:rFonts w:ascii="Arial" w:eastAsiaTheme="minorHAnsi" w:hAnsi="Arial" w:cs="Arial"/>
          <w:sz w:val="24"/>
          <w:szCs w:val="24"/>
        </w:rPr>
        <w:t xml:space="preserve">ocal </w:t>
      </w:r>
      <w:r w:rsidR="000713CE" w:rsidRPr="00176124">
        <w:rPr>
          <w:rFonts w:ascii="Arial" w:eastAsiaTheme="minorHAnsi" w:hAnsi="Arial" w:cs="Arial"/>
          <w:sz w:val="24"/>
          <w:szCs w:val="24"/>
        </w:rPr>
        <w:t>g</w:t>
      </w:r>
      <w:r w:rsidRPr="00176124">
        <w:rPr>
          <w:rFonts w:ascii="Arial" w:eastAsiaTheme="minorHAnsi" w:hAnsi="Arial" w:cs="Arial"/>
          <w:sz w:val="24"/>
          <w:szCs w:val="24"/>
        </w:rPr>
        <w:t xml:space="preserve">overnment departments. Other non-trade debtors include HMRC and RGF/GPF, HIF, City Deal and Growth Deal loans. </w:t>
      </w:r>
    </w:p>
    <w:bookmarkEnd w:id="180"/>
    <w:p w14:paraId="68E79829" w14:textId="77777777" w:rsidR="00C802FD" w:rsidRPr="0007572B" w:rsidRDefault="00C802FD" w:rsidP="0038082E">
      <w:pPr>
        <w:pStyle w:val="ListParagraph"/>
        <w:spacing w:line="240" w:lineRule="auto"/>
        <w:rPr>
          <w:rFonts w:ascii="Arial" w:eastAsiaTheme="minorHAnsi" w:hAnsi="Arial" w:cs="Arial"/>
          <w:sz w:val="24"/>
          <w:szCs w:val="24"/>
          <w:highlight w:val="yellow"/>
        </w:rPr>
      </w:pPr>
    </w:p>
    <w:p w14:paraId="17C54413" w14:textId="31DD83C6" w:rsidR="00C802FD" w:rsidRPr="0007572B" w:rsidRDefault="00C802FD" w:rsidP="0038082E">
      <w:pPr>
        <w:pStyle w:val="ListParagraph"/>
        <w:spacing w:line="240" w:lineRule="auto"/>
        <w:rPr>
          <w:rFonts w:ascii="Arial" w:eastAsiaTheme="minorHAnsi" w:hAnsi="Arial" w:cs="Arial"/>
          <w:sz w:val="24"/>
          <w:szCs w:val="24"/>
        </w:rPr>
      </w:pPr>
      <w:r w:rsidRPr="0007572B">
        <w:rPr>
          <w:rFonts w:ascii="Arial" w:eastAsiaTheme="minorHAnsi" w:hAnsi="Arial" w:cs="Arial"/>
          <w:sz w:val="24"/>
          <w:szCs w:val="24"/>
        </w:rPr>
        <w:t xml:space="preserve">The RGF/GPF, HIF, City Deal, Growth Deal and other stand-alone loans have had individual risk profiles assessed, resulting in a ‘lifetime expected loss </w:t>
      </w:r>
      <w:r w:rsidRPr="009D2D1A">
        <w:rPr>
          <w:rFonts w:ascii="Arial" w:eastAsiaTheme="minorHAnsi" w:hAnsi="Arial" w:cs="Arial"/>
          <w:sz w:val="24"/>
          <w:szCs w:val="24"/>
        </w:rPr>
        <w:t>allowance’ of £</w:t>
      </w:r>
      <w:r w:rsidR="009D2D1A" w:rsidRPr="009D2D1A">
        <w:rPr>
          <w:rFonts w:ascii="Arial" w:eastAsiaTheme="minorHAnsi" w:hAnsi="Arial" w:cs="Arial"/>
          <w:sz w:val="24"/>
          <w:szCs w:val="24"/>
        </w:rPr>
        <w:t>8</w:t>
      </w:r>
      <w:r w:rsidR="00046148" w:rsidRPr="009D2D1A">
        <w:rPr>
          <w:rFonts w:ascii="Arial" w:eastAsiaTheme="minorHAnsi" w:hAnsi="Arial" w:cs="Arial"/>
          <w:sz w:val="24"/>
          <w:szCs w:val="24"/>
        </w:rPr>
        <w:t>.</w:t>
      </w:r>
      <w:r w:rsidRPr="009D2D1A">
        <w:rPr>
          <w:rFonts w:ascii="Arial" w:eastAsiaTheme="minorHAnsi" w:hAnsi="Arial" w:cs="Arial"/>
          <w:sz w:val="24"/>
          <w:szCs w:val="24"/>
        </w:rPr>
        <w:t>5</w:t>
      </w:r>
      <w:r w:rsidR="009D2D1A" w:rsidRPr="009D2D1A">
        <w:rPr>
          <w:rFonts w:ascii="Arial" w:eastAsiaTheme="minorHAnsi" w:hAnsi="Arial" w:cs="Arial"/>
          <w:sz w:val="24"/>
          <w:szCs w:val="24"/>
        </w:rPr>
        <w:t>90</w:t>
      </w:r>
      <w:r w:rsidRPr="009D2D1A">
        <w:rPr>
          <w:rFonts w:ascii="Arial" w:eastAsiaTheme="minorHAnsi" w:hAnsi="Arial" w:cs="Arial"/>
          <w:sz w:val="24"/>
          <w:szCs w:val="24"/>
        </w:rPr>
        <w:t>m being included within the accounts, as per the table above.</w:t>
      </w:r>
    </w:p>
    <w:p w14:paraId="05D144F4" w14:textId="77777777" w:rsidR="00C802FD" w:rsidRPr="0007572B" w:rsidRDefault="00C802FD" w:rsidP="0038082E">
      <w:pPr>
        <w:pStyle w:val="ListParagraph"/>
        <w:spacing w:line="240" w:lineRule="auto"/>
        <w:rPr>
          <w:rFonts w:ascii="Arial" w:eastAsiaTheme="minorHAnsi" w:hAnsi="Arial" w:cs="Arial"/>
          <w:sz w:val="24"/>
          <w:szCs w:val="24"/>
          <w:highlight w:val="yellow"/>
        </w:rPr>
      </w:pPr>
    </w:p>
    <w:p w14:paraId="484EF305" w14:textId="445B6FE8" w:rsidR="00C802FD" w:rsidRPr="0007572B" w:rsidRDefault="00C802FD" w:rsidP="0038082E">
      <w:pPr>
        <w:pStyle w:val="ListParagraph"/>
        <w:spacing w:line="240" w:lineRule="auto"/>
        <w:rPr>
          <w:rFonts w:ascii="Arial" w:eastAsiaTheme="minorHAnsi" w:hAnsi="Arial" w:cs="Arial"/>
          <w:sz w:val="24"/>
          <w:szCs w:val="24"/>
        </w:rPr>
      </w:pPr>
      <w:bookmarkStart w:id="181" w:name="_Hlk109071201"/>
      <w:r w:rsidRPr="0007572B">
        <w:rPr>
          <w:rFonts w:ascii="Arial" w:eastAsiaTheme="minorHAnsi" w:hAnsi="Arial" w:cs="Arial"/>
          <w:sz w:val="24"/>
          <w:szCs w:val="24"/>
        </w:rPr>
        <w:t>Of the total debtors past their due date for payme</w:t>
      </w:r>
      <w:r w:rsidRPr="002B5482">
        <w:rPr>
          <w:rFonts w:ascii="Arial" w:eastAsiaTheme="minorHAnsi" w:hAnsi="Arial" w:cs="Arial"/>
          <w:sz w:val="24"/>
          <w:szCs w:val="24"/>
        </w:rPr>
        <w:t>nt, the estimated exposure to default for trade debtors is £0.</w:t>
      </w:r>
      <w:r w:rsidR="0094056D">
        <w:rPr>
          <w:rFonts w:ascii="Arial" w:eastAsiaTheme="minorHAnsi" w:hAnsi="Arial" w:cs="Arial"/>
          <w:sz w:val="24"/>
          <w:szCs w:val="24"/>
        </w:rPr>
        <w:t>1</w:t>
      </w:r>
      <w:r w:rsidRPr="002B5482">
        <w:rPr>
          <w:rFonts w:ascii="Arial" w:eastAsiaTheme="minorHAnsi" w:hAnsi="Arial" w:cs="Arial"/>
          <w:sz w:val="24"/>
          <w:szCs w:val="24"/>
        </w:rPr>
        <w:t>m.</w:t>
      </w:r>
    </w:p>
    <w:bookmarkEnd w:id="181"/>
    <w:p w14:paraId="17CDF15E" w14:textId="77777777" w:rsidR="00C802FD" w:rsidRPr="0007572B" w:rsidRDefault="00C802FD" w:rsidP="0038082E">
      <w:pPr>
        <w:pStyle w:val="ListParagraph"/>
        <w:spacing w:line="240" w:lineRule="auto"/>
        <w:rPr>
          <w:rFonts w:ascii="Arial" w:eastAsiaTheme="minorHAnsi" w:hAnsi="Arial" w:cs="Arial"/>
          <w:sz w:val="24"/>
          <w:szCs w:val="24"/>
          <w:highlight w:val="yellow"/>
        </w:rPr>
      </w:pPr>
    </w:p>
    <w:p w14:paraId="7D3D5269" w14:textId="3CBF6E34" w:rsidR="00133E33" w:rsidRPr="00176124" w:rsidRDefault="00C802FD" w:rsidP="00EB27EB">
      <w:pPr>
        <w:pStyle w:val="ListParagraph"/>
        <w:numPr>
          <w:ilvl w:val="0"/>
          <w:numId w:val="35"/>
        </w:numPr>
        <w:spacing w:after="240" w:line="240" w:lineRule="auto"/>
        <w:rPr>
          <w:rFonts w:ascii="Arial" w:eastAsiaTheme="minorHAnsi" w:hAnsi="Arial" w:cs="Arial"/>
          <w:b/>
          <w:sz w:val="24"/>
          <w:szCs w:val="24"/>
        </w:rPr>
      </w:pPr>
      <w:bookmarkStart w:id="182" w:name="_Hlk109071608"/>
      <w:r w:rsidRPr="00176124">
        <w:rPr>
          <w:rFonts w:ascii="Arial" w:eastAsiaTheme="minorHAnsi" w:hAnsi="Arial" w:cs="Arial"/>
          <w:sz w:val="24"/>
          <w:szCs w:val="24"/>
        </w:rPr>
        <w:t xml:space="preserve">The Authority’s trade creditors relate primarily to </w:t>
      </w:r>
      <w:r w:rsidR="00133E33" w:rsidRPr="00176124">
        <w:rPr>
          <w:rFonts w:ascii="Arial" w:eastAsiaTheme="minorHAnsi" w:hAnsi="Arial" w:cs="Arial"/>
          <w:sz w:val="24"/>
          <w:szCs w:val="24"/>
        </w:rPr>
        <w:t>capital and revenue amounts</w:t>
      </w:r>
      <w:r w:rsidRPr="00176124">
        <w:rPr>
          <w:rFonts w:ascii="Arial" w:eastAsiaTheme="minorHAnsi" w:hAnsi="Arial" w:cs="Arial"/>
          <w:sz w:val="24"/>
          <w:szCs w:val="24"/>
        </w:rPr>
        <w:t xml:space="preserve"> payable </w:t>
      </w:r>
      <w:r w:rsidR="00133E33" w:rsidRPr="00176124">
        <w:rPr>
          <w:rFonts w:ascii="Arial" w:eastAsiaTheme="minorHAnsi" w:hAnsi="Arial" w:cs="Arial"/>
          <w:sz w:val="24"/>
          <w:szCs w:val="24"/>
        </w:rPr>
        <w:t xml:space="preserve">in relation </w:t>
      </w:r>
      <w:r w:rsidRPr="00176124">
        <w:rPr>
          <w:rFonts w:ascii="Arial" w:eastAsiaTheme="minorHAnsi" w:hAnsi="Arial" w:cs="Arial"/>
          <w:sz w:val="24"/>
          <w:szCs w:val="24"/>
        </w:rPr>
        <w:t xml:space="preserve">to </w:t>
      </w:r>
      <w:r w:rsidR="00133E33" w:rsidRPr="00176124">
        <w:rPr>
          <w:rFonts w:ascii="Arial" w:eastAsiaTheme="minorHAnsi" w:hAnsi="Arial" w:cs="Arial"/>
          <w:sz w:val="24"/>
          <w:szCs w:val="24"/>
        </w:rPr>
        <w:t xml:space="preserve">Waste Disposal and Police Fund. </w:t>
      </w:r>
    </w:p>
    <w:bookmarkEnd w:id="182"/>
    <w:p w14:paraId="028925D8" w14:textId="77777777" w:rsidR="00133E33" w:rsidRPr="0007572B" w:rsidRDefault="00133E33" w:rsidP="0038082E">
      <w:pPr>
        <w:pStyle w:val="ListParagraph"/>
        <w:spacing w:after="240" w:line="240" w:lineRule="auto"/>
        <w:rPr>
          <w:rFonts w:ascii="Arial" w:eastAsiaTheme="minorHAnsi" w:hAnsi="Arial" w:cs="Arial"/>
          <w:b/>
          <w:sz w:val="24"/>
          <w:szCs w:val="24"/>
        </w:rPr>
      </w:pPr>
    </w:p>
    <w:p w14:paraId="7A043665" w14:textId="54EDE55B" w:rsidR="00C802FD" w:rsidRDefault="00C802FD" w:rsidP="0038082E">
      <w:pPr>
        <w:pStyle w:val="Heading5"/>
        <w:rPr>
          <w:rFonts w:eastAsiaTheme="minorHAnsi"/>
        </w:rPr>
      </w:pPr>
      <w:r w:rsidRPr="0007572B">
        <w:rPr>
          <w:rFonts w:eastAsiaTheme="minorHAnsi"/>
        </w:rPr>
        <w:t>Credit Ratings Used:</w:t>
      </w:r>
    </w:p>
    <w:p w14:paraId="4584BCBC" w14:textId="77777777" w:rsidR="00D4492C" w:rsidRPr="00D4492C" w:rsidRDefault="00D4492C" w:rsidP="0038082E">
      <w:pPr>
        <w:rPr>
          <w:rFonts w:eastAsiaTheme="minorHAnsi"/>
        </w:rPr>
      </w:pPr>
    </w:p>
    <w:p w14:paraId="0EA7BC1A" w14:textId="77777777" w:rsidR="00C802FD" w:rsidRPr="0007572B" w:rsidRDefault="00C802FD" w:rsidP="0038082E">
      <w:pPr>
        <w:spacing w:after="160"/>
        <w:rPr>
          <w:rFonts w:ascii="Arial" w:eastAsiaTheme="minorHAnsi" w:hAnsi="Arial" w:cs="Arial"/>
        </w:rPr>
      </w:pPr>
      <w:r w:rsidRPr="0007572B">
        <w:rPr>
          <w:rFonts w:ascii="Arial" w:eastAsiaTheme="minorHAnsi" w:hAnsi="Arial" w:cs="Arial"/>
        </w:rPr>
        <w:t>Banks and Building Societies - as a minimum, institutions must have the following Fitch (or equivalent) credit ratings (where rated):</w:t>
      </w:r>
    </w:p>
    <w:p w14:paraId="53E7EB37" w14:textId="77777777" w:rsidR="00C802FD" w:rsidRPr="0007572B" w:rsidRDefault="00C802FD" w:rsidP="00EB27EB">
      <w:pPr>
        <w:numPr>
          <w:ilvl w:val="0"/>
          <w:numId w:val="15"/>
        </w:numPr>
        <w:spacing w:after="160"/>
        <w:contextualSpacing/>
        <w:jc w:val="both"/>
        <w:rPr>
          <w:rFonts w:ascii="Arial" w:eastAsiaTheme="minorHAnsi" w:hAnsi="Arial" w:cs="Arial"/>
          <w:lang w:eastAsia="en-GB"/>
        </w:rPr>
      </w:pPr>
      <w:r w:rsidRPr="0007572B">
        <w:rPr>
          <w:rFonts w:ascii="Arial" w:eastAsiaTheme="minorHAnsi" w:hAnsi="Arial" w:cs="Arial"/>
          <w:lang w:eastAsia="en-GB"/>
        </w:rPr>
        <w:t xml:space="preserve">Long Term </w:t>
      </w:r>
      <w:r w:rsidRPr="0007572B">
        <w:rPr>
          <w:rFonts w:ascii="Arial" w:eastAsiaTheme="minorHAnsi" w:hAnsi="Arial" w:cs="Arial"/>
          <w:lang w:eastAsia="en-GB"/>
        </w:rPr>
        <w:tab/>
        <w:t>- Fitch BBB+</w:t>
      </w:r>
    </w:p>
    <w:p w14:paraId="0337788C" w14:textId="77777777" w:rsidR="00C802FD" w:rsidRPr="0007572B" w:rsidRDefault="00C802FD" w:rsidP="00EB27EB">
      <w:pPr>
        <w:numPr>
          <w:ilvl w:val="0"/>
          <w:numId w:val="15"/>
        </w:numPr>
        <w:spacing w:after="160"/>
        <w:contextualSpacing/>
        <w:jc w:val="both"/>
        <w:rPr>
          <w:rFonts w:ascii="Arial" w:eastAsiaTheme="minorHAnsi" w:hAnsi="Arial" w:cs="Arial"/>
          <w:lang w:eastAsia="en-GB"/>
        </w:rPr>
      </w:pPr>
      <w:r w:rsidRPr="0007572B">
        <w:rPr>
          <w:rFonts w:ascii="Arial" w:eastAsiaTheme="minorHAnsi" w:hAnsi="Arial" w:cs="Arial"/>
          <w:lang w:eastAsia="en-GB"/>
        </w:rPr>
        <w:t>Short Term</w:t>
      </w:r>
      <w:r w:rsidRPr="0007572B">
        <w:rPr>
          <w:rFonts w:ascii="Arial" w:eastAsiaTheme="minorHAnsi" w:hAnsi="Arial" w:cs="Arial"/>
          <w:lang w:eastAsia="en-GB"/>
        </w:rPr>
        <w:tab/>
        <w:t>- Fitch F2 or higher</w:t>
      </w:r>
    </w:p>
    <w:p w14:paraId="021844FE" w14:textId="77777777" w:rsidR="00C802FD" w:rsidRPr="0007572B" w:rsidRDefault="00C802FD" w:rsidP="0038082E">
      <w:pPr>
        <w:jc w:val="both"/>
        <w:rPr>
          <w:rFonts w:ascii="Arial" w:eastAsiaTheme="minorHAnsi" w:hAnsi="Arial" w:cs="Arial"/>
          <w:b/>
        </w:rPr>
      </w:pPr>
    </w:p>
    <w:p w14:paraId="781B653E" w14:textId="104948A0" w:rsidR="00C802FD" w:rsidRDefault="00C802FD" w:rsidP="0038082E">
      <w:pPr>
        <w:pStyle w:val="Heading5"/>
        <w:rPr>
          <w:rFonts w:eastAsiaTheme="minorHAnsi"/>
        </w:rPr>
      </w:pPr>
      <w:r w:rsidRPr="0007572B">
        <w:rPr>
          <w:rFonts w:eastAsiaTheme="minorHAnsi"/>
        </w:rPr>
        <w:t>Monitoring of credit ratings:</w:t>
      </w:r>
    </w:p>
    <w:p w14:paraId="6673CACF" w14:textId="77777777" w:rsidR="00D4492C" w:rsidRPr="00D4492C" w:rsidRDefault="00D4492C" w:rsidP="0038082E">
      <w:pPr>
        <w:rPr>
          <w:rFonts w:eastAsiaTheme="minorHAnsi"/>
        </w:rPr>
      </w:pPr>
    </w:p>
    <w:p w14:paraId="4E07E95D" w14:textId="77777777" w:rsidR="00C802FD" w:rsidRPr="0007572B" w:rsidRDefault="00C802FD" w:rsidP="0038082E">
      <w:pPr>
        <w:spacing w:after="160"/>
        <w:rPr>
          <w:rFonts w:ascii="Arial" w:eastAsiaTheme="minorHAnsi" w:hAnsi="Arial" w:cs="Arial"/>
        </w:rPr>
      </w:pPr>
      <w:r w:rsidRPr="0007572B">
        <w:rPr>
          <w:rFonts w:ascii="Arial" w:eastAsiaTheme="minorHAnsi" w:hAnsi="Arial" w:cs="Arial"/>
        </w:rPr>
        <w:t>This Authority will not use the approach of using the lowest rating from all three rating agencies to determine creditworthy counterparties. The Link Asset Services creditworthiness service uses a wider array of information than just primary ratings and by using a risk weighted scoring system does not give undue preponderance to just one agency’s ratings.</w:t>
      </w:r>
    </w:p>
    <w:p w14:paraId="20907213" w14:textId="77777777" w:rsidR="00C802FD" w:rsidRPr="0007572B" w:rsidRDefault="00C802FD" w:rsidP="0038082E">
      <w:pPr>
        <w:spacing w:after="160"/>
        <w:rPr>
          <w:rFonts w:ascii="Arial" w:eastAsiaTheme="minorHAnsi" w:hAnsi="Arial" w:cs="Arial"/>
        </w:rPr>
      </w:pPr>
      <w:r w:rsidRPr="0007572B">
        <w:rPr>
          <w:rFonts w:ascii="Arial" w:eastAsiaTheme="minorHAnsi" w:hAnsi="Arial" w:cs="Arial"/>
        </w:rPr>
        <w:t>All credit ratings will be monitored daily and re-assessed weekly. The Authority is alerted to changes to ratings of all three agencies through its use of the Link Asset Services creditworthiness service.</w:t>
      </w:r>
    </w:p>
    <w:p w14:paraId="6074FBD9" w14:textId="77777777" w:rsidR="00C802FD" w:rsidRPr="0007572B" w:rsidRDefault="00C802FD" w:rsidP="00EB27EB">
      <w:pPr>
        <w:numPr>
          <w:ilvl w:val="0"/>
          <w:numId w:val="10"/>
        </w:numPr>
        <w:spacing w:after="160"/>
        <w:contextualSpacing/>
        <w:rPr>
          <w:rFonts w:ascii="Arial" w:eastAsiaTheme="minorHAnsi" w:hAnsi="Arial" w:cs="Arial"/>
          <w:lang w:eastAsia="en-GB"/>
        </w:rPr>
      </w:pPr>
      <w:r w:rsidRPr="0007572B">
        <w:rPr>
          <w:rFonts w:ascii="Arial" w:eastAsiaTheme="minorHAnsi" w:hAnsi="Arial" w:cs="Arial"/>
          <w:lang w:eastAsia="en-GB"/>
        </w:rPr>
        <w:t>If a downgrade results in the counterparty/investment scheme no longer meeting the Authority’s minimum criteria, its further use as a new investment will be withdrawn immediately;</w:t>
      </w:r>
    </w:p>
    <w:p w14:paraId="02EE8F79" w14:textId="77777777" w:rsidR="00C802FD" w:rsidRPr="0007572B" w:rsidRDefault="00C802FD" w:rsidP="00EB27EB">
      <w:pPr>
        <w:numPr>
          <w:ilvl w:val="0"/>
          <w:numId w:val="10"/>
        </w:numPr>
        <w:spacing w:after="160"/>
        <w:contextualSpacing/>
        <w:rPr>
          <w:rFonts w:ascii="Arial" w:eastAsiaTheme="minorHAnsi" w:hAnsi="Arial" w:cs="Arial"/>
          <w:lang w:eastAsia="en-GB"/>
        </w:rPr>
      </w:pPr>
      <w:r w:rsidRPr="0007572B">
        <w:rPr>
          <w:rFonts w:ascii="Arial" w:eastAsiaTheme="minorHAnsi" w:hAnsi="Arial" w:cs="Arial"/>
          <w:lang w:eastAsia="en-GB"/>
        </w:rPr>
        <w:t>In addition to the use of Credit Ratings, the Authority will be advised of information in Credit Default Swap against the iTraxx benchmark and other market data on a weekly basis. Extreme market movements may result in the downgrade of an institution or removal from the Authority’s lending list;</w:t>
      </w:r>
    </w:p>
    <w:p w14:paraId="1502CE0E" w14:textId="77777777" w:rsidR="00C802FD" w:rsidRPr="0007572B" w:rsidRDefault="00C802FD" w:rsidP="00EB27EB">
      <w:pPr>
        <w:numPr>
          <w:ilvl w:val="0"/>
          <w:numId w:val="10"/>
        </w:numPr>
        <w:spacing w:after="160"/>
        <w:contextualSpacing/>
        <w:rPr>
          <w:rFonts w:ascii="Arial" w:eastAsiaTheme="minorHAnsi" w:hAnsi="Arial" w:cs="Arial"/>
          <w:lang w:eastAsia="en-GB"/>
        </w:rPr>
      </w:pPr>
      <w:r w:rsidRPr="0007572B">
        <w:rPr>
          <w:rFonts w:ascii="Arial" w:eastAsiaTheme="minorHAnsi" w:hAnsi="Arial" w:cs="Arial"/>
          <w:lang w:eastAsia="en-GB"/>
        </w:rPr>
        <w:t>Sole reliance will not be placed on the use of this external service. In addition this Authority will also use market data and market information, information on government support for banks and the credit ratings of that government support.</w:t>
      </w:r>
    </w:p>
    <w:p w14:paraId="432EAF6D" w14:textId="77777777" w:rsidR="00C802FD" w:rsidRPr="0007572B" w:rsidRDefault="00C802FD" w:rsidP="0038082E">
      <w:pPr>
        <w:pStyle w:val="Heading4bold"/>
        <w:rPr>
          <w:rFonts w:eastAsiaTheme="minorHAnsi"/>
        </w:rPr>
      </w:pPr>
      <w:r w:rsidRPr="0007572B">
        <w:rPr>
          <w:rFonts w:eastAsiaTheme="minorHAnsi"/>
        </w:rPr>
        <w:t>Liquidity Risk</w:t>
      </w:r>
    </w:p>
    <w:p w14:paraId="13945CF4" w14:textId="77777777" w:rsidR="00C802FD" w:rsidRPr="0007572B" w:rsidRDefault="00C802FD" w:rsidP="0038082E">
      <w:pPr>
        <w:rPr>
          <w:rFonts w:ascii="Arial" w:eastAsiaTheme="minorHAnsi" w:hAnsi="Arial" w:cs="Arial"/>
        </w:rPr>
      </w:pPr>
      <w:r w:rsidRPr="0007572B">
        <w:rPr>
          <w:rFonts w:ascii="Arial" w:eastAsiaTheme="minorHAnsi" w:hAnsi="Arial" w:cs="Arial"/>
        </w:rPr>
        <w:t>The Authority manages its liquidity position through the risk management procedures above (the setting and approval of prudential indicators and the approval of the treasury and investment strategy reports), as well as through a comprehensive cash flow management system, as required by the Code of Practice. This seeks to ensure that cash is available as needed.</w:t>
      </w:r>
    </w:p>
    <w:p w14:paraId="3DBEC519" w14:textId="77777777" w:rsidR="00C802FD" w:rsidRPr="0007572B" w:rsidRDefault="00C802FD" w:rsidP="0038082E">
      <w:pPr>
        <w:rPr>
          <w:rFonts w:ascii="Arial" w:eastAsiaTheme="minorHAnsi" w:hAnsi="Arial" w:cs="Arial"/>
        </w:rPr>
      </w:pPr>
    </w:p>
    <w:p w14:paraId="5A9C1C5C" w14:textId="77777777" w:rsidR="00C802FD" w:rsidRPr="0007572B" w:rsidRDefault="00C802FD" w:rsidP="0038082E">
      <w:pPr>
        <w:rPr>
          <w:rFonts w:ascii="Arial" w:eastAsiaTheme="minorHAnsi" w:hAnsi="Arial" w:cs="Arial"/>
        </w:rPr>
      </w:pPr>
      <w:r w:rsidRPr="0007572B">
        <w:rPr>
          <w:rFonts w:ascii="Arial" w:eastAsiaTheme="minorHAnsi" w:hAnsi="Arial" w:cs="Arial"/>
        </w:rPr>
        <w:t>If unexpected movements happen, the Authority has ready access to borrowings from the money market and the Public Works Loans Board. The Authority is also required to provide a balanced budget through the Local Government Finance Act 1992, which ensures sufficient monies are raised to cover annual expenditure. There is no significant risk that it will be unable to raise finance to meet its commitments under financial instruments.</w:t>
      </w:r>
    </w:p>
    <w:p w14:paraId="31F8CBD1" w14:textId="77777777" w:rsidR="00C802FD" w:rsidRPr="0007572B" w:rsidRDefault="00C802FD" w:rsidP="0038082E">
      <w:pPr>
        <w:rPr>
          <w:rFonts w:ascii="Arial" w:eastAsiaTheme="minorHAnsi" w:hAnsi="Arial" w:cs="Arial"/>
        </w:rPr>
      </w:pPr>
    </w:p>
    <w:p w14:paraId="30AFD4F6" w14:textId="77777777" w:rsidR="00C802FD" w:rsidRPr="0007572B" w:rsidRDefault="00C802FD" w:rsidP="0038082E">
      <w:pPr>
        <w:rPr>
          <w:rFonts w:ascii="Arial" w:eastAsiaTheme="minorHAnsi" w:hAnsi="Arial" w:cs="Arial"/>
        </w:rPr>
      </w:pPr>
      <w:r w:rsidRPr="0007572B">
        <w:rPr>
          <w:rFonts w:ascii="Arial" w:eastAsiaTheme="minorHAnsi" w:hAnsi="Arial" w:cs="Arial"/>
        </w:rPr>
        <w:t>The Authority maintains a significant debt and investment portfolio. Whilst the cash flow procedures listed above are considered against the refinancing risk procedures, longer term risk to the Authority relates to managing the exposure to replacing financial instruments as they mature. This risk relates to both the maturing of longer term financial liabilities and longer term financial assets.</w:t>
      </w:r>
    </w:p>
    <w:p w14:paraId="6489B882" w14:textId="77777777" w:rsidR="00C802FD" w:rsidRPr="0007572B" w:rsidRDefault="00C802FD" w:rsidP="0038082E">
      <w:pPr>
        <w:rPr>
          <w:rFonts w:ascii="Arial" w:eastAsiaTheme="minorHAnsi" w:hAnsi="Arial" w:cs="Arial"/>
        </w:rPr>
      </w:pPr>
    </w:p>
    <w:p w14:paraId="12783696" w14:textId="77777777" w:rsidR="00C802FD" w:rsidRPr="0007572B" w:rsidRDefault="00C802FD" w:rsidP="0038082E">
      <w:pPr>
        <w:rPr>
          <w:rFonts w:ascii="Arial" w:eastAsiaTheme="minorHAnsi" w:hAnsi="Arial" w:cs="Arial"/>
        </w:rPr>
      </w:pPr>
      <w:r w:rsidRPr="0007572B">
        <w:rPr>
          <w:rFonts w:ascii="Arial" w:eastAsiaTheme="minorHAnsi" w:hAnsi="Arial" w:cs="Arial"/>
        </w:rPr>
        <w:t>The approved prudential indicator limits for the maturity structure of debt and the limits placed on investments placed for greater than one year in duration are the key parameters used to address this risk. The Authority approved treasury and investment strategies address the main risks and the central treasury team address the operational risks within the approved parameters. This includes:</w:t>
      </w:r>
    </w:p>
    <w:p w14:paraId="28D2C66D" w14:textId="77777777" w:rsidR="00C802FD" w:rsidRPr="0007572B" w:rsidRDefault="00C802FD" w:rsidP="0038082E">
      <w:pPr>
        <w:rPr>
          <w:rFonts w:ascii="Arial" w:eastAsiaTheme="minorHAnsi" w:hAnsi="Arial" w:cs="Arial"/>
        </w:rPr>
      </w:pPr>
    </w:p>
    <w:p w14:paraId="39130456" w14:textId="77777777" w:rsidR="00C802FD" w:rsidRPr="0007572B" w:rsidRDefault="00C802FD" w:rsidP="00EB27EB">
      <w:pPr>
        <w:numPr>
          <w:ilvl w:val="0"/>
          <w:numId w:val="11"/>
        </w:numPr>
        <w:spacing w:after="160"/>
        <w:contextualSpacing/>
        <w:rPr>
          <w:rFonts w:ascii="Arial" w:eastAsiaTheme="minorHAnsi" w:hAnsi="Arial" w:cs="Arial"/>
          <w:lang w:eastAsia="en-GB"/>
        </w:rPr>
      </w:pPr>
      <w:r w:rsidRPr="0007572B">
        <w:rPr>
          <w:rFonts w:ascii="Arial" w:eastAsiaTheme="minorHAnsi" w:hAnsi="Arial" w:cs="Arial"/>
          <w:lang w:eastAsia="en-GB"/>
        </w:rPr>
        <w:t>monitoring the maturity profile of financial liabilities and amending the profile through either new borrowing or the rescheduling of the existing debt; and</w:t>
      </w:r>
    </w:p>
    <w:p w14:paraId="299A2EAF" w14:textId="77777777" w:rsidR="00C802FD" w:rsidRPr="0007572B" w:rsidRDefault="00C802FD" w:rsidP="00EB27EB">
      <w:pPr>
        <w:numPr>
          <w:ilvl w:val="0"/>
          <w:numId w:val="11"/>
        </w:numPr>
        <w:contextualSpacing/>
        <w:rPr>
          <w:rFonts w:ascii="Arial" w:eastAsiaTheme="minorHAnsi" w:hAnsi="Arial" w:cs="Arial"/>
          <w:lang w:eastAsia="en-GB"/>
        </w:rPr>
      </w:pPr>
      <w:r w:rsidRPr="0007572B">
        <w:rPr>
          <w:rFonts w:ascii="Arial" w:eastAsiaTheme="minorHAnsi" w:hAnsi="Arial" w:cs="Arial"/>
          <w:lang w:eastAsia="en-GB"/>
        </w:rPr>
        <w:t>monitoring the maturity profile of investments to ensure sufficient liquidity is available for the Authority’s day to day cash flow needs, and the spread of longer term investments provide stability of maturities and returns in relation to the longer term cash flow needs.</w:t>
      </w:r>
    </w:p>
    <w:p w14:paraId="1AFDC871" w14:textId="77777777" w:rsidR="00C802FD" w:rsidRPr="0007572B" w:rsidRDefault="00C802FD" w:rsidP="0038082E">
      <w:pPr>
        <w:rPr>
          <w:rFonts w:ascii="Arial" w:eastAsiaTheme="minorHAnsi" w:hAnsi="Arial" w:cs="Arial"/>
        </w:rPr>
      </w:pPr>
    </w:p>
    <w:p w14:paraId="14FF5ADD" w14:textId="1D196786" w:rsidR="00C802FD" w:rsidRDefault="00C802FD" w:rsidP="0038082E">
      <w:pPr>
        <w:spacing w:after="160"/>
        <w:rPr>
          <w:rFonts w:ascii="Arial" w:eastAsiaTheme="minorHAnsi" w:hAnsi="Arial" w:cs="Arial"/>
        </w:rPr>
      </w:pPr>
      <w:r w:rsidRPr="0007572B">
        <w:rPr>
          <w:rFonts w:ascii="Arial" w:eastAsiaTheme="minorHAnsi" w:hAnsi="Arial" w:cs="Arial"/>
        </w:rPr>
        <w:t>The Authority has £50m lender option borrower option (LOBO) loans. These have fixed rates of interest but the lender may seek to increase interest rates at which point the Authority has the option to repay the loan. As there is no certainty as to whether these loans will be repaid early, the Authority has treated them as fixed loans which will run to maturity. In forming this judgement the Authority has taken account of its ability to refinance through PWLB.</w:t>
      </w:r>
    </w:p>
    <w:p w14:paraId="72A545CF" w14:textId="086D002A" w:rsidR="00343260" w:rsidRPr="0007572B" w:rsidRDefault="00343260" w:rsidP="0038082E">
      <w:pPr>
        <w:spacing w:after="160"/>
        <w:rPr>
          <w:rFonts w:ascii="Arial" w:eastAsiaTheme="minorHAnsi" w:hAnsi="Arial" w:cs="Arial"/>
        </w:rPr>
      </w:pPr>
      <w:r>
        <w:rPr>
          <w:rFonts w:ascii="Arial" w:eastAsiaTheme="minorHAnsi" w:hAnsi="Arial" w:cs="Arial"/>
        </w:rPr>
        <w:t>The table below shows the liquidity risk to the Authority based on maturity analy</w:t>
      </w:r>
      <w:r w:rsidR="009D664A">
        <w:rPr>
          <w:rFonts w:ascii="Arial" w:eastAsiaTheme="minorHAnsi" w:hAnsi="Arial" w:cs="Arial"/>
        </w:rPr>
        <w:t>sis:</w:t>
      </w:r>
    </w:p>
    <w:p w14:paraId="71FAE808" w14:textId="197D63B9" w:rsidR="00C802FD" w:rsidRDefault="005838F8" w:rsidP="00BB7299">
      <w:pPr>
        <w:ind w:firstLine="720"/>
        <w:jc w:val="both"/>
        <w:rPr>
          <w:rFonts w:ascii="Arial" w:eastAsiaTheme="minorHAnsi" w:hAnsi="Arial" w:cs="Arial"/>
          <w:b/>
        </w:rPr>
      </w:pPr>
      <w:r w:rsidRPr="005838F8">
        <w:rPr>
          <w:rFonts w:ascii="Arial" w:eastAsiaTheme="minorHAnsi" w:hAnsi="Arial" w:cs="Arial"/>
          <w:b/>
        </w:rPr>
        <w:t xml:space="preserve"> </w:t>
      </w:r>
      <w:r w:rsidRPr="005838F8">
        <w:rPr>
          <w:rFonts w:eastAsiaTheme="minorHAnsi"/>
          <w:noProof/>
        </w:rPr>
        <w:drawing>
          <wp:inline distT="0" distB="0" distL="0" distR="0" wp14:anchorId="7473FD79" wp14:editId="5BA1B196">
            <wp:extent cx="5573395" cy="1024255"/>
            <wp:effectExtent l="0" t="0" r="8255" b="4445"/>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573395" cy="1024255"/>
                    </a:xfrm>
                    <a:prstGeom prst="rect">
                      <a:avLst/>
                    </a:prstGeom>
                    <a:noFill/>
                    <a:ln>
                      <a:noFill/>
                    </a:ln>
                  </pic:spPr>
                </pic:pic>
              </a:graphicData>
            </a:graphic>
          </wp:inline>
        </w:drawing>
      </w:r>
    </w:p>
    <w:p w14:paraId="7A675FEF" w14:textId="77777777" w:rsidR="005838F8" w:rsidRPr="0007572B" w:rsidRDefault="005838F8" w:rsidP="00BB7299">
      <w:pPr>
        <w:ind w:firstLine="720"/>
        <w:jc w:val="both"/>
        <w:rPr>
          <w:rFonts w:ascii="Arial" w:eastAsiaTheme="minorHAnsi" w:hAnsi="Arial" w:cs="Arial"/>
          <w:b/>
        </w:rPr>
      </w:pPr>
    </w:p>
    <w:p w14:paraId="5D13DE81" w14:textId="77777777" w:rsidR="00C802FD" w:rsidRPr="0007572B" w:rsidRDefault="00C802FD" w:rsidP="0038082E">
      <w:pPr>
        <w:pStyle w:val="Heading4bold"/>
        <w:rPr>
          <w:rFonts w:eastAsiaTheme="minorHAnsi"/>
        </w:rPr>
      </w:pPr>
      <w:r w:rsidRPr="0007572B">
        <w:rPr>
          <w:rFonts w:eastAsiaTheme="minorHAnsi"/>
        </w:rPr>
        <w:t>Refinancing and maturity risk</w:t>
      </w:r>
    </w:p>
    <w:p w14:paraId="1DAA74E2" w14:textId="77777777" w:rsidR="00C802FD" w:rsidRPr="0007572B" w:rsidRDefault="00C802FD" w:rsidP="0038082E">
      <w:pPr>
        <w:rPr>
          <w:rFonts w:ascii="Arial" w:eastAsiaTheme="minorHAnsi" w:hAnsi="Arial" w:cs="Arial"/>
        </w:rPr>
      </w:pPr>
      <w:r w:rsidRPr="0007572B">
        <w:rPr>
          <w:rFonts w:ascii="Arial" w:eastAsiaTheme="minorHAnsi" w:hAnsi="Arial" w:cs="Arial"/>
        </w:rPr>
        <w:t>The Authority maintained a significant debt and investment portfolio. Whilst the cash flow procedures were considered against the refinancing risk procedures, longer term risk to the Authority related to managing the exposure to replacing financial instruments as they mature.</w:t>
      </w:r>
    </w:p>
    <w:p w14:paraId="2F52D520" w14:textId="77777777" w:rsidR="00C802FD" w:rsidRPr="0007572B" w:rsidRDefault="00C802FD" w:rsidP="0038082E">
      <w:pPr>
        <w:rPr>
          <w:rFonts w:ascii="Arial" w:eastAsiaTheme="minorHAnsi" w:hAnsi="Arial" w:cs="Arial"/>
        </w:rPr>
      </w:pPr>
    </w:p>
    <w:p w14:paraId="17C6E9FE" w14:textId="77777777" w:rsidR="00C802FD" w:rsidRPr="0007572B" w:rsidRDefault="00C802FD" w:rsidP="0038082E">
      <w:pPr>
        <w:spacing w:after="160"/>
        <w:contextualSpacing/>
        <w:rPr>
          <w:rFonts w:ascii="Arial" w:eastAsiaTheme="minorHAnsi" w:hAnsi="Arial" w:cs="Arial"/>
          <w:lang w:eastAsia="en-GB"/>
        </w:rPr>
      </w:pPr>
      <w:r w:rsidRPr="0007572B">
        <w:rPr>
          <w:rFonts w:ascii="Arial" w:eastAsiaTheme="minorHAnsi" w:hAnsi="Arial" w:cs="Arial"/>
          <w:lang w:eastAsia="en-GB"/>
        </w:rPr>
        <w:t>The approved treasury indicator limits for the maturity structure of debt and the limits placed on investments placed for greater than one year in duration are the key parameters used to address this risk. The Authority approved treasury and investment strategies address the main risks, these include:</w:t>
      </w:r>
    </w:p>
    <w:p w14:paraId="450B860C" w14:textId="77777777" w:rsidR="00C802FD" w:rsidRPr="0007572B" w:rsidRDefault="00C802FD" w:rsidP="0038082E">
      <w:pPr>
        <w:spacing w:after="160"/>
        <w:contextualSpacing/>
        <w:rPr>
          <w:rFonts w:ascii="Arial" w:eastAsiaTheme="minorHAnsi" w:hAnsi="Arial" w:cs="Arial"/>
          <w:lang w:eastAsia="en-GB"/>
        </w:rPr>
      </w:pPr>
    </w:p>
    <w:p w14:paraId="66224CDA" w14:textId="77777777" w:rsidR="00C802FD" w:rsidRPr="0007572B" w:rsidRDefault="00C802FD" w:rsidP="00EB27EB">
      <w:pPr>
        <w:numPr>
          <w:ilvl w:val="0"/>
          <w:numId w:val="12"/>
        </w:numPr>
        <w:spacing w:after="160"/>
        <w:contextualSpacing/>
        <w:rPr>
          <w:rFonts w:ascii="Arial" w:eastAsiaTheme="minorHAnsi" w:hAnsi="Arial" w:cs="Arial"/>
          <w:lang w:eastAsia="en-GB"/>
        </w:rPr>
      </w:pPr>
      <w:r w:rsidRPr="0007572B">
        <w:rPr>
          <w:rFonts w:ascii="Arial" w:eastAsiaTheme="minorHAnsi" w:hAnsi="Arial" w:cs="Arial"/>
          <w:lang w:eastAsia="en-GB"/>
        </w:rPr>
        <w:t>Monitoring the maturity profile of financial liabilities and amending the profile through either new borrowing or the rescheduling of existing debt;</w:t>
      </w:r>
    </w:p>
    <w:p w14:paraId="4CEB46DF" w14:textId="77777777" w:rsidR="00C802FD" w:rsidRPr="0007572B" w:rsidRDefault="00C802FD" w:rsidP="00EB27EB">
      <w:pPr>
        <w:numPr>
          <w:ilvl w:val="0"/>
          <w:numId w:val="12"/>
        </w:numPr>
        <w:contextualSpacing/>
        <w:rPr>
          <w:rFonts w:ascii="Arial" w:eastAsiaTheme="minorHAnsi" w:hAnsi="Arial" w:cs="Arial"/>
          <w:lang w:eastAsia="en-GB"/>
        </w:rPr>
      </w:pPr>
      <w:r w:rsidRPr="0007572B">
        <w:rPr>
          <w:rFonts w:ascii="Arial" w:eastAsiaTheme="minorHAnsi" w:hAnsi="Arial" w:cs="Arial"/>
          <w:lang w:eastAsia="en-GB"/>
        </w:rPr>
        <w:t>Monitoring the maturity profile of investments to ensure sufficient liquidity is available for the Authority’s day to day cash flow needs;</w:t>
      </w:r>
    </w:p>
    <w:p w14:paraId="790AC6A1" w14:textId="77777777" w:rsidR="00C802FD" w:rsidRPr="0007572B" w:rsidRDefault="00C802FD" w:rsidP="00EB27EB">
      <w:pPr>
        <w:pStyle w:val="ListParagraph"/>
        <w:numPr>
          <w:ilvl w:val="0"/>
          <w:numId w:val="12"/>
        </w:numPr>
        <w:spacing w:line="240" w:lineRule="auto"/>
        <w:rPr>
          <w:rFonts w:ascii="Arial" w:eastAsiaTheme="minorHAnsi" w:hAnsi="Arial" w:cs="Arial"/>
          <w:sz w:val="24"/>
          <w:szCs w:val="24"/>
        </w:rPr>
      </w:pPr>
      <w:r w:rsidRPr="0007572B">
        <w:rPr>
          <w:rFonts w:ascii="Arial" w:eastAsiaTheme="minorHAnsi" w:hAnsi="Arial" w:cs="Arial"/>
          <w:sz w:val="24"/>
          <w:szCs w:val="24"/>
        </w:rPr>
        <w:t>All trade creditors are due to be paid in less than one year.</w:t>
      </w:r>
    </w:p>
    <w:p w14:paraId="30891F53" w14:textId="77777777" w:rsidR="00C802FD" w:rsidRPr="0007572B" w:rsidRDefault="00C802FD" w:rsidP="0038082E">
      <w:pPr>
        <w:pStyle w:val="Heading4bold"/>
        <w:rPr>
          <w:rFonts w:eastAsiaTheme="minorHAnsi"/>
        </w:rPr>
      </w:pPr>
      <w:r w:rsidRPr="0007572B">
        <w:rPr>
          <w:rFonts w:eastAsiaTheme="minorHAnsi"/>
        </w:rPr>
        <w:t>Market Risk</w:t>
      </w:r>
    </w:p>
    <w:p w14:paraId="2AB0F5DF" w14:textId="77777777" w:rsidR="00C802FD" w:rsidRPr="0007572B" w:rsidRDefault="00C802FD" w:rsidP="0038082E">
      <w:pPr>
        <w:spacing w:after="160"/>
        <w:rPr>
          <w:rFonts w:ascii="Arial" w:eastAsiaTheme="minorHAnsi" w:hAnsi="Arial" w:cs="Arial"/>
        </w:rPr>
      </w:pPr>
      <w:r w:rsidRPr="0007572B">
        <w:rPr>
          <w:rFonts w:ascii="Arial" w:eastAsiaTheme="minorHAnsi" w:hAnsi="Arial" w:cs="Arial"/>
        </w:rPr>
        <w:t>The Authority is exposed to interest rate movements on its borrowings and investments. Movements in interest rates have a complex impact on the Authority, depending on how variable and fixed interest rates move across differing financial instrument periods. For instance, a rise in variable and fixed interest rates would have the following effects:</w:t>
      </w:r>
    </w:p>
    <w:p w14:paraId="61D54087" w14:textId="77777777" w:rsidR="00C802FD" w:rsidRPr="0007572B" w:rsidRDefault="00C802FD" w:rsidP="00EB27EB">
      <w:pPr>
        <w:numPr>
          <w:ilvl w:val="0"/>
          <w:numId w:val="16"/>
        </w:numPr>
        <w:spacing w:after="160"/>
        <w:contextualSpacing/>
        <w:rPr>
          <w:rFonts w:ascii="Arial" w:eastAsiaTheme="minorHAnsi" w:hAnsi="Arial" w:cs="Arial"/>
          <w:lang w:eastAsia="en-GB"/>
        </w:rPr>
      </w:pPr>
      <w:r w:rsidRPr="0007572B">
        <w:rPr>
          <w:rFonts w:ascii="Arial" w:eastAsiaTheme="minorHAnsi" w:hAnsi="Arial" w:cs="Arial"/>
          <w:lang w:eastAsia="en-GB"/>
        </w:rPr>
        <w:t>Borrowings at variable rates – The interest expense charged to the Deficit / (Surplus) on the Provision of Services will rise;</w:t>
      </w:r>
    </w:p>
    <w:p w14:paraId="4D19770C" w14:textId="77777777" w:rsidR="00C802FD" w:rsidRPr="0007572B" w:rsidRDefault="00C802FD" w:rsidP="00EB27EB">
      <w:pPr>
        <w:numPr>
          <w:ilvl w:val="0"/>
          <w:numId w:val="16"/>
        </w:numPr>
        <w:spacing w:after="160"/>
        <w:contextualSpacing/>
        <w:rPr>
          <w:rFonts w:ascii="Arial" w:eastAsiaTheme="minorHAnsi" w:hAnsi="Arial" w:cs="Arial"/>
          <w:lang w:eastAsia="en-GB"/>
        </w:rPr>
      </w:pPr>
      <w:r w:rsidRPr="0007572B">
        <w:rPr>
          <w:rFonts w:ascii="Arial" w:eastAsiaTheme="minorHAnsi" w:hAnsi="Arial" w:cs="Arial"/>
          <w:lang w:eastAsia="en-GB"/>
        </w:rPr>
        <w:t>Borrowings at fixed rates - The fair value of the borrowing liability will fall;</w:t>
      </w:r>
    </w:p>
    <w:p w14:paraId="64F8F8CD" w14:textId="77777777" w:rsidR="00C802FD" w:rsidRPr="0007572B" w:rsidRDefault="00C802FD" w:rsidP="00EB27EB">
      <w:pPr>
        <w:numPr>
          <w:ilvl w:val="0"/>
          <w:numId w:val="16"/>
        </w:numPr>
        <w:spacing w:after="160"/>
        <w:contextualSpacing/>
        <w:rPr>
          <w:rFonts w:ascii="Arial" w:eastAsiaTheme="minorHAnsi" w:hAnsi="Arial" w:cs="Arial"/>
          <w:lang w:eastAsia="en-GB"/>
        </w:rPr>
      </w:pPr>
      <w:r w:rsidRPr="0007572B">
        <w:rPr>
          <w:rFonts w:ascii="Arial" w:eastAsiaTheme="minorHAnsi" w:hAnsi="Arial" w:cs="Arial"/>
          <w:lang w:eastAsia="en-GB"/>
        </w:rPr>
        <w:t>Investments at variable rates - The interest income credited to the Deficit / (Surplus) on the Provision of Services will rise; and</w:t>
      </w:r>
    </w:p>
    <w:p w14:paraId="3E6DAA76" w14:textId="77777777" w:rsidR="00C802FD" w:rsidRPr="0007572B" w:rsidRDefault="00C802FD" w:rsidP="00EB27EB">
      <w:pPr>
        <w:numPr>
          <w:ilvl w:val="0"/>
          <w:numId w:val="16"/>
        </w:numPr>
        <w:spacing w:after="160"/>
        <w:contextualSpacing/>
        <w:rPr>
          <w:rFonts w:ascii="Arial" w:eastAsiaTheme="minorHAnsi" w:hAnsi="Arial" w:cs="Arial"/>
          <w:lang w:eastAsia="en-GB"/>
        </w:rPr>
      </w:pPr>
      <w:r w:rsidRPr="0007572B">
        <w:rPr>
          <w:rFonts w:ascii="Arial" w:eastAsiaTheme="minorHAnsi" w:hAnsi="Arial" w:cs="Arial"/>
          <w:lang w:eastAsia="en-GB"/>
        </w:rPr>
        <w:t>Investments at fixed rates - The fair value of the assets will fall.</w:t>
      </w:r>
    </w:p>
    <w:p w14:paraId="1031507B" w14:textId="77777777" w:rsidR="00C802FD" w:rsidRPr="0007572B" w:rsidRDefault="00C802FD" w:rsidP="0038082E">
      <w:pPr>
        <w:spacing w:after="160"/>
        <w:rPr>
          <w:rFonts w:ascii="Arial" w:eastAsiaTheme="minorHAnsi" w:hAnsi="Arial" w:cs="Arial"/>
        </w:rPr>
      </w:pPr>
    </w:p>
    <w:p w14:paraId="4EE92978" w14:textId="77777777" w:rsidR="00C802FD" w:rsidRPr="0007572B" w:rsidRDefault="00C802FD" w:rsidP="0038082E">
      <w:pPr>
        <w:spacing w:after="160"/>
        <w:rPr>
          <w:rFonts w:ascii="Arial" w:eastAsiaTheme="minorHAnsi" w:hAnsi="Arial" w:cs="Arial"/>
        </w:rPr>
      </w:pPr>
      <w:r w:rsidRPr="0007572B">
        <w:rPr>
          <w:rFonts w:ascii="Arial" w:eastAsiaTheme="minorHAnsi" w:hAnsi="Arial" w:cs="Arial"/>
        </w:rPr>
        <w:t xml:space="preserve">Borrowings are not carried at fair value on the balance sheet, so nominal gains and losses on fixed rate borrowings would not impact on the Deficit / (Surplus) on the Provision of Services or Other Comprehensive Income and Expenditure. However, changes in interest payable and receivable on variable rate borrowings and investments will be posted to the Deficit on the Provision of Services and effect the General Fund Reserve. </w:t>
      </w:r>
    </w:p>
    <w:p w14:paraId="61E8AF91" w14:textId="77777777" w:rsidR="00C802FD" w:rsidRPr="0007572B" w:rsidRDefault="00C802FD" w:rsidP="0038082E">
      <w:pPr>
        <w:spacing w:after="160"/>
        <w:rPr>
          <w:rFonts w:ascii="Arial" w:eastAsiaTheme="minorHAnsi" w:hAnsi="Arial" w:cs="Arial"/>
        </w:rPr>
      </w:pPr>
      <w:r w:rsidRPr="0007572B">
        <w:rPr>
          <w:rFonts w:ascii="Arial" w:eastAsiaTheme="minorHAnsi" w:hAnsi="Arial" w:cs="Arial"/>
        </w:rPr>
        <w:t>The Authority has a number of strategies for managing interest rate risk. The Annual Treasury Management Strategy draws together Authority’s prudential indicators and its expected treasury operations, including an expectation of interest rate movements. From this Strategy, a prudential indicator is set which provides maximum limits for fixed and variable interest rate exposure. The central treasury team will monitor market interest rates and forecast interest rates within the year to adjust exposures appropriately. For instance, during periods of falling interest rates, and where economic circumstances make it favourable, fixed rate investments may be taken for longer periods to secure better long term returns.</w:t>
      </w:r>
    </w:p>
    <w:p w14:paraId="36A438C0" w14:textId="77777777" w:rsidR="00C802FD" w:rsidRPr="0007572B" w:rsidRDefault="00C802FD" w:rsidP="0038082E">
      <w:pPr>
        <w:spacing w:after="160"/>
        <w:rPr>
          <w:rFonts w:ascii="Arial" w:eastAsiaTheme="minorHAnsi" w:hAnsi="Arial" w:cs="Arial"/>
        </w:rPr>
      </w:pPr>
      <w:r w:rsidRPr="0007572B">
        <w:rPr>
          <w:rFonts w:ascii="Arial" w:eastAsiaTheme="minorHAnsi" w:hAnsi="Arial" w:cs="Arial"/>
        </w:rPr>
        <w:t>The Authority tries to maximise its income on temporary investment and minimise its interest costs on temporary and long-term borrowing.</w:t>
      </w:r>
    </w:p>
    <w:p w14:paraId="5521E6E1" w14:textId="66BF8F69" w:rsidR="00C802FD" w:rsidRPr="0007572B" w:rsidRDefault="00C802FD" w:rsidP="0038082E">
      <w:pPr>
        <w:rPr>
          <w:rFonts w:ascii="Arial" w:eastAsiaTheme="minorHAnsi" w:hAnsi="Arial" w:cs="Arial"/>
        </w:rPr>
      </w:pPr>
      <w:r w:rsidRPr="0007572B">
        <w:rPr>
          <w:rFonts w:ascii="Arial" w:eastAsiaTheme="minorHAnsi" w:hAnsi="Arial" w:cs="Arial"/>
        </w:rPr>
        <w:t xml:space="preserve">The maximum interest rate increase that could be expected in the current climate is assessed at </w:t>
      </w:r>
      <w:r w:rsidR="00FF0805">
        <w:rPr>
          <w:rFonts w:ascii="Arial" w:eastAsiaTheme="minorHAnsi" w:hAnsi="Arial" w:cs="Arial"/>
        </w:rPr>
        <w:t>2</w:t>
      </w:r>
      <w:r w:rsidRPr="0007572B">
        <w:rPr>
          <w:rFonts w:ascii="Arial" w:eastAsiaTheme="minorHAnsi" w:hAnsi="Arial" w:cs="Arial"/>
        </w:rPr>
        <w:t>%. This would only apply to our net short term investments. The Authority also has a number of LOBO loans that can be called at periods. There is the risk that these may have to be refinanced at a higher rate. The financial effect of these variable rate changes would be:</w:t>
      </w:r>
    </w:p>
    <w:p w14:paraId="10A32A5F" w14:textId="77777777" w:rsidR="00C802FD" w:rsidRPr="0007572B" w:rsidRDefault="00C802FD" w:rsidP="0038082E">
      <w:pPr>
        <w:spacing w:after="160"/>
        <w:rPr>
          <w:rFonts w:ascii="Arial" w:eastAsiaTheme="minorHAnsi" w:hAnsi="Arial" w:cs="Arial"/>
          <w:color w:val="000000" w:themeColor="text1"/>
        </w:rPr>
      </w:pPr>
    </w:p>
    <w:p w14:paraId="501C08D6" w14:textId="6B320A76" w:rsidR="00B57290" w:rsidRPr="0007572B" w:rsidRDefault="005838F8" w:rsidP="0038082E">
      <w:pPr>
        <w:spacing w:after="160"/>
        <w:rPr>
          <w:rFonts w:ascii="Arial" w:hAnsi="Arial" w:cs="Arial"/>
          <w:sz w:val="28"/>
          <w:szCs w:val="28"/>
        </w:rPr>
      </w:pPr>
      <w:r w:rsidRPr="005838F8">
        <w:rPr>
          <w:noProof/>
        </w:rPr>
        <w:drawing>
          <wp:inline distT="0" distB="0" distL="0" distR="0" wp14:anchorId="4F2A3EC3" wp14:editId="11119948">
            <wp:extent cx="5573395" cy="1024255"/>
            <wp:effectExtent l="0" t="0" r="8255" b="444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573395" cy="1024255"/>
                    </a:xfrm>
                    <a:prstGeom prst="rect">
                      <a:avLst/>
                    </a:prstGeom>
                    <a:noFill/>
                    <a:ln>
                      <a:noFill/>
                    </a:ln>
                  </pic:spPr>
                </pic:pic>
              </a:graphicData>
            </a:graphic>
          </wp:inline>
        </w:drawing>
      </w:r>
    </w:p>
    <w:p w14:paraId="5E8BD1DB" w14:textId="77777777" w:rsidR="008E4075" w:rsidRPr="0007572B" w:rsidRDefault="008E4075" w:rsidP="0038082E">
      <w:pPr>
        <w:rPr>
          <w:rFonts w:ascii="Arial" w:hAnsi="Arial" w:cs="Arial"/>
          <w:b/>
          <w:sz w:val="22"/>
          <w:szCs w:val="22"/>
        </w:rPr>
        <w:sectPr w:rsidR="008E4075" w:rsidRPr="0007572B" w:rsidSect="000B247E">
          <w:pgSz w:w="11906" w:h="16838"/>
          <w:pgMar w:top="1444" w:right="1416" w:bottom="1276" w:left="1080" w:header="568" w:footer="567" w:gutter="0"/>
          <w:cols w:space="708"/>
          <w:docGrid w:linePitch="360"/>
        </w:sectPr>
      </w:pPr>
    </w:p>
    <w:p w14:paraId="34FEAFC7" w14:textId="77777777" w:rsidR="00135610" w:rsidRPr="0007572B" w:rsidRDefault="00135610" w:rsidP="0038082E">
      <w:pPr>
        <w:rPr>
          <w:rFonts w:ascii="Arial" w:hAnsi="Arial" w:cs="Arial"/>
          <w:b/>
          <w:sz w:val="22"/>
          <w:szCs w:val="22"/>
        </w:rPr>
      </w:pPr>
    </w:p>
    <w:p w14:paraId="29AA2A61" w14:textId="68F7A352" w:rsidR="004047A3" w:rsidRPr="0007572B" w:rsidRDefault="00680267" w:rsidP="0038082E">
      <w:pPr>
        <w:pStyle w:val="Heading3greennumbered"/>
      </w:pPr>
      <w:bookmarkStart w:id="183" w:name="_Toc92894903"/>
      <w:bookmarkStart w:id="184" w:name="_Toc92895207"/>
      <w:bookmarkStart w:id="185" w:name="_Toc109922641"/>
      <w:r w:rsidRPr="0007572B">
        <w:t>3</w:t>
      </w:r>
      <w:r w:rsidR="00876B48" w:rsidRPr="0007572B">
        <w:t>1</w:t>
      </w:r>
      <w:r w:rsidR="004047A3" w:rsidRPr="0007572B">
        <w:t xml:space="preserve"> Related Party Transactions</w:t>
      </w:r>
      <w:bookmarkEnd w:id="183"/>
      <w:bookmarkEnd w:id="184"/>
      <w:bookmarkEnd w:id="185"/>
    </w:p>
    <w:p w14:paraId="23C46489" w14:textId="77777777" w:rsidR="00D4492C" w:rsidRDefault="00D4492C" w:rsidP="0038082E">
      <w:pPr>
        <w:rPr>
          <w:rFonts w:ascii="Arial" w:hAnsi="Arial" w:cs="Arial"/>
        </w:rPr>
      </w:pPr>
    </w:p>
    <w:p w14:paraId="2F49A4DB" w14:textId="0338593E" w:rsidR="00FC4B04" w:rsidRPr="0007572B" w:rsidRDefault="00FC4B04" w:rsidP="0038082E">
      <w:pPr>
        <w:rPr>
          <w:rFonts w:ascii="Arial" w:hAnsi="Arial" w:cs="Arial"/>
        </w:rPr>
      </w:pPr>
      <w:r w:rsidRPr="0007572B">
        <w:rPr>
          <w:rFonts w:ascii="Arial" w:hAnsi="Arial" w:cs="Arial"/>
        </w:rPr>
        <w:t>The Authority is required to disclose material transactions with related parties</w:t>
      </w:r>
      <w:r w:rsidR="00296E9D" w:rsidRPr="0007572B">
        <w:rPr>
          <w:rFonts w:ascii="Arial" w:hAnsi="Arial" w:cs="Arial"/>
        </w:rPr>
        <w:t>. These are</w:t>
      </w:r>
      <w:r w:rsidRPr="0007572B">
        <w:rPr>
          <w:rFonts w:ascii="Arial" w:hAnsi="Arial" w:cs="Arial"/>
        </w:rPr>
        <w:t xml:space="preserve"> bodies or individuals that have the potential to control or influence the Authority or to be controlled or influenced by the Authority. Disclosure of these transactions allows readers to assess the extent to which the Authority might have been constrained in its ability to operate independently or might have secured the ability to limit another party's ability to bargain freely with the Authority. </w:t>
      </w:r>
      <w:r w:rsidR="00471CCA" w:rsidRPr="0007572B">
        <w:rPr>
          <w:rFonts w:ascii="Arial" w:hAnsi="Arial" w:cs="Arial"/>
        </w:rPr>
        <w:t xml:space="preserve">In this context the organisations in which members (The Mayor and leaders of the GM </w:t>
      </w:r>
      <w:r w:rsidR="002952F9" w:rsidRPr="0007572B">
        <w:rPr>
          <w:rFonts w:ascii="Arial" w:hAnsi="Arial" w:cs="Arial"/>
        </w:rPr>
        <w:t>Authorities</w:t>
      </w:r>
      <w:r w:rsidR="00471CCA" w:rsidRPr="0007572B">
        <w:rPr>
          <w:rFonts w:ascii="Arial" w:hAnsi="Arial" w:cs="Arial"/>
        </w:rPr>
        <w:t>) and chief officers of the Authority have an influence or interest include;</w:t>
      </w:r>
    </w:p>
    <w:p w14:paraId="37463F1A" w14:textId="77777777" w:rsidR="00900C7C" w:rsidRPr="0007572B" w:rsidRDefault="00900C7C" w:rsidP="0038082E">
      <w:pPr>
        <w:rPr>
          <w:rFonts w:ascii="Arial" w:hAnsi="Arial" w:cs="Arial"/>
        </w:rPr>
      </w:pPr>
    </w:p>
    <w:p w14:paraId="1CEF8CA2" w14:textId="77777777" w:rsidR="00900C7C" w:rsidRPr="0007572B" w:rsidRDefault="00900C7C" w:rsidP="00EB27EB">
      <w:pPr>
        <w:pStyle w:val="ListParagraph"/>
        <w:numPr>
          <w:ilvl w:val="0"/>
          <w:numId w:val="17"/>
        </w:numPr>
        <w:spacing w:line="240" w:lineRule="auto"/>
        <w:rPr>
          <w:rFonts w:ascii="Arial" w:hAnsi="Arial" w:cs="Arial"/>
          <w:sz w:val="24"/>
          <w:szCs w:val="24"/>
        </w:rPr>
      </w:pPr>
      <w:r w:rsidRPr="0007572B">
        <w:rPr>
          <w:rFonts w:ascii="Arial" w:hAnsi="Arial" w:cs="Arial"/>
          <w:sz w:val="24"/>
          <w:szCs w:val="24"/>
        </w:rPr>
        <w:t>Central Government</w:t>
      </w:r>
    </w:p>
    <w:p w14:paraId="2CF2E191" w14:textId="77777777" w:rsidR="00900C7C" w:rsidRPr="0007572B" w:rsidRDefault="00900C7C" w:rsidP="00EB27EB">
      <w:pPr>
        <w:pStyle w:val="ListParagraph"/>
        <w:numPr>
          <w:ilvl w:val="0"/>
          <w:numId w:val="17"/>
        </w:numPr>
        <w:spacing w:line="240" w:lineRule="auto"/>
        <w:rPr>
          <w:rFonts w:ascii="Arial" w:hAnsi="Arial" w:cs="Arial"/>
          <w:sz w:val="24"/>
          <w:szCs w:val="24"/>
        </w:rPr>
      </w:pPr>
      <w:r w:rsidRPr="0007572B">
        <w:rPr>
          <w:rFonts w:ascii="Arial" w:hAnsi="Arial" w:cs="Arial"/>
          <w:sz w:val="24"/>
          <w:szCs w:val="24"/>
        </w:rPr>
        <w:t>Greater Manchester Authorities</w:t>
      </w:r>
    </w:p>
    <w:p w14:paraId="7CC452C9" w14:textId="77777777" w:rsidR="00A842BB" w:rsidRPr="0007572B" w:rsidRDefault="00A842BB" w:rsidP="00EB27EB">
      <w:pPr>
        <w:pStyle w:val="ListParagraph"/>
        <w:numPr>
          <w:ilvl w:val="0"/>
          <w:numId w:val="17"/>
        </w:numPr>
        <w:spacing w:line="240" w:lineRule="auto"/>
        <w:rPr>
          <w:rFonts w:ascii="Arial" w:hAnsi="Arial" w:cs="Arial"/>
          <w:sz w:val="24"/>
          <w:szCs w:val="24"/>
        </w:rPr>
      </w:pPr>
      <w:r w:rsidRPr="0007572B">
        <w:rPr>
          <w:rFonts w:ascii="Arial" w:hAnsi="Arial" w:cs="Arial"/>
          <w:sz w:val="24"/>
          <w:szCs w:val="24"/>
        </w:rPr>
        <w:t>Transport for Greater Manchester</w:t>
      </w:r>
    </w:p>
    <w:p w14:paraId="745009BA" w14:textId="77777777" w:rsidR="00D5311B" w:rsidRPr="0007572B" w:rsidRDefault="00900C7C" w:rsidP="0038082E">
      <w:pPr>
        <w:pStyle w:val="Heading4bold"/>
      </w:pPr>
      <w:r w:rsidRPr="0007572B">
        <w:t>Central Government</w:t>
      </w:r>
    </w:p>
    <w:p w14:paraId="3D92267F" w14:textId="3A45F641" w:rsidR="00D5311B" w:rsidRPr="0007572B" w:rsidRDefault="00D5311B" w:rsidP="0038082E">
      <w:pPr>
        <w:rPr>
          <w:rFonts w:ascii="Arial" w:hAnsi="Arial" w:cs="Arial"/>
          <w:sz w:val="22"/>
          <w:szCs w:val="22"/>
        </w:rPr>
      </w:pPr>
    </w:p>
    <w:p w14:paraId="5EAAF160" w14:textId="1B7B0007" w:rsidR="00043063" w:rsidRPr="0007572B" w:rsidRDefault="005838F8" w:rsidP="0038082E">
      <w:pPr>
        <w:rPr>
          <w:rFonts w:ascii="Arial" w:hAnsi="Arial" w:cs="Arial"/>
          <w:sz w:val="22"/>
          <w:szCs w:val="22"/>
        </w:rPr>
      </w:pPr>
      <w:r w:rsidRPr="005838F8">
        <w:rPr>
          <w:noProof/>
        </w:rPr>
        <w:drawing>
          <wp:inline distT="0" distB="0" distL="0" distR="0" wp14:anchorId="79250DF3" wp14:editId="1447A469">
            <wp:extent cx="3860165" cy="1122680"/>
            <wp:effectExtent l="0" t="0" r="6985" b="127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860165" cy="1122680"/>
                    </a:xfrm>
                    <a:prstGeom prst="rect">
                      <a:avLst/>
                    </a:prstGeom>
                    <a:noFill/>
                    <a:ln>
                      <a:noFill/>
                    </a:ln>
                  </pic:spPr>
                </pic:pic>
              </a:graphicData>
            </a:graphic>
          </wp:inline>
        </w:drawing>
      </w:r>
    </w:p>
    <w:p w14:paraId="69AFC343" w14:textId="77777777" w:rsidR="00D361C6" w:rsidRPr="0007572B" w:rsidRDefault="00D361C6" w:rsidP="0038082E">
      <w:pPr>
        <w:rPr>
          <w:rFonts w:ascii="Arial" w:hAnsi="Arial" w:cs="Arial"/>
          <w:sz w:val="22"/>
          <w:szCs w:val="22"/>
        </w:rPr>
      </w:pPr>
    </w:p>
    <w:p w14:paraId="4EF83C5A" w14:textId="025F0933" w:rsidR="00505947" w:rsidRPr="0007572B" w:rsidRDefault="00F608FE" w:rsidP="0038082E">
      <w:pPr>
        <w:rPr>
          <w:rFonts w:ascii="Arial" w:hAnsi="Arial" w:cs="Arial"/>
        </w:rPr>
      </w:pPr>
      <w:bookmarkStart w:id="186" w:name="_Hlk75361221"/>
      <w:r w:rsidRPr="0007572B">
        <w:rPr>
          <w:rFonts w:ascii="Arial" w:hAnsi="Arial" w:cs="Arial"/>
        </w:rPr>
        <w:t xml:space="preserve">Borrowings </w:t>
      </w:r>
      <w:r w:rsidR="009A2DEA" w:rsidRPr="0007572B">
        <w:rPr>
          <w:rFonts w:ascii="Arial" w:hAnsi="Arial" w:cs="Arial"/>
        </w:rPr>
        <w:t xml:space="preserve">in </w:t>
      </w:r>
      <w:r w:rsidR="00D85E1C" w:rsidRPr="0007572B">
        <w:rPr>
          <w:rFonts w:ascii="Arial" w:hAnsi="Arial" w:cs="Arial"/>
        </w:rPr>
        <w:t>2</w:t>
      </w:r>
      <w:r w:rsidR="005838F8">
        <w:rPr>
          <w:rFonts w:ascii="Arial" w:hAnsi="Arial" w:cs="Arial"/>
        </w:rPr>
        <w:t>1</w:t>
      </w:r>
      <w:r w:rsidR="009A2DEA" w:rsidRPr="0007572B">
        <w:rPr>
          <w:rFonts w:ascii="Arial" w:hAnsi="Arial" w:cs="Arial"/>
        </w:rPr>
        <w:t>/2</w:t>
      </w:r>
      <w:r w:rsidR="005838F8">
        <w:rPr>
          <w:rFonts w:ascii="Arial" w:hAnsi="Arial" w:cs="Arial"/>
        </w:rPr>
        <w:t>2</w:t>
      </w:r>
      <w:r w:rsidR="009A2DEA" w:rsidRPr="0007572B">
        <w:rPr>
          <w:rFonts w:ascii="Arial" w:hAnsi="Arial" w:cs="Arial"/>
        </w:rPr>
        <w:t xml:space="preserve"> </w:t>
      </w:r>
      <w:r w:rsidR="00D644F6">
        <w:rPr>
          <w:rFonts w:ascii="Arial" w:hAnsi="Arial" w:cs="Arial"/>
        </w:rPr>
        <w:t>are entirely attributable to</w:t>
      </w:r>
      <w:r w:rsidRPr="0007572B">
        <w:rPr>
          <w:rFonts w:ascii="Arial" w:hAnsi="Arial" w:cs="Arial"/>
        </w:rPr>
        <w:t xml:space="preserve"> </w:t>
      </w:r>
      <w:r w:rsidRPr="00D644F6">
        <w:rPr>
          <w:rFonts w:ascii="Arial" w:hAnsi="Arial" w:cs="Arial"/>
        </w:rPr>
        <w:t xml:space="preserve">Homes </w:t>
      </w:r>
      <w:r w:rsidR="00D644F6">
        <w:rPr>
          <w:rFonts w:ascii="Arial" w:hAnsi="Arial" w:cs="Arial"/>
        </w:rPr>
        <w:t>England relating to City Deal</w:t>
      </w:r>
      <w:r w:rsidRPr="00D644F6">
        <w:rPr>
          <w:rFonts w:ascii="Arial" w:hAnsi="Arial" w:cs="Arial"/>
        </w:rPr>
        <w:t>.</w:t>
      </w:r>
    </w:p>
    <w:bookmarkEnd w:id="186"/>
    <w:p w14:paraId="2CE12A51" w14:textId="77777777" w:rsidR="008D7ACA" w:rsidRPr="0007572B" w:rsidRDefault="008D7ACA" w:rsidP="0038082E">
      <w:pPr>
        <w:rPr>
          <w:rFonts w:ascii="Arial" w:hAnsi="Arial" w:cs="Arial"/>
          <w:b/>
          <w:sz w:val="22"/>
          <w:szCs w:val="22"/>
        </w:rPr>
      </w:pPr>
      <w:r w:rsidRPr="0007572B">
        <w:rPr>
          <w:rFonts w:ascii="Arial" w:hAnsi="Arial" w:cs="Arial"/>
          <w:b/>
          <w:sz w:val="22"/>
          <w:szCs w:val="22"/>
        </w:rPr>
        <w:br w:type="page"/>
      </w:r>
    </w:p>
    <w:p w14:paraId="2E78FE48" w14:textId="029F1B26" w:rsidR="00D5311B" w:rsidRPr="0007572B" w:rsidRDefault="00D5311B" w:rsidP="0038082E">
      <w:pPr>
        <w:pStyle w:val="Heading4bold"/>
      </w:pPr>
      <w:r w:rsidRPr="0007572B">
        <w:t>Greater Manchester Authorities</w:t>
      </w:r>
    </w:p>
    <w:p w14:paraId="72BFDC5B" w14:textId="23908F24" w:rsidR="00B07629" w:rsidRPr="0007572B" w:rsidRDefault="00B07629" w:rsidP="0038082E">
      <w:pPr>
        <w:jc w:val="both"/>
        <w:rPr>
          <w:rFonts w:ascii="Arial" w:hAnsi="Arial" w:cs="Arial"/>
          <w:sz w:val="22"/>
          <w:szCs w:val="22"/>
        </w:rPr>
      </w:pPr>
    </w:p>
    <w:p w14:paraId="0ACEC35C" w14:textId="74AD49B7" w:rsidR="008752E8" w:rsidRDefault="00952982" w:rsidP="0038082E">
      <w:pPr>
        <w:rPr>
          <w:rFonts w:ascii="Arial" w:hAnsi="Arial" w:cs="Arial"/>
          <w:sz w:val="22"/>
          <w:szCs w:val="22"/>
        </w:rPr>
      </w:pPr>
      <w:r w:rsidRPr="00952982">
        <w:rPr>
          <w:noProof/>
        </w:rPr>
        <w:drawing>
          <wp:inline distT="0" distB="0" distL="0" distR="0" wp14:anchorId="3392CD6E" wp14:editId="0542986B">
            <wp:extent cx="8860790" cy="878205"/>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8860790" cy="878205"/>
                    </a:xfrm>
                    <a:prstGeom prst="rect">
                      <a:avLst/>
                    </a:prstGeom>
                    <a:noFill/>
                    <a:ln>
                      <a:noFill/>
                    </a:ln>
                  </pic:spPr>
                </pic:pic>
              </a:graphicData>
            </a:graphic>
          </wp:inline>
        </w:drawing>
      </w:r>
    </w:p>
    <w:p w14:paraId="159D994B" w14:textId="77777777" w:rsidR="00D4492C" w:rsidRPr="0007572B" w:rsidRDefault="00D4492C" w:rsidP="0038082E">
      <w:pPr>
        <w:rPr>
          <w:rFonts w:ascii="Arial" w:hAnsi="Arial" w:cs="Arial"/>
          <w:sz w:val="22"/>
          <w:szCs w:val="22"/>
        </w:rPr>
      </w:pPr>
    </w:p>
    <w:p w14:paraId="7BA800AC" w14:textId="0F2FFBF8" w:rsidR="00043063" w:rsidRPr="0007572B" w:rsidRDefault="00A842BB" w:rsidP="0038082E">
      <w:pPr>
        <w:pStyle w:val="Heading4bold"/>
      </w:pPr>
      <w:r w:rsidRPr="0007572B">
        <w:t>Transport for Greater Manchester</w:t>
      </w:r>
    </w:p>
    <w:p w14:paraId="5A7D492E" w14:textId="77777777" w:rsidR="00A842BB" w:rsidRPr="0007572B" w:rsidRDefault="00A842BB" w:rsidP="0038082E">
      <w:pPr>
        <w:rPr>
          <w:rFonts w:ascii="Arial" w:hAnsi="Arial" w:cs="Arial"/>
        </w:rPr>
      </w:pPr>
      <w:r w:rsidRPr="0007572B">
        <w:rPr>
          <w:rFonts w:ascii="Arial" w:hAnsi="Arial" w:cs="Arial"/>
        </w:rPr>
        <w:t>The decisions of the Authority are implemented by TfGM. The net expenditure of TfGM after taking into account all sources of income and expenditure is financed by way of a revenue grant from the Authority. The corporate objectives of TfGM are derived from the Authority's policy priorities, stakeholder consultation and its principal statutory obligations.</w:t>
      </w:r>
    </w:p>
    <w:p w14:paraId="136D55FC" w14:textId="77777777" w:rsidR="00A842BB" w:rsidRPr="0007572B" w:rsidRDefault="00A842BB" w:rsidP="0038082E">
      <w:pPr>
        <w:rPr>
          <w:rFonts w:ascii="Arial" w:hAnsi="Arial" w:cs="Arial"/>
        </w:rPr>
      </w:pPr>
    </w:p>
    <w:p w14:paraId="64886A14" w14:textId="77777777" w:rsidR="00A842BB" w:rsidRPr="0007572B" w:rsidRDefault="00A842BB" w:rsidP="0038082E">
      <w:pPr>
        <w:rPr>
          <w:rFonts w:ascii="Arial" w:hAnsi="Arial" w:cs="Arial"/>
        </w:rPr>
      </w:pPr>
      <w:r w:rsidRPr="0007572B">
        <w:rPr>
          <w:rFonts w:ascii="Arial" w:hAnsi="Arial" w:cs="Arial"/>
        </w:rPr>
        <w:t xml:space="preserve">TfGM also manage the maintenance, repair and schemes of the Authority traffic signals asset base on behalf of the Authority. These transactions appear as related party expenditure and income, along with the end of year </w:t>
      </w:r>
      <w:r w:rsidR="005914B2" w:rsidRPr="0007572B">
        <w:rPr>
          <w:rFonts w:ascii="Arial" w:hAnsi="Arial" w:cs="Arial"/>
        </w:rPr>
        <w:t>balances, which</w:t>
      </w:r>
      <w:r w:rsidRPr="0007572B">
        <w:rPr>
          <w:rFonts w:ascii="Arial" w:hAnsi="Arial" w:cs="Arial"/>
        </w:rPr>
        <w:t xml:space="preserve"> are reported as follows:</w:t>
      </w:r>
    </w:p>
    <w:p w14:paraId="41652496" w14:textId="77777777" w:rsidR="00135610" w:rsidRPr="0007572B" w:rsidRDefault="00135610" w:rsidP="0038082E">
      <w:pPr>
        <w:rPr>
          <w:rFonts w:ascii="Arial" w:hAnsi="Arial" w:cs="Arial"/>
        </w:rPr>
      </w:pPr>
    </w:p>
    <w:p w14:paraId="4F6231C7" w14:textId="291CAD89" w:rsidR="00B07629" w:rsidRDefault="00952982" w:rsidP="00952982">
      <w:pPr>
        <w:rPr>
          <w:rFonts w:ascii="Arial" w:hAnsi="Arial" w:cs="Arial"/>
          <w:sz w:val="22"/>
          <w:szCs w:val="22"/>
        </w:rPr>
      </w:pPr>
      <w:r w:rsidRPr="00952982">
        <w:rPr>
          <w:noProof/>
        </w:rPr>
        <w:drawing>
          <wp:inline distT="0" distB="0" distL="0" distR="0" wp14:anchorId="4884B6DC" wp14:editId="76C971B9">
            <wp:extent cx="3860165" cy="983615"/>
            <wp:effectExtent l="0" t="0" r="6985" b="698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860165" cy="983615"/>
                    </a:xfrm>
                    <a:prstGeom prst="rect">
                      <a:avLst/>
                    </a:prstGeom>
                    <a:noFill/>
                    <a:ln>
                      <a:noFill/>
                    </a:ln>
                  </pic:spPr>
                </pic:pic>
              </a:graphicData>
            </a:graphic>
          </wp:inline>
        </w:drawing>
      </w:r>
    </w:p>
    <w:p w14:paraId="7E76EA79" w14:textId="77777777" w:rsidR="00D4492C" w:rsidRPr="0007572B" w:rsidRDefault="00D4492C" w:rsidP="0038082E">
      <w:pPr>
        <w:rPr>
          <w:rFonts w:ascii="Arial" w:hAnsi="Arial" w:cs="Arial"/>
          <w:sz w:val="22"/>
          <w:szCs w:val="22"/>
        </w:rPr>
      </w:pPr>
    </w:p>
    <w:p w14:paraId="051C874C" w14:textId="4F26CE2B" w:rsidR="00FC4B04" w:rsidRPr="0007572B" w:rsidRDefault="00FC4B04" w:rsidP="0038082E">
      <w:pPr>
        <w:pStyle w:val="Heading4bold"/>
      </w:pPr>
      <w:r w:rsidRPr="0007572B">
        <w:t>Members and Chief Officers</w:t>
      </w:r>
    </w:p>
    <w:p w14:paraId="52F7EFE7" w14:textId="56FEC50D" w:rsidR="00FC4B04" w:rsidRPr="0007572B" w:rsidRDefault="00FC4B04" w:rsidP="0038082E">
      <w:pPr>
        <w:rPr>
          <w:rFonts w:ascii="Arial" w:hAnsi="Arial" w:cs="Arial"/>
        </w:rPr>
      </w:pPr>
      <w:r w:rsidRPr="0007572B">
        <w:rPr>
          <w:rFonts w:ascii="Arial" w:hAnsi="Arial" w:cs="Arial"/>
        </w:rPr>
        <w:t>Members of the Authority</w:t>
      </w:r>
      <w:r w:rsidR="00471CCA" w:rsidRPr="0007572B">
        <w:rPr>
          <w:rFonts w:ascii="Arial" w:hAnsi="Arial" w:cs="Arial"/>
        </w:rPr>
        <w:t xml:space="preserve"> (the Mayor and leaders of the GM </w:t>
      </w:r>
      <w:r w:rsidR="002952F9" w:rsidRPr="0007572B">
        <w:rPr>
          <w:rFonts w:ascii="Arial" w:hAnsi="Arial" w:cs="Arial"/>
        </w:rPr>
        <w:t>Authorities</w:t>
      </w:r>
      <w:r w:rsidR="00471CCA" w:rsidRPr="0007572B">
        <w:rPr>
          <w:rFonts w:ascii="Arial" w:hAnsi="Arial" w:cs="Arial"/>
        </w:rPr>
        <w:t xml:space="preserve">) </w:t>
      </w:r>
      <w:r w:rsidRPr="0007572B">
        <w:rPr>
          <w:rFonts w:ascii="Arial" w:hAnsi="Arial" w:cs="Arial"/>
        </w:rPr>
        <w:t xml:space="preserve">have direct control over the Authority's financial and operating policies. </w:t>
      </w:r>
    </w:p>
    <w:p w14:paraId="0CBB5F97" w14:textId="2DDF9B73" w:rsidR="00FC4B04" w:rsidRPr="0007572B" w:rsidRDefault="00FC4B04" w:rsidP="0038082E">
      <w:pPr>
        <w:rPr>
          <w:rFonts w:ascii="Arial" w:hAnsi="Arial" w:cs="Arial"/>
        </w:rPr>
      </w:pPr>
      <w:r w:rsidRPr="0007572B">
        <w:rPr>
          <w:rFonts w:ascii="Arial" w:hAnsi="Arial" w:cs="Arial"/>
        </w:rPr>
        <w:t>No</w:t>
      </w:r>
      <w:r w:rsidR="002C641A" w:rsidRPr="0007572B">
        <w:rPr>
          <w:rFonts w:ascii="Arial" w:hAnsi="Arial" w:cs="Arial"/>
        </w:rPr>
        <w:t xml:space="preserve"> members allowances are payable</w:t>
      </w:r>
      <w:r w:rsidR="008D7ACA" w:rsidRPr="0007572B">
        <w:rPr>
          <w:rFonts w:ascii="Arial" w:hAnsi="Arial" w:cs="Arial"/>
        </w:rPr>
        <w:t>;</w:t>
      </w:r>
      <w:r w:rsidR="002C641A" w:rsidRPr="0007572B">
        <w:rPr>
          <w:rFonts w:ascii="Arial" w:hAnsi="Arial" w:cs="Arial"/>
        </w:rPr>
        <w:t xml:space="preserve"> the remuneration of the Mayor and Deputy Mayor for Police and Crime are disclosed in </w:t>
      </w:r>
      <w:r w:rsidR="00323BE3" w:rsidRPr="0007572B">
        <w:rPr>
          <w:rFonts w:ascii="Arial" w:hAnsi="Arial" w:cs="Arial"/>
        </w:rPr>
        <w:t xml:space="preserve">Senior Employees Remuneration </w:t>
      </w:r>
      <w:r w:rsidR="002C641A" w:rsidRPr="0007572B">
        <w:rPr>
          <w:rFonts w:ascii="Arial" w:hAnsi="Arial" w:cs="Arial"/>
        </w:rPr>
        <w:t>note.</w:t>
      </w:r>
    </w:p>
    <w:p w14:paraId="0B4EE233" w14:textId="77777777" w:rsidR="00FC4B04" w:rsidRPr="0007572B" w:rsidRDefault="00FC4B04" w:rsidP="0038082E">
      <w:pPr>
        <w:rPr>
          <w:rFonts w:ascii="Arial" w:hAnsi="Arial" w:cs="Arial"/>
        </w:rPr>
      </w:pPr>
      <w:r w:rsidRPr="0007572B">
        <w:rPr>
          <w:rFonts w:ascii="Arial" w:hAnsi="Arial" w:cs="Arial"/>
        </w:rPr>
        <w:t>Details of member's interest, both pecuniary and non-financial are recorded in the register of member’s interest (available for public inspection).</w:t>
      </w:r>
    </w:p>
    <w:p w14:paraId="6C4876CC" w14:textId="330E225D" w:rsidR="00FC4B04" w:rsidRDefault="00FC4B04" w:rsidP="0038082E">
      <w:pPr>
        <w:rPr>
          <w:rFonts w:ascii="Arial" w:hAnsi="Arial" w:cs="Arial"/>
          <w:b/>
        </w:rPr>
      </w:pPr>
      <w:r w:rsidRPr="0007572B">
        <w:rPr>
          <w:rFonts w:ascii="Arial" w:hAnsi="Arial" w:cs="Arial"/>
        </w:rPr>
        <w:t xml:space="preserve">During </w:t>
      </w:r>
      <w:r w:rsidR="00974AF2" w:rsidRPr="0007572B">
        <w:rPr>
          <w:rFonts w:ascii="Arial" w:hAnsi="Arial" w:cs="Arial"/>
        </w:rPr>
        <w:t>the year</w:t>
      </w:r>
      <w:r w:rsidRPr="0007572B">
        <w:rPr>
          <w:rFonts w:ascii="Arial" w:hAnsi="Arial" w:cs="Arial"/>
        </w:rPr>
        <w:t xml:space="preserve"> there were no reported material transactions with related parties advised by members or officers</w:t>
      </w:r>
      <w:r w:rsidRPr="0007572B">
        <w:rPr>
          <w:rFonts w:ascii="Arial" w:hAnsi="Arial" w:cs="Arial"/>
          <w:b/>
        </w:rPr>
        <w:t>.</w:t>
      </w:r>
    </w:p>
    <w:p w14:paraId="40490DBF" w14:textId="77777777" w:rsidR="00D4492C" w:rsidRPr="0007572B" w:rsidRDefault="00D4492C" w:rsidP="0038082E">
      <w:pPr>
        <w:rPr>
          <w:rFonts w:ascii="Arial" w:hAnsi="Arial" w:cs="Arial"/>
          <w:b/>
        </w:rPr>
      </w:pPr>
    </w:p>
    <w:p w14:paraId="7C3A45CF" w14:textId="77777777" w:rsidR="00A842BB" w:rsidRPr="0007572B" w:rsidRDefault="00A842BB" w:rsidP="0038082E">
      <w:pPr>
        <w:pStyle w:val="Heading4bold"/>
      </w:pPr>
      <w:r w:rsidRPr="0007572B">
        <w:t>Chief Constable for Greater Manchester</w:t>
      </w:r>
    </w:p>
    <w:p w14:paraId="2E035617" w14:textId="4DA1288F" w:rsidR="00974AF2" w:rsidRPr="0007572B" w:rsidRDefault="004103E9" w:rsidP="0038082E">
      <w:pPr>
        <w:rPr>
          <w:rFonts w:ascii="Arial" w:eastAsia="Calibri" w:hAnsi="Arial" w:cs="Arial"/>
          <w:color w:val="000000"/>
          <w:lang w:val="en-US"/>
        </w:rPr>
      </w:pPr>
      <w:r w:rsidRPr="0007572B">
        <w:rPr>
          <w:rFonts w:ascii="Arial" w:hAnsi="Arial" w:cs="Arial"/>
          <w:color w:val="000000"/>
          <w:lang w:val="en-US"/>
        </w:rPr>
        <w:t>Under the legislative framework and local arrangements, the Authority under sole instruction from the Mayor, is responsible for the finances of the Mayoral Police Fund including assets, liabilities and reserves. The Authority has responsibility for entering into contracts and establishing the contractual framework under which the Chief Constable</w:t>
      </w:r>
      <w:r w:rsidR="00BD2F32" w:rsidRPr="0007572B">
        <w:rPr>
          <w:rFonts w:ascii="Arial" w:hAnsi="Arial" w:cs="Arial"/>
          <w:color w:val="000000"/>
          <w:lang w:val="en-US"/>
        </w:rPr>
        <w:t>’</w:t>
      </w:r>
      <w:r w:rsidRPr="0007572B">
        <w:rPr>
          <w:rFonts w:ascii="Arial" w:hAnsi="Arial" w:cs="Arial"/>
          <w:color w:val="000000"/>
          <w:lang w:val="en-US"/>
        </w:rPr>
        <w:t>s officers and staff operate.</w:t>
      </w:r>
      <w:r w:rsidRPr="0007572B">
        <w:rPr>
          <w:rFonts w:ascii="Arial" w:eastAsia="Calibri" w:hAnsi="Arial" w:cs="Arial"/>
          <w:color w:val="000000"/>
          <w:lang w:val="en-US"/>
        </w:rPr>
        <w:t xml:space="preserve"> The Authority receives all income and funding and makes all the payments for the policing activity from the Mayoral Police Fund.</w:t>
      </w:r>
    </w:p>
    <w:p w14:paraId="1BE037CA" w14:textId="77777777" w:rsidR="00F106F2" w:rsidRPr="0007572B" w:rsidRDefault="00F106F2" w:rsidP="0038082E">
      <w:pPr>
        <w:rPr>
          <w:rFonts w:ascii="Arial" w:hAnsi="Arial" w:cs="Arial"/>
          <w:b/>
          <w:sz w:val="22"/>
          <w:szCs w:val="22"/>
        </w:rPr>
        <w:sectPr w:rsidR="00F106F2" w:rsidRPr="0007572B" w:rsidSect="00F106F2">
          <w:pgSz w:w="16838" w:h="11906" w:orient="landscape"/>
          <w:pgMar w:top="1080" w:right="1444" w:bottom="1416" w:left="1440" w:header="568" w:footer="567" w:gutter="0"/>
          <w:cols w:space="708"/>
          <w:docGrid w:linePitch="360"/>
        </w:sectPr>
      </w:pPr>
    </w:p>
    <w:p w14:paraId="4ED89540" w14:textId="20FE6649" w:rsidR="004047A3" w:rsidRPr="0007572B" w:rsidRDefault="00680267" w:rsidP="0038082E">
      <w:pPr>
        <w:pStyle w:val="Heading3greennumbered"/>
      </w:pPr>
      <w:bookmarkStart w:id="187" w:name="_Toc92894904"/>
      <w:bookmarkStart w:id="188" w:name="_Toc92895208"/>
      <w:bookmarkStart w:id="189" w:name="_Toc109922642"/>
      <w:r w:rsidRPr="0007572B">
        <w:t>3</w:t>
      </w:r>
      <w:r w:rsidR="00876B48" w:rsidRPr="0007572B">
        <w:t>2</w:t>
      </w:r>
      <w:r w:rsidR="004047A3" w:rsidRPr="0007572B">
        <w:t>a Cash Flow Statement - Adjustments to Net Cash Flows from Operating Activities</w:t>
      </w:r>
      <w:bookmarkEnd w:id="187"/>
      <w:bookmarkEnd w:id="188"/>
      <w:bookmarkEnd w:id="189"/>
    </w:p>
    <w:p w14:paraId="59571F73" w14:textId="5A6F8E16" w:rsidR="00D4492C" w:rsidRDefault="00D4492C" w:rsidP="0038082E">
      <w:pPr>
        <w:rPr>
          <w:rFonts w:ascii="Arial" w:hAnsi="Arial" w:cs="Arial"/>
          <w:sz w:val="22"/>
          <w:szCs w:val="22"/>
        </w:rPr>
      </w:pPr>
    </w:p>
    <w:p w14:paraId="04AACCEC" w14:textId="24189154" w:rsidR="00CD01A6" w:rsidRDefault="00D644F6" w:rsidP="0038082E">
      <w:pPr>
        <w:rPr>
          <w:rFonts w:ascii="Arial" w:hAnsi="Arial" w:cs="Arial"/>
          <w:sz w:val="22"/>
          <w:szCs w:val="22"/>
        </w:rPr>
      </w:pPr>
      <w:r w:rsidRPr="00D644F6">
        <w:rPr>
          <w:noProof/>
        </w:rPr>
        <w:drawing>
          <wp:inline distT="0" distB="0" distL="0" distR="0" wp14:anchorId="0D35C3CC" wp14:editId="52911D29">
            <wp:extent cx="5220335" cy="3113405"/>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220335" cy="3113405"/>
                    </a:xfrm>
                    <a:prstGeom prst="rect">
                      <a:avLst/>
                    </a:prstGeom>
                    <a:noFill/>
                    <a:ln>
                      <a:noFill/>
                    </a:ln>
                  </pic:spPr>
                </pic:pic>
              </a:graphicData>
            </a:graphic>
          </wp:inline>
        </w:drawing>
      </w:r>
    </w:p>
    <w:p w14:paraId="73BA4774" w14:textId="3E10B9DC" w:rsidR="00F5589C" w:rsidRDefault="00F5589C" w:rsidP="0038082E">
      <w:pPr>
        <w:rPr>
          <w:rFonts w:ascii="Arial" w:hAnsi="Arial" w:cs="Arial"/>
          <w:sz w:val="22"/>
          <w:szCs w:val="22"/>
        </w:rPr>
      </w:pPr>
    </w:p>
    <w:p w14:paraId="22B6F947" w14:textId="77777777" w:rsidR="00D4492C" w:rsidRPr="0007572B" w:rsidRDefault="00D4492C" w:rsidP="0038082E">
      <w:pPr>
        <w:rPr>
          <w:rFonts w:ascii="Arial" w:hAnsi="Arial" w:cs="Arial"/>
          <w:sz w:val="22"/>
          <w:szCs w:val="22"/>
        </w:rPr>
      </w:pPr>
    </w:p>
    <w:p w14:paraId="5EA1DF0B" w14:textId="4949E062" w:rsidR="004047A3" w:rsidRPr="0007572B" w:rsidRDefault="00680267" w:rsidP="0038082E">
      <w:pPr>
        <w:pStyle w:val="Heading3greennumbered"/>
      </w:pPr>
      <w:bookmarkStart w:id="190" w:name="_Toc92894905"/>
      <w:bookmarkStart w:id="191" w:name="_Toc92895209"/>
      <w:bookmarkStart w:id="192" w:name="_Toc109922643"/>
      <w:r w:rsidRPr="0007572B">
        <w:t>3</w:t>
      </w:r>
      <w:r w:rsidR="00876B48" w:rsidRPr="0007572B">
        <w:t>2</w:t>
      </w:r>
      <w:r w:rsidR="004047A3" w:rsidRPr="0007572B">
        <w:t>b Cash Flow Statement - Investing Activities</w:t>
      </w:r>
      <w:bookmarkEnd w:id="190"/>
      <w:bookmarkEnd w:id="191"/>
      <w:bookmarkEnd w:id="192"/>
    </w:p>
    <w:p w14:paraId="655B6EC2" w14:textId="77777777" w:rsidR="00D4492C" w:rsidRDefault="00D4492C" w:rsidP="0038082E">
      <w:pPr>
        <w:jc w:val="both"/>
        <w:rPr>
          <w:rFonts w:ascii="Arial" w:hAnsi="Arial" w:cs="Arial"/>
          <w:b/>
          <w:sz w:val="22"/>
          <w:szCs w:val="22"/>
        </w:rPr>
      </w:pPr>
    </w:p>
    <w:p w14:paraId="4878C139" w14:textId="300F135F" w:rsidR="009A751B" w:rsidRDefault="00D644F6" w:rsidP="0038082E">
      <w:pPr>
        <w:jc w:val="both"/>
        <w:rPr>
          <w:rFonts w:ascii="Arial" w:hAnsi="Arial" w:cs="Arial"/>
          <w:b/>
          <w:sz w:val="22"/>
          <w:szCs w:val="22"/>
        </w:rPr>
      </w:pPr>
      <w:r w:rsidRPr="00D644F6">
        <w:rPr>
          <w:noProof/>
        </w:rPr>
        <w:drawing>
          <wp:inline distT="0" distB="0" distL="0" distR="0" wp14:anchorId="03F1BC3F" wp14:editId="637C3BCD">
            <wp:extent cx="5220335" cy="1053465"/>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220335" cy="1053465"/>
                    </a:xfrm>
                    <a:prstGeom prst="rect">
                      <a:avLst/>
                    </a:prstGeom>
                    <a:noFill/>
                    <a:ln>
                      <a:noFill/>
                    </a:ln>
                  </pic:spPr>
                </pic:pic>
              </a:graphicData>
            </a:graphic>
          </wp:inline>
        </w:drawing>
      </w:r>
    </w:p>
    <w:p w14:paraId="435E84E1" w14:textId="4DB7C3BC" w:rsidR="008752E8" w:rsidRDefault="008752E8" w:rsidP="0038082E">
      <w:pPr>
        <w:jc w:val="both"/>
        <w:rPr>
          <w:rFonts w:ascii="Arial" w:hAnsi="Arial" w:cs="Arial"/>
          <w:b/>
          <w:sz w:val="22"/>
          <w:szCs w:val="22"/>
        </w:rPr>
      </w:pPr>
    </w:p>
    <w:p w14:paraId="1DDCE382" w14:textId="77777777" w:rsidR="00D4492C" w:rsidRPr="0007572B" w:rsidRDefault="00D4492C" w:rsidP="0038082E">
      <w:pPr>
        <w:jc w:val="both"/>
        <w:rPr>
          <w:rFonts w:ascii="Arial" w:hAnsi="Arial" w:cs="Arial"/>
          <w:b/>
          <w:sz w:val="22"/>
          <w:szCs w:val="22"/>
        </w:rPr>
      </w:pPr>
    </w:p>
    <w:p w14:paraId="2F01D7C6" w14:textId="67C71DE1" w:rsidR="00C75BFA" w:rsidRPr="0007572B" w:rsidRDefault="00680267" w:rsidP="0038082E">
      <w:pPr>
        <w:pStyle w:val="Heading3greennumbered"/>
      </w:pPr>
      <w:bookmarkStart w:id="193" w:name="_Toc92894906"/>
      <w:bookmarkStart w:id="194" w:name="_Toc92895210"/>
      <w:bookmarkStart w:id="195" w:name="_Toc109922644"/>
      <w:r w:rsidRPr="0007572B">
        <w:t>3</w:t>
      </w:r>
      <w:r w:rsidR="00876B48" w:rsidRPr="0007572B">
        <w:t>2</w:t>
      </w:r>
      <w:r w:rsidR="00A0024E" w:rsidRPr="0007572B">
        <w:t>c</w:t>
      </w:r>
      <w:r w:rsidR="004047A3" w:rsidRPr="0007572B">
        <w:t xml:space="preserve"> Cash Flow Statement - Financing Activities</w:t>
      </w:r>
      <w:bookmarkEnd w:id="193"/>
      <w:bookmarkEnd w:id="194"/>
      <w:bookmarkEnd w:id="195"/>
    </w:p>
    <w:p w14:paraId="008A1E44" w14:textId="77777777" w:rsidR="00D4492C" w:rsidRDefault="00D4492C" w:rsidP="0038082E">
      <w:pPr>
        <w:jc w:val="both"/>
        <w:rPr>
          <w:rFonts w:ascii="Arial" w:hAnsi="Arial" w:cs="Arial"/>
          <w:b/>
          <w:sz w:val="22"/>
          <w:szCs w:val="22"/>
        </w:rPr>
      </w:pPr>
    </w:p>
    <w:p w14:paraId="7F89FD25" w14:textId="3C3A5068" w:rsidR="00DA0417" w:rsidRDefault="00D644F6" w:rsidP="0038082E">
      <w:pPr>
        <w:jc w:val="both"/>
        <w:rPr>
          <w:rFonts w:ascii="Arial" w:hAnsi="Arial" w:cs="Arial"/>
          <w:b/>
          <w:sz w:val="22"/>
          <w:szCs w:val="22"/>
        </w:rPr>
      </w:pPr>
      <w:r w:rsidRPr="00D644F6">
        <w:rPr>
          <w:noProof/>
        </w:rPr>
        <w:drawing>
          <wp:inline distT="0" distB="0" distL="0" distR="0" wp14:anchorId="53A688A5" wp14:editId="28F0E2D2">
            <wp:extent cx="5220335" cy="1042035"/>
            <wp:effectExtent l="0" t="0" r="0" b="5715"/>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220335" cy="1042035"/>
                    </a:xfrm>
                    <a:prstGeom prst="rect">
                      <a:avLst/>
                    </a:prstGeom>
                    <a:noFill/>
                    <a:ln>
                      <a:noFill/>
                    </a:ln>
                  </pic:spPr>
                </pic:pic>
              </a:graphicData>
            </a:graphic>
          </wp:inline>
        </w:drawing>
      </w:r>
    </w:p>
    <w:p w14:paraId="0AAADBE2" w14:textId="77777777" w:rsidR="009D4BF0" w:rsidRPr="0007572B" w:rsidRDefault="009D4BF0" w:rsidP="0038082E">
      <w:pPr>
        <w:rPr>
          <w:rFonts w:ascii="Arial" w:hAnsi="Arial" w:cs="Arial"/>
          <w:b/>
          <w:sz w:val="22"/>
          <w:szCs w:val="22"/>
        </w:rPr>
      </w:pPr>
      <w:r w:rsidRPr="0007572B">
        <w:rPr>
          <w:rFonts w:ascii="Arial" w:hAnsi="Arial" w:cs="Arial"/>
          <w:b/>
          <w:sz w:val="22"/>
          <w:szCs w:val="22"/>
        </w:rPr>
        <w:br w:type="page"/>
      </w:r>
    </w:p>
    <w:p w14:paraId="742709DB" w14:textId="64F17296" w:rsidR="00294E50" w:rsidRPr="0007572B" w:rsidRDefault="00294E50" w:rsidP="0038082E">
      <w:pPr>
        <w:pStyle w:val="Heading3greennumbered"/>
      </w:pPr>
      <w:bookmarkStart w:id="196" w:name="_Toc92894907"/>
      <w:bookmarkStart w:id="197" w:name="_Toc92895211"/>
      <w:bookmarkStart w:id="198" w:name="_Toc109922645"/>
      <w:r w:rsidRPr="00D4492C">
        <w:t>3</w:t>
      </w:r>
      <w:r w:rsidR="00876B48" w:rsidRPr="00D4492C">
        <w:t>2</w:t>
      </w:r>
      <w:r w:rsidRPr="00D4492C">
        <w:t>d Cash Flow Statement – Reconciliation of Liabilities Arising from Financing</w:t>
      </w:r>
      <w:r w:rsidRPr="0007572B">
        <w:t xml:space="preserve"> Activities</w:t>
      </w:r>
      <w:bookmarkEnd w:id="196"/>
      <w:bookmarkEnd w:id="197"/>
      <w:bookmarkEnd w:id="198"/>
    </w:p>
    <w:p w14:paraId="6B15FCFB" w14:textId="77777777" w:rsidR="00D4492C" w:rsidRDefault="00D4492C" w:rsidP="0038082E">
      <w:pPr>
        <w:rPr>
          <w:rFonts w:ascii="Arial" w:hAnsi="Arial" w:cs="Arial"/>
          <w:b/>
          <w:sz w:val="22"/>
          <w:szCs w:val="22"/>
        </w:rPr>
      </w:pPr>
    </w:p>
    <w:p w14:paraId="01769BBB" w14:textId="6027A753" w:rsidR="00294E50" w:rsidRDefault="00952982" w:rsidP="0038082E">
      <w:pPr>
        <w:rPr>
          <w:rFonts w:ascii="Arial" w:hAnsi="Arial" w:cs="Arial"/>
          <w:b/>
          <w:sz w:val="22"/>
          <w:szCs w:val="22"/>
        </w:rPr>
      </w:pPr>
      <w:r w:rsidRPr="00952982">
        <w:rPr>
          <w:noProof/>
        </w:rPr>
        <w:drawing>
          <wp:inline distT="0" distB="0" distL="0" distR="0" wp14:anchorId="78BC7C43" wp14:editId="52B05BB8">
            <wp:extent cx="5975350" cy="1125220"/>
            <wp:effectExtent l="0" t="0" r="635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975350" cy="1125220"/>
                    </a:xfrm>
                    <a:prstGeom prst="rect">
                      <a:avLst/>
                    </a:prstGeom>
                    <a:noFill/>
                    <a:ln>
                      <a:noFill/>
                    </a:ln>
                  </pic:spPr>
                </pic:pic>
              </a:graphicData>
            </a:graphic>
          </wp:inline>
        </w:drawing>
      </w:r>
    </w:p>
    <w:p w14:paraId="12E6072C" w14:textId="52BB9263" w:rsidR="00F5589C" w:rsidRDefault="00F5589C" w:rsidP="0038082E">
      <w:pPr>
        <w:rPr>
          <w:rFonts w:ascii="Arial" w:hAnsi="Arial" w:cs="Arial"/>
          <w:sz w:val="22"/>
          <w:szCs w:val="22"/>
        </w:rPr>
      </w:pPr>
    </w:p>
    <w:p w14:paraId="00EBB311" w14:textId="7C1B14ED" w:rsidR="00952982" w:rsidRDefault="00952982" w:rsidP="0038082E">
      <w:pPr>
        <w:rPr>
          <w:rFonts w:ascii="Arial" w:hAnsi="Arial" w:cs="Arial"/>
          <w:sz w:val="22"/>
          <w:szCs w:val="22"/>
        </w:rPr>
      </w:pPr>
      <w:r w:rsidRPr="00952982">
        <w:rPr>
          <w:noProof/>
        </w:rPr>
        <w:drawing>
          <wp:inline distT="0" distB="0" distL="0" distR="0" wp14:anchorId="0F5FD13C" wp14:editId="168F5EC6">
            <wp:extent cx="5975350" cy="1071245"/>
            <wp:effectExtent l="0" t="0" r="635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975350" cy="1071245"/>
                    </a:xfrm>
                    <a:prstGeom prst="rect">
                      <a:avLst/>
                    </a:prstGeom>
                    <a:noFill/>
                    <a:ln>
                      <a:noFill/>
                    </a:ln>
                  </pic:spPr>
                </pic:pic>
              </a:graphicData>
            </a:graphic>
          </wp:inline>
        </w:drawing>
      </w:r>
    </w:p>
    <w:p w14:paraId="34A44622" w14:textId="77777777" w:rsidR="0092597A" w:rsidRPr="0007572B" w:rsidRDefault="0092597A" w:rsidP="0038082E">
      <w:pPr>
        <w:rPr>
          <w:rFonts w:ascii="Arial" w:hAnsi="Arial" w:cs="Arial"/>
          <w:sz w:val="22"/>
          <w:szCs w:val="22"/>
        </w:rPr>
      </w:pPr>
    </w:p>
    <w:p w14:paraId="211131F4" w14:textId="3567B1FA" w:rsidR="004047A3" w:rsidRPr="0007572B" w:rsidRDefault="00680267" w:rsidP="0038082E">
      <w:pPr>
        <w:pStyle w:val="Heading3greennumbered"/>
      </w:pPr>
      <w:bookmarkStart w:id="199" w:name="_Toc92894908"/>
      <w:bookmarkStart w:id="200" w:name="_Toc92895212"/>
      <w:bookmarkStart w:id="201" w:name="_Toc109922646"/>
      <w:r w:rsidRPr="0007572B">
        <w:t>3</w:t>
      </w:r>
      <w:r w:rsidR="00876B48" w:rsidRPr="0007572B">
        <w:t>3</w:t>
      </w:r>
      <w:r w:rsidR="004047A3" w:rsidRPr="0007572B">
        <w:t xml:space="preserve"> Defined Benefit Pension Schemes</w:t>
      </w:r>
      <w:bookmarkEnd w:id="199"/>
      <w:bookmarkEnd w:id="200"/>
      <w:bookmarkEnd w:id="201"/>
    </w:p>
    <w:p w14:paraId="4F7276DF" w14:textId="77777777" w:rsidR="00D4492C" w:rsidRDefault="00D4492C" w:rsidP="0038082E">
      <w:pPr>
        <w:rPr>
          <w:rFonts w:ascii="Arial" w:hAnsi="Arial" w:cs="Arial"/>
        </w:rPr>
      </w:pPr>
    </w:p>
    <w:p w14:paraId="0781269C" w14:textId="459710F6" w:rsidR="00B04A22" w:rsidRPr="0007572B" w:rsidRDefault="00B04A22" w:rsidP="0038082E">
      <w:pPr>
        <w:rPr>
          <w:rFonts w:ascii="Arial" w:hAnsi="Arial" w:cs="Arial"/>
        </w:rPr>
      </w:pPr>
      <w:r w:rsidRPr="0007572B">
        <w:rPr>
          <w:rFonts w:ascii="Arial" w:hAnsi="Arial" w:cs="Arial"/>
        </w:rPr>
        <w:t>As part of the terms and conditions of employment of its officers and other employees, the Authority makes contributions towards the cost of post-employment benefits. Although these benefits will not actually be payable until employees retire, the Authority has a commitment to make the payments that need to be disclosed at the time that employees earn their future entitlement.</w:t>
      </w:r>
    </w:p>
    <w:p w14:paraId="00B2EEF7" w14:textId="77777777" w:rsidR="00B04A22" w:rsidRPr="0007572B" w:rsidRDefault="00B04A22" w:rsidP="0038082E">
      <w:pPr>
        <w:rPr>
          <w:rFonts w:ascii="Arial" w:hAnsi="Arial" w:cs="Arial"/>
        </w:rPr>
      </w:pPr>
    </w:p>
    <w:p w14:paraId="6B86275C" w14:textId="77777777" w:rsidR="00B04A22" w:rsidRPr="0007572B" w:rsidRDefault="00B04A22" w:rsidP="0038082E">
      <w:pPr>
        <w:rPr>
          <w:rFonts w:ascii="Arial" w:hAnsi="Arial" w:cs="Arial"/>
        </w:rPr>
      </w:pPr>
      <w:r w:rsidRPr="0007572B">
        <w:rPr>
          <w:rFonts w:ascii="Arial" w:hAnsi="Arial" w:cs="Arial"/>
        </w:rPr>
        <w:t xml:space="preserve">Employees of the Authority are divided </w:t>
      </w:r>
      <w:r w:rsidR="000F48B9" w:rsidRPr="0007572B">
        <w:rPr>
          <w:rFonts w:ascii="Arial" w:hAnsi="Arial" w:cs="Arial"/>
        </w:rPr>
        <w:t>betwee</w:t>
      </w:r>
      <w:r w:rsidR="00E46631" w:rsidRPr="0007572B">
        <w:rPr>
          <w:rFonts w:ascii="Arial" w:hAnsi="Arial" w:cs="Arial"/>
        </w:rPr>
        <w:t xml:space="preserve">n two separate </w:t>
      </w:r>
      <w:r w:rsidR="00EF6096" w:rsidRPr="0007572B">
        <w:rPr>
          <w:rFonts w:ascii="Arial" w:hAnsi="Arial" w:cs="Arial"/>
        </w:rPr>
        <w:t xml:space="preserve">defined benefit </w:t>
      </w:r>
      <w:r w:rsidR="00E46631" w:rsidRPr="0007572B">
        <w:rPr>
          <w:rFonts w:ascii="Arial" w:hAnsi="Arial" w:cs="Arial"/>
        </w:rPr>
        <w:t>pension schemes:</w:t>
      </w:r>
    </w:p>
    <w:p w14:paraId="14A0E604" w14:textId="77777777" w:rsidR="00E46631" w:rsidRPr="0007572B" w:rsidRDefault="00E46631" w:rsidP="0038082E">
      <w:pPr>
        <w:rPr>
          <w:rFonts w:ascii="Arial" w:hAnsi="Arial" w:cs="Arial"/>
        </w:rPr>
      </w:pPr>
    </w:p>
    <w:p w14:paraId="7BA4F48D" w14:textId="1153E466" w:rsidR="00E46631" w:rsidRPr="0007572B" w:rsidRDefault="00E46631" w:rsidP="0038082E">
      <w:pPr>
        <w:rPr>
          <w:rFonts w:ascii="Arial" w:hAnsi="Arial" w:cs="Arial"/>
        </w:rPr>
      </w:pPr>
      <w:r w:rsidRPr="0007572B">
        <w:rPr>
          <w:rFonts w:ascii="Arial" w:hAnsi="Arial" w:cs="Arial"/>
          <w:b/>
        </w:rPr>
        <w:t>The Fire</w:t>
      </w:r>
      <w:r w:rsidR="001838A2" w:rsidRPr="0007572B">
        <w:rPr>
          <w:rFonts w:ascii="Arial" w:hAnsi="Arial" w:cs="Arial"/>
          <w:b/>
        </w:rPr>
        <w:t>fighters’</w:t>
      </w:r>
      <w:r w:rsidRPr="0007572B">
        <w:rPr>
          <w:rFonts w:ascii="Arial" w:hAnsi="Arial" w:cs="Arial"/>
          <w:b/>
        </w:rPr>
        <w:t xml:space="preserve"> Pension Scheme</w:t>
      </w:r>
      <w:r w:rsidRPr="0007572B">
        <w:rPr>
          <w:rFonts w:ascii="Arial" w:hAnsi="Arial" w:cs="Arial"/>
        </w:rPr>
        <w:t xml:space="preserve"> for its uniformed firefighters - this is an unfunded scheme, meaning that there are no investment assets built up to meet the pensions liabilities, and cash has to be generated to meet actual pensions payments as they eventually fall due.</w:t>
      </w:r>
    </w:p>
    <w:p w14:paraId="0246C1E8" w14:textId="77777777" w:rsidR="006E2332" w:rsidRPr="0007572B" w:rsidRDefault="006E2332" w:rsidP="0038082E">
      <w:pPr>
        <w:rPr>
          <w:rFonts w:ascii="Arial" w:hAnsi="Arial" w:cs="Arial"/>
        </w:rPr>
      </w:pPr>
    </w:p>
    <w:p w14:paraId="6F899E58" w14:textId="62604D1A" w:rsidR="00E46631" w:rsidRPr="0007572B" w:rsidRDefault="00E46631" w:rsidP="0038082E">
      <w:pPr>
        <w:rPr>
          <w:rFonts w:ascii="Arial" w:hAnsi="Arial" w:cs="Arial"/>
        </w:rPr>
      </w:pPr>
      <w:r w:rsidRPr="0007572B">
        <w:rPr>
          <w:rFonts w:ascii="Arial" w:hAnsi="Arial" w:cs="Arial"/>
          <w:b/>
        </w:rPr>
        <w:t>The Local Government Pension Scheme</w:t>
      </w:r>
      <w:r w:rsidRPr="0007572B">
        <w:rPr>
          <w:rFonts w:ascii="Arial" w:hAnsi="Arial" w:cs="Arial"/>
        </w:rPr>
        <w:t xml:space="preserve"> for its other employees - this is a funded scheme, meaning that the Authority and employees pay its contributions into a fund, calculated at a level intended to balance the pensions liabilities with investment assets. The cost of retirement benefits is recognised in the Net Cost of Services when they are earned by employees, rather than when the benefits are eventually paid as pensions. However, the charge we are required to make against </w:t>
      </w:r>
      <w:r w:rsidR="00685F1C" w:rsidRPr="0007572B">
        <w:rPr>
          <w:rFonts w:ascii="Arial" w:hAnsi="Arial" w:cs="Arial"/>
        </w:rPr>
        <w:t xml:space="preserve">grant and </w:t>
      </w:r>
      <w:r w:rsidRPr="0007572B">
        <w:rPr>
          <w:rFonts w:ascii="Arial" w:hAnsi="Arial" w:cs="Arial"/>
        </w:rPr>
        <w:t xml:space="preserve">precept income is based on the cash payable in the year, so the real cost of retirement benefits is reversed out of the </w:t>
      </w:r>
      <w:r w:rsidR="006366E3" w:rsidRPr="0007572B">
        <w:rPr>
          <w:rFonts w:ascii="Arial" w:hAnsi="Arial" w:cs="Arial"/>
        </w:rPr>
        <w:t xml:space="preserve">Comprehensive </w:t>
      </w:r>
      <w:r w:rsidRPr="0007572B">
        <w:rPr>
          <w:rFonts w:ascii="Arial" w:hAnsi="Arial" w:cs="Arial"/>
        </w:rPr>
        <w:t xml:space="preserve">Income and Expenditure Account in the </w:t>
      </w:r>
      <w:r w:rsidR="006366E3" w:rsidRPr="0007572B">
        <w:rPr>
          <w:rFonts w:ascii="Arial" w:hAnsi="Arial" w:cs="Arial"/>
        </w:rPr>
        <w:t>Movement in Reserves Statement</w:t>
      </w:r>
      <w:r w:rsidRPr="0007572B">
        <w:rPr>
          <w:rFonts w:ascii="Arial" w:hAnsi="Arial" w:cs="Arial"/>
        </w:rPr>
        <w:t>.</w:t>
      </w:r>
    </w:p>
    <w:p w14:paraId="0D8C979A" w14:textId="77777777" w:rsidR="00E46631" w:rsidRPr="0007572B" w:rsidRDefault="00E46631" w:rsidP="0038082E">
      <w:pPr>
        <w:rPr>
          <w:rFonts w:ascii="Arial" w:hAnsi="Arial" w:cs="Arial"/>
        </w:rPr>
      </w:pPr>
    </w:p>
    <w:p w14:paraId="5939EB0B" w14:textId="36DB05FC" w:rsidR="001F2C3F" w:rsidRPr="0007572B" w:rsidRDefault="006E2332" w:rsidP="0038082E">
      <w:pPr>
        <w:rPr>
          <w:rFonts w:ascii="Arial" w:hAnsi="Arial" w:cs="Arial"/>
        </w:rPr>
      </w:pPr>
      <w:r w:rsidRPr="0007572B">
        <w:rPr>
          <w:rFonts w:ascii="Arial" w:hAnsi="Arial" w:cs="Arial"/>
        </w:rPr>
        <w:t>The Authority also has responsibility for the Police Pension Scheme for police officers although this scheme is administered by the Chief Constable (Greater Manchester Pol</w:t>
      </w:r>
      <w:r w:rsidR="009771BC" w:rsidRPr="0007572B">
        <w:rPr>
          <w:rFonts w:ascii="Arial" w:hAnsi="Arial" w:cs="Arial"/>
        </w:rPr>
        <w:t>ice) on behalf of the Authority</w:t>
      </w:r>
      <w:r w:rsidR="001F2C3F" w:rsidRPr="0007572B">
        <w:rPr>
          <w:rFonts w:ascii="Arial" w:hAnsi="Arial" w:cs="Arial"/>
        </w:rPr>
        <w:t xml:space="preserve">. </w:t>
      </w:r>
      <w:r w:rsidR="006A27AB" w:rsidRPr="0007572B">
        <w:rPr>
          <w:rFonts w:ascii="Arial" w:hAnsi="Arial" w:cs="Arial"/>
        </w:rPr>
        <w:t>The entries related to this scheme are disclosed in the group accounts.</w:t>
      </w:r>
      <w:r w:rsidR="001F2C3F" w:rsidRPr="0007572B">
        <w:rPr>
          <w:rFonts w:ascii="Arial" w:hAnsi="Arial" w:cs="Arial"/>
        </w:rPr>
        <w:t xml:space="preserve"> </w:t>
      </w:r>
    </w:p>
    <w:p w14:paraId="20BAF1D5" w14:textId="77777777" w:rsidR="001F2C3F" w:rsidRPr="0007572B" w:rsidRDefault="001F2C3F" w:rsidP="0038082E">
      <w:pPr>
        <w:rPr>
          <w:rFonts w:ascii="Arial" w:hAnsi="Arial" w:cs="Arial"/>
        </w:rPr>
      </w:pPr>
    </w:p>
    <w:p w14:paraId="30E3E4A3" w14:textId="4682BDFB" w:rsidR="00994706" w:rsidRPr="0007572B" w:rsidRDefault="00994706" w:rsidP="0038082E">
      <w:pPr>
        <w:rPr>
          <w:rFonts w:ascii="Arial" w:hAnsi="Arial" w:cs="Arial"/>
        </w:rPr>
      </w:pPr>
      <w:r w:rsidRPr="0007572B">
        <w:rPr>
          <w:rFonts w:ascii="Arial" w:hAnsi="Arial" w:cs="Arial"/>
        </w:rPr>
        <w:t xml:space="preserve">In accordance with proper </w:t>
      </w:r>
      <w:r w:rsidR="009771BC" w:rsidRPr="0007572B">
        <w:rPr>
          <w:rFonts w:ascii="Arial" w:hAnsi="Arial" w:cs="Arial"/>
        </w:rPr>
        <w:t>practices,</w:t>
      </w:r>
      <w:r w:rsidRPr="0007572B">
        <w:rPr>
          <w:rFonts w:ascii="Arial" w:hAnsi="Arial" w:cs="Arial"/>
        </w:rPr>
        <w:t xml:space="preserve"> the Authority has fully complied with the International Financial Reporting Standard IAS19 (Employee Benefits). Both Pension schemes are classified as ‘defined benefit’ schemes</w:t>
      </w:r>
      <w:r w:rsidR="00160771" w:rsidRPr="0007572B">
        <w:rPr>
          <w:rFonts w:ascii="Arial" w:hAnsi="Arial" w:cs="Arial"/>
        </w:rPr>
        <w:t xml:space="preserve"> under IAS19 and the accounting principles and their effect on the Financial Statements are explained below.</w:t>
      </w:r>
    </w:p>
    <w:p w14:paraId="3DCD609D" w14:textId="77777777" w:rsidR="00171DAF" w:rsidRPr="0007572B" w:rsidRDefault="00171DAF" w:rsidP="0038082E">
      <w:pPr>
        <w:rPr>
          <w:rFonts w:ascii="Arial" w:hAnsi="Arial" w:cs="Arial"/>
        </w:rPr>
      </w:pPr>
      <w:r w:rsidRPr="0007572B">
        <w:rPr>
          <w:rFonts w:ascii="Arial" w:hAnsi="Arial" w:cs="Arial"/>
        </w:rPr>
        <w:t>Employer contribution rates for the current and next year for both schemes are provided below:</w:t>
      </w:r>
    </w:p>
    <w:p w14:paraId="6AE9AB38" w14:textId="77777777" w:rsidR="00D01B03" w:rsidRDefault="00D01B03" w:rsidP="0038082E">
      <w:pPr>
        <w:rPr>
          <w:rFonts w:ascii="Arial" w:hAnsi="Arial" w:cs="Arial"/>
        </w:rPr>
      </w:pPr>
    </w:p>
    <w:p w14:paraId="0B0034AA" w14:textId="2C66481F" w:rsidR="00160771" w:rsidRPr="0007572B" w:rsidRDefault="00D01B03" w:rsidP="0038082E">
      <w:pPr>
        <w:rPr>
          <w:rFonts w:ascii="Arial" w:hAnsi="Arial" w:cs="Arial"/>
        </w:rPr>
      </w:pPr>
      <w:r w:rsidRPr="00D01B03">
        <w:rPr>
          <w:noProof/>
        </w:rPr>
        <w:drawing>
          <wp:inline distT="0" distB="0" distL="0" distR="0" wp14:anchorId="4DD09BEF" wp14:editId="7C3BBDE6">
            <wp:extent cx="4890135" cy="1151890"/>
            <wp:effectExtent l="0" t="0" r="5715"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890135" cy="1151890"/>
                    </a:xfrm>
                    <a:prstGeom prst="rect">
                      <a:avLst/>
                    </a:prstGeom>
                    <a:noFill/>
                    <a:ln>
                      <a:noFill/>
                    </a:ln>
                  </pic:spPr>
                </pic:pic>
              </a:graphicData>
            </a:graphic>
          </wp:inline>
        </w:drawing>
      </w:r>
    </w:p>
    <w:p w14:paraId="207D6B5A" w14:textId="7CDB768F" w:rsidR="00B070AC" w:rsidRPr="0007572B" w:rsidRDefault="00B070AC" w:rsidP="0038082E">
      <w:pPr>
        <w:rPr>
          <w:rFonts w:ascii="Arial" w:hAnsi="Arial" w:cs="Arial"/>
        </w:rPr>
      </w:pPr>
    </w:p>
    <w:p w14:paraId="7FEDDBC2" w14:textId="77777777" w:rsidR="004047A3" w:rsidRPr="0007572B" w:rsidRDefault="00D00AF4" w:rsidP="0038082E">
      <w:pPr>
        <w:pStyle w:val="Heading4bold"/>
      </w:pPr>
      <w:r w:rsidRPr="0007572B">
        <w:t>The Local Government Pension Scheme</w:t>
      </w:r>
    </w:p>
    <w:p w14:paraId="63148E1F" w14:textId="77777777" w:rsidR="00864F2C" w:rsidRPr="0007572B" w:rsidRDefault="00864F2C" w:rsidP="0038082E">
      <w:pPr>
        <w:rPr>
          <w:rFonts w:ascii="Arial" w:hAnsi="Arial" w:cs="Arial"/>
        </w:rPr>
      </w:pPr>
      <w:r w:rsidRPr="0007572B">
        <w:rPr>
          <w:rFonts w:ascii="Arial" w:hAnsi="Arial" w:cs="Arial"/>
        </w:rPr>
        <w:t>The Authority pays an employer's contribution into the Greater Manchester Pension Fund, which is a fully funded defined benefits scheme administered by Tameside Metropolitan Borough Council from whom an Annual Report is available.</w:t>
      </w:r>
    </w:p>
    <w:p w14:paraId="269D23CA" w14:textId="77777777" w:rsidR="00864F2C" w:rsidRPr="0007572B" w:rsidRDefault="00864F2C" w:rsidP="0038082E">
      <w:pPr>
        <w:rPr>
          <w:rFonts w:ascii="Arial" w:hAnsi="Arial" w:cs="Arial"/>
        </w:rPr>
      </w:pPr>
    </w:p>
    <w:p w14:paraId="7572BEC4" w14:textId="0D3E613D" w:rsidR="00864F2C" w:rsidRPr="0007572B" w:rsidRDefault="00864F2C" w:rsidP="0038082E">
      <w:pPr>
        <w:rPr>
          <w:rFonts w:ascii="Arial" w:hAnsi="Arial" w:cs="Arial"/>
        </w:rPr>
      </w:pPr>
      <w:r w:rsidRPr="0007572B">
        <w:rPr>
          <w:rFonts w:ascii="Arial" w:hAnsi="Arial" w:cs="Arial"/>
        </w:rPr>
        <w:t xml:space="preserve">The liabilities of the Greater Manchester Pension Fund attributable to the Authority are included in the Balance Sheet on an actuarial basis using the projected unit </w:t>
      </w:r>
      <w:r w:rsidR="006A27AB" w:rsidRPr="0007572B">
        <w:rPr>
          <w:rFonts w:ascii="Arial" w:hAnsi="Arial" w:cs="Arial"/>
        </w:rPr>
        <w:t xml:space="preserve">credit </w:t>
      </w:r>
      <w:r w:rsidRPr="0007572B">
        <w:rPr>
          <w:rFonts w:ascii="Arial" w:hAnsi="Arial" w:cs="Arial"/>
        </w:rPr>
        <w:t>method, i.e. an assessment of the future payments that will be made in relation to retirement benefits earned to date by employees, based on assumptions about mortality rates, employee turnover rates and projections of projected earnings for current employees.</w:t>
      </w:r>
    </w:p>
    <w:p w14:paraId="4E0D62DB" w14:textId="77777777" w:rsidR="00864F2C" w:rsidRPr="0007572B" w:rsidRDefault="00864F2C" w:rsidP="0038082E">
      <w:pPr>
        <w:rPr>
          <w:rFonts w:ascii="Arial" w:hAnsi="Arial" w:cs="Arial"/>
        </w:rPr>
      </w:pPr>
    </w:p>
    <w:p w14:paraId="72965CEC" w14:textId="77777777" w:rsidR="00864F2C" w:rsidRPr="0007572B" w:rsidRDefault="00864F2C" w:rsidP="0038082E">
      <w:pPr>
        <w:rPr>
          <w:rFonts w:ascii="Arial" w:hAnsi="Arial" w:cs="Arial"/>
        </w:rPr>
      </w:pPr>
      <w:r w:rsidRPr="0007572B">
        <w:rPr>
          <w:rFonts w:ascii="Arial" w:hAnsi="Arial" w:cs="Arial"/>
        </w:rPr>
        <w:t>Liabilities are discounted to their value at current prices, (based on the indicative rate of return on high quality corporate bonds).</w:t>
      </w:r>
    </w:p>
    <w:p w14:paraId="0D77C31F" w14:textId="77777777" w:rsidR="00864F2C" w:rsidRPr="0007572B" w:rsidRDefault="00864F2C" w:rsidP="0038082E">
      <w:pPr>
        <w:rPr>
          <w:rFonts w:ascii="Arial" w:hAnsi="Arial" w:cs="Arial"/>
        </w:rPr>
      </w:pPr>
    </w:p>
    <w:p w14:paraId="468539A1" w14:textId="77777777" w:rsidR="00864F2C" w:rsidRPr="0007572B" w:rsidRDefault="00864F2C" w:rsidP="0038082E">
      <w:pPr>
        <w:rPr>
          <w:rFonts w:ascii="Arial" w:hAnsi="Arial" w:cs="Arial"/>
        </w:rPr>
      </w:pPr>
      <w:r w:rsidRPr="0007572B">
        <w:rPr>
          <w:rFonts w:ascii="Arial" w:hAnsi="Arial" w:cs="Arial"/>
        </w:rPr>
        <w:t>The assets of the Greater Manchester Pension Fund attributable to the Authority are included in the Balance Sheet at their fair value, as follows:</w:t>
      </w:r>
    </w:p>
    <w:p w14:paraId="0000A644" w14:textId="77777777" w:rsidR="00D5311B" w:rsidRPr="0007572B" w:rsidRDefault="00D5311B" w:rsidP="0038082E">
      <w:pPr>
        <w:rPr>
          <w:rFonts w:ascii="Arial" w:hAnsi="Arial" w:cs="Arial"/>
        </w:rPr>
      </w:pPr>
    </w:p>
    <w:p w14:paraId="33F72AD6" w14:textId="77777777" w:rsidR="00864F2C" w:rsidRPr="0007572B" w:rsidRDefault="00864F2C" w:rsidP="00EB27EB">
      <w:pPr>
        <w:pStyle w:val="ListParagraph"/>
        <w:numPr>
          <w:ilvl w:val="1"/>
          <w:numId w:val="14"/>
        </w:numPr>
        <w:spacing w:line="240" w:lineRule="auto"/>
        <w:rPr>
          <w:rFonts w:ascii="Arial" w:hAnsi="Arial" w:cs="Arial"/>
          <w:sz w:val="24"/>
          <w:szCs w:val="24"/>
        </w:rPr>
      </w:pPr>
      <w:r w:rsidRPr="0007572B">
        <w:rPr>
          <w:rFonts w:ascii="Arial" w:hAnsi="Arial" w:cs="Arial"/>
          <w:sz w:val="24"/>
          <w:szCs w:val="24"/>
        </w:rPr>
        <w:t>Quoted securities – current bid price</w:t>
      </w:r>
    </w:p>
    <w:p w14:paraId="2C332D0F" w14:textId="77777777" w:rsidR="00864F2C" w:rsidRPr="0007572B" w:rsidRDefault="00864F2C" w:rsidP="00EB27EB">
      <w:pPr>
        <w:pStyle w:val="ListParagraph"/>
        <w:numPr>
          <w:ilvl w:val="1"/>
          <w:numId w:val="14"/>
        </w:numPr>
        <w:spacing w:line="240" w:lineRule="auto"/>
        <w:rPr>
          <w:rFonts w:ascii="Arial" w:hAnsi="Arial" w:cs="Arial"/>
          <w:sz w:val="24"/>
          <w:szCs w:val="24"/>
        </w:rPr>
      </w:pPr>
      <w:r w:rsidRPr="0007572B">
        <w:rPr>
          <w:rFonts w:ascii="Arial" w:hAnsi="Arial" w:cs="Arial"/>
          <w:sz w:val="24"/>
          <w:szCs w:val="24"/>
        </w:rPr>
        <w:t>Unquoted securities – professional estimate</w:t>
      </w:r>
    </w:p>
    <w:p w14:paraId="42546D7E" w14:textId="77777777" w:rsidR="00864F2C" w:rsidRPr="0007572B" w:rsidRDefault="00864F2C" w:rsidP="00EB27EB">
      <w:pPr>
        <w:pStyle w:val="ListParagraph"/>
        <w:numPr>
          <w:ilvl w:val="1"/>
          <w:numId w:val="14"/>
        </w:numPr>
        <w:spacing w:line="240" w:lineRule="auto"/>
        <w:rPr>
          <w:rFonts w:ascii="Arial" w:hAnsi="Arial" w:cs="Arial"/>
          <w:sz w:val="24"/>
          <w:szCs w:val="24"/>
        </w:rPr>
      </w:pPr>
      <w:r w:rsidRPr="0007572B">
        <w:rPr>
          <w:rFonts w:ascii="Arial" w:hAnsi="Arial" w:cs="Arial"/>
          <w:sz w:val="24"/>
          <w:szCs w:val="24"/>
        </w:rPr>
        <w:t>Unitised securities – current bid price</w:t>
      </w:r>
    </w:p>
    <w:p w14:paraId="3BF95AD5" w14:textId="77777777" w:rsidR="00864F2C" w:rsidRPr="0007572B" w:rsidRDefault="00864F2C" w:rsidP="00EB27EB">
      <w:pPr>
        <w:pStyle w:val="ListParagraph"/>
        <w:numPr>
          <w:ilvl w:val="1"/>
          <w:numId w:val="14"/>
        </w:numPr>
        <w:spacing w:line="240" w:lineRule="auto"/>
        <w:rPr>
          <w:rFonts w:ascii="Arial" w:hAnsi="Arial" w:cs="Arial"/>
          <w:sz w:val="24"/>
          <w:szCs w:val="24"/>
        </w:rPr>
      </w:pPr>
      <w:r w:rsidRPr="0007572B">
        <w:rPr>
          <w:rFonts w:ascii="Arial" w:hAnsi="Arial" w:cs="Arial"/>
          <w:sz w:val="24"/>
          <w:szCs w:val="24"/>
        </w:rPr>
        <w:t>Property – market value.</w:t>
      </w:r>
    </w:p>
    <w:p w14:paraId="681E71F9" w14:textId="77777777" w:rsidR="00864F2C" w:rsidRPr="0007572B" w:rsidRDefault="00864F2C" w:rsidP="0038082E">
      <w:pPr>
        <w:rPr>
          <w:rFonts w:ascii="Arial" w:hAnsi="Arial" w:cs="Arial"/>
        </w:rPr>
      </w:pPr>
      <w:r w:rsidRPr="0007572B">
        <w:rPr>
          <w:rFonts w:ascii="Arial" w:hAnsi="Arial" w:cs="Arial"/>
        </w:rPr>
        <w:t>The change in the net pension’s liability is analysed into seven components:</w:t>
      </w:r>
    </w:p>
    <w:p w14:paraId="73073A11" w14:textId="77777777" w:rsidR="006E2332" w:rsidRPr="0007572B" w:rsidRDefault="006E2332" w:rsidP="0038082E">
      <w:pPr>
        <w:rPr>
          <w:rFonts w:ascii="Arial" w:hAnsi="Arial" w:cs="Arial"/>
        </w:rPr>
      </w:pPr>
    </w:p>
    <w:p w14:paraId="774B8B7E" w14:textId="77777777" w:rsidR="00864F2C" w:rsidRPr="0007572B" w:rsidRDefault="00864F2C" w:rsidP="00EB27EB">
      <w:pPr>
        <w:pStyle w:val="ListParagraph"/>
        <w:numPr>
          <w:ilvl w:val="0"/>
          <w:numId w:val="13"/>
        </w:numPr>
        <w:spacing w:line="240" w:lineRule="auto"/>
        <w:rPr>
          <w:rFonts w:ascii="Arial" w:hAnsi="Arial" w:cs="Arial"/>
          <w:sz w:val="24"/>
          <w:szCs w:val="24"/>
        </w:rPr>
      </w:pPr>
      <w:r w:rsidRPr="0007572B">
        <w:rPr>
          <w:rFonts w:ascii="Arial" w:hAnsi="Arial" w:cs="Arial"/>
          <w:b/>
          <w:sz w:val="24"/>
          <w:szCs w:val="24"/>
        </w:rPr>
        <w:t>Current service cost</w:t>
      </w:r>
      <w:r w:rsidRPr="0007572B">
        <w:rPr>
          <w:rFonts w:ascii="Arial" w:hAnsi="Arial" w:cs="Arial"/>
          <w:sz w:val="24"/>
          <w:szCs w:val="24"/>
        </w:rPr>
        <w:t xml:space="preserve"> – the increase in liabilities as a result of years of service earned this year. This is allocated in the Comprehensive Income and Expenditure Statement to the revenue accounts of services for which the employees worked.</w:t>
      </w:r>
    </w:p>
    <w:p w14:paraId="28336194" w14:textId="4A04E708" w:rsidR="00864F2C" w:rsidRPr="0007572B" w:rsidRDefault="00864F2C" w:rsidP="00EB27EB">
      <w:pPr>
        <w:pStyle w:val="ListParagraph"/>
        <w:numPr>
          <w:ilvl w:val="0"/>
          <w:numId w:val="13"/>
        </w:numPr>
        <w:spacing w:line="240" w:lineRule="auto"/>
        <w:rPr>
          <w:rFonts w:ascii="Arial" w:hAnsi="Arial" w:cs="Arial"/>
          <w:sz w:val="24"/>
          <w:szCs w:val="24"/>
        </w:rPr>
      </w:pPr>
      <w:r w:rsidRPr="0007572B">
        <w:rPr>
          <w:rFonts w:ascii="Arial" w:hAnsi="Arial" w:cs="Arial"/>
          <w:b/>
          <w:sz w:val="24"/>
          <w:szCs w:val="24"/>
        </w:rPr>
        <w:t>Past service cost</w:t>
      </w:r>
      <w:r w:rsidRPr="0007572B">
        <w:rPr>
          <w:rFonts w:ascii="Arial" w:hAnsi="Arial" w:cs="Arial"/>
          <w:sz w:val="24"/>
          <w:szCs w:val="24"/>
        </w:rPr>
        <w:t xml:space="preserve"> – the increase in liabilities arising from current year decisions whose effect relates to years of service earned in earlier years. This is debited to the surplus or deficit on the provision of services in the Comprehensive I</w:t>
      </w:r>
      <w:r w:rsidR="00744363" w:rsidRPr="0007572B">
        <w:rPr>
          <w:rFonts w:ascii="Arial" w:hAnsi="Arial" w:cs="Arial"/>
          <w:sz w:val="24"/>
          <w:szCs w:val="24"/>
        </w:rPr>
        <w:t>ncome and Expenditure Statement</w:t>
      </w:r>
      <w:r w:rsidRPr="0007572B">
        <w:rPr>
          <w:rFonts w:ascii="Arial" w:hAnsi="Arial" w:cs="Arial"/>
          <w:sz w:val="24"/>
          <w:szCs w:val="24"/>
        </w:rPr>
        <w:t>.</w:t>
      </w:r>
    </w:p>
    <w:p w14:paraId="56332788" w14:textId="77777777" w:rsidR="00864F2C" w:rsidRPr="0007572B" w:rsidRDefault="00864F2C" w:rsidP="00EB27EB">
      <w:pPr>
        <w:pStyle w:val="ListParagraph"/>
        <w:numPr>
          <w:ilvl w:val="0"/>
          <w:numId w:val="13"/>
        </w:numPr>
        <w:spacing w:line="240" w:lineRule="auto"/>
        <w:rPr>
          <w:rFonts w:ascii="Arial" w:hAnsi="Arial" w:cs="Arial"/>
          <w:sz w:val="24"/>
          <w:szCs w:val="24"/>
        </w:rPr>
      </w:pPr>
      <w:r w:rsidRPr="0007572B">
        <w:rPr>
          <w:rFonts w:ascii="Arial" w:hAnsi="Arial" w:cs="Arial"/>
          <w:b/>
          <w:sz w:val="24"/>
          <w:szCs w:val="24"/>
        </w:rPr>
        <w:t>Interest cost</w:t>
      </w:r>
      <w:r w:rsidRPr="0007572B">
        <w:rPr>
          <w:rFonts w:ascii="Arial" w:hAnsi="Arial" w:cs="Arial"/>
          <w:sz w:val="24"/>
          <w:szCs w:val="24"/>
        </w:rPr>
        <w:t xml:space="preserve"> – the expected increase in the present value of liabilities during the year as they move one year closer to being paid. This is debited to Financing and Investment Income and Expenditure Line in the Comprehensive Income and Expenditure Statement.</w:t>
      </w:r>
    </w:p>
    <w:p w14:paraId="0380722A" w14:textId="77777777" w:rsidR="00864F2C" w:rsidRPr="0007572B" w:rsidRDefault="0065752F" w:rsidP="00EB27EB">
      <w:pPr>
        <w:pStyle w:val="ListParagraph"/>
        <w:numPr>
          <w:ilvl w:val="0"/>
          <w:numId w:val="13"/>
        </w:numPr>
        <w:spacing w:line="240" w:lineRule="auto"/>
        <w:rPr>
          <w:rFonts w:ascii="Arial" w:hAnsi="Arial" w:cs="Arial"/>
          <w:sz w:val="24"/>
          <w:szCs w:val="24"/>
        </w:rPr>
      </w:pPr>
      <w:r w:rsidRPr="0007572B">
        <w:rPr>
          <w:rFonts w:ascii="Arial" w:hAnsi="Arial" w:cs="Arial"/>
          <w:b/>
          <w:sz w:val="24"/>
          <w:szCs w:val="24"/>
        </w:rPr>
        <w:t>G</w:t>
      </w:r>
      <w:r w:rsidR="00864F2C" w:rsidRPr="0007572B">
        <w:rPr>
          <w:rFonts w:ascii="Arial" w:hAnsi="Arial" w:cs="Arial"/>
          <w:b/>
          <w:sz w:val="24"/>
          <w:szCs w:val="24"/>
        </w:rPr>
        <w:t>ains/losses on settlements and curtailments</w:t>
      </w:r>
      <w:r w:rsidR="00864F2C" w:rsidRPr="0007572B">
        <w:rPr>
          <w:rFonts w:ascii="Arial" w:hAnsi="Arial" w:cs="Arial"/>
          <w:sz w:val="24"/>
          <w:szCs w:val="24"/>
        </w:rPr>
        <w:t xml:space="preserve"> – the result of actions to relieve the Authority of liabilities or events that reduce the expected future service or accrual of benefits of employees. This is debited or credited to the surplus or deficit on the provision of services in the Comprehensive Income and Expenditure Statement.</w:t>
      </w:r>
    </w:p>
    <w:p w14:paraId="71A85BFE" w14:textId="1448C190" w:rsidR="00864F2C" w:rsidRPr="0007572B" w:rsidRDefault="00B33006" w:rsidP="00EB27EB">
      <w:pPr>
        <w:pStyle w:val="ListParagraph"/>
        <w:numPr>
          <w:ilvl w:val="0"/>
          <w:numId w:val="13"/>
        </w:numPr>
        <w:spacing w:line="240" w:lineRule="auto"/>
        <w:rPr>
          <w:rFonts w:ascii="Arial" w:hAnsi="Arial" w:cs="Arial"/>
          <w:sz w:val="24"/>
          <w:szCs w:val="24"/>
        </w:rPr>
      </w:pPr>
      <w:r w:rsidRPr="0007572B">
        <w:rPr>
          <w:rFonts w:ascii="Arial" w:hAnsi="Arial" w:cs="Arial"/>
          <w:b/>
          <w:sz w:val="24"/>
          <w:szCs w:val="24"/>
        </w:rPr>
        <w:t>Interest on scheme assets</w:t>
      </w:r>
      <w:r w:rsidR="00864F2C" w:rsidRPr="0007572B">
        <w:rPr>
          <w:rFonts w:ascii="Arial" w:hAnsi="Arial" w:cs="Arial"/>
          <w:sz w:val="24"/>
          <w:szCs w:val="24"/>
        </w:rPr>
        <w:t xml:space="preserve"> – the annual investment return on the fund assets attributable to the Authority, based on an average of the expected long-term return. This is credited to Financing and Investment Line in the Comprehensive Income and Expenditure Statement.</w:t>
      </w:r>
    </w:p>
    <w:p w14:paraId="62DE1BF4" w14:textId="4153074F" w:rsidR="0065752F" w:rsidRPr="0007572B" w:rsidRDefault="0065752F" w:rsidP="00EB27EB">
      <w:pPr>
        <w:pStyle w:val="ListParagraph"/>
        <w:numPr>
          <w:ilvl w:val="0"/>
          <w:numId w:val="13"/>
        </w:numPr>
        <w:spacing w:line="240" w:lineRule="auto"/>
        <w:rPr>
          <w:rFonts w:ascii="Arial" w:hAnsi="Arial" w:cs="Arial"/>
          <w:sz w:val="24"/>
          <w:szCs w:val="24"/>
        </w:rPr>
      </w:pPr>
      <w:r w:rsidRPr="0007572B">
        <w:rPr>
          <w:rFonts w:ascii="Arial" w:hAnsi="Arial" w:cs="Arial"/>
          <w:b/>
          <w:sz w:val="24"/>
          <w:szCs w:val="24"/>
        </w:rPr>
        <w:t>A</w:t>
      </w:r>
      <w:r w:rsidR="00864F2C" w:rsidRPr="0007572B">
        <w:rPr>
          <w:rFonts w:ascii="Arial" w:hAnsi="Arial" w:cs="Arial"/>
          <w:b/>
          <w:sz w:val="24"/>
          <w:szCs w:val="24"/>
        </w:rPr>
        <w:t>ctuarial gains and losses</w:t>
      </w:r>
      <w:r w:rsidR="00864F2C" w:rsidRPr="0007572B">
        <w:rPr>
          <w:rFonts w:ascii="Arial" w:hAnsi="Arial" w:cs="Arial"/>
          <w:sz w:val="24"/>
          <w:szCs w:val="24"/>
        </w:rPr>
        <w:t xml:space="preserve"> – changes in the net pensions liability that arise because events have not coincided with assumptions made at the last actuarial valuation or because the actuaries have updated their assumptions – debited to the Pensions Reserve. </w:t>
      </w:r>
    </w:p>
    <w:p w14:paraId="7DE34311" w14:textId="77777777" w:rsidR="00864F2C" w:rsidRPr="0007572B" w:rsidRDefault="0065752F" w:rsidP="00EB27EB">
      <w:pPr>
        <w:pStyle w:val="ListParagraph"/>
        <w:numPr>
          <w:ilvl w:val="0"/>
          <w:numId w:val="13"/>
        </w:numPr>
        <w:spacing w:line="240" w:lineRule="auto"/>
        <w:rPr>
          <w:rFonts w:ascii="Arial" w:hAnsi="Arial" w:cs="Arial"/>
          <w:sz w:val="24"/>
          <w:szCs w:val="24"/>
        </w:rPr>
      </w:pPr>
      <w:r w:rsidRPr="0007572B">
        <w:rPr>
          <w:rFonts w:ascii="Arial" w:hAnsi="Arial" w:cs="Arial"/>
          <w:b/>
          <w:sz w:val="24"/>
          <w:szCs w:val="24"/>
        </w:rPr>
        <w:t>C</w:t>
      </w:r>
      <w:r w:rsidR="00864F2C" w:rsidRPr="0007572B">
        <w:rPr>
          <w:rFonts w:ascii="Arial" w:hAnsi="Arial" w:cs="Arial"/>
          <w:b/>
          <w:sz w:val="24"/>
          <w:szCs w:val="24"/>
        </w:rPr>
        <w:t>ontributions paid to the pension fund</w:t>
      </w:r>
      <w:r w:rsidR="00864F2C" w:rsidRPr="0007572B">
        <w:rPr>
          <w:rFonts w:ascii="Arial" w:hAnsi="Arial" w:cs="Arial"/>
          <w:sz w:val="24"/>
          <w:szCs w:val="24"/>
        </w:rPr>
        <w:t xml:space="preserve"> – cash paid as employer’s contributions to the fund.</w:t>
      </w:r>
    </w:p>
    <w:p w14:paraId="1290E4CE" w14:textId="069FE293" w:rsidR="00864F2C" w:rsidRPr="0007572B" w:rsidRDefault="00864F2C" w:rsidP="0038082E">
      <w:pPr>
        <w:rPr>
          <w:rFonts w:ascii="Arial" w:hAnsi="Arial" w:cs="Arial"/>
        </w:rPr>
      </w:pPr>
      <w:r w:rsidRPr="0007572B">
        <w:rPr>
          <w:rFonts w:ascii="Arial" w:hAnsi="Arial" w:cs="Arial"/>
        </w:rPr>
        <w:t xml:space="preserve">In relation to retirement benefits, statutory provisions require the General Fund Balance to be charged with the amount payable by the </w:t>
      </w:r>
      <w:r w:rsidR="00C64AE4" w:rsidRPr="0007572B">
        <w:rPr>
          <w:rFonts w:ascii="Arial" w:hAnsi="Arial" w:cs="Arial"/>
        </w:rPr>
        <w:t>Authority</w:t>
      </w:r>
      <w:r w:rsidRPr="0007572B">
        <w:rPr>
          <w:rFonts w:ascii="Arial" w:hAnsi="Arial" w:cs="Arial"/>
        </w:rPr>
        <w:t xml:space="preserve"> to the pension fund or directly to pensioners in the year, not the amount calculated according to the relevant accounting standards. In the Movement in Reserves Statement, this means that there are appropriations to and from the Pensions Reserve to remove the notional debits and credits for retirement benefits and replace them with debits for the cash paid to the pension fund and pensioners and any such amounts payable but unpaid at the year-end.</w:t>
      </w:r>
      <w:r w:rsidR="00C64AE4" w:rsidRPr="0007572B">
        <w:rPr>
          <w:rFonts w:ascii="Arial" w:hAnsi="Arial" w:cs="Arial"/>
        </w:rPr>
        <w:t xml:space="preserve"> </w:t>
      </w:r>
      <w:r w:rsidRPr="0007572B">
        <w:rPr>
          <w:rFonts w:ascii="Arial" w:hAnsi="Arial" w:cs="Arial"/>
        </w:rPr>
        <w:t>The negative balance that arises on the Pensions Reserve thereby measures the beneficial impact to the General Fund of being required to account for retirement benefits on the basis of cash flows rather than as benefits are earned by employees.</w:t>
      </w:r>
    </w:p>
    <w:p w14:paraId="5BA66F9A" w14:textId="77777777" w:rsidR="0065752F" w:rsidRPr="0007572B" w:rsidRDefault="0065752F" w:rsidP="0038082E">
      <w:pPr>
        <w:rPr>
          <w:rFonts w:ascii="Arial" w:hAnsi="Arial" w:cs="Arial"/>
        </w:rPr>
      </w:pPr>
    </w:p>
    <w:p w14:paraId="07DF951B" w14:textId="657F1E46" w:rsidR="00B91632" w:rsidRPr="0007572B" w:rsidRDefault="00864F2C" w:rsidP="0038082E">
      <w:pPr>
        <w:rPr>
          <w:rFonts w:ascii="Arial" w:hAnsi="Arial" w:cs="Arial"/>
        </w:rPr>
      </w:pPr>
      <w:r w:rsidRPr="0007572B">
        <w:rPr>
          <w:rFonts w:ascii="Arial" w:hAnsi="Arial" w:cs="Arial"/>
        </w:rPr>
        <w:t>Under IAS19 any obligation arising from other long-term employee benefits that depend on length of service need to be recognised when service is rendered, which for the Authority now includes Injury Awards.</w:t>
      </w:r>
    </w:p>
    <w:p w14:paraId="01E5900E" w14:textId="74464301" w:rsidR="00130F88" w:rsidRPr="0007572B" w:rsidRDefault="00130F88" w:rsidP="0038082E">
      <w:pPr>
        <w:rPr>
          <w:rFonts w:ascii="Arial" w:hAnsi="Arial" w:cs="Arial"/>
          <w:b/>
        </w:rPr>
      </w:pPr>
    </w:p>
    <w:p w14:paraId="2F17170C" w14:textId="4B9A84CD" w:rsidR="009771BC" w:rsidRPr="0007572B" w:rsidRDefault="009771BC" w:rsidP="0038082E">
      <w:pPr>
        <w:pStyle w:val="Heading4bold"/>
      </w:pPr>
      <w:r w:rsidRPr="0007572B">
        <w:t>The McCloud / Sarge</w:t>
      </w:r>
      <w:r w:rsidR="001F2C3F" w:rsidRPr="0007572B">
        <w:t>a</w:t>
      </w:r>
      <w:r w:rsidRPr="0007572B">
        <w:t>nt Judgement</w:t>
      </w:r>
    </w:p>
    <w:p w14:paraId="08B6F819" w14:textId="30FCDFD4" w:rsidR="009332EA" w:rsidRPr="0007572B" w:rsidRDefault="009332EA" w:rsidP="0038082E">
      <w:pPr>
        <w:pStyle w:val="Heading5"/>
        <w:rPr>
          <w:lang w:eastAsia="en-GB"/>
        </w:rPr>
      </w:pPr>
      <w:r w:rsidRPr="0007572B">
        <w:rPr>
          <w:lang w:eastAsia="en-GB"/>
        </w:rPr>
        <w:t>Firefighters scheme</w:t>
      </w:r>
    </w:p>
    <w:p w14:paraId="4BD3E0C1" w14:textId="1A814EC1" w:rsidR="009332EA" w:rsidRPr="0007572B" w:rsidRDefault="006A27AB" w:rsidP="008F392D">
      <w:pPr>
        <w:rPr>
          <w:rFonts w:ascii="Arial" w:hAnsi="Arial" w:cs="Arial"/>
          <w:color w:val="000000"/>
          <w:szCs w:val="18"/>
          <w:lang w:eastAsia="en-GB"/>
        </w:rPr>
      </w:pPr>
      <w:r w:rsidRPr="0007572B">
        <w:rPr>
          <w:rFonts w:ascii="Arial" w:hAnsi="Arial" w:cs="Arial"/>
          <w:color w:val="000000"/>
          <w:szCs w:val="18"/>
          <w:lang w:eastAsia="en-GB"/>
        </w:rPr>
        <w:t xml:space="preserve">Claims of age discrimination were brought in relation to the terms of transitional protection by groups of firefighters and members of the Judiciary in the McCloud / Sargeant </w:t>
      </w:r>
      <w:r w:rsidR="00BC3701" w:rsidRPr="0007572B">
        <w:rPr>
          <w:rFonts w:ascii="Arial" w:hAnsi="Arial" w:cs="Arial"/>
          <w:color w:val="000000"/>
          <w:szCs w:val="18"/>
          <w:lang w:eastAsia="en-GB"/>
        </w:rPr>
        <w:t>legal case (referred to as “McCloud”) and the Court of Appeal handed down its judgement of this claim on 20 December 2018, ruling that the transitional protection arrangements were discriminatory on the basis of age. As a result, the cost control element of the 2016 valuation was paused whilst the Government addressed the need to remedy this discrimination across all public service pension schemes.</w:t>
      </w:r>
      <w:r w:rsidR="008F392D">
        <w:rPr>
          <w:rFonts w:ascii="Arial" w:hAnsi="Arial" w:cs="Arial"/>
          <w:color w:val="000000"/>
          <w:szCs w:val="18"/>
          <w:lang w:eastAsia="en-GB"/>
        </w:rPr>
        <w:t xml:space="preserve"> </w:t>
      </w:r>
      <w:r w:rsidR="008F392D" w:rsidRPr="008F392D">
        <w:rPr>
          <w:rFonts w:ascii="Arial" w:hAnsi="Arial" w:cs="Arial"/>
          <w:color w:val="000000"/>
          <w:szCs w:val="18"/>
          <w:lang w:eastAsia="en-GB"/>
        </w:rPr>
        <w:t>The cost cap mechanism for the 2016 valuation has since been un-paused and the calculations complete, with the outcome being no changes to benefits or contributions.</w:t>
      </w:r>
    </w:p>
    <w:p w14:paraId="2752D278" w14:textId="2F610D4D" w:rsidR="00BC3701" w:rsidRPr="0007572B" w:rsidRDefault="00BC3701" w:rsidP="0038082E">
      <w:pPr>
        <w:rPr>
          <w:rFonts w:ascii="Arial" w:hAnsi="Arial" w:cs="Arial"/>
          <w:color w:val="000000"/>
          <w:szCs w:val="18"/>
          <w:lang w:eastAsia="en-GB"/>
        </w:rPr>
      </w:pPr>
    </w:p>
    <w:p w14:paraId="3948164B" w14:textId="22F4E59E" w:rsidR="00BC3701" w:rsidRPr="0007572B" w:rsidRDefault="00BC3701" w:rsidP="0038082E">
      <w:pPr>
        <w:rPr>
          <w:rFonts w:ascii="Arial" w:hAnsi="Arial" w:cs="Arial"/>
          <w:color w:val="000000"/>
          <w:szCs w:val="18"/>
          <w:lang w:eastAsia="en-GB"/>
        </w:rPr>
      </w:pPr>
      <w:r w:rsidRPr="0007572B">
        <w:rPr>
          <w:rFonts w:ascii="Arial" w:hAnsi="Arial" w:cs="Arial"/>
          <w:color w:val="000000"/>
          <w:szCs w:val="18"/>
          <w:lang w:eastAsia="en-GB"/>
        </w:rPr>
        <w:t>Past service costs were included in the 2018/19</w:t>
      </w:r>
      <w:r w:rsidR="00D01B03">
        <w:rPr>
          <w:rFonts w:ascii="Arial" w:hAnsi="Arial" w:cs="Arial"/>
          <w:color w:val="000000"/>
          <w:szCs w:val="18"/>
          <w:lang w:eastAsia="en-GB"/>
        </w:rPr>
        <w:t>,</w:t>
      </w:r>
      <w:r w:rsidRPr="0007572B">
        <w:rPr>
          <w:rFonts w:ascii="Arial" w:hAnsi="Arial" w:cs="Arial"/>
          <w:color w:val="000000"/>
          <w:szCs w:val="18"/>
          <w:lang w:eastAsia="en-GB"/>
        </w:rPr>
        <w:t xml:space="preserve"> 2019/20</w:t>
      </w:r>
      <w:r w:rsidR="00D01B03">
        <w:rPr>
          <w:rFonts w:ascii="Arial" w:hAnsi="Arial" w:cs="Arial"/>
          <w:color w:val="000000"/>
          <w:szCs w:val="18"/>
          <w:lang w:eastAsia="en-GB"/>
        </w:rPr>
        <w:t xml:space="preserve"> and 2020/21</w:t>
      </w:r>
      <w:r w:rsidRPr="0007572B">
        <w:rPr>
          <w:rFonts w:ascii="Arial" w:hAnsi="Arial" w:cs="Arial"/>
          <w:color w:val="000000"/>
          <w:szCs w:val="18"/>
          <w:lang w:eastAsia="en-GB"/>
        </w:rPr>
        <w:t xml:space="preserve"> accounts and the 202</w:t>
      </w:r>
      <w:r w:rsidR="00D01B03">
        <w:rPr>
          <w:rFonts w:ascii="Arial" w:hAnsi="Arial" w:cs="Arial"/>
          <w:color w:val="000000"/>
          <w:szCs w:val="18"/>
          <w:lang w:eastAsia="en-GB"/>
        </w:rPr>
        <w:t>1</w:t>
      </w:r>
      <w:r w:rsidRPr="0007572B">
        <w:rPr>
          <w:rFonts w:ascii="Arial" w:hAnsi="Arial" w:cs="Arial"/>
          <w:color w:val="000000"/>
          <w:szCs w:val="18"/>
          <w:lang w:eastAsia="en-GB"/>
        </w:rPr>
        <w:t>/2</w:t>
      </w:r>
      <w:r w:rsidR="00D01B03">
        <w:rPr>
          <w:rFonts w:ascii="Arial" w:hAnsi="Arial" w:cs="Arial"/>
          <w:color w:val="000000"/>
          <w:szCs w:val="18"/>
          <w:lang w:eastAsia="en-GB"/>
        </w:rPr>
        <w:t>2</w:t>
      </w:r>
      <w:r w:rsidRPr="0007572B">
        <w:rPr>
          <w:rFonts w:ascii="Arial" w:hAnsi="Arial" w:cs="Arial"/>
          <w:color w:val="000000"/>
          <w:szCs w:val="18"/>
          <w:lang w:eastAsia="en-GB"/>
        </w:rPr>
        <w:t xml:space="preserve"> service cost allow</w:t>
      </w:r>
      <w:r w:rsidR="008F392D">
        <w:rPr>
          <w:rFonts w:ascii="Arial" w:hAnsi="Arial" w:cs="Arial"/>
          <w:color w:val="000000"/>
          <w:szCs w:val="18"/>
          <w:lang w:eastAsia="en-GB"/>
        </w:rPr>
        <w:t>s</w:t>
      </w:r>
      <w:r w:rsidRPr="0007572B">
        <w:rPr>
          <w:rFonts w:ascii="Arial" w:hAnsi="Arial" w:cs="Arial"/>
          <w:color w:val="000000"/>
          <w:szCs w:val="18"/>
          <w:lang w:eastAsia="en-GB"/>
        </w:rPr>
        <w:t xml:space="preserve"> for the higher expected cost of accrual under McCloud.</w:t>
      </w:r>
    </w:p>
    <w:p w14:paraId="41FE1B53" w14:textId="4C6B0D9A" w:rsidR="00BC3701" w:rsidRPr="0007572B" w:rsidRDefault="00BC3701" w:rsidP="0038082E">
      <w:pPr>
        <w:rPr>
          <w:rFonts w:ascii="Arial" w:hAnsi="Arial" w:cs="Arial"/>
          <w:color w:val="000000"/>
          <w:szCs w:val="18"/>
          <w:lang w:eastAsia="en-GB"/>
        </w:rPr>
      </w:pPr>
    </w:p>
    <w:p w14:paraId="70647E35" w14:textId="1E80B731" w:rsidR="005A4DB9" w:rsidRPr="0007572B" w:rsidRDefault="005A4DB9" w:rsidP="0038082E">
      <w:pPr>
        <w:pStyle w:val="Heading5"/>
        <w:rPr>
          <w:lang w:eastAsia="en-GB"/>
        </w:rPr>
      </w:pPr>
      <w:r w:rsidRPr="0007572B">
        <w:rPr>
          <w:lang w:eastAsia="en-GB"/>
        </w:rPr>
        <w:t>Local Government Schemes</w:t>
      </w:r>
    </w:p>
    <w:p w14:paraId="0438A45C" w14:textId="687C87F3" w:rsidR="005A4DB9" w:rsidRDefault="005A4DB9" w:rsidP="0038082E">
      <w:pPr>
        <w:rPr>
          <w:rFonts w:ascii="Arial" w:hAnsi="Arial" w:cs="Arial"/>
          <w:color w:val="000000"/>
          <w:szCs w:val="18"/>
          <w:lang w:eastAsia="en-GB"/>
        </w:rPr>
      </w:pPr>
      <w:r w:rsidRPr="0007572B">
        <w:rPr>
          <w:rFonts w:ascii="Arial" w:hAnsi="Arial" w:cs="Arial"/>
          <w:color w:val="000000"/>
          <w:szCs w:val="18"/>
          <w:lang w:eastAsia="en-GB"/>
        </w:rPr>
        <w:t>The previous allowance within the balance sheet has been rolled forward and included in the balance sheet.</w:t>
      </w:r>
    </w:p>
    <w:p w14:paraId="0C78551D" w14:textId="77777777" w:rsidR="00D01B03" w:rsidRPr="0007572B" w:rsidRDefault="00D01B03" w:rsidP="0038082E">
      <w:pPr>
        <w:rPr>
          <w:rFonts w:ascii="Arial" w:hAnsi="Arial" w:cs="Arial"/>
          <w:color w:val="000000"/>
          <w:szCs w:val="18"/>
          <w:lang w:eastAsia="en-GB"/>
        </w:rPr>
      </w:pPr>
    </w:p>
    <w:p w14:paraId="42E2870E" w14:textId="0B682595" w:rsidR="009C7061" w:rsidRPr="0007572B" w:rsidRDefault="005A4DB9" w:rsidP="0038082E">
      <w:pPr>
        <w:rPr>
          <w:rFonts w:ascii="Arial" w:hAnsi="Arial" w:cs="Arial"/>
          <w:color w:val="000000"/>
          <w:sz w:val="22"/>
          <w:szCs w:val="16"/>
          <w:highlight w:val="cyan"/>
          <w:lang w:eastAsia="en-GB"/>
        </w:rPr>
        <w:sectPr w:rsidR="009C7061" w:rsidRPr="0007572B" w:rsidSect="00BF559C">
          <w:pgSz w:w="11906" w:h="16838"/>
          <w:pgMar w:top="1444" w:right="1416" w:bottom="1440" w:left="1080" w:header="568" w:footer="567" w:gutter="0"/>
          <w:cols w:space="708"/>
          <w:docGrid w:linePitch="360"/>
        </w:sectPr>
      </w:pPr>
      <w:r w:rsidRPr="0007572B">
        <w:rPr>
          <w:rFonts w:ascii="Arial" w:hAnsi="Arial" w:cs="Arial"/>
          <w:color w:val="000000"/>
          <w:szCs w:val="18"/>
          <w:lang w:eastAsia="en-GB"/>
        </w:rPr>
        <w:t>No additional adjustment for McCloud has been added to the current service cost for 202</w:t>
      </w:r>
      <w:r w:rsidR="00D01B03">
        <w:rPr>
          <w:rFonts w:ascii="Arial" w:hAnsi="Arial" w:cs="Arial"/>
          <w:color w:val="000000"/>
          <w:szCs w:val="18"/>
          <w:lang w:eastAsia="en-GB"/>
        </w:rPr>
        <w:t>1</w:t>
      </w:r>
      <w:r w:rsidRPr="0007572B">
        <w:rPr>
          <w:rFonts w:ascii="Arial" w:hAnsi="Arial" w:cs="Arial"/>
          <w:color w:val="000000"/>
          <w:szCs w:val="18"/>
          <w:lang w:eastAsia="en-GB"/>
        </w:rPr>
        <w:t>/2</w:t>
      </w:r>
      <w:r w:rsidR="00D01B03">
        <w:rPr>
          <w:rFonts w:ascii="Arial" w:hAnsi="Arial" w:cs="Arial"/>
          <w:color w:val="000000"/>
          <w:szCs w:val="18"/>
          <w:lang w:eastAsia="en-GB"/>
        </w:rPr>
        <w:t>2</w:t>
      </w:r>
      <w:r w:rsidR="00AC4453">
        <w:rPr>
          <w:rFonts w:ascii="Arial" w:hAnsi="Arial" w:cs="Arial"/>
          <w:color w:val="000000"/>
          <w:szCs w:val="18"/>
          <w:lang w:eastAsia="en-GB"/>
        </w:rPr>
        <w:t>.</w:t>
      </w:r>
      <w:r w:rsidR="009C7061" w:rsidRPr="0007572B">
        <w:rPr>
          <w:rFonts w:ascii="Arial" w:hAnsi="Arial" w:cs="Arial"/>
          <w:color w:val="000000"/>
          <w:sz w:val="22"/>
          <w:szCs w:val="16"/>
          <w:highlight w:val="cyan"/>
          <w:lang w:eastAsia="en-GB"/>
        </w:rPr>
        <w:t xml:space="preserve"> </w:t>
      </w:r>
    </w:p>
    <w:p w14:paraId="4D42944E" w14:textId="0026EB3F" w:rsidR="00D5311B" w:rsidRDefault="00FA2195" w:rsidP="0038082E">
      <w:pPr>
        <w:pStyle w:val="Heading4bold"/>
      </w:pPr>
      <w:r w:rsidRPr="0007572B">
        <w:t>Comprehensive Income and Expenditure Statement</w:t>
      </w:r>
    </w:p>
    <w:p w14:paraId="701B9126" w14:textId="080000F9" w:rsidR="00623ED3" w:rsidRDefault="00623ED3" w:rsidP="0038082E">
      <w:pPr>
        <w:pStyle w:val="Heading4bold"/>
      </w:pPr>
    </w:p>
    <w:p w14:paraId="03320F67" w14:textId="258275D5" w:rsidR="00623ED3" w:rsidRDefault="00D01B03" w:rsidP="0038082E">
      <w:pPr>
        <w:pStyle w:val="Heading4bold"/>
      </w:pPr>
      <w:r w:rsidRPr="00D01B03">
        <w:rPr>
          <w:noProof/>
        </w:rPr>
        <w:drawing>
          <wp:inline distT="0" distB="0" distL="0" distR="0" wp14:anchorId="1DCA384F" wp14:editId="425894EB">
            <wp:extent cx="9177020" cy="2799080"/>
            <wp:effectExtent l="0" t="0" r="5080" b="127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9177020" cy="2799080"/>
                    </a:xfrm>
                    <a:prstGeom prst="rect">
                      <a:avLst/>
                    </a:prstGeom>
                    <a:noFill/>
                    <a:ln>
                      <a:noFill/>
                    </a:ln>
                  </pic:spPr>
                </pic:pic>
              </a:graphicData>
            </a:graphic>
          </wp:inline>
        </w:drawing>
      </w:r>
    </w:p>
    <w:p w14:paraId="5114DD71" w14:textId="2B7ED9D8" w:rsidR="00B070AC" w:rsidRDefault="00B070AC" w:rsidP="0038082E">
      <w:pPr>
        <w:rPr>
          <w:rFonts w:ascii="Arial" w:hAnsi="Arial" w:cs="Arial"/>
          <w:sz w:val="22"/>
          <w:szCs w:val="22"/>
        </w:rPr>
      </w:pPr>
    </w:p>
    <w:p w14:paraId="65667D65" w14:textId="77777777" w:rsidR="00D4492C" w:rsidRPr="0007572B" w:rsidRDefault="00D4492C" w:rsidP="0038082E">
      <w:pPr>
        <w:rPr>
          <w:rFonts w:ascii="Arial" w:hAnsi="Arial" w:cs="Arial"/>
          <w:sz w:val="22"/>
          <w:szCs w:val="22"/>
        </w:rPr>
      </w:pPr>
    </w:p>
    <w:p w14:paraId="2569FC45" w14:textId="77777777" w:rsidR="00FA2195" w:rsidRPr="0007572B" w:rsidRDefault="00FA2195" w:rsidP="0038082E">
      <w:pPr>
        <w:pStyle w:val="Heading4bold"/>
      </w:pPr>
      <w:r w:rsidRPr="0007572B">
        <w:t>Movement in Reserves Statement</w:t>
      </w:r>
    </w:p>
    <w:p w14:paraId="71AD0CCD" w14:textId="15C1A167" w:rsidR="00F20CA5" w:rsidRPr="0007572B" w:rsidRDefault="00F20CA5" w:rsidP="0038082E">
      <w:pPr>
        <w:jc w:val="both"/>
        <w:rPr>
          <w:rFonts w:ascii="Arial" w:hAnsi="Arial" w:cs="Arial"/>
          <w:b/>
          <w:sz w:val="22"/>
          <w:szCs w:val="22"/>
        </w:rPr>
      </w:pPr>
    </w:p>
    <w:p w14:paraId="71571E58" w14:textId="12208C8F" w:rsidR="006A27AB" w:rsidRPr="0007572B" w:rsidRDefault="00D01B03" w:rsidP="0038082E">
      <w:pPr>
        <w:jc w:val="both"/>
        <w:rPr>
          <w:rFonts w:ascii="Arial" w:hAnsi="Arial" w:cs="Arial"/>
          <w:b/>
          <w:sz w:val="22"/>
          <w:szCs w:val="22"/>
        </w:rPr>
      </w:pPr>
      <w:r w:rsidRPr="00D01B03">
        <w:rPr>
          <w:noProof/>
        </w:rPr>
        <w:drawing>
          <wp:inline distT="0" distB="0" distL="0" distR="0" wp14:anchorId="6D05469D" wp14:editId="71D97E16">
            <wp:extent cx="9177020" cy="970280"/>
            <wp:effectExtent l="0" t="0" r="5080" b="127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9177020" cy="970280"/>
                    </a:xfrm>
                    <a:prstGeom prst="rect">
                      <a:avLst/>
                    </a:prstGeom>
                    <a:noFill/>
                    <a:ln>
                      <a:noFill/>
                    </a:ln>
                  </pic:spPr>
                </pic:pic>
              </a:graphicData>
            </a:graphic>
          </wp:inline>
        </w:drawing>
      </w:r>
    </w:p>
    <w:p w14:paraId="162857E7" w14:textId="77777777" w:rsidR="008D7ACA" w:rsidRPr="0007572B" w:rsidRDefault="008D7ACA" w:rsidP="0038082E">
      <w:pPr>
        <w:rPr>
          <w:rFonts w:ascii="Arial" w:hAnsi="Arial" w:cs="Arial"/>
          <w:b/>
          <w:sz w:val="22"/>
          <w:szCs w:val="22"/>
        </w:rPr>
      </w:pPr>
      <w:r w:rsidRPr="0007572B">
        <w:rPr>
          <w:rFonts w:ascii="Arial" w:hAnsi="Arial" w:cs="Arial"/>
          <w:b/>
          <w:sz w:val="22"/>
          <w:szCs w:val="22"/>
        </w:rPr>
        <w:br w:type="page"/>
      </w:r>
    </w:p>
    <w:p w14:paraId="16D0FEE0" w14:textId="1E71FDF5" w:rsidR="00FA2195" w:rsidRPr="0007572B" w:rsidRDefault="00FA2195" w:rsidP="0038082E">
      <w:pPr>
        <w:pStyle w:val="Heading4bold"/>
      </w:pPr>
      <w:r w:rsidRPr="0007572B">
        <w:t>Pensions Assets and Liabilities Recognised in the Balance Sheet</w:t>
      </w:r>
    </w:p>
    <w:p w14:paraId="6ACE8827" w14:textId="77777777" w:rsidR="00FA2195" w:rsidRPr="0007572B" w:rsidRDefault="00FA2195" w:rsidP="0038082E">
      <w:pPr>
        <w:rPr>
          <w:rFonts w:ascii="Arial" w:hAnsi="Arial" w:cs="Arial"/>
        </w:rPr>
      </w:pPr>
      <w:r w:rsidRPr="0007572B">
        <w:rPr>
          <w:rFonts w:ascii="Arial" w:hAnsi="Arial" w:cs="Arial"/>
        </w:rPr>
        <w:t>The amount included in the Balance Sheet arising from the Authority’s obligation in respect of its defined benefit plans is as follows:</w:t>
      </w:r>
    </w:p>
    <w:p w14:paraId="104A2387" w14:textId="77777777" w:rsidR="00FA2195" w:rsidRPr="0007572B" w:rsidRDefault="00FA2195" w:rsidP="0038082E">
      <w:pPr>
        <w:jc w:val="both"/>
        <w:rPr>
          <w:rFonts w:ascii="Arial" w:hAnsi="Arial" w:cs="Arial"/>
        </w:rPr>
      </w:pPr>
    </w:p>
    <w:p w14:paraId="58408DB9" w14:textId="7C61E295" w:rsidR="00FA2195" w:rsidRPr="0007572B" w:rsidRDefault="003C37CC" w:rsidP="0038082E">
      <w:pPr>
        <w:jc w:val="both"/>
        <w:rPr>
          <w:rFonts w:ascii="Arial" w:hAnsi="Arial" w:cs="Arial"/>
          <w:sz w:val="22"/>
          <w:szCs w:val="22"/>
        </w:rPr>
      </w:pPr>
      <w:r w:rsidRPr="003C37CC">
        <w:rPr>
          <w:noProof/>
        </w:rPr>
        <w:drawing>
          <wp:inline distT="0" distB="0" distL="0" distR="0" wp14:anchorId="1379A545" wp14:editId="554580F7">
            <wp:extent cx="9177020" cy="710565"/>
            <wp:effectExtent l="0" t="0" r="508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9177020" cy="710565"/>
                    </a:xfrm>
                    <a:prstGeom prst="rect">
                      <a:avLst/>
                    </a:prstGeom>
                    <a:noFill/>
                    <a:ln>
                      <a:noFill/>
                    </a:ln>
                  </pic:spPr>
                </pic:pic>
              </a:graphicData>
            </a:graphic>
          </wp:inline>
        </w:drawing>
      </w:r>
    </w:p>
    <w:p w14:paraId="57324190" w14:textId="0CD78312" w:rsidR="00B91632" w:rsidRPr="0007572B" w:rsidRDefault="00B91632" w:rsidP="0038082E">
      <w:pPr>
        <w:jc w:val="both"/>
        <w:rPr>
          <w:rFonts w:ascii="Arial" w:hAnsi="Arial" w:cs="Arial"/>
          <w:b/>
          <w:sz w:val="22"/>
          <w:szCs w:val="22"/>
        </w:rPr>
      </w:pPr>
    </w:p>
    <w:p w14:paraId="29F2643B" w14:textId="5163025A" w:rsidR="00F20CA5" w:rsidRPr="0007572B" w:rsidRDefault="00B91632" w:rsidP="0038082E">
      <w:pPr>
        <w:pStyle w:val="Heading4bold"/>
      </w:pPr>
      <w:r w:rsidRPr="0007572B">
        <w:t>R</w:t>
      </w:r>
      <w:r w:rsidR="00F20CA5" w:rsidRPr="0007572B">
        <w:t>econciliation of the present value of the scheme liabilities (Defined Benefit Obligations)</w:t>
      </w:r>
    </w:p>
    <w:p w14:paraId="52FC0592" w14:textId="0C263378" w:rsidR="00FA2195" w:rsidRPr="0007572B" w:rsidRDefault="00935680" w:rsidP="0038082E">
      <w:pPr>
        <w:jc w:val="both"/>
        <w:rPr>
          <w:rFonts w:ascii="Arial" w:hAnsi="Arial" w:cs="Arial"/>
          <w:sz w:val="22"/>
          <w:szCs w:val="22"/>
        </w:rPr>
      </w:pPr>
      <w:r w:rsidRPr="00935680">
        <w:rPr>
          <w:noProof/>
        </w:rPr>
        <w:drawing>
          <wp:inline distT="0" distB="0" distL="0" distR="0" wp14:anchorId="6EF29B16" wp14:editId="5FF911F6">
            <wp:extent cx="9177020" cy="1866265"/>
            <wp:effectExtent l="0" t="0" r="5080" b="635"/>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9177020" cy="1866265"/>
                    </a:xfrm>
                    <a:prstGeom prst="rect">
                      <a:avLst/>
                    </a:prstGeom>
                    <a:noFill/>
                    <a:ln>
                      <a:noFill/>
                    </a:ln>
                  </pic:spPr>
                </pic:pic>
              </a:graphicData>
            </a:graphic>
          </wp:inline>
        </w:drawing>
      </w:r>
    </w:p>
    <w:p w14:paraId="5A016A29" w14:textId="48BCACD9" w:rsidR="00B070AC" w:rsidRPr="0007572B" w:rsidRDefault="00B070AC" w:rsidP="0038082E">
      <w:pPr>
        <w:jc w:val="both"/>
        <w:rPr>
          <w:rFonts w:ascii="Arial" w:hAnsi="Arial" w:cs="Arial"/>
          <w:b/>
          <w:sz w:val="22"/>
          <w:szCs w:val="22"/>
        </w:rPr>
      </w:pPr>
    </w:p>
    <w:p w14:paraId="23ED6194" w14:textId="7DC559C3" w:rsidR="00F20CA5" w:rsidRPr="0007572B" w:rsidRDefault="00F20CA5" w:rsidP="0038082E">
      <w:pPr>
        <w:pStyle w:val="Heading4bold"/>
      </w:pPr>
      <w:r w:rsidRPr="0007572B">
        <w:t>Reconciliation of movements in the fair value of the scheme assets</w:t>
      </w:r>
    </w:p>
    <w:p w14:paraId="74BECF23" w14:textId="3D4F3C11" w:rsidR="00B070AC" w:rsidRPr="0007572B" w:rsidRDefault="00935680" w:rsidP="0038082E">
      <w:pPr>
        <w:jc w:val="both"/>
        <w:rPr>
          <w:rFonts w:ascii="Arial" w:hAnsi="Arial" w:cs="Arial"/>
          <w:sz w:val="22"/>
          <w:szCs w:val="22"/>
        </w:rPr>
      </w:pPr>
      <w:r w:rsidRPr="00935680">
        <w:rPr>
          <w:noProof/>
        </w:rPr>
        <w:drawing>
          <wp:inline distT="0" distB="0" distL="0" distR="0" wp14:anchorId="20082F00" wp14:editId="53429B5E">
            <wp:extent cx="6071235" cy="1568450"/>
            <wp:effectExtent l="0" t="0" r="5715"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6071235" cy="1568450"/>
                    </a:xfrm>
                    <a:prstGeom prst="rect">
                      <a:avLst/>
                    </a:prstGeom>
                    <a:noFill/>
                    <a:ln>
                      <a:noFill/>
                    </a:ln>
                  </pic:spPr>
                </pic:pic>
              </a:graphicData>
            </a:graphic>
          </wp:inline>
        </w:drawing>
      </w:r>
    </w:p>
    <w:p w14:paraId="46BBDE96" w14:textId="77777777" w:rsidR="006A27AB" w:rsidRPr="0007572B" w:rsidRDefault="006A27AB" w:rsidP="0038082E">
      <w:pPr>
        <w:jc w:val="both"/>
        <w:rPr>
          <w:rFonts w:ascii="Arial" w:hAnsi="Arial" w:cs="Arial"/>
          <w:sz w:val="22"/>
          <w:szCs w:val="22"/>
        </w:rPr>
      </w:pPr>
    </w:p>
    <w:p w14:paraId="03B8ACD5" w14:textId="17C5E8B2" w:rsidR="00F97A29" w:rsidRPr="0007572B" w:rsidRDefault="00F97A29" w:rsidP="0038082E">
      <w:pPr>
        <w:pStyle w:val="Heading4bold"/>
      </w:pPr>
      <w:r w:rsidRPr="0007572B">
        <w:t>Local Government Pension Scheme assets comprised:</w:t>
      </w:r>
    </w:p>
    <w:p w14:paraId="2EDB46EB" w14:textId="77777777" w:rsidR="00B070AC" w:rsidRDefault="00B070AC" w:rsidP="0038082E">
      <w:pPr>
        <w:jc w:val="both"/>
        <w:rPr>
          <w:rFonts w:ascii="Arial" w:hAnsi="Arial" w:cs="Arial"/>
          <w:sz w:val="22"/>
          <w:szCs w:val="22"/>
        </w:rPr>
      </w:pPr>
    </w:p>
    <w:p w14:paraId="396F5AA4" w14:textId="2B344FC1" w:rsidR="00935680" w:rsidRPr="0007572B" w:rsidRDefault="00935680" w:rsidP="0038082E">
      <w:pPr>
        <w:jc w:val="both"/>
        <w:rPr>
          <w:rFonts w:ascii="Arial" w:hAnsi="Arial" w:cs="Arial"/>
          <w:sz w:val="22"/>
          <w:szCs w:val="22"/>
        </w:rPr>
        <w:sectPr w:rsidR="00935680" w:rsidRPr="0007572B" w:rsidSect="008D7ACA">
          <w:pgSz w:w="16838" w:h="11906" w:orient="landscape"/>
          <w:pgMar w:top="1080" w:right="946" w:bottom="1276" w:left="1440" w:header="283" w:footer="567" w:gutter="0"/>
          <w:cols w:space="708"/>
          <w:docGrid w:linePitch="360"/>
        </w:sectPr>
      </w:pPr>
      <w:r w:rsidRPr="00935680">
        <w:rPr>
          <w:noProof/>
        </w:rPr>
        <w:drawing>
          <wp:inline distT="0" distB="0" distL="0" distR="0" wp14:anchorId="0E47B351" wp14:editId="23B20C99">
            <wp:extent cx="9177020" cy="3510915"/>
            <wp:effectExtent l="0" t="0" r="508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9177020" cy="3510915"/>
                    </a:xfrm>
                    <a:prstGeom prst="rect">
                      <a:avLst/>
                    </a:prstGeom>
                    <a:noFill/>
                    <a:ln>
                      <a:noFill/>
                    </a:ln>
                  </pic:spPr>
                </pic:pic>
              </a:graphicData>
            </a:graphic>
          </wp:inline>
        </w:drawing>
      </w:r>
    </w:p>
    <w:p w14:paraId="3FEFD8CF" w14:textId="77777777" w:rsidR="00E27F3B" w:rsidRPr="0007572B" w:rsidRDefault="00727FB0" w:rsidP="0038082E">
      <w:pPr>
        <w:pStyle w:val="Heading4bold"/>
      </w:pPr>
      <w:r w:rsidRPr="0007572B">
        <w:t>Bas</w:t>
      </w:r>
      <w:r w:rsidR="00E27F3B" w:rsidRPr="0007572B">
        <w:t>is for Estimating Assets and Liabilities</w:t>
      </w:r>
    </w:p>
    <w:p w14:paraId="6F5D4893" w14:textId="4E6A941A" w:rsidR="00E27F3B" w:rsidRPr="0007572B" w:rsidRDefault="00E27F3B" w:rsidP="0038082E">
      <w:pPr>
        <w:rPr>
          <w:rFonts w:ascii="Arial" w:hAnsi="Arial" w:cs="Arial"/>
        </w:rPr>
      </w:pPr>
      <w:r w:rsidRPr="0007572B">
        <w:rPr>
          <w:rFonts w:ascii="Arial" w:hAnsi="Arial" w:cs="Arial"/>
        </w:rPr>
        <w:t xml:space="preserve">Liabilities have been assessed on an actuarial basis using the projected unit </w:t>
      </w:r>
      <w:r w:rsidR="005A4DB9" w:rsidRPr="0007572B">
        <w:rPr>
          <w:rFonts w:ascii="Arial" w:hAnsi="Arial" w:cs="Arial"/>
        </w:rPr>
        <w:t xml:space="preserve">credit </w:t>
      </w:r>
      <w:r w:rsidRPr="0007572B">
        <w:rPr>
          <w:rFonts w:ascii="Arial" w:hAnsi="Arial" w:cs="Arial"/>
        </w:rPr>
        <w:t>method, an estimate of the pensions that will be payable in future years dependent on assumptions about mortality rates, salary levels etc.</w:t>
      </w:r>
    </w:p>
    <w:p w14:paraId="68B62543" w14:textId="77777777" w:rsidR="00E27F3B" w:rsidRPr="0007572B" w:rsidRDefault="00E27F3B" w:rsidP="0038082E">
      <w:pPr>
        <w:rPr>
          <w:rFonts w:ascii="Arial" w:hAnsi="Arial" w:cs="Arial"/>
        </w:rPr>
      </w:pPr>
    </w:p>
    <w:p w14:paraId="6CC39DA5" w14:textId="27389297" w:rsidR="002E7A9F" w:rsidRDefault="002E7A9F" w:rsidP="0038082E">
      <w:pPr>
        <w:rPr>
          <w:rFonts w:ascii="Arial" w:hAnsi="Arial" w:cs="Arial"/>
        </w:rPr>
      </w:pPr>
      <w:bookmarkStart w:id="202" w:name="_Hlk109202978"/>
      <w:r>
        <w:rPr>
          <w:rFonts w:ascii="Arial" w:hAnsi="Arial" w:cs="Arial"/>
        </w:rPr>
        <w:t>The Local Government Pension Scheme liabilities have been estimated by Hymans Robertson LLP, an independent firm of actuaries, estimates being based on the latest full valuation of the scheme as at 31 March 20</w:t>
      </w:r>
      <w:r w:rsidR="00B91126">
        <w:rPr>
          <w:rFonts w:ascii="Arial" w:hAnsi="Arial" w:cs="Arial"/>
        </w:rPr>
        <w:t>22</w:t>
      </w:r>
      <w:r>
        <w:rPr>
          <w:rFonts w:ascii="Arial" w:hAnsi="Arial" w:cs="Arial"/>
        </w:rPr>
        <w:t>. The Firefighters’ Pension Scheme liabilities have been assessed by the Government Actuary’s Department (GAD) based on data supplied for the 202</w:t>
      </w:r>
      <w:r w:rsidR="00B91126">
        <w:rPr>
          <w:rFonts w:ascii="Arial" w:hAnsi="Arial" w:cs="Arial"/>
        </w:rPr>
        <w:t>2</w:t>
      </w:r>
      <w:r>
        <w:rPr>
          <w:rFonts w:ascii="Arial" w:hAnsi="Arial" w:cs="Arial"/>
        </w:rPr>
        <w:t xml:space="preserve"> valuation.</w:t>
      </w:r>
    </w:p>
    <w:bookmarkEnd w:id="202"/>
    <w:p w14:paraId="27B82789" w14:textId="77777777" w:rsidR="00E27F3B" w:rsidRPr="0007572B" w:rsidRDefault="00E27F3B" w:rsidP="0038082E">
      <w:pPr>
        <w:rPr>
          <w:rFonts w:ascii="Arial" w:hAnsi="Arial" w:cs="Arial"/>
        </w:rPr>
      </w:pPr>
    </w:p>
    <w:p w14:paraId="5ED16F89" w14:textId="46088DD0" w:rsidR="00E27F3B" w:rsidRDefault="00E27F3B" w:rsidP="0038082E">
      <w:pPr>
        <w:rPr>
          <w:rFonts w:ascii="Arial" w:hAnsi="Arial" w:cs="Arial"/>
        </w:rPr>
      </w:pPr>
      <w:r w:rsidRPr="0007572B">
        <w:rPr>
          <w:rFonts w:ascii="Arial" w:hAnsi="Arial" w:cs="Arial"/>
        </w:rPr>
        <w:t>The significant assumptions used by the actuary have been:</w:t>
      </w:r>
    </w:p>
    <w:p w14:paraId="51354B83" w14:textId="049ED076" w:rsidR="002558A0" w:rsidRDefault="002558A0" w:rsidP="0038082E">
      <w:pPr>
        <w:rPr>
          <w:rFonts w:ascii="Arial" w:hAnsi="Arial" w:cs="Arial"/>
        </w:rPr>
      </w:pPr>
    </w:p>
    <w:p w14:paraId="5BAFF99C" w14:textId="7F20B1DD" w:rsidR="002558A0" w:rsidRPr="0007572B" w:rsidRDefault="00B91126" w:rsidP="0038082E">
      <w:pPr>
        <w:rPr>
          <w:rFonts w:ascii="Arial" w:hAnsi="Arial" w:cs="Arial"/>
        </w:rPr>
      </w:pPr>
      <w:r w:rsidRPr="00B91126">
        <w:rPr>
          <w:rFonts w:ascii="Arial" w:hAnsi="Arial" w:cs="Arial"/>
        </w:rPr>
        <w:t xml:space="preserve"> </w:t>
      </w:r>
      <w:r w:rsidRPr="00B91126">
        <w:rPr>
          <w:noProof/>
        </w:rPr>
        <w:drawing>
          <wp:inline distT="0" distB="0" distL="0" distR="0" wp14:anchorId="3CC552AD" wp14:editId="64D50851">
            <wp:extent cx="5975350" cy="1245870"/>
            <wp:effectExtent l="0" t="0" r="635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975350" cy="1245870"/>
                    </a:xfrm>
                    <a:prstGeom prst="rect">
                      <a:avLst/>
                    </a:prstGeom>
                    <a:noFill/>
                    <a:ln>
                      <a:noFill/>
                    </a:ln>
                  </pic:spPr>
                </pic:pic>
              </a:graphicData>
            </a:graphic>
          </wp:inline>
        </w:drawing>
      </w:r>
    </w:p>
    <w:p w14:paraId="594C5F25" w14:textId="0C742C24" w:rsidR="008D077F" w:rsidRPr="0007572B" w:rsidRDefault="008D077F" w:rsidP="0038082E">
      <w:pPr>
        <w:rPr>
          <w:rFonts w:ascii="Arial" w:hAnsi="Arial" w:cs="Arial"/>
          <w:b/>
          <w:sz w:val="22"/>
          <w:szCs w:val="22"/>
        </w:rPr>
      </w:pPr>
    </w:p>
    <w:p w14:paraId="1E295D04" w14:textId="77777777" w:rsidR="006A27AB" w:rsidRPr="0007572B" w:rsidRDefault="006A27AB" w:rsidP="0038082E">
      <w:pPr>
        <w:rPr>
          <w:rFonts w:ascii="Arial" w:hAnsi="Arial" w:cs="Arial"/>
          <w:b/>
        </w:rPr>
      </w:pPr>
    </w:p>
    <w:p w14:paraId="679B0A39" w14:textId="77777777" w:rsidR="00E27F3B" w:rsidRPr="0007572B" w:rsidRDefault="00E27F3B" w:rsidP="0038082E">
      <w:pPr>
        <w:rPr>
          <w:rFonts w:ascii="Arial" w:hAnsi="Arial" w:cs="Arial"/>
        </w:rPr>
      </w:pPr>
      <w:r w:rsidRPr="0007572B">
        <w:rPr>
          <w:rFonts w:ascii="Arial" w:hAnsi="Arial" w:cs="Arial"/>
        </w:rPr>
        <w:t>*Life Expectancy is based on the Fund’s VitaCurves.</w:t>
      </w:r>
    </w:p>
    <w:p w14:paraId="41E42C16" w14:textId="77777777" w:rsidR="00E27F3B" w:rsidRPr="0007572B" w:rsidRDefault="00E27F3B" w:rsidP="0038082E">
      <w:pPr>
        <w:rPr>
          <w:rFonts w:ascii="Arial" w:hAnsi="Arial" w:cs="Arial"/>
        </w:rPr>
      </w:pPr>
    </w:p>
    <w:p w14:paraId="697C19BD" w14:textId="62123068" w:rsidR="00E27F3B" w:rsidRPr="0007572B" w:rsidRDefault="00E27F3B" w:rsidP="0038082E">
      <w:pPr>
        <w:rPr>
          <w:rFonts w:ascii="Arial" w:hAnsi="Arial" w:cs="Arial"/>
        </w:rPr>
      </w:pPr>
      <w:r w:rsidRPr="0007572B">
        <w:rPr>
          <w:rFonts w:ascii="Arial" w:hAnsi="Arial" w:cs="Arial"/>
        </w:rPr>
        <w:t>An allowance is included for future retirements to elect to take 55% of the maximum additional tax</w:t>
      </w:r>
      <w:r w:rsidR="002B7650">
        <w:rPr>
          <w:rFonts w:ascii="Arial" w:hAnsi="Arial" w:cs="Arial"/>
        </w:rPr>
        <w:t>-</w:t>
      </w:r>
      <w:r w:rsidRPr="0007572B">
        <w:rPr>
          <w:rFonts w:ascii="Arial" w:hAnsi="Arial" w:cs="Arial"/>
        </w:rPr>
        <w:t>free cash up to the HM</w:t>
      </w:r>
      <w:r w:rsidR="00584860" w:rsidRPr="0007572B">
        <w:rPr>
          <w:rFonts w:ascii="Arial" w:hAnsi="Arial" w:cs="Arial"/>
        </w:rPr>
        <w:t>R</w:t>
      </w:r>
      <w:r w:rsidRPr="0007572B">
        <w:rPr>
          <w:rFonts w:ascii="Arial" w:hAnsi="Arial" w:cs="Arial"/>
        </w:rPr>
        <w:t xml:space="preserve">C limits for pre-April 2008 service and </w:t>
      </w:r>
      <w:r w:rsidR="00B91126">
        <w:rPr>
          <w:rFonts w:ascii="Arial" w:hAnsi="Arial" w:cs="Arial"/>
        </w:rPr>
        <w:t>6</w:t>
      </w:r>
      <w:r w:rsidRPr="0007572B">
        <w:rPr>
          <w:rFonts w:ascii="Arial" w:hAnsi="Arial" w:cs="Arial"/>
        </w:rPr>
        <w:t>0% of the maximum tax-free cash for post-April 2008 service.</w:t>
      </w:r>
    </w:p>
    <w:p w14:paraId="58F44804" w14:textId="77777777" w:rsidR="00E27F3B" w:rsidRPr="0007572B" w:rsidRDefault="00E27F3B" w:rsidP="0038082E">
      <w:pPr>
        <w:rPr>
          <w:rFonts w:ascii="Arial" w:hAnsi="Arial" w:cs="Arial"/>
        </w:rPr>
      </w:pPr>
    </w:p>
    <w:p w14:paraId="2E7BB1EC" w14:textId="52E085BE" w:rsidR="00E27F3B" w:rsidRDefault="00E27F3B" w:rsidP="0038082E">
      <w:pPr>
        <w:rPr>
          <w:rFonts w:ascii="Arial" w:hAnsi="Arial" w:cs="Arial"/>
        </w:rPr>
      </w:pPr>
      <w:r w:rsidRPr="0007572B">
        <w:rPr>
          <w:rFonts w:ascii="Arial" w:hAnsi="Arial" w:cs="Arial"/>
        </w:rPr>
        <w:t>The estimation of the defined benefit obligations is sensitive to the actuarial assumptions set out in the table above. The sensitivity analyses below have been determined based on reasonably possible changes of the assumptions occurring at the end of the reporting period and assumes for each change that the assumption analysed changes while all the other assumptions remain constant. The assumptions in longevity, for example, assume that life expectancy increases or decreases for men and women. In practice, this is unlikely to occur, and changes in some assumptions may be interrelated. The estimations in the sensitivity analysis have followed the accounting policies for the scheme, i.e. on an actuarial basis using the projected unit credit method. The methods and types of assumptions used in preparing the sensitivity analysis below did not change from those used in the previous period.</w:t>
      </w:r>
    </w:p>
    <w:p w14:paraId="0A779C4C" w14:textId="77777777" w:rsidR="005F371A" w:rsidRPr="0007572B" w:rsidRDefault="005F371A" w:rsidP="0038082E">
      <w:pPr>
        <w:rPr>
          <w:rFonts w:ascii="Arial" w:hAnsi="Arial" w:cs="Arial"/>
        </w:rPr>
      </w:pPr>
    </w:p>
    <w:p w14:paraId="16FCE9E2" w14:textId="77777777" w:rsidR="00E27F3B" w:rsidRPr="0007572B" w:rsidRDefault="00E27F3B" w:rsidP="0038082E">
      <w:pPr>
        <w:pStyle w:val="Heading4bold"/>
      </w:pPr>
      <w:r w:rsidRPr="0007572B">
        <w:t>Sensitivity Analysis</w:t>
      </w:r>
    </w:p>
    <w:p w14:paraId="0FE5D567" w14:textId="099CB552" w:rsidR="008D077F" w:rsidRPr="0007572B" w:rsidRDefault="008D077F" w:rsidP="0038082E">
      <w:pPr>
        <w:rPr>
          <w:rFonts w:ascii="Arial" w:hAnsi="Arial" w:cs="Arial"/>
          <w:b/>
          <w:sz w:val="22"/>
          <w:szCs w:val="22"/>
        </w:rPr>
      </w:pPr>
    </w:p>
    <w:p w14:paraId="38987DCD" w14:textId="6DC8D02A" w:rsidR="008D077F" w:rsidRDefault="00B91126" w:rsidP="0038082E">
      <w:pPr>
        <w:rPr>
          <w:rFonts w:ascii="Arial" w:hAnsi="Arial" w:cs="Arial"/>
          <w:b/>
          <w:sz w:val="22"/>
          <w:szCs w:val="22"/>
        </w:rPr>
      </w:pPr>
      <w:r w:rsidRPr="00B91126">
        <w:rPr>
          <w:noProof/>
        </w:rPr>
        <w:drawing>
          <wp:inline distT="0" distB="0" distL="0" distR="0" wp14:anchorId="39F5B44B" wp14:editId="3F353BC5">
            <wp:extent cx="5975350" cy="1145540"/>
            <wp:effectExtent l="0" t="0" r="635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975350" cy="1145540"/>
                    </a:xfrm>
                    <a:prstGeom prst="rect">
                      <a:avLst/>
                    </a:prstGeom>
                    <a:noFill/>
                    <a:ln>
                      <a:noFill/>
                    </a:ln>
                  </pic:spPr>
                </pic:pic>
              </a:graphicData>
            </a:graphic>
          </wp:inline>
        </w:drawing>
      </w:r>
    </w:p>
    <w:p w14:paraId="4BE6CAE7" w14:textId="77777777" w:rsidR="00B91126" w:rsidRPr="0007572B" w:rsidRDefault="00B91126" w:rsidP="0038082E">
      <w:pPr>
        <w:rPr>
          <w:rFonts w:ascii="Arial" w:hAnsi="Arial" w:cs="Arial"/>
          <w:b/>
          <w:sz w:val="22"/>
          <w:szCs w:val="22"/>
        </w:rPr>
      </w:pPr>
    </w:p>
    <w:p w14:paraId="015FB93A" w14:textId="4FFAE994" w:rsidR="006A27AB" w:rsidRPr="0007572B" w:rsidRDefault="00B91126" w:rsidP="0038082E">
      <w:pPr>
        <w:rPr>
          <w:rFonts w:ascii="Arial" w:hAnsi="Arial" w:cs="Arial"/>
        </w:rPr>
      </w:pPr>
      <w:r w:rsidRPr="00B91126">
        <w:rPr>
          <w:noProof/>
        </w:rPr>
        <w:drawing>
          <wp:inline distT="0" distB="0" distL="0" distR="0" wp14:anchorId="52958C4E" wp14:editId="35E11D7C">
            <wp:extent cx="5975350" cy="1139825"/>
            <wp:effectExtent l="0" t="0" r="6350" b="3175"/>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975350" cy="1139825"/>
                    </a:xfrm>
                    <a:prstGeom prst="rect">
                      <a:avLst/>
                    </a:prstGeom>
                    <a:noFill/>
                    <a:ln>
                      <a:noFill/>
                    </a:ln>
                  </pic:spPr>
                </pic:pic>
              </a:graphicData>
            </a:graphic>
          </wp:inline>
        </w:drawing>
      </w:r>
    </w:p>
    <w:p w14:paraId="5C98D24E" w14:textId="77777777" w:rsidR="00B91126" w:rsidRDefault="00B91126" w:rsidP="0038082E">
      <w:pPr>
        <w:rPr>
          <w:rFonts w:ascii="Arial" w:hAnsi="Arial" w:cs="Arial"/>
        </w:rPr>
      </w:pPr>
    </w:p>
    <w:p w14:paraId="26A77000" w14:textId="25A240B3" w:rsidR="00E27F3B" w:rsidRPr="0007572B" w:rsidRDefault="00CE7425" w:rsidP="0038082E">
      <w:pPr>
        <w:rPr>
          <w:rFonts w:ascii="Arial" w:hAnsi="Arial" w:cs="Arial"/>
        </w:rPr>
      </w:pPr>
      <w:r w:rsidRPr="0007572B">
        <w:rPr>
          <w:rFonts w:ascii="Arial" w:hAnsi="Arial" w:cs="Arial"/>
        </w:rPr>
        <w:t xml:space="preserve">As at the date of the most recent valuation, the duration of the Employer’s funded liabilities is </w:t>
      </w:r>
      <w:r w:rsidR="009C7D9F">
        <w:rPr>
          <w:rFonts w:ascii="Arial" w:hAnsi="Arial" w:cs="Arial"/>
        </w:rPr>
        <w:t>2</w:t>
      </w:r>
      <w:r w:rsidR="00455E34">
        <w:rPr>
          <w:rFonts w:ascii="Arial" w:hAnsi="Arial" w:cs="Arial"/>
        </w:rPr>
        <w:t>1</w:t>
      </w:r>
      <w:r w:rsidRPr="0007572B">
        <w:rPr>
          <w:rFonts w:ascii="Arial" w:hAnsi="Arial" w:cs="Arial"/>
        </w:rPr>
        <w:t xml:space="preserve"> years</w:t>
      </w:r>
      <w:r w:rsidR="00E27F3B" w:rsidRPr="0007572B">
        <w:rPr>
          <w:rFonts w:ascii="Arial" w:hAnsi="Arial" w:cs="Arial"/>
        </w:rPr>
        <w:t>.</w:t>
      </w:r>
    </w:p>
    <w:p w14:paraId="008081FA" w14:textId="77777777" w:rsidR="008F12E4" w:rsidRPr="0007572B" w:rsidRDefault="008F12E4" w:rsidP="0038082E">
      <w:pPr>
        <w:rPr>
          <w:rFonts w:ascii="Arial" w:hAnsi="Arial" w:cs="Arial"/>
          <w:b/>
        </w:rPr>
      </w:pPr>
    </w:p>
    <w:p w14:paraId="5D06FC5B" w14:textId="3E3AE114" w:rsidR="00E27F3B" w:rsidRDefault="00E27F3B" w:rsidP="0038082E">
      <w:pPr>
        <w:rPr>
          <w:rFonts w:ascii="Arial" w:hAnsi="Arial" w:cs="Arial"/>
        </w:rPr>
      </w:pPr>
      <w:r w:rsidRPr="0007572B">
        <w:rPr>
          <w:rFonts w:ascii="Arial" w:hAnsi="Arial" w:cs="Arial"/>
        </w:rPr>
        <w:t xml:space="preserve">The weighted average duration of the defined benefit obligation for the </w:t>
      </w:r>
      <w:r w:rsidR="001838A2" w:rsidRPr="0007572B">
        <w:rPr>
          <w:rFonts w:ascii="Arial" w:hAnsi="Arial" w:cs="Arial"/>
        </w:rPr>
        <w:t>f</w:t>
      </w:r>
      <w:r w:rsidRPr="0007572B">
        <w:rPr>
          <w:rFonts w:ascii="Arial" w:hAnsi="Arial" w:cs="Arial"/>
        </w:rPr>
        <w:t>irefighter</w:t>
      </w:r>
      <w:r w:rsidR="001838A2" w:rsidRPr="0007572B">
        <w:rPr>
          <w:rFonts w:ascii="Arial" w:hAnsi="Arial" w:cs="Arial"/>
        </w:rPr>
        <w:t>s’</w:t>
      </w:r>
      <w:r w:rsidRPr="0007572B">
        <w:rPr>
          <w:rFonts w:ascii="Arial" w:hAnsi="Arial" w:cs="Arial"/>
        </w:rPr>
        <w:t xml:space="preserve"> sc</w:t>
      </w:r>
      <w:r w:rsidR="00CE7425" w:rsidRPr="0007572B">
        <w:rPr>
          <w:rFonts w:ascii="Arial" w:hAnsi="Arial" w:cs="Arial"/>
        </w:rPr>
        <w:t xml:space="preserve">heme members is approximately </w:t>
      </w:r>
      <w:r w:rsidR="009C7D9F">
        <w:rPr>
          <w:rFonts w:ascii="Arial" w:hAnsi="Arial" w:cs="Arial"/>
        </w:rPr>
        <w:t>19</w:t>
      </w:r>
      <w:r w:rsidRPr="0007572B">
        <w:rPr>
          <w:rFonts w:ascii="Arial" w:hAnsi="Arial" w:cs="Arial"/>
        </w:rPr>
        <w:t xml:space="preserve"> years.</w:t>
      </w:r>
    </w:p>
    <w:p w14:paraId="73D99D5F" w14:textId="77777777" w:rsidR="005F371A" w:rsidRPr="0007572B" w:rsidRDefault="005F371A" w:rsidP="0038082E">
      <w:pPr>
        <w:rPr>
          <w:rFonts w:ascii="Arial" w:hAnsi="Arial" w:cs="Arial"/>
        </w:rPr>
      </w:pPr>
    </w:p>
    <w:p w14:paraId="1A480AFA" w14:textId="0B08469E" w:rsidR="00E27F3B" w:rsidRPr="00FD6425" w:rsidRDefault="00E27F3B" w:rsidP="0038082E">
      <w:pPr>
        <w:pStyle w:val="Heading4bold"/>
      </w:pPr>
      <w:bookmarkStart w:id="203" w:name="_Hlk109158448"/>
      <w:r w:rsidRPr="00FD6425">
        <w:t>Impact on Authority’s cash flow – Local Government Pension Scheme</w:t>
      </w:r>
    </w:p>
    <w:p w14:paraId="36DB4D25" w14:textId="7AFB32A2" w:rsidR="00E27F3B" w:rsidRPr="00FD6425" w:rsidRDefault="00E27F3B" w:rsidP="0038082E">
      <w:pPr>
        <w:rPr>
          <w:rFonts w:ascii="Arial" w:hAnsi="Arial" w:cs="Arial"/>
        </w:rPr>
      </w:pPr>
      <w:r w:rsidRPr="00FD6425">
        <w:rPr>
          <w:rFonts w:ascii="Arial" w:hAnsi="Arial" w:cs="Arial"/>
        </w:rPr>
        <w:t>The objectives of the scheme are to keep employer</w:t>
      </w:r>
      <w:r w:rsidR="00D1577F" w:rsidRPr="00FD6425">
        <w:rPr>
          <w:rFonts w:ascii="Arial" w:hAnsi="Arial" w:cs="Arial"/>
        </w:rPr>
        <w:t>’</w:t>
      </w:r>
      <w:r w:rsidRPr="00FD6425">
        <w:rPr>
          <w:rFonts w:ascii="Arial" w:hAnsi="Arial" w:cs="Arial"/>
        </w:rPr>
        <w:t xml:space="preserve">s contributions at as constant a rate as possible and agree a funding strategy to ensure future employers contributions meet the Administering Authority’s funding objectives. Following the latest triennial valuation </w:t>
      </w:r>
      <w:r w:rsidR="00D279AB" w:rsidRPr="00FD6425">
        <w:rPr>
          <w:rFonts w:ascii="Arial" w:hAnsi="Arial" w:cs="Arial"/>
        </w:rPr>
        <w:t xml:space="preserve">completed on 31 March 2019, </w:t>
      </w:r>
      <w:r w:rsidRPr="00FD6425">
        <w:rPr>
          <w:rFonts w:ascii="Arial" w:hAnsi="Arial" w:cs="Arial"/>
        </w:rPr>
        <w:t xml:space="preserve">the LGPS </w:t>
      </w:r>
      <w:r w:rsidR="00D279AB" w:rsidRPr="00FD6425">
        <w:rPr>
          <w:rFonts w:ascii="Arial" w:hAnsi="Arial" w:cs="Arial"/>
        </w:rPr>
        <w:t>w</w:t>
      </w:r>
      <w:r w:rsidRPr="00FD6425">
        <w:rPr>
          <w:rFonts w:ascii="Arial" w:hAnsi="Arial" w:cs="Arial"/>
        </w:rPr>
        <w:t xml:space="preserve">as assessed as being </w:t>
      </w:r>
      <w:r w:rsidR="00D279AB" w:rsidRPr="00FD6425">
        <w:rPr>
          <w:rFonts w:ascii="Arial" w:hAnsi="Arial" w:cs="Arial"/>
        </w:rPr>
        <w:t>102</w:t>
      </w:r>
      <w:r w:rsidRPr="00FD6425">
        <w:rPr>
          <w:rFonts w:ascii="Arial" w:hAnsi="Arial" w:cs="Arial"/>
        </w:rPr>
        <w:t>% funded. Funding levels are monitored on an annual basis</w:t>
      </w:r>
      <w:r w:rsidR="00D279AB" w:rsidRPr="00FD6425">
        <w:rPr>
          <w:rFonts w:ascii="Arial" w:hAnsi="Arial" w:cs="Arial"/>
        </w:rPr>
        <w:t xml:space="preserve">. </w:t>
      </w:r>
    </w:p>
    <w:p w14:paraId="162B4D0D" w14:textId="77777777" w:rsidR="00E27F3B" w:rsidRPr="00944D15" w:rsidRDefault="00E27F3B" w:rsidP="0038082E">
      <w:pPr>
        <w:rPr>
          <w:rFonts w:ascii="Arial" w:hAnsi="Arial" w:cs="Arial"/>
          <w:highlight w:val="yellow"/>
        </w:rPr>
      </w:pPr>
    </w:p>
    <w:p w14:paraId="16379F93" w14:textId="7E772EEF" w:rsidR="00E27F3B" w:rsidRPr="002B7650" w:rsidRDefault="00E27F3B" w:rsidP="0038082E">
      <w:pPr>
        <w:rPr>
          <w:rFonts w:ascii="Arial" w:hAnsi="Arial" w:cs="Arial"/>
        </w:rPr>
      </w:pPr>
      <w:r w:rsidRPr="002B7650">
        <w:rPr>
          <w:rFonts w:ascii="Arial" w:hAnsi="Arial" w:cs="Arial"/>
        </w:rPr>
        <w:t>The scheme will need to take account of the national changes to the scheme under the Public Pensions Services Act 2013. Under the Act, the Local Government Pension Scheme in England and Wales and other main existing public service schemes may not provide benefits in relation to service after 31 March 2014 (or service after 31 March 2015 for other main existing public service pension schemes in England and Wales). The Act provides for scheme regulations to be made within a common framework. A new career average revalued earnings schemes to pay pensions and other benefits has been established.</w:t>
      </w:r>
    </w:p>
    <w:p w14:paraId="3D50768B" w14:textId="77777777" w:rsidR="005F371A" w:rsidRPr="00944D15" w:rsidRDefault="005F371A" w:rsidP="0038082E">
      <w:pPr>
        <w:rPr>
          <w:rFonts w:ascii="Arial" w:hAnsi="Arial" w:cs="Arial"/>
          <w:highlight w:val="yellow"/>
        </w:rPr>
      </w:pPr>
    </w:p>
    <w:p w14:paraId="079E80B1" w14:textId="16757399" w:rsidR="00A4227C" w:rsidRPr="002B7650" w:rsidRDefault="00A4227C" w:rsidP="0038082E">
      <w:pPr>
        <w:pStyle w:val="Heading4bold"/>
      </w:pPr>
      <w:r w:rsidRPr="002B7650">
        <w:t>Authority contribution to pension schemes</w:t>
      </w:r>
    </w:p>
    <w:p w14:paraId="399BA0DB" w14:textId="546D0AA8" w:rsidR="00571B67" w:rsidRPr="0007572B" w:rsidRDefault="00A4227C" w:rsidP="0038082E">
      <w:pPr>
        <w:rPr>
          <w:rFonts w:ascii="Arial" w:hAnsi="Arial" w:cs="Arial"/>
        </w:rPr>
      </w:pPr>
      <w:r w:rsidRPr="002B7650">
        <w:rPr>
          <w:rFonts w:ascii="Arial" w:hAnsi="Arial" w:cs="Arial"/>
        </w:rPr>
        <w:t>The Authority expects to pay £</w:t>
      </w:r>
      <w:r w:rsidR="00340252" w:rsidRPr="002B7650">
        <w:rPr>
          <w:rFonts w:ascii="Arial" w:hAnsi="Arial" w:cs="Arial"/>
        </w:rPr>
        <w:t>1</w:t>
      </w:r>
      <w:r w:rsidR="002B7650" w:rsidRPr="002B7650">
        <w:rPr>
          <w:rFonts w:ascii="Arial" w:hAnsi="Arial" w:cs="Arial"/>
        </w:rPr>
        <w:t>3</w:t>
      </w:r>
      <w:r w:rsidR="00340252" w:rsidRPr="002B7650">
        <w:rPr>
          <w:rFonts w:ascii="Arial" w:hAnsi="Arial" w:cs="Arial"/>
        </w:rPr>
        <w:t>.</w:t>
      </w:r>
      <w:r w:rsidR="002B7650" w:rsidRPr="002B7650">
        <w:rPr>
          <w:rFonts w:ascii="Arial" w:hAnsi="Arial" w:cs="Arial"/>
        </w:rPr>
        <w:t>3</w:t>
      </w:r>
      <w:r w:rsidR="00340252" w:rsidRPr="002B7650">
        <w:rPr>
          <w:rFonts w:ascii="Arial" w:hAnsi="Arial" w:cs="Arial"/>
        </w:rPr>
        <w:t>6</w:t>
      </w:r>
      <w:r w:rsidR="002B7650" w:rsidRPr="002B7650">
        <w:rPr>
          <w:rFonts w:ascii="Arial" w:hAnsi="Arial" w:cs="Arial"/>
        </w:rPr>
        <w:t>1</w:t>
      </w:r>
      <w:r w:rsidR="00340252" w:rsidRPr="002B7650">
        <w:rPr>
          <w:rFonts w:ascii="Arial" w:hAnsi="Arial" w:cs="Arial"/>
        </w:rPr>
        <w:t>m</w:t>
      </w:r>
      <w:r w:rsidRPr="002B7650">
        <w:rPr>
          <w:rFonts w:ascii="Arial" w:hAnsi="Arial" w:cs="Arial"/>
        </w:rPr>
        <w:t xml:space="preserve"> to the Firefighters</w:t>
      </w:r>
      <w:r w:rsidR="001838A2" w:rsidRPr="002B7650">
        <w:rPr>
          <w:rFonts w:ascii="Arial" w:hAnsi="Arial" w:cs="Arial"/>
        </w:rPr>
        <w:t>’</w:t>
      </w:r>
      <w:r w:rsidRPr="002B7650">
        <w:rPr>
          <w:rFonts w:ascii="Arial" w:hAnsi="Arial" w:cs="Arial"/>
        </w:rPr>
        <w:t xml:space="preserve"> Pension Scheme and £</w:t>
      </w:r>
      <w:r w:rsidR="008A40F2" w:rsidRPr="002B7650">
        <w:rPr>
          <w:rFonts w:ascii="Arial" w:hAnsi="Arial" w:cs="Arial"/>
        </w:rPr>
        <w:t>5.</w:t>
      </w:r>
      <w:r w:rsidR="002B7650" w:rsidRPr="002B7650">
        <w:rPr>
          <w:rFonts w:ascii="Arial" w:hAnsi="Arial" w:cs="Arial"/>
        </w:rPr>
        <w:t>8</w:t>
      </w:r>
      <w:r w:rsidR="008A40F2" w:rsidRPr="002B7650">
        <w:rPr>
          <w:rFonts w:ascii="Arial" w:hAnsi="Arial" w:cs="Arial"/>
        </w:rPr>
        <w:t>2</w:t>
      </w:r>
      <w:r w:rsidR="002B7650" w:rsidRPr="002B7650">
        <w:rPr>
          <w:rFonts w:ascii="Arial" w:hAnsi="Arial" w:cs="Arial"/>
        </w:rPr>
        <w:t>4</w:t>
      </w:r>
      <w:r w:rsidRPr="002B7650">
        <w:rPr>
          <w:rFonts w:ascii="Arial" w:hAnsi="Arial" w:cs="Arial"/>
        </w:rPr>
        <w:t>m to the Local Government Pension Scheme in 202</w:t>
      </w:r>
      <w:r w:rsidR="002B7650" w:rsidRPr="002B7650">
        <w:rPr>
          <w:rFonts w:ascii="Arial" w:hAnsi="Arial" w:cs="Arial"/>
        </w:rPr>
        <w:t>1</w:t>
      </w:r>
      <w:r w:rsidRPr="002B7650">
        <w:rPr>
          <w:rFonts w:ascii="Arial" w:hAnsi="Arial" w:cs="Arial"/>
        </w:rPr>
        <w:t>/2</w:t>
      </w:r>
      <w:r w:rsidR="002B7650" w:rsidRPr="002B7650">
        <w:rPr>
          <w:rFonts w:ascii="Arial" w:hAnsi="Arial" w:cs="Arial"/>
        </w:rPr>
        <w:t>2</w:t>
      </w:r>
      <w:r w:rsidRPr="002B7650">
        <w:rPr>
          <w:rFonts w:ascii="Arial" w:hAnsi="Arial" w:cs="Arial"/>
        </w:rPr>
        <w:t>.</w:t>
      </w:r>
    </w:p>
    <w:bookmarkEnd w:id="203"/>
    <w:p w14:paraId="16E32DAD" w14:textId="77777777" w:rsidR="00A4227C" w:rsidRPr="0007572B" w:rsidRDefault="00A4227C" w:rsidP="0038082E">
      <w:pPr>
        <w:rPr>
          <w:rFonts w:ascii="Arial" w:hAnsi="Arial" w:cs="Arial"/>
        </w:rPr>
      </w:pPr>
    </w:p>
    <w:p w14:paraId="04F7C91E" w14:textId="0D6DFB89" w:rsidR="00322755" w:rsidRPr="0007572B" w:rsidRDefault="003C3CE4" w:rsidP="0038082E">
      <w:pPr>
        <w:pStyle w:val="Heading3greennumbered"/>
      </w:pPr>
      <w:bookmarkStart w:id="204" w:name="_Toc92894909"/>
      <w:bookmarkStart w:id="205" w:name="_Toc92895213"/>
      <w:bookmarkStart w:id="206" w:name="_Toc109922647"/>
      <w:r w:rsidRPr="0007572B">
        <w:t xml:space="preserve">34 </w:t>
      </w:r>
      <w:r w:rsidR="00322755" w:rsidRPr="0007572B">
        <w:t>Mayoral General Fund</w:t>
      </w:r>
      <w:bookmarkEnd w:id="204"/>
      <w:bookmarkEnd w:id="205"/>
      <w:bookmarkEnd w:id="206"/>
    </w:p>
    <w:p w14:paraId="72D9976F" w14:textId="77777777" w:rsidR="005F371A" w:rsidRDefault="005F371A" w:rsidP="0038082E">
      <w:pPr>
        <w:autoSpaceDE w:val="0"/>
        <w:autoSpaceDN w:val="0"/>
        <w:rPr>
          <w:rFonts w:ascii="Arial" w:hAnsi="Arial" w:cs="Arial"/>
          <w:color w:val="000000"/>
          <w:lang w:val="en-US"/>
        </w:rPr>
      </w:pPr>
    </w:p>
    <w:p w14:paraId="4B228AC3" w14:textId="29B3D405" w:rsidR="00322755" w:rsidRPr="0007572B" w:rsidRDefault="00322755" w:rsidP="0038082E">
      <w:pPr>
        <w:autoSpaceDE w:val="0"/>
        <w:autoSpaceDN w:val="0"/>
        <w:rPr>
          <w:rFonts w:ascii="Arial" w:hAnsi="Arial" w:cs="Arial"/>
          <w:color w:val="000000"/>
          <w:lang w:val="en-US"/>
        </w:rPr>
      </w:pPr>
      <w:r w:rsidRPr="0007572B">
        <w:rPr>
          <w:rFonts w:ascii="Arial" w:hAnsi="Arial" w:cs="Arial"/>
          <w:color w:val="000000"/>
          <w:lang w:val="en-US"/>
        </w:rPr>
        <w:t xml:space="preserve">The functions of the </w:t>
      </w:r>
      <w:r w:rsidR="00150CDE" w:rsidRPr="0007572B">
        <w:rPr>
          <w:rFonts w:ascii="Arial" w:hAnsi="Arial" w:cs="Arial"/>
          <w:color w:val="000000"/>
          <w:lang w:val="en-US"/>
        </w:rPr>
        <w:t>Greater Manchester Fire and Rescue Authority (</w:t>
      </w:r>
      <w:r w:rsidRPr="0007572B">
        <w:rPr>
          <w:rFonts w:ascii="Arial" w:hAnsi="Arial" w:cs="Arial"/>
          <w:color w:val="000000"/>
          <w:lang w:val="en-US"/>
        </w:rPr>
        <w:t>GMFRA</w:t>
      </w:r>
      <w:r w:rsidR="00150CDE" w:rsidRPr="0007572B">
        <w:rPr>
          <w:rFonts w:ascii="Arial" w:hAnsi="Arial" w:cs="Arial"/>
          <w:color w:val="000000"/>
          <w:lang w:val="en-US"/>
        </w:rPr>
        <w:t>)</w:t>
      </w:r>
      <w:r w:rsidRPr="0007572B">
        <w:rPr>
          <w:rFonts w:ascii="Arial" w:hAnsi="Arial" w:cs="Arial"/>
          <w:color w:val="000000"/>
          <w:lang w:val="en-US"/>
        </w:rPr>
        <w:t xml:space="preserve"> that are exercisable in relation to the area of the Authority were transferred by Parliamentary Order to the Greater Manchester Combined </w:t>
      </w:r>
      <w:r w:rsidR="00E80E00" w:rsidRPr="0007572B">
        <w:rPr>
          <w:rFonts w:ascii="Arial" w:hAnsi="Arial" w:cs="Arial"/>
          <w:color w:val="000000"/>
          <w:lang w:val="en-US"/>
        </w:rPr>
        <w:t>Authority (</w:t>
      </w:r>
      <w:r w:rsidRPr="0007572B">
        <w:rPr>
          <w:rFonts w:ascii="Arial" w:hAnsi="Arial" w:cs="Arial"/>
          <w:color w:val="000000"/>
          <w:lang w:val="en-US"/>
        </w:rPr>
        <w:t>GMCA) with effect from 8 May 2017. The GMCA is the Fire and Rescue Authority for the area and the Fire and Rescue functions of the GMCA are exercisable by the elected Mayor with all staff, properties, rights and liabilities transferring to the Authority.</w:t>
      </w:r>
    </w:p>
    <w:p w14:paraId="07323535" w14:textId="77777777" w:rsidR="00322755" w:rsidRPr="0007572B" w:rsidRDefault="00322755" w:rsidP="0038082E">
      <w:pPr>
        <w:autoSpaceDE w:val="0"/>
        <w:autoSpaceDN w:val="0"/>
        <w:rPr>
          <w:rFonts w:ascii="Arial" w:hAnsi="Arial" w:cs="Arial"/>
          <w:color w:val="000000"/>
          <w:lang w:val="en-US"/>
        </w:rPr>
      </w:pPr>
    </w:p>
    <w:p w14:paraId="2C2FE7FB" w14:textId="77777777" w:rsidR="00322755" w:rsidRPr="0007572B" w:rsidRDefault="00322755" w:rsidP="0038082E">
      <w:pPr>
        <w:autoSpaceDE w:val="0"/>
        <w:autoSpaceDN w:val="0"/>
        <w:rPr>
          <w:rFonts w:ascii="Arial" w:eastAsia="Calibri" w:hAnsi="Arial" w:cs="Arial"/>
          <w:color w:val="000000"/>
          <w:lang w:val="en-US"/>
        </w:rPr>
      </w:pPr>
      <w:r w:rsidRPr="0007572B">
        <w:rPr>
          <w:rFonts w:ascii="Arial" w:eastAsia="Calibri" w:hAnsi="Arial" w:cs="Arial"/>
          <w:color w:val="000000"/>
          <w:lang w:val="en-US"/>
        </w:rPr>
        <w:t>Under the Order, all functions and decisions relating to such properties, rights and liabilities are to be exercised and made by the Mayor. Any payments and receipts arising from such properties, rights and liabilities are to be paid from and into the Mayoral General Fund.</w:t>
      </w:r>
    </w:p>
    <w:p w14:paraId="44E344BA" w14:textId="77777777" w:rsidR="00322755" w:rsidRPr="0007572B" w:rsidRDefault="00322755" w:rsidP="0038082E">
      <w:pPr>
        <w:autoSpaceDE w:val="0"/>
        <w:autoSpaceDN w:val="0"/>
        <w:rPr>
          <w:rFonts w:ascii="Arial" w:eastAsia="Calibri" w:hAnsi="Arial" w:cs="Arial"/>
          <w:color w:val="000000"/>
          <w:lang w:val="en-US"/>
        </w:rPr>
      </w:pPr>
    </w:p>
    <w:p w14:paraId="539A08EE" w14:textId="4A66B8D6" w:rsidR="005F371A" w:rsidRDefault="00322755" w:rsidP="0038082E">
      <w:pPr>
        <w:rPr>
          <w:rFonts w:ascii="Arial" w:hAnsi="Arial" w:cs="Arial"/>
        </w:rPr>
      </w:pPr>
      <w:r w:rsidRPr="0007572B">
        <w:rPr>
          <w:rFonts w:ascii="Arial" w:hAnsi="Arial" w:cs="Arial"/>
        </w:rPr>
        <w:t>The statements below set out the movements in the Mayoral General Fund and assets deployed for fire</w:t>
      </w:r>
      <w:r w:rsidR="00215A6A" w:rsidRPr="0007572B">
        <w:rPr>
          <w:rFonts w:ascii="Arial" w:hAnsi="Arial" w:cs="Arial"/>
        </w:rPr>
        <w:t xml:space="preserve"> and rescue services for </w:t>
      </w:r>
      <w:r w:rsidR="00336734" w:rsidRPr="0007572B">
        <w:rPr>
          <w:rFonts w:ascii="Arial" w:hAnsi="Arial" w:cs="Arial"/>
        </w:rPr>
        <w:t>20</w:t>
      </w:r>
      <w:r w:rsidR="00F02D7B" w:rsidRPr="0007572B">
        <w:rPr>
          <w:rFonts w:ascii="Arial" w:hAnsi="Arial" w:cs="Arial"/>
        </w:rPr>
        <w:t>2</w:t>
      </w:r>
      <w:r w:rsidR="00944D15">
        <w:rPr>
          <w:rFonts w:ascii="Arial" w:hAnsi="Arial" w:cs="Arial"/>
        </w:rPr>
        <w:t>1</w:t>
      </w:r>
      <w:r w:rsidR="00215A6A" w:rsidRPr="0007572B">
        <w:rPr>
          <w:rFonts w:ascii="Arial" w:hAnsi="Arial" w:cs="Arial"/>
        </w:rPr>
        <w:t>/</w:t>
      </w:r>
      <w:r w:rsidR="00336734" w:rsidRPr="0007572B">
        <w:rPr>
          <w:rFonts w:ascii="Arial" w:hAnsi="Arial" w:cs="Arial"/>
        </w:rPr>
        <w:t>2</w:t>
      </w:r>
      <w:r w:rsidR="00944D15">
        <w:rPr>
          <w:rFonts w:ascii="Arial" w:hAnsi="Arial" w:cs="Arial"/>
        </w:rPr>
        <w:t>2</w:t>
      </w:r>
      <w:r w:rsidR="00215A6A" w:rsidRPr="0007572B">
        <w:rPr>
          <w:rFonts w:ascii="Arial" w:hAnsi="Arial" w:cs="Arial"/>
        </w:rPr>
        <w:t>:</w:t>
      </w:r>
    </w:p>
    <w:p w14:paraId="0D493389" w14:textId="63D123A2" w:rsidR="00AC4453" w:rsidRDefault="00AC4453" w:rsidP="0038082E">
      <w:pPr>
        <w:rPr>
          <w:rFonts w:ascii="Arial" w:hAnsi="Arial" w:cs="Arial"/>
          <w:b/>
          <w:bCs/>
        </w:rPr>
      </w:pPr>
    </w:p>
    <w:p w14:paraId="7B5DA9A0" w14:textId="475C50B9" w:rsidR="00771E5E" w:rsidRPr="0007572B" w:rsidRDefault="00322755" w:rsidP="0038082E">
      <w:pPr>
        <w:pStyle w:val="Heading4bold"/>
      </w:pPr>
      <w:r w:rsidRPr="0007572B">
        <w:t>Mayoral General Fund Income and Expenditure:</w:t>
      </w:r>
    </w:p>
    <w:p w14:paraId="5C87DC46" w14:textId="6950DC55" w:rsidR="00771E5E" w:rsidRDefault="00944D15" w:rsidP="0038082E">
      <w:pPr>
        <w:rPr>
          <w:rFonts w:ascii="Arial" w:hAnsi="Arial" w:cs="Arial"/>
          <w:b/>
          <w:sz w:val="22"/>
          <w:szCs w:val="22"/>
        </w:rPr>
      </w:pPr>
      <w:r w:rsidRPr="00944D15">
        <w:rPr>
          <w:noProof/>
        </w:rPr>
        <w:drawing>
          <wp:inline distT="0" distB="0" distL="0" distR="0" wp14:anchorId="5E21AAF4" wp14:editId="0E0E4A8E">
            <wp:extent cx="5975350" cy="3866515"/>
            <wp:effectExtent l="0" t="0" r="6350" b="635"/>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975350" cy="3866515"/>
                    </a:xfrm>
                    <a:prstGeom prst="rect">
                      <a:avLst/>
                    </a:prstGeom>
                    <a:noFill/>
                    <a:ln>
                      <a:noFill/>
                    </a:ln>
                  </pic:spPr>
                </pic:pic>
              </a:graphicData>
            </a:graphic>
          </wp:inline>
        </w:drawing>
      </w:r>
    </w:p>
    <w:p w14:paraId="3D88DB6E" w14:textId="0D7B7A43" w:rsidR="00336734" w:rsidRPr="0007572B" w:rsidRDefault="00336734" w:rsidP="0038082E">
      <w:pPr>
        <w:rPr>
          <w:rFonts w:ascii="Arial" w:hAnsi="Arial" w:cs="Arial"/>
          <w:b/>
          <w:sz w:val="22"/>
          <w:szCs w:val="22"/>
        </w:rPr>
      </w:pPr>
    </w:p>
    <w:p w14:paraId="1233C753" w14:textId="4C4ACE76" w:rsidR="00247E04" w:rsidRPr="0007572B" w:rsidRDefault="00247E04" w:rsidP="0038082E">
      <w:pPr>
        <w:rPr>
          <w:rFonts w:ascii="Arial" w:hAnsi="Arial" w:cs="Arial"/>
          <w:b/>
          <w:sz w:val="22"/>
          <w:szCs w:val="22"/>
        </w:rPr>
      </w:pPr>
    </w:p>
    <w:p w14:paraId="5429126B" w14:textId="3E74642C" w:rsidR="00322755" w:rsidRPr="0007572B" w:rsidRDefault="00322755" w:rsidP="0038082E">
      <w:pPr>
        <w:pStyle w:val="Heading4bold"/>
      </w:pPr>
      <w:r w:rsidRPr="0007572B">
        <w:t>Movement in Mayoral General Fund Reserves:</w:t>
      </w:r>
    </w:p>
    <w:p w14:paraId="13D7E6FD" w14:textId="550E235F" w:rsidR="00322755" w:rsidRDefault="00322755" w:rsidP="0038082E">
      <w:pPr>
        <w:rPr>
          <w:rFonts w:ascii="Arial" w:hAnsi="Arial" w:cs="Arial"/>
        </w:rPr>
      </w:pPr>
      <w:r w:rsidRPr="0007572B">
        <w:rPr>
          <w:rFonts w:ascii="Arial" w:hAnsi="Arial" w:cs="Arial"/>
        </w:rPr>
        <w:t>This note sets out the amounts set aside from the General Fund in reserves to provide financing for future expenditure plans and the amounts posted back from earmarked reserves to meet General Fund expenditure.</w:t>
      </w:r>
    </w:p>
    <w:p w14:paraId="1A6FD4D9" w14:textId="75C7E2A2" w:rsidR="00771E5E" w:rsidRDefault="00771E5E" w:rsidP="0038082E">
      <w:pPr>
        <w:rPr>
          <w:rFonts w:ascii="Arial" w:hAnsi="Arial" w:cs="Arial"/>
        </w:rPr>
      </w:pPr>
    </w:p>
    <w:p w14:paraId="1377255B" w14:textId="03AF62C2" w:rsidR="00771E5E" w:rsidRPr="0007572B" w:rsidRDefault="003C37CC" w:rsidP="0038082E">
      <w:pPr>
        <w:rPr>
          <w:rFonts w:ascii="Arial" w:hAnsi="Arial" w:cs="Arial"/>
        </w:rPr>
      </w:pPr>
      <w:r w:rsidRPr="003C37CC">
        <w:rPr>
          <w:noProof/>
        </w:rPr>
        <w:drawing>
          <wp:inline distT="0" distB="0" distL="0" distR="0" wp14:anchorId="469359DC" wp14:editId="1C04EAC6">
            <wp:extent cx="5063490" cy="2078990"/>
            <wp:effectExtent l="0" t="0" r="381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063490" cy="2078990"/>
                    </a:xfrm>
                    <a:prstGeom prst="rect">
                      <a:avLst/>
                    </a:prstGeom>
                    <a:noFill/>
                    <a:ln>
                      <a:noFill/>
                    </a:ln>
                  </pic:spPr>
                </pic:pic>
              </a:graphicData>
            </a:graphic>
          </wp:inline>
        </w:drawing>
      </w:r>
    </w:p>
    <w:p w14:paraId="7220328D" w14:textId="7054BBFF" w:rsidR="00247E04" w:rsidRPr="0007572B" w:rsidRDefault="00247E04" w:rsidP="0038082E">
      <w:pPr>
        <w:jc w:val="both"/>
        <w:rPr>
          <w:rFonts w:ascii="Arial" w:hAnsi="Arial" w:cs="Arial"/>
          <w:sz w:val="22"/>
          <w:szCs w:val="22"/>
        </w:rPr>
      </w:pPr>
    </w:p>
    <w:p w14:paraId="7DBD1BB8" w14:textId="3B46C405" w:rsidR="0056706E" w:rsidRPr="0007572B" w:rsidRDefault="0056706E" w:rsidP="0038082E">
      <w:pPr>
        <w:jc w:val="both"/>
        <w:rPr>
          <w:rFonts w:ascii="Arial" w:hAnsi="Arial" w:cs="Arial"/>
          <w:sz w:val="22"/>
          <w:szCs w:val="22"/>
        </w:rPr>
      </w:pPr>
    </w:p>
    <w:p w14:paraId="1E4F1AEF" w14:textId="078FFF36" w:rsidR="00247E04" w:rsidRPr="0007572B" w:rsidRDefault="00247E04" w:rsidP="0038082E">
      <w:pPr>
        <w:jc w:val="center"/>
        <w:rPr>
          <w:rFonts w:ascii="Arial" w:hAnsi="Arial" w:cs="Arial"/>
        </w:rPr>
      </w:pPr>
    </w:p>
    <w:p w14:paraId="3A3E5E6F" w14:textId="77777777" w:rsidR="00247E04" w:rsidRPr="0007572B" w:rsidRDefault="00247E04" w:rsidP="0038082E">
      <w:pPr>
        <w:jc w:val="center"/>
        <w:rPr>
          <w:rFonts w:ascii="Arial" w:hAnsi="Arial" w:cs="Arial"/>
          <w:b/>
          <w:sz w:val="36"/>
          <w:szCs w:val="36"/>
        </w:rPr>
        <w:sectPr w:rsidR="00247E04" w:rsidRPr="0007572B" w:rsidSect="00322755">
          <w:pgSz w:w="11906" w:h="16838"/>
          <w:pgMar w:top="946" w:right="1416" w:bottom="1440" w:left="1080" w:header="283" w:footer="567" w:gutter="0"/>
          <w:cols w:space="708"/>
          <w:docGrid w:linePitch="360"/>
        </w:sectPr>
      </w:pPr>
    </w:p>
    <w:p w14:paraId="1FEF668B" w14:textId="77777777" w:rsidR="00322755" w:rsidRPr="0007572B" w:rsidRDefault="00322755" w:rsidP="0038082E">
      <w:pPr>
        <w:pStyle w:val="Heading4bold"/>
      </w:pPr>
      <w:r w:rsidRPr="0007572B">
        <w:t>Assets deployed in provision of Mayoral Fire and Rescue Services:</w:t>
      </w:r>
    </w:p>
    <w:p w14:paraId="79DF5430" w14:textId="77777777" w:rsidR="00577AA5" w:rsidRPr="0007572B" w:rsidRDefault="00577AA5" w:rsidP="0038082E">
      <w:pPr>
        <w:rPr>
          <w:rFonts w:ascii="Arial" w:hAnsi="Arial" w:cs="Arial"/>
        </w:rPr>
      </w:pPr>
    </w:p>
    <w:p w14:paraId="531A52BE" w14:textId="52BC5328" w:rsidR="0056706E" w:rsidRPr="0007572B" w:rsidRDefault="00225F11" w:rsidP="0038082E">
      <w:pPr>
        <w:rPr>
          <w:rFonts w:ascii="Arial" w:hAnsi="Arial" w:cs="Arial"/>
        </w:rPr>
      </w:pPr>
      <w:r w:rsidRPr="00225F11">
        <w:rPr>
          <w:noProof/>
        </w:rPr>
        <w:drawing>
          <wp:inline distT="0" distB="0" distL="0" distR="0" wp14:anchorId="52E8B00E" wp14:editId="50BC74E1">
            <wp:extent cx="9177020" cy="3215640"/>
            <wp:effectExtent l="0" t="0" r="5080" b="381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9177020" cy="3215640"/>
                    </a:xfrm>
                    <a:prstGeom prst="rect">
                      <a:avLst/>
                    </a:prstGeom>
                    <a:noFill/>
                    <a:ln>
                      <a:noFill/>
                    </a:ln>
                  </pic:spPr>
                </pic:pic>
              </a:graphicData>
            </a:graphic>
          </wp:inline>
        </w:drawing>
      </w:r>
    </w:p>
    <w:p w14:paraId="328584DB" w14:textId="43979819" w:rsidR="005A4EFC" w:rsidRPr="0007572B" w:rsidRDefault="005A4EFC" w:rsidP="0038082E">
      <w:pPr>
        <w:rPr>
          <w:rFonts w:ascii="Arial" w:hAnsi="Arial" w:cs="Arial"/>
        </w:rPr>
      </w:pPr>
    </w:p>
    <w:p w14:paraId="3FF08564" w14:textId="77777777" w:rsidR="00E15B96" w:rsidRPr="0007572B" w:rsidRDefault="00E15B96" w:rsidP="0038082E">
      <w:pPr>
        <w:rPr>
          <w:rFonts w:ascii="Arial" w:hAnsi="Arial" w:cs="Arial"/>
        </w:rPr>
        <w:sectPr w:rsidR="00E15B96" w:rsidRPr="0007572B" w:rsidSect="00322755">
          <w:pgSz w:w="16838" w:h="11906" w:orient="landscape"/>
          <w:pgMar w:top="1080" w:right="946" w:bottom="1416" w:left="1440" w:header="283" w:footer="567" w:gutter="0"/>
          <w:cols w:space="708"/>
          <w:docGrid w:linePitch="360"/>
        </w:sectPr>
      </w:pPr>
    </w:p>
    <w:p w14:paraId="30E13344" w14:textId="5B5762A7" w:rsidR="00D1577F" w:rsidRPr="0007572B" w:rsidRDefault="003C3CE4" w:rsidP="0038082E">
      <w:pPr>
        <w:pStyle w:val="Heading3greennumbered"/>
      </w:pPr>
      <w:bookmarkStart w:id="207" w:name="_Toc92894910"/>
      <w:bookmarkStart w:id="208" w:name="_Toc92895214"/>
      <w:bookmarkStart w:id="209" w:name="_Toc109922648"/>
      <w:r w:rsidRPr="0007572B">
        <w:t xml:space="preserve">35 </w:t>
      </w:r>
      <w:r w:rsidR="00D1577F" w:rsidRPr="0007572B">
        <w:t>Mayoral Police Fund</w:t>
      </w:r>
      <w:bookmarkEnd w:id="207"/>
      <w:bookmarkEnd w:id="208"/>
      <w:bookmarkEnd w:id="209"/>
    </w:p>
    <w:p w14:paraId="038D331F" w14:textId="77777777" w:rsidR="005F371A" w:rsidRDefault="005F371A" w:rsidP="0038082E">
      <w:pPr>
        <w:autoSpaceDE w:val="0"/>
        <w:autoSpaceDN w:val="0"/>
        <w:adjustRightInd w:val="0"/>
        <w:rPr>
          <w:rFonts w:ascii="Arial" w:hAnsi="Arial" w:cs="Arial"/>
        </w:rPr>
      </w:pPr>
    </w:p>
    <w:p w14:paraId="0BD0D190" w14:textId="5086F5B7" w:rsidR="00D1577F" w:rsidRPr="0007572B" w:rsidRDefault="00D1577F" w:rsidP="0038082E">
      <w:pPr>
        <w:autoSpaceDE w:val="0"/>
        <w:autoSpaceDN w:val="0"/>
        <w:adjustRightInd w:val="0"/>
        <w:rPr>
          <w:rFonts w:ascii="Arial" w:hAnsi="Arial" w:cs="Arial"/>
        </w:rPr>
      </w:pPr>
      <w:r w:rsidRPr="0007572B">
        <w:rPr>
          <w:rFonts w:ascii="Arial" w:hAnsi="Arial" w:cs="Arial"/>
        </w:rPr>
        <w:t xml:space="preserve">The functions of the Greater Manchester Police and Crime Commissioner (PCC) were transferred by Parliamentary Order to the elected Mayor of Greater Manchester with effect from 8 May 2017. </w:t>
      </w:r>
    </w:p>
    <w:p w14:paraId="65043DB4" w14:textId="77777777" w:rsidR="00D1577F" w:rsidRPr="0007572B" w:rsidRDefault="00D1577F" w:rsidP="0038082E">
      <w:pPr>
        <w:autoSpaceDE w:val="0"/>
        <w:autoSpaceDN w:val="0"/>
        <w:adjustRightInd w:val="0"/>
        <w:rPr>
          <w:rFonts w:ascii="Arial" w:hAnsi="Arial" w:cs="Arial"/>
        </w:rPr>
      </w:pPr>
    </w:p>
    <w:p w14:paraId="6EC00BAA" w14:textId="77777777" w:rsidR="00D1577F" w:rsidRPr="0007572B" w:rsidRDefault="00D1577F" w:rsidP="0038082E">
      <w:pPr>
        <w:autoSpaceDE w:val="0"/>
        <w:autoSpaceDN w:val="0"/>
        <w:adjustRightInd w:val="0"/>
        <w:rPr>
          <w:rFonts w:ascii="Arial" w:hAnsi="Arial" w:cs="Arial"/>
        </w:rPr>
      </w:pPr>
      <w:r w:rsidRPr="0007572B">
        <w:rPr>
          <w:rFonts w:ascii="Arial" w:hAnsi="Arial" w:cs="Arial"/>
        </w:rPr>
        <w:t>Under Section 3 of the Order “the Mayor is to be treated, in relation to the Mayor’s PCC functions, as a Police and Crime Commissioner for the purposes of all Police and Crime Commissioner enactments, wherever passed or made, subject to schedule 1 of the Order”.</w:t>
      </w:r>
    </w:p>
    <w:p w14:paraId="588C5A77" w14:textId="77777777" w:rsidR="00D1577F" w:rsidRPr="0007572B" w:rsidRDefault="00D1577F" w:rsidP="0038082E">
      <w:pPr>
        <w:autoSpaceDE w:val="0"/>
        <w:autoSpaceDN w:val="0"/>
        <w:adjustRightInd w:val="0"/>
        <w:rPr>
          <w:rFonts w:ascii="Arial" w:hAnsi="Arial" w:cs="Arial"/>
        </w:rPr>
      </w:pPr>
    </w:p>
    <w:p w14:paraId="1B775BAD" w14:textId="77777777" w:rsidR="00D1577F" w:rsidRPr="0007572B" w:rsidRDefault="00D1577F" w:rsidP="0038082E">
      <w:pPr>
        <w:autoSpaceDE w:val="0"/>
        <w:autoSpaceDN w:val="0"/>
        <w:adjustRightInd w:val="0"/>
        <w:rPr>
          <w:rFonts w:ascii="Arial" w:hAnsi="Arial" w:cs="Arial"/>
        </w:rPr>
      </w:pPr>
      <w:r w:rsidRPr="0007572B">
        <w:rPr>
          <w:rFonts w:ascii="Arial" w:hAnsi="Arial" w:cs="Arial"/>
        </w:rPr>
        <w:t xml:space="preserve">The transfer of the PCC functions to the Elected Mayor means that the legal entity known as the Greater Manchester Police and Crime Commissioner ceased to exist as of 8 May 2017. All properties, rights and liabilities (including contracts of employment) transferred to the Greater Manchester Combined Authority (GMCA) on 8 May 2017. </w:t>
      </w:r>
    </w:p>
    <w:p w14:paraId="4D04CA86" w14:textId="77777777" w:rsidR="00D1577F" w:rsidRPr="0007572B" w:rsidRDefault="00D1577F" w:rsidP="0038082E">
      <w:pPr>
        <w:autoSpaceDE w:val="0"/>
        <w:autoSpaceDN w:val="0"/>
        <w:adjustRightInd w:val="0"/>
        <w:rPr>
          <w:rFonts w:ascii="Arial" w:hAnsi="Arial" w:cs="Arial"/>
        </w:rPr>
      </w:pPr>
    </w:p>
    <w:p w14:paraId="4BDA45E1" w14:textId="77777777" w:rsidR="00D1577F" w:rsidRPr="0007572B" w:rsidRDefault="00D1577F" w:rsidP="0038082E">
      <w:pPr>
        <w:autoSpaceDE w:val="0"/>
        <w:autoSpaceDN w:val="0"/>
        <w:adjustRightInd w:val="0"/>
        <w:rPr>
          <w:rFonts w:ascii="Arial" w:hAnsi="Arial" w:cs="Arial"/>
        </w:rPr>
      </w:pPr>
      <w:r w:rsidRPr="0007572B">
        <w:rPr>
          <w:rFonts w:ascii="Arial" w:hAnsi="Arial" w:cs="Arial"/>
        </w:rPr>
        <w:t>Under the Order, all functions and decisions relating to such properties, rights and liabilities are to be exercised and made by the Mayor. Any receipts arising from such properties, rights and liabilities are to be paid into the Police Fund kept by the mayor by virtue of section 21 of the Police Reform and Social Responsibility Act 2011.</w:t>
      </w:r>
    </w:p>
    <w:p w14:paraId="0FB7A25B" w14:textId="77777777" w:rsidR="00D1577F" w:rsidRPr="0007572B" w:rsidRDefault="00D1577F" w:rsidP="0038082E">
      <w:pPr>
        <w:autoSpaceDE w:val="0"/>
        <w:autoSpaceDN w:val="0"/>
        <w:adjustRightInd w:val="0"/>
        <w:rPr>
          <w:rFonts w:ascii="Arial" w:hAnsi="Arial" w:cs="Arial"/>
          <w:color w:val="000000"/>
          <w:lang w:val="en-US"/>
        </w:rPr>
      </w:pPr>
    </w:p>
    <w:p w14:paraId="12DC39D4" w14:textId="77777777" w:rsidR="00D1577F" w:rsidRPr="0007572B" w:rsidRDefault="00D1577F" w:rsidP="0038082E">
      <w:pPr>
        <w:autoSpaceDE w:val="0"/>
        <w:autoSpaceDN w:val="0"/>
        <w:adjustRightInd w:val="0"/>
        <w:rPr>
          <w:rFonts w:ascii="Arial" w:hAnsi="Arial" w:cs="Arial"/>
          <w:color w:val="000000"/>
          <w:lang w:val="en-US"/>
        </w:rPr>
      </w:pPr>
      <w:r w:rsidRPr="0007572B">
        <w:rPr>
          <w:rFonts w:ascii="Arial" w:hAnsi="Arial" w:cs="Arial"/>
          <w:color w:val="000000"/>
          <w:lang w:val="en-US"/>
        </w:rPr>
        <w:t>The Chief Constable of Greater Manchester Police (GMP) Statement of Accounts has been consolidated into GMCA’s group accounts since 8 May 2017. The Mayor is responsible for the formal oversight of GMP, including provision of all funding, budget setting, performance scrutiny and strategic policy development, and for ensuring GMP is run efficiently and effectively. Operational decision-making on day-to-day policing including the employment of police staff remains the responsibility of the Chief Constable.</w:t>
      </w:r>
    </w:p>
    <w:p w14:paraId="25A33968" w14:textId="77777777" w:rsidR="00D1577F" w:rsidRPr="0007572B" w:rsidRDefault="00D1577F" w:rsidP="0038082E">
      <w:pPr>
        <w:autoSpaceDE w:val="0"/>
        <w:autoSpaceDN w:val="0"/>
        <w:adjustRightInd w:val="0"/>
        <w:rPr>
          <w:rFonts w:ascii="Arial" w:hAnsi="Arial" w:cs="Arial"/>
          <w:color w:val="000000"/>
          <w:lang w:val="en-US"/>
        </w:rPr>
      </w:pPr>
    </w:p>
    <w:p w14:paraId="01DE17E3" w14:textId="7A24EE5B" w:rsidR="00D1577F" w:rsidRPr="0007572B" w:rsidRDefault="00D1577F" w:rsidP="0038082E">
      <w:pPr>
        <w:autoSpaceDE w:val="0"/>
        <w:autoSpaceDN w:val="0"/>
        <w:adjustRightInd w:val="0"/>
        <w:rPr>
          <w:rFonts w:ascii="Arial" w:eastAsia="Calibri" w:hAnsi="Arial" w:cs="Arial"/>
          <w:color w:val="000000"/>
          <w:lang w:val="en-US"/>
        </w:rPr>
      </w:pPr>
      <w:r w:rsidRPr="0007572B">
        <w:rPr>
          <w:rFonts w:ascii="Arial" w:hAnsi="Arial" w:cs="Arial"/>
          <w:color w:val="000000"/>
          <w:lang w:val="en-US"/>
        </w:rPr>
        <w:t>Under the legislative framework and local arrangements, GMCA, under sole instruction from the Mayor, is responsible for the finances of the Mayoral Police Fund including assets, liabilities and reserves. The GMCA has responsibility for entering into contracts and establishing the contractual framework under which the Chief Constable’s officers and staff operate.</w:t>
      </w:r>
      <w:r w:rsidRPr="0007572B">
        <w:rPr>
          <w:rFonts w:ascii="Arial" w:eastAsia="Calibri" w:hAnsi="Arial" w:cs="Arial"/>
          <w:color w:val="000000"/>
          <w:lang w:val="en-US"/>
        </w:rPr>
        <w:t xml:space="preserve"> The GMCA receives all income and funding and makes all the payments for the policing activity from the Mayoral Police Fund. The movement on the Police Fund is disclosed in </w:t>
      </w:r>
      <w:r w:rsidR="00B075B2" w:rsidRPr="0007572B">
        <w:rPr>
          <w:rFonts w:ascii="Arial" w:eastAsia="Calibri" w:hAnsi="Arial" w:cs="Arial"/>
          <w:color w:val="000000"/>
          <w:lang w:val="en-US"/>
        </w:rPr>
        <w:t>note 35</w:t>
      </w:r>
      <w:r w:rsidRPr="0007572B">
        <w:rPr>
          <w:rFonts w:ascii="Arial" w:eastAsia="Calibri" w:hAnsi="Arial" w:cs="Arial"/>
          <w:color w:val="000000"/>
          <w:lang w:val="en-US"/>
        </w:rPr>
        <w:t>.</w:t>
      </w:r>
    </w:p>
    <w:p w14:paraId="40470F6B" w14:textId="77777777" w:rsidR="00D1577F" w:rsidRPr="0007572B" w:rsidRDefault="00D1577F" w:rsidP="0038082E">
      <w:pPr>
        <w:autoSpaceDE w:val="0"/>
        <w:autoSpaceDN w:val="0"/>
        <w:rPr>
          <w:rFonts w:ascii="Arial" w:hAnsi="Arial" w:cs="Arial"/>
          <w:color w:val="000000"/>
          <w:lang w:val="en-US"/>
        </w:rPr>
      </w:pPr>
    </w:p>
    <w:p w14:paraId="01275F4F" w14:textId="6B09D68C" w:rsidR="00D1577F" w:rsidRPr="0007572B" w:rsidRDefault="00D1577F" w:rsidP="0038082E">
      <w:pPr>
        <w:autoSpaceDE w:val="0"/>
        <w:autoSpaceDN w:val="0"/>
        <w:rPr>
          <w:rFonts w:ascii="Arial" w:hAnsi="Arial" w:cs="Arial"/>
        </w:rPr>
      </w:pPr>
      <w:r w:rsidRPr="0007572B">
        <w:rPr>
          <w:rFonts w:ascii="Arial" w:hAnsi="Arial" w:cs="Arial"/>
          <w:color w:val="000000"/>
          <w:lang w:val="en-US"/>
        </w:rPr>
        <w:t xml:space="preserve">In compliance with legislation, the Police Fund is accounted for in the group accounts of the GMCA. In the interests of </w:t>
      </w:r>
      <w:r w:rsidR="00F02D7B" w:rsidRPr="0007572B">
        <w:rPr>
          <w:rFonts w:ascii="Arial" w:hAnsi="Arial" w:cs="Arial"/>
          <w:color w:val="000000"/>
          <w:lang w:val="en-US"/>
        </w:rPr>
        <w:t>transparency,</w:t>
      </w:r>
      <w:r w:rsidRPr="0007572B">
        <w:rPr>
          <w:rFonts w:ascii="Arial" w:hAnsi="Arial" w:cs="Arial"/>
          <w:color w:val="000000"/>
          <w:lang w:val="en-US"/>
        </w:rPr>
        <w:t xml:space="preserve"> t</w:t>
      </w:r>
      <w:r w:rsidRPr="0007572B">
        <w:rPr>
          <w:rFonts w:ascii="Arial" w:hAnsi="Arial" w:cs="Arial"/>
        </w:rPr>
        <w:t>he statements below set out how the Police Fund was spent and funded, movements in the Mayoral Police Fund reserves and assets deployed for policing in 20</w:t>
      </w:r>
      <w:r w:rsidR="00F02D7B" w:rsidRPr="0007572B">
        <w:rPr>
          <w:rFonts w:ascii="Arial" w:hAnsi="Arial" w:cs="Arial"/>
        </w:rPr>
        <w:t>2</w:t>
      </w:r>
      <w:r w:rsidR="00225F11">
        <w:rPr>
          <w:rFonts w:ascii="Arial" w:hAnsi="Arial" w:cs="Arial"/>
        </w:rPr>
        <w:t>1</w:t>
      </w:r>
      <w:r w:rsidRPr="0007572B">
        <w:rPr>
          <w:rFonts w:ascii="Arial" w:hAnsi="Arial" w:cs="Arial"/>
        </w:rPr>
        <w:t>/2</w:t>
      </w:r>
      <w:r w:rsidR="00225F11">
        <w:rPr>
          <w:rFonts w:ascii="Arial" w:hAnsi="Arial" w:cs="Arial"/>
        </w:rPr>
        <w:t>2</w:t>
      </w:r>
      <w:r w:rsidRPr="0007572B">
        <w:rPr>
          <w:rFonts w:ascii="Arial" w:hAnsi="Arial" w:cs="Arial"/>
        </w:rPr>
        <w:t>.</w:t>
      </w:r>
    </w:p>
    <w:p w14:paraId="263CB859" w14:textId="6CDF52FA" w:rsidR="00D1577F" w:rsidRPr="0007572B" w:rsidRDefault="00D1577F" w:rsidP="0038082E">
      <w:pPr>
        <w:rPr>
          <w:rFonts w:ascii="Arial" w:hAnsi="Arial" w:cs="Arial"/>
          <w:b/>
          <w:sz w:val="22"/>
          <w:szCs w:val="22"/>
        </w:rPr>
      </w:pPr>
    </w:p>
    <w:p w14:paraId="6F6FA113" w14:textId="20FA3210" w:rsidR="00D1577F" w:rsidRPr="0007572B" w:rsidRDefault="00D1577F" w:rsidP="0038082E">
      <w:pPr>
        <w:pStyle w:val="Heading4bold"/>
        <w:rPr>
          <w:color w:val="000000"/>
          <w:lang w:val="en-US"/>
        </w:rPr>
      </w:pPr>
      <w:r w:rsidRPr="0007572B">
        <w:t>Police Fund Income and Expenditur</w:t>
      </w:r>
      <w:r w:rsidR="001B1DE6" w:rsidRPr="0007572B">
        <w:t>e</w:t>
      </w:r>
      <w:r w:rsidRPr="0007572B">
        <w:t>:</w:t>
      </w:r>
    </w:p>
    <w:p w14:paraId="4D552BFA" w14:textId="08A2F69D" w:rsidR="00D1577F" w:rsidRPr="0007572B" w:rsidRDefault="00225F11" w:rsidP="0038082E">
      <w:pPr>
        <w:rPr>
          <w:rFonts w:ascii="Arial" w:hAnsi="Arial" w:cs="Arial"/>
          <w:b/>
          <w:sz w:val="22"/>
          <w:szCs w:val="22"/>
        </w:rPr>
      </w:pPr>
      <w:r w:rsidRPr="00225F11">
        <w:rPr>
          <w:noProof/>
        </w:rPr>
        <w:drawing>
          <wp:inline distT="0" distB="0" distL="0" distR="0" wp14:anchorId="74CFADF1" wp14:editId="64576AA4">
            <wp:extent cx="6417945" cy="5243195"/>
            <wp:effectExtent l="0" t="0" r="1905"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6417945" cy="5243195"/>
                    </a:xfrm>
                    <a:prstGeom prst="rect">
                      <a:avLst/>
                    </a:prstGeom>
                    <a:noFill/>
                    <a:ln>
                      <a:noFill/>
                    </a:ln>
                  </pic:spPr>
                </pic:pic>
              </a:graphicData>
            </a:graphic>
          </wp:inline>
        </w:drawing>
      </w:r>
    </w:p>
    <w:p w14:paraId="25BC7E16" w14:textId="77777777" w:rsidR="00D1577F" w:rsidRPr="0007572B" w:rsidRDefault="00D1577F" w:rsidP="0038082E">
      <w:pPr>
        <w:rPr>
          <w:rFonts w:ascii="Arial" w:hAnsi="Arial" w:cs="Arial"/>
          <w:b/>
        </w:rPr>
      </w:pPr>
    </w:p>
    <w:p w14:paraId="02223E0A" w14:textId="77777777" w:rsidR="00AC4453" w:rsidRDefault="00AC4453" w:rsidP="0038082E">
      <w:pPr>
        <w:rPr>
          <w:rFonts w:ascii="Arial" w:hAnsi="Arial" w:cs="Arial"/>
          <w:b/>
          <w:bCs/>
        </w:rPr>
      </w:pPr>
      <w:r>
        <w:br w:type="page"/>
      </w:r>
    </w:p>
    <w:p w14:paraId="4B3DE6F6" w14:textId="4E7F3BB4" w:rsidR="00D1577F" w:rsidRPr="0007572B" w:rsidRDefault="00D1577F" w:rsidP="0038082E">
      <w:pPr>
        <w:pStyle w:val="Heading4bold"/>
      </w:pPr>
      <w:r w:rsidRPr="0007572B">
        <w:t>Movement in Mayoral Police Fund Reserves:</w:t>
      </w:r>
    </w:p>
    <w:p w14:paraId="3D991538" w14:textId="77777777" w:rsidR="00D1577F" w:rsidRPr="0007572B" w:rsidRDefault="00D1577F" w:rsidP="0038082E">
      <w:pPr>
        <w:rPr>
          <w:rFonts w:ascii="Arial" w:hAnsi="Arial" w:cs="Arial"/>
        </w:rPr>
      </w:pPr>
      <w:r w:rsidRPr="0007572B">
        <w:rPr>
          <w:rFonts w:ascii="Arial" w:hAnsi="Arial" w:cs="Arial"/>
        </w:rPr>
        <w:t>This note sets out the amounts set aside from the General Fund in reserves to provide financing for future expenditure plans and the amounts posted back from earmarked reserves to meet General Fund expenditure.</w:t>
      </w:r>
    </w:p>
    <w:p w14:paraId="7CAEB846" w14:textId="7A182972" w:rsidR="00D1577F" w:rsidRPr="0007572B" w:rsidRDefault="00D1577F" w:rsidP="0038082E">
      <w:pPr>
        <w:rPr>
          <w:rFonts w:ascii="Arial" w:hAnsi="Arial" w:cs="Arial"/>
          <w:b/>
        </w:rPr>
      </w:pPr>
    </w:p>
    <w:p w14:paraId="0BFAF8D2" w14:textId="5E69F886" w:rsidR="0056706E" w:rsidRPr="0007572B" w:rsidRDefault="00225F11" w:rsidP="0038082E">
      <w:pPr>
        <w:rPr>
          <w:rFonts w:ascii="Arial" w:hAnsi="Arial" w:cs="Arial"/>
          <w:b/>
          <w:sz w:val="22"/>
          <w:szCs w:val="22"/>
        </w:rPr>
      </w:pPr>
      <w:r w:rsidRPr="00225F11">
        <w:rPr>
          <w:noProof/>
        </w:rPr>
        <w:drawing>
          <wp:inline distT="0" distB="0" distL="0" distR="0" wp14:anchorId="2E490DDD" wp14:editId="1748C994">
            <wp:extent cx="5636895" cy="1325245"/>
            <wp:effectExtent l="0" t="0" r="1905" b="8255"/>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636895" cy="1325245"/>
                    </a:xfrm>
                    <a:prstGeom prst="rect">
                      <a:avLst/>
                    </a:prstGeom>
                    <a:noFill/>
                    <a:ln>
                      <a:noFill/>
                    </a:ln>
                  </pic:spPr>
                </pic:pic>
              </a:graphicData>
            </a:graphic>
          </wp:inline>
        </w:drawing>
      </w:r>
    </w:p>
    <w:p w14:paraId="55E05601" w14:textId="77777777" w:rsidR="00D1577F" w:rsidRPr="0007572B" w:rsidRDefault="00D1577F" w:rsidP="0038082E">
      <w:pPr>
        <w:rPr>
          <w:rFonts w:ascii="Arial" w:hAnsi="Arial" w:cs="Arial"/>
          <w:b/>
          <w:sz w:val="22"/>
          <w:szCs w:val="22"/>
        </w:rPr>
      </w:pPr>
    </w:p>
    <w:p w14:paraId="1A5058E1" w14:textId="77777777" w:rsidR="00D1577F" w:rsidRPr="0007572B" w:rsidRDefault="00D1577F" w:rsidP="0038082E">
      <w:pPr>
        <w:spacing w:after="160"/>
        <w:rPr>
          <w:rFonts w:ascii="Arial" w:hAnsi="Arial" w:cs="Arial"/>
          <w:b/>
          <w:color w:val="000000"/>
          <w:sz w:val="22"/>
          <w:szCs w:val="22"/>
          <w:lang w:val="en-US"/>
        </w:rPr>
        <w:sectPr w:rsidR="00D1577F" w:rsidRPr="0007572B" w:rsidSect="0086765F">
          <w:pgSz w:w="11906" w:h="16838"/>
          <w:pgMar w:top="947" w:right="851" w:bottom="1440" w:left="851" w:header="284" w:footer="567" w:gutter="0"/>
          <w:cols w:space="708"/>
          <w:docGrid w:linePitch="360"/>
        </w:sectPr>
      </w:pPr>
    </w:p>
    <w:p w14:paraId="176E7486" w14:textId="77777777" w:rsidR="00D1577F" w:rsidRPr="0007572B" w:rsidRDefault="00D1577F" w:rsidP="0038082E">
      <w:pPr>
        <w:pStyle w:val="Heading4bold"/>
        <w:rPr>
          <w:lang w:val="en-US"/>
        </w:rPr>
      </w:pPr>
      <w:r w:rsidRPr="0007572B">
        <w:rPr>
          <w:lang w:val="en-US"/>
        </w:rPr>
        <w:t>Assets deployed in the provision of Policing Services:</w:t>
      </w:r>
    </w:p>
    <w:p w14:paraId="037908C8" w14:textId="6F277592" w:rsidR="00D1577F" w:rsidRPr="0007572B" w:rsidRDefault="00D1577F" w:rsidP="0038082E">
      <w:pPr>
        <w:rPr>
          <w:rFonts w:ascii="Arial" w:hAnsi="Arial" w:cs="Arial"/>
          <w:b/>
          <w:sz w:val="22"/>
          <w:szCs w:val="22"/>
        </w:rPr>
      </w:pPr>
    </w:p>
    <w:p w14:paraId="06327A87" w14:textId="48A546F0" w:rsidR="00CD68B8" w:rsidRDefault="00225F11" w:rsidP="0038082E">
      <w:pPr>
        <w:rPr>
          <w:noProof/>
        </w:rPr>
      </w:pPr>
      <w:r w:rsidRPr="00225F11">
        <w:rPr>
          <w:noProof/>
        </w:rPr>
        <w:drawing>
          <wp:inline distT="0" distB="0" distL="0" distR="0" wp14:anchorId="373174F3" wp14:editId="74D29ABF">
            <wp:extent cx="9177020" cy="3562985"/>
            <wp:effectExtent l="0" t="0" r="508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9177020" cy="3562985"/>
                    </a:xfrm>
                    <a:prstGeom prst="rect">
                      <a:avLst/>
                    </a:prstGeom>
                    <a:noFill/>
                    <a:ln>
                      <a:noFill/>
                    </a:ln>
                  </pic:spPr>
                </pic:pic>
              </a:graphicData>
            </a:graphic>
          </wp:inline>
        </w:drawing>
      </w:r>
    </w:p>
    <w:p w14:paraId="03C2819A" w14:textId="77777777" w:rsidR="00CD68B8" w:rsidRDefault="00CD68B8" w:rsidP="0038082E">
      <w:pPr>
        <w:rPr>
          <w:noProof/>
        </w:rPr>
      </w:pPr>
    </w:p>
    <w:p w14:paraId="57D64219" w14:textId="1E32E1CF" w:rsidR="0056706E" w:rsidRPr="0007572B" w:rsidRDefault="0056706E" w:rsidP="0038082E">
      <w:pPr>
        <w:rPr>
          <w:rFonts w:ascii="Arial" w:hAnsi="Arial" w:cs="Arial"/>
          <w:b/>
          <w:sz w:val="22"/>
          <w:szCs w:val="22"/>
        </w:rPr>
      </w:pPr>
    </w:p>
    <w:p w14:paraId="5E0EF686" w14:textId="4F6ACCEB" w:rsidR="00C01234" w:rsidRPr="0007572B" w:rsidRDefault="00C01234" w:rsidP="0038082E">
      <w:pPr>
        <w:rPr>
          <w:rFonts w:ascii="Arial" w:hAnsi="Arial" w:cs="Arial"/>
          <w:b/>
        </w:rPr>
      </w:pPr>
    </w:p>
    <w:p w14:paraId="470A9825" w14:textId="396475FB" w:rsidR="00C01234" w:rsidRPr="0007572B" w:rsidRDefault="00C01234" w:rsidP="0038082E">
      <w:pPr>
        <w:rPr>
          <w:rFonts w:ascii="Arial" w:hAnsi="Arial" w:cs="Arial"/>
          <w:b/>
          <w:sz w:val="40"/>
          <w:szCs w:val="40"/>
        </w:rPr>
        <w:sectPr w:rsidR="00C01234" w:rsidRPr="0007572B" w:rsidSect="00D1577F">
          <w:headerReference w:type="default" r:id="rId99"/>
          <w:pgSz w:w="16838" w:h="11906" w:orient="landscape"/>
          <w:pgMar w:top="1080" w:right="946" w:bottom="1416" w:left="1440" w:header="283" w:footer="567" w:gutter="0"/>
          <w:cols w:space="708"/>
          <w:docGrid w:linePitch="360"/>
        </w:sectPr>
      </w:pPr>
    </w:p>
    <w:p w14:paraId="637E0CFC" w14:textId="77777777" w:rsidR="00C01234" w:rsidRPr="0007572B" w:rsidRDefault="00C01234" w:rsidP="0038082E">
      <w:pPr>
        <w:pStyle w:val="Heading4bold"/>
      </w:pPr>
      <w:r w:rsidRPr="0007572B">
        <w:t>Police Fund Intangible Assets:</w:t>
      </w:r>
    </w:p>
    <w:p w14:paraId="75C51721" w14:textId="210D8676" w:rsidR="00C01234" w:rsidRDefault="00C01234" w:rsidP="003808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Arial" w:hAnsi="Arial" w:cs="Arial"/>
          <w:b/>
          <w:color w:val="000000"/>
          <w:sz w:val="22"/>
          <w:szCs w:val="22"/>
        </w:rPr>
      </w:pPr>
    </w:p>
    <w:p w14:paraId="1EEC228E" w14:textId="25E474D9" w:rsidR="00990A8F" w:rsidRDefault="00225F11" w:rsidP="003808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Arial" w:hAnsi="Arial" w:cs="Arial"/>
          <w:b/>
          <w:color w:val="000000"/>
          <w:sz w:val="22"/>
          <w:szCs w:val="22"/>
        </w:rPr>
      </w:pPr>
      <w:r w:rsidRPr="00225F11">
        <w:rPr>
          <w:noProof/>
        </w:rPr>
        <w:drawing>
          <wp:inline distT="0" distB="0" distL="0" distR="0" wp14:anchorId="20A135D5" wp14:editId="4525EEC9">
            <wp:extent cx="5975350" cy="2449830"/>
            <wp:effectExtent l="0" t="0" r="6350" b="762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5975350" cy="2449830"/>
                    </a:xfrm>
                    <a:prstGeom prst="rect">
                      <a:avLst/>
                    </a:prstGeom>
                    <a:noFill/>
                    <a:ln>
                      <a:noFill/>
                    </a:ln>
                  </pic:spPr>
                </pic:pic>
              </a:graphicData>
            </a:graphic>
          </wp:inline>
        </w:drawing>
      </w:r>
    </w:p>
    <w:p w14:paraId="1B4D7D49" w14:textId="77777777" w:rsidR="00990A8F" w:rsidRPr="0007572B" w:rsidRDefault="00990A8F" w:rsidP="003808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Arial" w:hAnsi="Arial" w:cs="Arial"/>
          <w:b/>
          <w:color w:val="000000"/>
          <w:sz w:val="22"/>
          <w:szCs w:val="22"/>
        </w:rPr>
      </w:pPr>
    </w:p>
    <w:p w14:paraId="04CDE850" w14:textId="10B46318" w:rsidR="0056706E" w:rsidRPr="0007572B" w:rsidRDefault="0056706E" w:rsidP="003808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Arial" w:hAnsi="Arial" w:cs="Arial"/>
          <w:b/>
          <w:color w:val="000000"/>
          <w:sz w:val="22"/>
          <w:szCs w:val="22"/>
        </w:rPr>
      </w:pPr>
    </w:p>
    <w:p w14:paraId="251554C3" w14:textId="3EB23A0A" w:rsidR="00C01234" w:rsidRPr="0007572B" w:rsidRDefault="00C01234" w:rsidP="003808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Arial" w:hAnsi="Arial" w:cs="Arial"/>
          <w:b/>
          <w:color w:val="000000"/>
          <w:sz w:val="22"/>
          <w:szCs w:val="22"/>
        </w:rPr>
      </w:pPr>
    </w:p>
    <w:p w14:paraId="32F65A3A" w14:textId="77777777" w:rsidR="00C01234" w:rsidRPr="0007572B" w:rsidRDefault="00C01234" w:rsidP="0038082E">
      <w:pPr>
        <w:rPr>
          <w:rFonts w:ascii="Arial" w:hAnsi="Arial" w:cs="Arial"/>
          <w:b/>
          <w:sz w:val="22"/>
          <w:szCs w:val="22"/>
        </w:rPr>
      </w:pPr>
      <w:r w:rsidRPr="0007572B">
        <w:rPr>
          <w:rFonts w:ascii="Arial" w:hAnsi="Arial" w:cs="Arial"/>
          <w:b/>
          <w:sz w:val="22"/>
          <w:szCs w:val="22"/>
        </w:rPr>
        <w:br w:type="page"/>
      </w:r>
    </w:p>
    <w:p w14:paraId="7C09EF50" w14:textId="39613FE4" w:rsidR="00293CC5" w:rsidRPr="0007572B" w:rsidRDefault="00293CC5" w:rsidP="0038082E">
      <w:pPr>
        <w:pStyle w:val="Heaading2green"/>
      </w:pPr>
      <w:bookmarkStart w:id="210" w:name="_Toc109922649"/>
      <w:r w:rsidRPr="0007572B">
        <w:t>Firefighters’ Pension Fund</w:t>
      </w:r>
      <w:bookmarkEnd w:id="210"/>
    </w:p>
    <w:p w14:paraId="6079CDA8" w14:textId="77777777" w:rsidR="005F371A" w:rsidRPr="005F371A" w:rsidRDefault="005F371A" w:rsidP="0038082E">
      <w:pPr>
        <w:rPr>
          <w:rFonts w:ascii="Arial" w:hAnsi="Arial" w:cs="Arial"/>
        </w:rPr>
      </w:pPr>
    </w:p>
    <w:p w14:paraId="323DBAEF" w14:textId="5E9DA2C2" w:rsidR="00293CC5" w:rsidRPr="005F371A" w:rsidRDefault="00293CC5" w:rsidP="0038082E">
      <w:pPr>
        <w:rPr>
          <w:rFonts w:ascii="Arial" w:hAnsi="Arial" w:cs="Arial"/>
        </w:rPr>
      </w:pPr>
      <w:r w:rsidRPr="005F371A">
        <w:rPr>
          <w:rFonts w:ascii="Arial" w:hAnsi="Arial" w:cs="Arial"/>
        </w:rPr>
        <w:t>There is a requirement in the Code of Practice to produce a Pension Fund Account and Net Assets Statement in respect of the Firefighter’s Pension Scheme. The purpose of the Funds is to provide a basis for demonstrating the balance of cash based transactions taking place over the year and for identifying the arrangements needed to close the balance for the year. The primary objective is to separate the cost of providing pensions from the cost of running services.</w:t>
      </w:r>
    </w:p>
    <w:p w14:paraId="0539231E" w14:textId="77777777" w:rsidR="00293CC5" w:rsidRPr="0007572B" w:rsidRDefault="00293CC5" w:rsidP="0038082E">
      <w:pPr>
        <w:rPr>
          <w:rFonts w:ascii="Arial" w:hAnsi="Arial" w:cs="Arial"/>
          <w:sz w:val="28"/>
          <w:szCs w:val="28"/>
        </w:rPr>
      </w:pPr>
    </w:p>
    <w:p w14:paraId="7C04E387" w14:textId="242C3BAC" w:rsidR="00293CC5" w:rsidRDefault="00293CC5" w:rsidP="0038082E">
      <w:pPr>
        <w:rPr>
          <w:rFonts w:ascii="Arial" w:hAnsi="Arial" w:cs="Arial"/>
        </w:rPr>
      </w:pPr>
      <w:r w:rsidRPr="0007572B">
        <w:rPr>
          <w:rFonts w:ascii="Arial" w:hAnsi="Arial" w:cs="Arial"/>
        </w:rPr>
        <w:t>This is an unfunded scheme, which is administered in accordance with Home Office regulations. For such schemes as there are no investment assets, IAS19 requires recognition of the liability and pension reserve in the Balance Sheet and transactions in the Income and Expenditure Account for movements in the liability and reserve.</w:t>
      </w:r>
    </w:p>
    <w:p w14:paraId="28BAD9A7" w14:textId="42979F07" w:rsidR="00823103" w:rsidRPr="0007572B" w:rsidRDefault="00823103" w:rsidP="0038082E">
      <w:pPr>
        <w:pStyle w:val="Heading3"/>
      </w:pPr>
      <w:bookmarkStart w:id="211" w:name="_Toc92894912"/>
      <w:bookmarkStart w:id="212" w:name="_Toc92895216"/>
      <w:bookmarkStart w:id="213" w:name="_Toc109922650"/>
      <w:r>
        <w:t>Firefighters’ Pension Fund Account</w:t>
      </w:r>
      <w:bookmarkEnd w:id="211"/>
      <w:bookmarkEnd w:id="212"/>
      <w:bookmarkEnd w:id="213"/>
    </w:p>
    <w:p w14:paraId="6299A3A2" w14:textId="734A51F4" w:rsidR="00293CC5" w:rsidRDefault="00293CC5" w:rsidP="0038082E">
      <w:pPr>
        <w:rPr>
          <w:rFonts w:ascii="Arial" w:hAnsi="Arial" w:cs="Arial"/>
        </w:rPr>
      </w:pPr>
    </w:p>
    <w:p w14:paraId="0536ED5D" w14:textId="18C7F47D" w:rsidR="00990A8F" w:rsidRDefault="00410CDF" w:rsidP="0038082E">
      <w:pPr>
        <w:rPr>
          <w:rFonts w:ascii="Arial" w:hAnsi="Arial" w:cs="Arial"/>
        </w:rPr>
      </w:pPr>
      <w:r w:rsidRPr="00410CDF">
        <w:rPr>
          <w:rFonts w:ascii="Arial" w:hAnsi="Arial" w:cs="Arial"/>
        </w:rPr>
        <w:t xml:space="preserve"> </w:t>
      </w:r>
      <w:r w:rsidRPr="00410CDF">
        <w:rPr>
          <w:noProof/>
        </w:rPr>
        <w:drawing>
          <wp:inline distT="0" distB="0" distL="0" distR="0" wp14:anchorId="1D7687C1" wp14:editId="062A1DDA">
            <wp:extent cx="5538470" cy="2876550"/>
            <wp:effectExtent l="0" t="0" r="508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5538470" cy="2876550"/>
                    </a:xfrm>
                    <a:prstGeom prst="rect">
                      <a:avLst/>
                    </a:prstGeom>
                    <a:noFill/>
                    <a:ln>
                      <a:noFill/>
                    </a:ln>
                  </pic:spPr>
                </pic:pic>
              </a:graphicData>
            </a:graphic>
          </wp:inline>
        </w:drawing>
      </w:r>
    </w:p>
    <w:p w14:paraId="3A6EAF11" w14:textId="77777777" w:rsidR="00990A8F" w:rsidRPr="0007572B" w:rsidRDefault="00990A8F" w:rsidP="0038082E">
      <w:pPr>
        <w:rPr>
          <w:rFonts w:ascii="Arial" w:hAnsi="Arial" w:cs="Arial"/>
        </w:rPr>
      </w:pPr>
    </w:p>
    <w:p w14:paraId="313AD74B" w14:textId="77777777" w:rsidR="00293CC5" w:rsidRPr="0007572B" w:rsidRDefault="00293CC5" w:rsidP="0038082E">
      <w:pPr>
        <w:pStyle w:val="Heading3"/>
      </w:pPr>
      <w:bookmarkStart w:id="214" w:name="_Toc92894913"/>
      <w:bookmarkStart w:id="215" w:name="_Toc92895217"/>
      <w:bookmarkStart w:id="216" w:name="_Toc109922651"/>
      <w:r w:rsidRPr="0007572B">
        <w:t>Net asset statement</w:t>
      </w:r>
      <w:bookmarkEnd w:id="214"/>
      <w:bookmarkEnd w:id="215"/>
      <w:bookmarkEnd w:id="216"/>
    </w:p>
    <w:p w14:paraId="39622041" w14:textId="13544FDB" w:rsidR="00293CC5" w:rsidRDefault="00293CC5" w:rsidP="0038082E">
      <w:pPr>
        <w:rPr>
          <w:rFonts w:ascii="Arial" w:hAnsi="Arial" w:cs="Arial"/>
        </w:rPr>
      </w:pPr>
    </w:p>
    <w:p w14:paraId="248852DC" w14:textId="6210A8AA" w:rsidR="00600DE2" w:rsidRDefault="00410CDF" w:rsidP="0038082E">
      <w:pPr>
        <w:rPr>
          <w:rFonts w:ascii="Arial" w:hAnsi="Arial" w:cs="Arial"/>
        </w:rPr>
      </w:pPr>
      <w:r w:rsidRPr="00410CDF">
        <w:rPr>
          <w:noProof/>
        </w:rPr>
        <w:drawing>
          <wp:inline distT="0" distB="0" distL="0" distR="0" wp14:anchorId="6E7E28F4" wp14:editId="6EEBAB1F">
            <wp:extent cx="5538470" cy="1024255"/>
            <wp:effectExtent l="0" t="0" r="5080" b="4445"/>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5538470" cy="1024255"/>
                    </a:xfrm>
                    <a:prstGeom prst="rect">
                      <a:avLst/>
                    </a:prstGeom>
                    <a:noFill/>
                    <a:ln>
                      <a:noFill/>
                    </a:ln>
                  </pic:spPr>
                </pic:pic>
              </a:graphicData>
            </a:graphic>
          </wp:inline>
        </w:drawing>
      </w:r>
    </w:p>
    <w:p w14:paraId="29DBAC2C" w14:textId="6E4E97F1" w:rsidR="00293CC5" w:rsidRPr="0007572B" w:rsidRDefault="00293CC5" w:rsidP="0038082E">
      <w:pPr>
        <w:rPr>
          <w:rFonts w:ascii="Arial" w:hAnsi="Arial" w:cs="Arial"/>
        </w:rPr>
      </w:pPr>
    </w:p>
    <w:p w14:paraId="6B68D5C5" w14:textId="77777777" w:rsidR="00293CC5" w:rsidRPr="0007572B" w:rsidRDefault="00293CC5" w:rsidP="0038082E">
      <w:pPr>
        <w:rPr>
          <w:rFonts w:ascii="Arial" w:hAnsi="Arial" w:cs="Arial"/>
        </w:rPr>
      </w:pPr>
    </w:p>
    <w:p w14:paraId="2FDDD2D7" w14:textId="12EF340E" w:rsidR="00293CC5" w:rsidRPr="0007572B" w:rsidRDefault="00293CC5" w:rsidP="0038082E">
      <w:pPr>
        <w:rPr>
          <w:rFonts w:ascii="Arial" w:hAnsi="Arial" w:cs="Arial"/>
        </w:rPr>
      </w:pPr>
      <w:r w:rsidRPr="0007572B">
        <w:rPr>
          <w:rFonts w:ascii="Arial" w:hAnsi="Arial" w:cs="Arial"/>
        </w:rPr>
        <w:t xml:space="preserve">The funding arrangements for the Firefighters’ Pension Scheme in England changed on 1 April 2006. Before 1 April 2006 these schemes did not have a percentage of pensionable pay type of employer’s contribution - rather each </w:t>
      </w:r>
      <w:r w:rsidR="00D952FE" w:rsidRPr="0007572B">
        <w:rPr>
          <w:rFonts w:ascii="Arial" w:hAnsi="Arial" w:cs="Arial"/>
        </w:rPr>
        <w:t>a</w:t>
      </w:r>
      <w:r w:rsidRPr="0007572B">
        <w:rPr>
          <w:rFonts w:ascii="Arial" w:hAnsi="Arial" w:cs="Arial"/>
        </w:rPr>
        <w:t xml:space="preserve">uthority was responsible for paying the pensions of its own former employees on a pay as you go basis. Under the new arrangements the schemes remain unfunded but Authorities will pay an employer’s pension contribution based on a percentage of pay into the Pension Fund. Each </w:t>
      </w:r>
      <w:r w:rsidR="00D952FE" w:rsidRPr="0007572B">
        <w:rPr>
          <w:rFonts w:ascii="Arial" w:hAnsi="Arial" w:cs="Arial"/>
        </w:rPr>
        <w:t>a</w:t>
      </w:r>
      <w:r w:rsidRPr="0007572B">
        <w:rPr>
          <w:rFonts w:ascii="Arial" w:hAnsi="Arial" w:cs="Arial"/>
        </w:rPr>
        <w:t>uthority in England is required by legislation to operate a Pension Fund and the amounts that must be paid into and out of the Fund are specified by regulation under the Firefighters’ Pension Scheme (Amendment) (England) Order 2006.</w:t>
      </w:r>
    </w:p>
    <w:p w14:paraId="6BEE47B6" w14:textId="77777777" w:rsidR="00293CC5" w:rsidRPr="0007572B" w:rsidRDefault="00293CC5" w:rsidP="0038082E">
      <w:pPr>
        <w:rPr>
          <w:rFonts w:ascii="Arial" w:hAnsi="Arial" w:cs="Arial"/>
        </w:rPr>
      </w:pPr>
    </w:p>
    <w:p w14:paraId="2F420781" w14:textId="77777777" w:rsidR="00293CC5" w:rsidRPr="0007572B" w:rsidRDefault="00293CC5" w:rsidP="0038082E">
      <w:pPr>
        <w:rPr>
          <w:rFonts w:ascii="Arial" w:hAnsi="Arial" w:cs="Arial"/>
        </w:rPr>
      </w:pPr>
      <w:r w:rsidRPr="0007572B">
        <w:rPr>
          <w:rFonts w:ascii="Arial" w:hAnsi="Arial" w:cs="Arial"/>
        </w:rPr>
        <w:t>Employees’ and employers’ contribution levels are based on percentages of pensionable pay set nationally by the Government Actuary Department (GAD) and are subject to triennial revaluation.</w:t>
      </w:r>
    </w:p>
    <w:p w14:paraId="1326B968" w14:textId="77777777" w:rsidR="00293CC5" w:rsidRPr="0007572B" w:rsidRDefault="00293CC5" w:rsidP="0038082E">
      <w:pPr>
        <w:rPr>
          <w:rFonts w:ascii="Arial" w:hAnsi="Arial" w:cs="Arial"/>
        </w:rPr>
      </w:pPr>
    </w:p>
    <w:p w14:paraId="4FA38094" w14:textId="77777777" w:rsidR="00293CC5" w:rsidRPr="0007572B" w:rsidRDefault="00293CC5" w:rsidP="0038082E">
      <w:pPr>
        <w:rPr>
          <w:rFonts w:ascii="Arial" w:hAnsi="Arial" w:cs="Arial"/>
        </w:rPr>
      </w:pPr>
      <w:r w:rsidRPr="0007572B">
        <w:rPr>
          <w:rFonts w:ascii="Arial" w:hAnsi="Arial" w:cs="Arial"/>
        </w:rPr>
        <w:t>There are no investment assets and the fund is balanced to nil each year by receipt of pension top-up grant from the Home Office or by paying over any surplus to the Home Office. The fund’s financial statements do not take into account liabilities to pay pensions and other benefits after the period end.</w:t>
      </w:r>
    </w:p>
    <w:p w14:paraId="4E8897A4" w14:textId="77777777" w:rsidR="00293CC5" w:rsidRPr="0007572B" w:rsidRDefault="00293CC5" w:rsidP="0038082E">
      <w:pPr>
        <w:rPr>
          <w:rFonts w:ascii="Arial" w:hAnsi="Arial" w:cs="Arial"/>
        </w:rPr>
      </w:pPr>
    </w:p>
    <w:p w14:paraId="692E3B4D" w14:textId="77777777" w:rsidR="00293CC5" w:rsidRPr="0007572B" w:rsidRDefault="00293CC5" w:rsidP="0038082E">
      <w:pPr>
        <w:rPr>
          <w:rFonts w:ascii="Arial" w:hAnsi="Arial" w:cs="Arial"/>
        </w:rPr>
      </w:pPr>
      <w:r w:rsidRPr="0007572B">
        <w:rPr>
          <w:rFonts w:ascii="Arial" w:hAnsi="Arial" w:cs="Arial"/>
        </w:rPr>
        <w:t>The accounting policies adopted for the production of the pension fund account are in line with recommended practice and follow those that apply to the Authority’s primary statements.</w:t>
      </w:r>
    </w:p>
    <w:p w14:paraId="2DA5F92D" w14:textId="77777777" w:rsidR="00293CC5" w:rsidRPr="0007572B" w:rsidRDefault="00293CC5" w:rsidP="0038082E">
      <w:pPr>
        <w:pStyle w:val="AGS-Bullets"/>
        <w:numPr>
          <w:ilvl w:val="0"/>
          <w:numId w:val="0"/>
        </w:numPr>
        <w:rPr>
          <w:sz w:val="24"/>
          <w:szCs w:val="24"/>
        </w:rPr>
      </w:pPr>
    </w:p>
    <w:p w14:paraId="53550505" w14:textId="38498658" w:rsidR="00293CC5" w:rsidRDefault="00293CC5" w:rsidP="0038082E">
      <w:pPr>
        <w:pStyle w:val="AGS-Bullets"/>
        <w:numPr>
          <w:ilvl w:val="0"/>
          <w:numId w:val="0"/>
        </w:numPr>
        <w:rPr>
          <w:sz w:val="24"/>
          <w:szCs w:val="24"/>
        </w:rPr>
      </w:pPr>
      <w:r w:rsidRPr="0007572B">
        <w:rPr>
          <w:sz w:val="24"/>
          <w:szCs w:val="24"/>
        </w:rPr>
        <w:t xml:space="preserve">The Fund’s financial statements do not take into account liabilities to pay pensions after 31 March </w:t>
      </w:r>
      <w:r w:rsidR="00502211">
        <w:rPr>
          <w:sz w:val="24"/>
          <w:szCs w:val="24"/>
        </w:rPr>
        <w:t>2022</w:t>
      </w:r>
      <w:r w:rsidRPr="0007572B">
        <w:rPr>
          <w:sz w:val="24"/>
          <w:szCs w:val="24"/>
        </w:rPr>
        <w:t>. Liabilities to pay future payments are included in the IAS19 charges and notes to the Financial Statements.</w:t>
      </w:r>
    </w:p>
    <w:p w14:paraId="77B3B6E8" w14:textId="447CD36C" w:rsidR="002A74DB" w:rsidRDefault="002A74DB" w:rsidP="0038082E">
      <w:pPr>
        <w:pStyle w:val="AGS-Bullets"/>
        <w:numPr>
          <w:ilvl w:val="0"/>
          <w:numId w:val="0"/>
        </w:numPr>
        <w:rPr>
          <w:sz w:val="24"/>
          <w:szCs w:val="24"/>
        </w:rPr>
      </w:pPr>
    </w:p>
    <w:p w14:paraId="03C7BADE" w14:textId="77777777" w:rsidR="002A74DB" w:rsidRPr="0007572B" w:rsidRDefault="002A74DB" w:rsidP="0038082E">
      <w:pPr>
        <w:pStyle w:val="AGS-Bullets"/>
        <w:numPr>
          <w:ilvl w:val="0"/>
          <w:numId w:val="0"/>
        </w:numPr>
        <w:rPr>
          <w:sz w:val="24"/>
          <w:szCs w:val="24"/>
        </w:rPr>
      </w:pPr>
    </w:p>
    <w:p w14:paraId="775803CB" w14:textId="77777777" w:rsidR="00795BE0" w:rsidRPr="0007572B" w:rsidRDefault="00293CC5" w:rsidP="00795BE0">
      <w:pPr>
        <w:pStyle w:val="BodyText"/>
        <w:rPr>
          <w:b/>
          <w:sz w:val="40"/>
          <w:szCs w:val="40"/>
        </w:rPr>
      </w:pPr>
      <w:r w:rsidRPr="0007572B">
        <w:rPr>
          <w:b/>
          <w:sz w:val="40"/>
          <w:szCs w:val="40"/>
        </w:rPr>
        <w:br w:type="page"/>
      </w:r>
    </w:p>
    <w:p w14:paraId="069676F7" w14:textId="77777777" w:rsidR="00795BE0" w:rsidRDefault="00795BE0" w:rsidP="00795BE0">
      <w:pPr>
        <w:rPr>
          <w:rFonts w:ascii="Arial" w:hAnsi="Arial" w:cs="Arial"/>
          <w:b/>
          <w:sz w:val="40"/>
          <w:szCs w:val="40"/>
        </w:rPr>
      </w:pPr>
    </w:p>
    <w:p w14:paraId="555E8AB7" w14:textId="77777777" w:rsidR="00795BE0" w:rsidRDefault="00795BE0" w:rsidP="00795BE0">
      <w:pPr>
        <w:rPr>
          <w:rFonts w:ascii="Arial" w:hAnsi="Arial" w:cs="Arial"/>
          <w:b/>
          <w:sz w:val="40"/>
          <w:szCs w:val="40"/>
        </w:rPr>
      </w:pPr>
    </w:p>
    <w:p w14:paraId="26FC7609" w14:textId="77777777" w:rsidR="00795BE0" w:rsidRDefault="00795BE0" w:rsidP="00795BE0">
      <w:pPr>
        <w:rPr>
          <w:rFonts w:ascii="Arial" w:hAnsi="Arial" w:cs="Arial"/>
          <w:b/>
          <w:sz w:val="40"/>
          <w:szCs w:val="40"/>
        </w:rPr>
      </w:pPr>
    </w:p>
    <w:p w14:paraId="3E48EBCB" w14:textId="77777777" w:rsidR="00795BE0" w:rsidRDefault="00795BE0" w:rsidP="00795BE0">
      <w:pPr>
        <w:rPr>
          <w:rFonts w:ascii="Arial" w:hAnsi="Arial" w:cs="Arial"/>
          <w:b/>
          <w:sz w:val="40"/>
          <w:szCs w:val="40"/>
        </w:rPr>
      </w:pPr>
    </w:p>
    <w:p w14:paraId="0E8AB140" w14:textId="77777777" w:rsidR="00795BE0" w:rsidRDefault="00795BE0" w:rsidP="00795BE0">
      <w:pPr>
        <w:rPr>
          <w:rFonts w:ascii="Arial" w:hAnsi="Arial" w:cs="Arial"/>
          <w:b/>
          <w:sz w:val="40"/>
          <w:szCs w:val="40"/>
        </w:rPr>
      </w:pPr>
    </w:p>
    <w:p w14:paraId="79BEAA4E" w14:textId="77777777" w:rsidR="00795BE0" w:rsidRDefault="00795BE0" w:rsidP="00795BE0">
      <w:pPr>
        <w:rPr>
          <w:rFonts w:ascii="Arial" w:hAnsi="Arial" w:cs="Arial"/>
          <w:b/>
          <w:sz w:val="40"/>
          <w:szCs w:val="40"/>
        </w:rPr>
      </w:pPr>
    </w:p>
    <w:p w14:paraId="22986C2C" w14:textId="77777777" w:rsidR="00795BE0" w:rsidRPr="0007572B" w:rsidRDefault="00795BE0" w:rsidP="00795BE0">
      <w:pPr>
        <w:rPr>
          <w:rFonts w:ascii="Arial" w:hAnsi="Arial" w:cs="Arial"/>
          <w:b/>
          <w:sz w:val="40"/>
          <w:szCs w:val="40"/>
        </w:rPr>
      </w:pPr>
    </w:p>
    <w:p w14:paraId="4C7A94F2" w14:textId="77777777" w:rsidR="00795BE0" w:rsidRPr="005F371A" w:rsidRDefault="00795BE0" w:rsidP="00795BE0">
      <w:pPr>
        <w:pStyle w:val="Heading1"/>
        <w:jc w:val="center"/>
      </w:pPr>
      <w:bookmarkStart w:id="217" w:name="_Toc92895218"/>
      <w:bookmarkStart w:id="218" w:name="_Toc109922652"/>
      <w:r w:rsidRPr="005F371A">
        <w:t>Greater Manchester Combined Authority</w:t>
      </w:r>
      <w:r>
        <w:t xml:space="preserve"> - Group Accounts</w:t>
      </w:r>
      <w:bookmarkEnd w:id="217"/>
      <w:bookmarkEnd w:id="218"/>
    </w:p>
    <w:p w14:paraId="15B0F443" w14:textId="77777777" w:rsidR="00795BE0" w:rsidRPr="0007572B" w:rsidRDefault="00795BE0" w:rsidP="00795BE0">
      <w:pPr>
        <w:rPr>
          <w:rFonts w:ascii="Arial" w:hAnsi="Arial" w:cs="Arial"/>
          <w:b/>
          <w:sz w:val="22"/>
          <w:szCs w:val="22"/>
        </w:rPr>
      </w:pPr>
    </w:p>
    <w:p w14:paraId="40977AD8" w14:textId="77777777" w:rsidR="00795BE0" w:rsidRPr="0007572B" w:rsidRDefault="00795BE0" w:rsidP="00795BE0">
      <w:pPr>
        <w:rPr>
          <w:rFonts w:ascii="Arial" w:hAnsi="Arial" w:cs="Arial"/>
          <w:b/>
          <w:sz w:val="22"/>
          <w:szCs w:val="22"/>
        </w:rPr>
      </w:pPr>
      <w:r w:rsidRPr="0007572B">
        <w:rPr>
          <w:rFonts w:ascii="Arial" w:hAnsi="Arial" w:cs="Arial"/>
          <w:b/>
          <w:sz w:val="22"/>
          <w:szCs w:val="22"/>
        </w:rPr>
        <w:br w:type="page"/>
      </w:r>
    </w:p>
    <w:p w14:paraId="0E507568" w14:textId="77777777" w:rsidR="00795BE0" w:rsidRPr="0007572B" w:rsidRDefault="00795BE0" w:rsidP="00795BE0">
      <w:pPr>
        <w:pStyle w:val="Heading2green"/>
      </w:pPr>
      <w:bookmarkStart w:id="219" w:name="_Toc92895219"/>
      <w:bookmarkStart w:id="220" w:name="_Toc109922653"/>
      <w:r w:rsidRPr="0007572B">
        <w:t>Introduction</w:t>
      </w:r>
      <w:bookmarkEnd w:id="219"/>
      <w:bookmarkEnd w:id="220"/>
    </w:p>
    <w:p w14:paraId="3FB4CE74" w14:textId="77777777" w:rsidR="00795BE0" w:rsidRPr="0007572B" w:rsidRDefault="00795BE0" w:rsidP="00795BE0">
      <w:pPr>
        <w:pStyle w:val="Heading3"/>
        <w:rPr>
          <w:lang w:val="en-US"/>
        </w:rPr>
      </w:pPr>
      <w:bookmarkStart w:id="221" w:name="_Toc92894916"/>
      <w:bookmarkStart w:id="222" w:name="_Toc92895220"/>
      <w:bookmarkStart w:id="223" w:name="_Toc109922654"/>
      <w:r w:rsidRPr="0007572B">
        <w:rPr>
          <w:lang w:val="en-US"/>
        </w:rPr>
        <w:t>Background</w:t>
      </w:r>
      <w:bookmarkEnd w:id="221"/>
      <w:bookmarkEnd w:id="222"/>
      <w:bookmarkEnd w:id="223"/>
    </w:p>
    <w:p w14:paraId="16611069" w14:textId="77777777" w:rsidR="00795BE0" w:rsidRPr="0007572B" w:rsidRDefault="00795BE0" w:rsidP="00795BE0">
      <w:pPr>
        <w:rPr>
          <w:rFonts w:ascii="Arial" w:hAnsi="Arial" w:cs="Arial"/>
          <w:color w:val="000000"/>
          <w:lang w:val="en-US"/>
        </w:rPr>
      </w:pPr>
      <w:r w:rsidRPr="0007572B">
        <w:rPr>
          <w:rFonts w:ascii="Arial" w:hAnsi="Arial" w:cs="Arial"/>
          <w:color w:val="000000"/>
          <w:lang w:val="en-US"/>
        </w:rPr>
        <w:t>The Accounting Code of Practice requires that where an authority has material financial interests and a significant level of control over one or more entities, it should prepare Group Accounts. The aim of these statements is to give an overall picture of the Authority’s financial activities and the resources employed in carrying out those activities.</w:t>
      </w:r>
    </w:p>
    <w:p w14:paraId="24BF3E93" w14:textId="77777777" w:rsidR="00795BE0" w:rsidRPr="0007572B" w:rsidRDefault="00795BE0" w:rsidP="00795BE0">
      <w:pPr>
        <w:rPr>
          <w:rFonts w:ascii="Arial" w:hAnsi="Arial" w:cs="Arial"/>
          <w:color w:val="000000"/>
          <w:lang w:val="en-US"/>
        </w:rPr>
      </w:pPr>
    </w:p>
    <w:p w14:paraId="57D04A3E" w14:textId="77777777" w:rsidR="00795BE0" w:rsidRPr="0007572B" w:rsidRDefault="00795BE0" w:rsidP="00795BE0">
      <w:pPr>
        <w:rPr>
          <w:rFonts w:ascii="Arial" w:hAnsi="Arial" w:cs="Arial"/>
          <w:color w:val="000000"/>
          <w:lang w:val="en-US"/>
        </w:rPr>
      </w:pPr>
      <w:r w:rsidRPr="0007572B">
        <w:rPr>
          <w:rFonts w:ascii="Arial" w:hAnsi="Arial" w:cs="Arial"/>
          <w:color w:val="000000"/>
          <w:lang w:val="en-US"/>
        </w:rPr>
        <w:t xml:space="preserve">The Group Accounts comprise the following key financial statements (with appropriate disclosures): </w:t>
      </w:r>
    </w:p>
    <w:p w14:paraId="6CBD193E" w14:textId="77777777" w:rsidR="00795BE0" w:rsidRPr="0007572B" w:rsidRDefault="00795BE0" w:rsidP="00795BE0">
      <w:pPr>
        <w:rPr>
          <w:rFonts w:ascii="Arial" w:hAnsi="Arial" w:cs="Arial"/>
          <w:color w:val="000000"/>
          <w:lang w:val="en-US"/>
        </w:rPr>
      </w:pPr>
    </w:p>
    <w:p w14:paraId="2D7E4EDE" w14:textId="77777777" w:rsidR="00795BE0" w:rsidRPr="0007572B" w:rsidRDefault="00795BE0" w:rsidP="00DF4603">
      <w:pPr>
        <w:numPr>
          <w:ilvl w:val="0"/>
          <w:numId w:val="78"/>
        </w:numPr>
        <w:rPr>
          <w:rFonts w:ascii="Arial" w:hAnsi="Arial" w:cs="Arial"/>
          <w:color w:val="000000"/>
          <w:lang w:val="en-US"/>
        </w:rPr>
      </w:pPr>
      <w:r w:rsidRPr="0007572B">
        <w:rPr>
          <w:rFonts w:ascii="Arial" w:hAnsi="Arial" w:cs="Arial"/>
          <w:color w:val="000000"/>
          <w:lang w:val="en-US"/>
        </w:rPr>
        <w:t>Group Comprehensive Income and Expenditure Statement;</w:t>
      </w:r>
    </w:p>
    <w:p w14:paraId="61A4717D" w14:textId="77777777" w:rsidR="00795BE0" w:rsidRPr="0007572B" w:rsidRDefault="00795BE0" w:rsidP="00DF4603">
      <w:pPr>
        <w:numPr>
          <w:ilvl w:val="0"/>
          <w:numId w:val="78"/>
        </w:numPr>
        <w:rPr>
          <w:rFonts w:ascii="Arial" w:hAnsi="Arial" w:cs="Arial"/>
          <w:color w:val="000000"/>
          <w:lang w:val="en-US"/>
        </w:rPr>
      </w:pPr>
      <w:r w:rsidRPr="0007572B">
        <w:rPr>
          <w:rFonts w:ascii="Arial" w:hAnsi="Arial" w:cs="Arial"/>
          <w:color w:val="000000"/>
          <w:lang w:val="en-US"/>
        </w:rPr>
        <w:t>Group Movement in Reserves Statement;</w:t>
      </w:r>
    </w:p>
    <w:p w14:paraId="7CA2B640" w14:textId="77777777" w:rsidR="00795BE0" w:rsidRPr="0007572B" w:rsidRDefault="00795BE0" w:rsidP="00DF4603">
      <w:pPr>
        <w:numPr>
          <w:ilvl w:val="0"/>
          <w:numId w:val="78"/>
        </w:numPr>
        <w:rPr>
          <w:rFonts w:ascii="Arial" w:hAnsi="Arial" w:cs="Arial"/>
          <w:color w:val="000000"/>
          <w:lang w:val="en-US"/>
        </w:rPr>
      </w:pPr>
      <w:r w:rsidRPr="0007572B">
        <w:rPr>
          <w:rFonts w:ascii="Arial" w:hAnsi="Arial" w:cs="Arial"/>
          <w:color w:val="000000"/>
          <w:lang w:val="en-US"/>
        </w:rPr>
        <w:t>Group Balance Sheet;</w:t>
      </w:r>
    </w:p>
    <w:p w14:paraId="0936C065" w14:textId="77777777" w:rsidR="00795BE0" w:rsidRPr="0007572B" w:rsidRDefault="00795BE0" w:rsidP="00DF4603">
      <w:pPr>
        <w:numPr>
          <w:ilvl w:val="0"/>
          <w:numId w:val="78"/>
        </w:numPr>
        <w:rPr>
          <w:rFonts w:ascii="Arial" w:hAnsi="Arial" w:cs="Arial"/>
          <w:color w:val="000000"/>
          <w:lang w:val="en-US"/>
        </w:rPr>
      </w:pPr>
      <w:r w:rsidRPr="0007572B">
        <w:rPr>
          <w:rFonts w:ascii="Arial" w:hAnsi="Arial" w:cs="Arial"/>
          <w:color w:val="000000"/>
          <w:lang w:val="en-US"/>
        </w:rPr>
        <w:t>Group Cash Flow Statement.</w:t>
      </w:r>
    </w:p>
    <w:p w14:paraId="147FA202" w14:textId="77777777" w:rsidR="00795BE0" w:rsidRPr="005F371A" w:rsidRDefault="00795BE0" w:rsidP="00795BE0">
      <w:pPr>
        <w:pStyle w:val="Heading3"/>
      </w:pPr>
      <w:bookmarkStart w:id="224" w:name="_Toc92894917"/>
      <w:bookmarkStart w:id="225" w:name="_Toc92895221"/>
      <w:bookmarkStart w:id="226" w:name="_Toc109922655"/>
      <w:r w:rsidRPr="005F371A">
        <w:t>The Greater Manchester Combined Authority Group:</w:t>
      </w:r>
      <w:bookmarkEnd w:id="224"/>
      <w:bookmarkEnd w:id="225"/>
      <w:bookmarkEnd w:id="226"/>
    </w:p>
    <w:p w14:paraId="7F76ECDB" w14:textId="77777777" w:rsidR="00795BE0" w:rsidRPr="0007572B" w:rsidRDefault="00795BE0" w:rsidP="00795BE0">
      <w:pPr>
        <w:rPr>
          <w:rFonts w:ascii="Arial" w:hAnsi="Arial" w:cs="Arial"/>
          <w:color w:val="000000"/>
          <w:lang w:val="en-US"/>
        </w:rPr>
      </w:pPr>
      <w:r w:rsidRPr="0007572B">
        <w:rPr>
          <w:rFonts w:ascii="Arial" w:hAnsi="Arial" w:cs="Arial"/>
          <w:color w:val="000000"/>
          <w:lang w:val="en-US"/>
        </w:rPr>
        <w:t>A review of the entities related to the Authority has taken place and the conclusions are provided below:</w:t>
      </w:r>
    </w:p>
    <w:p w14:paraId="10698E5D" w14:textId="77777777" w:rsidR="00795BE0" w:rsidRDefault="00795BE0" w:rsidP="00795BE0">
      <w:pPr>
        <w:pStyle w:val="Heading3"/>
      </w:pPr>
      <w:bookmarkStart w:id="227" w:name="_Toc92894918"/>
      <w:bookmarkStart w:id="228" w:name="_Toc92895222"/>
      <w:bookmarkStart w:id="229" w:name="_Toc109922656"/>
      <w:r w:rsidRPr="005F371A">
        <w:t>Bodies Consolidated:</w:t>
      </w:r>
      <w:bookmarkEnd w:id="227"/>
      <w:bookmarkEnd w:id="228"/>
      <w:bookmarkEnd w:id="229"/>
    </w:p>
    <w:p w14:paraId="3C87428D" w14:textId="77777777" w:rsidR="00795BE0" w:rsidRPr="005F371A" w:rsidRDefault="00795BE0" w:rsidP="00795BE0"/>
    <w:p w14:paraId="2C1100FA" w14:textId="77777777" w:rsidR="00795BE0" w:rsidRPr="0007572B" w:rsidRDefault="00795BE0" w:rsidP="00795BE0">
      <w:pPr>
        <w:pStyle w:val="Heading4bold"/>
        <w:rPr>
          <w:lang w:val="en-US"/>
        </w:rPr>
      </w:pPr>
      <w:r w:rsidRPr="0007572B">
        <w:rPr>
          <w:lang w:val="en-US"/>
        </w:rPr>
        <w:t>Chief Constable of Greater Manchester Police (GMP)</w:t>
      </w:r>
    </w:p>
    <w:p w14:paraId="235F43EC" w14:textId="77777777" w:rsidR="00795BE0" w:rsidRPr="0007572B" w:rsidRDefault="00795BE0" w:rsidP="00795BE0">
      <w:pPr>
        <w:rPr>
          <w:rFonts w:ascii="Arial" w:hAnsi="Arial" w:cs="Arial"/>
          <w:color w:val="000000"/>
          <w:lang w:val="en-US"/>
        </w:rPr>
      </w:pPr>
      <w:r w:rsidRPr="0007572B">
        <w:rPr>
          <w:rFonts w:ascii="Arial" w:hAnsi="Arial" w:cs="Arial"/>
          <w:color w:val="000000"/>
          <w:lang w:val="en-US"/>
        </w:rPr>
        <w:t>GMP is to continue to be included in the Authority’s group accounts. The Mayor is responsible for the formal oversight of GMP, including provision of all funding, budget setting, performance scrutiny and strategic policy development, and for ensuring GMP is run efficiently and effectively. Operational decision-making on day-to-day policing including the employment of police staff remains the responsibility of the Chief Constable.</w:t>
      </w:r>
    </w:p>
    <w:p w14:paraId="18BD8B0E" w14:textId="77777777" w:rsidR="00795BE0" w:rsidRPr="0007572B" w:rsidRDefault="00795BE0" w:rsidP="00795BE0">
      <w:pPr>
        <w:rPr>
          <w:rFonts w:ascii="Arial" w:hAnsi="Arial" w:cs="Arial"/>
          <w:color w:val="000000"/>
          <w:lang w:val="en-US"/>
        </w:rPr>
      </w:pPr>
    </w:p>
    <w:p w14:paraId="3A8C5527" w14:textId="77777777" w:rsidR="00795BE0" w:rsidRDefault="00795BE0" w:rsidP="00795BE0">
      <w:pPr>
        <w:rPr>
          <w:rFonts w:ascii="Arial" w:eastAsia="Calibri" w:hAnsi="Arial" w:cs="Arial"/>
          <w:color w:val="000000"/>
          <w:lang w:val="en-US"/>
        </w:rPr>
      </w:pPr>
      <w:r w:rsidRPr="0007572B">
        <w:rPr>
          <w:rFonts w:ascii="Arial" w:hAnsi="Arial" w:cs="Arial"/>
          <w:color w:val="000000"/>
          <w:lang w:val="en-US"/>
        </w:rPr>
        <w:t>Under the legislative framework and local arrangements, the Authority under sole instruction from the Mayor, is responsible for the finances of the Mayoral Police Fund including assets, liabilities and reserves. The Authority has responsibility for entering into contracts and establishing the contractual framework under which the Chief Constable’s officers and staff operate.</w:t>
      </w:r>
      <w:r w:rsidRPr="0007572B">
        <w:rPr>
          <w:rFonts w:ascii="Arial" w:eastAsia="Calibri" w:hAnsi="Arial" w:cs="Arial"/>
          <w:color w:val="000000"/>
          <w:lang w:val="en-US"/>
        </w:rPr>
        <w:t xml:space="preserve"> The Authority receives all income and funding and makes all the payments for the policing activity from the Mayoral Police Fund. Details of the Mayoral Police Fund are disclosed in </w:t>
      </w:r>
      <w:r>
        <w:rPr>
          <w:rFonts w:ascii="Arial" w:eastAsia="Calibri" w:hAnsi="Arial" w:cs="Arial"/>
          <w:color w:val="000000"/>
          <w:lang w:val="en-US"/>
        </w:rPr>
        <w:t xml:space="preserve">the </w:t>
      </w:r>
      <w:r w:rsidRPr="0007572B">
        <w:rPr>
          <w:rFonts w:ascii="Arial" w:eastAsia="Calibri" w:hAnsi="Arial" w:cs="Arial"/>
          <w:color w:val="000000"/>
          <w:lang w:val="en-US"/>
        </w:rPr>
        <w:t>note</w:t>
      </w:r>
      <w:r>
        <w:rPr>
          <w:rFonts w:ascii="Arial" w:eastAsia="Calibri" w:hAnsi="Arial" w:cs="Arial"/>
          <w:color w:val="000000"/>
          <w:lang w:val="en-US"/>
        </w:rPr>
        <w:t>s to the single entity statements</w:t>
      </w:r>
      <w:r w:rsidRPr="0007572B">
        <w:rPr>
          <w:rFonts w:ascii="Arial" w:eastAsia="Calibri" w:hAnsi="Arial" w:cs="Arial"/>
          <w:color w:val="000000"/>
          <w:lang w:val="en-US"/>
        </w:rPr>
        <w:t>.</w:t>
      </w:r>
    </w:p>
    <w:p w14:paraId="34AB946F" w14:textId="77777777" w:rsidR="00795BE0" w:rsidRDefault="00795BE0" w:rsidP="00795BE0">
      <w:pPr>
        <w:rPr>
          <w:rFonts w:ascii="Arial" w:eastAsia="Calibri" w:hAnsi="Arial" w:cs="Arial"/>
          <w:color w:val="000000"/>
          <w:lang w:val="en-US"/>
        </w:rPr>
      </w:pPr>
    </w:p>
    <w:p w14:paraId="356A22F1" w14:textId="77777777" w:rsidR="00795BE0" w:rsidRPr="0007572B" w:rsidRDefault="00795BE0" w:rsidP="00795BE0">
      <w:pPr>
        <w:pStyle w:val="Heading4bold"/>
        <w:rPr>
          <w:lang w:val="en-US"/>
        </w:rPr>
      </w:pPr>
      <w:r w:rsidRPr="0007572B">
        <w:rPr>
          <w:lang w:val="en-US"/>
        </w:rPr>
        <w:t>Transport for Greater Manchester (TfGM)</w:t>
      </w:r>
    </w:p>
    <w:p w14:paraId="43CB4F5E" w14:textId="77777777" w:rsidR="00795BE0" w:rsidRDefault="00795BE0" w:rsidP="00795BE0">
      <w:pPr>
        <w:rPr>
          <w:rFonts w:ascii="Arial" w:hAnsi="Arial" w:cs="Arial"/>
          <w:color w:val="000000"/>
          <w:lang w:val="en-US"/>
        </w:rPr>
      </w:pPr>
      <w:r w:rsidRPr="0007572B">
        <w:rPr>
          <w:rFonts w:ascii="Arial" w:hAnsi="Arial" w:cs="Arial"/>
          <w:color w:val="000000"/>
          <w:lang w:val="en-US"/>
        </w:rPr>
        <w:t xml:space="preserve">TfGM is to continue to be included in the Authority’s group accounts. The Authority and/or the Mayor sets local public transport policy and is responsible for deciding how funds are spent on supporting and improving Greater Manchester’s public transport network. The decisions of the Authority and/or the Mayor are implemented by TfGM and TfGM is responsible for implementing the policies of the Authority. </w:t>
      </w:r>
    </w:p>
    <w:p w14:paraId="69B09E7D" w14:textId="77777777" w:rsidR="00795BE0" w:rsidRDefault="00795BE0" w:rsidP="00795BE0">
      <w:pPr>
        <w:rPr>
          <w:rFonts w:ascii="Arial" w:hAnsi="Arial" w:cs="Arial"/>
          <w:color w:val="000000"/>
          <w:lang w:val="en-US"/>
        </w:rPr>
      </w:pPr>
    </w:p>
    <w:p w14:paraId="37BD1D58" w14:textId="77777777" w:rsidR="00795BE0" w:rsidRPr="0007572B" w:rsidRDefault="00795BE0" w:rsidP="00795BE0">
      <w:pPr>
        <w:rPr>
          <w:rFonts w:ascii="Arial" w:hAnsi="Arial" w:cs="Arial"/>
          <w:color w:val="000000"/>
          <w:lang w:val="en-US"/>
        </w:rPr>
      </w:pPr>
      <w:r w:rsidRPr="0007572B">
        <w:rPr>
          <w:rFonts w:ascii="Arial" w:hAnsi="Arial" w:cs="Arial"/>
          <w:color w:val="000000"/>
          <w:lang w:val="en-US"/>
        </w:rPr>
        <w:t>TfGM’s net expenditure after taking into account all sources of income and expenditure is financed by way of a Revenue Grant from the Authority. TfGM’s corporate objectives are derived from the Authority’s policy priorities, stakeholder consultation and its principal statutory obligations. Strategic objectives and targets are set out in the Authority/TfGM Business and Performance Plan.</w:t>
      </w:r>
      <w:r>
        <w:rPr>
          <w:rFonts w:ascii="Arial" w:hAnsi="Arial" w:cs="Arial"/>
          <w:color w:val="000000"/>
          <w:lang w:val="en-US"/>
        </w:rPr>
        <w:t xml:space="preserve"> </w:t>
      </w:r>
    </w:p>
    <w:p w14:paraId="6D1B7D13" w14:textId="77777777" w:rsidR="00795BE0" w:rsidRDefault="00795BE0" w:rsidP="00795BE0">
      <w:pPr>
        <w:rPr>
          <w:rFonts w:ascii="Arial" w:hAnsi="Arial" w:cs="Arial"/>
          <w:color w:val="000000"/>
          <w:lang w:val="en-US"/>
        </w:rPr>
      </w:pPr>
    </w:p>
    <w:p w14:paraId="529A4660" w14:textId="77777777" w:rsidR="00795BE0" w:rsidRPr="0007572B" w:rsidRDefault="00795BE0" w:rsidP="00795BE0">
      <w:pPr>
        <w:rPr>
          <w:rFonts w:ascii="Arial" w:hAnsi="Arial" w:cs="Arial"/>
          <w:color w:val="000000"/>
          <w:lang w:val="en-US"/>
        </w:rPr>
      </w:pPr>
      <w:r>
        <w:rPr>
          <w:rFonts w:ascii="Arial" w:hAnsi="Arial" w:cs="Arial"/>
        </w:rPr>
        <w:t>A</w:t>
      </w:r>
      <w:r w:rsidRPr="0007572B">
        <w:rPr>
          <w:rFonts w:ascii="Arial" w:hAnsi="Arial" w:cs="Arial"/>
          <w:bCs/>
          <w:lang w:eastAsia="en-GB"/>
        </w:rPr>
        <w:t>lthough transport related borrowing sits on the GMCA balance sheet, all the transport assets sit on TFGM's balance sheet. GMCA carries sufficient reserves in respect of each of its functions to provide resilience in the event of volatility in its various funding sources</w:t>
      </w:r>
      <w:r>
        <w:rPr>
          <w:rFonts w:ascii="Arial" w:hAnsi="Arial" w:cs="Arial"/>
          <w:bCs/>
          <w:lang w:eastAsia="en-GB"/>
        </w:rPr>
        <w:t>. D</w:t>
      </w:r>
      <w:r w:rsidRPr="0007572B">
        <w:rPr>
          <w:rFonts w:ascii="Arial" w:hAnsi="Arial" w:cs="Arial"/>
          <w:color w:val="000000"/>
          <w:lang w:val="en-US"/>
        </w:rPr>
        <w:t>etails of transactions with TfGM are included in the related parties note.</w:t>
      </w:r>
    </w:p>
    <w:p w14:paraId="038AB01D" w14:textId="77777777" w:rsidR="00795BE0" w:rsidRPr="0007572B" w:rsidRDefault="00795BE0" w:rsidP="00795BE0">
      <w:pPr>
        <w:rPr>
          <w:rFonts w:ascii="Arial" w:hAnsi="Arial" w:cs="Arial"/>
          <w:color w:val="000000"/>
          <w:lang w:val="en-US"/>
        </w:rPr>
      </w:pPr>
    </w:p>
    <w:p w14:paraId="7A92F6D6" w14:textId="77777777" w:rsidR="00795BE0" w:rsidRDefault="00795BE0" w:rsidP="00795BE0">
      <w:pPr>
        <w:rPr>
          <w:rFonts w:ascii="Arial" w:hAnsi="Arial" w:cs="Arial"/>
        </w:rPr>
      </w:pPr>
      <w:r w:rsidRPr="0007572B">
        <w:rPr>
          <w:rFonts w:ascii="Arial" w:hAnsi="Arial" w:cs="Arial"/>
        </w:rPr>
        <w:t>The Accounts of TfGM are prepared in accordance with the Accounts and Audit (England) Regulations 2015. These require the Accounts to be prepared in accordance with the Code of Practice on Local Authority Accounting in the United Kingdom (The Code).</w:t>
      </w:r>
      <w:r>
        <w:rPr>
          <w:rFonts w:ascii="Arial" w:hAnsi="Arial" w:cs="Arial"/>
        </w:rPr>
        <w:t xml:space="preserve"> </w:t>
      </w:r>
    </w:p>
    <w:p w14:paraId="731479AF" w14:textId="77777777" w:rsidR="00795BE0" w:rsidRPr="0007572B" w:rsidRDefault="00795BE0" w:rsidP="00795BE0">
      <w:pPr>
        <w:rPr>
          <w:rFonts w:ascii="Arial" w:hAnsi="Arial" w:cs="Arial"/>
        </w:rPr>
      </w:pPr>
    </w:p>
    <w:p w14:paraId="738D17D8" w14:textId="77777777" w:rsidR="00795BE0" w:rsidRPr="0007572B" w:rsidRDefault="00795BE0" w:rsidP="00795BE0">
      <w:pPr>
        <w:pStyle w:val="Heading4bold"/>
        <w:rPr>
          <w:lang w:val="en-US"/>
        </w:rPr>
      </w:pPr>
      <w:r w:rsidRPr="0007572B">
        <w:rPr>
          <w:lang w:val="en-US"/>
        </w:rPr>
        <w:t>NW Evergreen Holdings Limited Partnership (NWEH)</w:t>
      </w:r>
    </w:p>
    <w:p w14:paraId="06D8C19E" w14:textId="77777777" w:rsidR="00795BE0" w:rsidRDefault="00795BE0" w:rsidP="00795BE0">
      <w:pPr>
        <w:rPr>
          <w:rFonts w:ascii="Arial" w:hAnsi="Arial" w:cs="Arial"/>
          <w:bCs/>
          <w:lang w:eastAsia="en-GB"/>
        </w:rPr>
      </w:pPr>
      <w:r w:rsidRPr="0007572B">
        <w:rPr>
          <w:rFonts w:ascii="Arial" w:hAnsi="Arial" w:cs="Arial"/>
          <w:color w:val="000000"/>
          <w:lang w:val="en-US"/>
        </w:rPr>
        <w:t>NWEH is to continue to be included in the Authority’s group accounts. In September 2016 the Authority established NWEH to act as a holding fund for earlier tranches of ERDF funding</w:t>
      </w:r>
      <w:r>
        <w:rPr>
          <w:rFonts w:ascii="Arial" w:hAnsi="Arial" w:cs="Arial"/>
          <w:color w:val="000000"/>
          <w:lang w:val="en-US"/>
        </w:rPr>
        <w:t xml:space="preserve"> </w:t>
      </w:r>
      <w:r w:rsidRPr="0007572B">
        <w:rPr>
          <w:rFonts w:ascii="Arial" w:hAnsi="Arial" w:cs="Arial"/>
          <w:bCs/>
          <w:lang w:eastAsia="en-GB"/>
        </w:rPr>
        <w:t>to support investment opportunities in properties in the North West</w:t>
      </w:r>
      <w:r w:rsidRPr="0007572B">
        <w:rPr>
          <w:rFonts w:ascii="Arial" w:hAnsi="Arial" w:cs="Arial"/>
          <w:color w:val="000000"/>
          <w:lang w:val="en-US"/>
        </w:rPr>
        <w:t xml:space="preserve">. The Fund has received significant funding from ERDF and will invest in sub funds that provide opportunities to identify, research and negotiate investment opportunities in properties in the North West of England. </w:t>
      </w:r>
      <w:r w:rsidRPr="0007572B">
        <w:rPr>
          <w:rFonts w:ascii="Arial" w:hAnsi="Arial" w:cs="Arial"/>
          <w:bCs/>
          <w:lang w:eastAsia="en-GB"/>
        </w:rPr>
        <w:t xml:space="preserve">The accounts included in the 20/21 group accounts are for the </w:t>
      </w:r>
      <w:r>
        <w:rPr>
          <w:rFonts w:ascii="Arial" w:hAnsi="Arial" w:cs="Arial"/>
          <w:bCs/>
          <w:lang w:eastAsia="en-GB"/>
        </w:rPr>
        <w:t>period ending</w:t>
      </w:r>
      <w:r w:rsidRPr="0007572B">
        <w:rPr>
          <w:rFonts w:ascii="Arial" w:hAnsi="Arial" w:cs="Arial"/>
          <w:bCs/>
          <w:lang w:eastAsia="en-GB"/>
        </w:rPr>
        <w:t xml:space="preserve"> 31 </w:t>
      </w:r>
      <w:r>
        <w:rPr>
          <w:rFonts w:ascii="Arial" w:hAnsi="Arial" w:cs="Arial"/>
          <w:bCs/>
          <w:lang w:eastAsia="en-GB"/>
        </w:rPr>
        <w:t>March 2022</w:t>
      </w:r>
      <w:r w:rsidRPr="0007572B">
        <w:rPr>
          <w:rFonts w:ascii="Arial" w:hAnsi="Arial" w:cs="Arial"/>
          <w:bCs/>
          <w:lang w:eastAsia="en-GB"/>
        </w:rPr>
        <w:t>.</w:t>
      </w:r>
    </w:p>
    <w:p w14:paraId="44887F86" w14:textId="77777777" w:rsidR="00795BE0" w:rsidRPr="0071193A" w:rsidRDefault="00795BE0" w:rsidP="00795BE0">
      <w:pPr>
        <w:rPr>
          <w:rFonts w:ascii="Arial" w:hAnsi="Arial" w:cs="Arial"/>
          <w:color w:val="000000"/>
          <w:lang w:val="en-US"/>
        </w:rPr>
      </w:pPr>
    </w:p>
    <w:p w14:paraId="43910934" w14:textId="77777777" w:rsidR="00795BE0" w:rsidRPr="0007572B" w:rsidRDefault="00795BE0" w:rsidP="00795BE0">
      <w:pPr>
        <w:pStyle w:val="Heading4bold"/>
        <w:rPr>
          <w:lang w:val="en-US"/>
        </w:rPr>
      </w:pPr>
      <w:r w:rsidRPr="0007572B">
        <w:rPr>
          <w:lang w:val="en-US"/>
        </w:rPr>
        <w:t>Greater Manchester Fund of Funds Limited Partnership (FoFLP)</w:t>
      </w:r>
    </w:p>
    <w:p w14:paraId="2E1ADB58" w14:textId="77777777" w:rsidR="00795BE0" w:rsidRPr="0007572B" w:rsidRDefault="00795BE0" w:rsidP="00795BE0">
      <w:pPr>
        <w:rPr>
          <w:rFonts w:ascii="Arial" w:hAnsi="Arial" w:cs="Arial"/>
          <w:color w:val="000000"/>
          <w:lang w:val="en-US"/>
        </w:rPr>
      </w:pPr>
      <w:r w:rsidRPr="0007572B">
        <w:rPr>
          <w:rFonts w:ascii="Arial" w:hAnsi="Arial" w:cs="Arial"/>
          <w:color w:val="000000"/>
          <w:lang w:val="en-US"/>
        </w:rPr>
        <w:t>In November 2016 the Authority established FoFLP to act as a holding fund for ERDF funding</w:t>
      </w:r>
      <w:r w:rsidRPr="0007572B">
        <w:rPr>
          <w:rFonts w:ascii="Arial" w:hAnsi="Arial" w:cs="Arial"/>
          <w:bCs/>
          <w:lang w:eastAsia="en-GB"/>
        </w:rPr>
        <w:t>.</w:t>
      </w:r>
      <w:r w:rsidRPr="0007572B">
        <w:rPr>
          <w:rFonts w:ascii="Arial" w:hAnsi="Arial" w:cs="Arial"/>
          <w:color w:val="000000"/>
          <w:lang w:val="en-US"/>
        </w:rPr>
        <w:t xml:space="preserve"> FoFLP will invest in sub funds that seek to support the shift towards a low carbon economy and for research and innovation.</w:t>
      </w:r>
      <w:r>
        <w:rPr>
          <w:rFonts w:ascii="Arial" w:hAnsi="Arial" w:cs="Arial"/>
          <w:color w:val="000000"/>
          <w:lang w:val="en-US"/>
        </w:rPr>
        <w:t xml:space="preserve"> </w:t>
      </w:r>
      <w:r w:rsidRPr="0007572B">
        <w:rPr>
          <w:rFonts w:ascii="Arial" w:hAnsi="Arial" w:cs="Arial"/>
          <w:bCs/>
          <w:lang w:eastAsia="en-GB"/>
        </w:rPr>
        <w:t xml:space="preserve">The accounts included in the 20/21 group accounts are for the </w:t>
      </w:r>
      <w:r>
        <w:rPr>
          <w:rFonts w:ascii="Arial" w:hAnsi="Arial" w:cs="Arial"/>
          <w:bCs/>
          <w:lang w:eastAsia="en-GB"/>
        </w:rPr>
        <w:t xml:space="preserve">period ending </w:t>
      </w:r>
      <w:r w:rsidRPr="0007572B">
        <w:rPr>
          <w:rFonts w:ascii="Arial" w:hAnsi="Arial" w:cs="Arial"/>
          <w:bCs/>
          <w:lang w:eastAsia="en-GB"/>
        </w:rPr>
        <w:t xml:space="preserve">31 </w:t>
      </w:r>
      <w:r>
        <w:rPr>
          <w:rFonts w:ascii="Arial" w:hAnsi="Arial" w:cs="Arial"/>
          <w:bCs/>
          <w:lang w:eastAsia="en-GB"/>
        </w:rPr>
        <w:t>March</w:t>
      </w:r>
      <w:r w:rsidRPr="0007572B">
        <w:rPr>
          <w:rFonts w:ascii="Arial" w:hAnsi="Arial" w:cs="Arial"/>
          <w:bCs/>
          <w:lang w:eastAsia="en-GB"/>
        </w:rPr>
        <w:t xml:space="preserve"> </w:t>
      </w:r>
      <w:r>
        <w:rPr>
          <w:rFonts w:ascii="Arial" w:hAnsi="Arial" w:cs="Arial"/>
          <w:bCs/>
          <w:lang w:eastAsia="en-GB"/>
        </w:rPr>
        <w:t>2022</w:t>
      </w:r>
      <w:r w:rsidRPr="0007572B">
        <w:rPr>
          <w:rFonts w:ascii="Arial" w:hAnsi="Arial" w:cs="Arial"/>
          <w:bCs/>
          <w:lang w:eastAsia="en-GB"/>
        </w:rPr>
        <w:t>.</w:t>
      </w:r>
    </w:p>
    <w:p w14:paraId="575D956F" w14:textId="77777777" w:rsidR="00795BE0" w:rsidRPr="00230784" w:rsidRDefault="00795BE0" w:rsidP="00795BE0">
      <w:pPr>
        <w:rPr>
          <w:rFonts w:ascii="Arial" w:hAnsi="Arial" w:cs="Arial"/>
          <w:color w:val="000000"/>
          <w:lang w:val="en-US"/>
        </w:rPr>
      </w:pPr>
    </w:p>
    <w:p w14:paraId="3C3AB4B1" w14:textId="77777777" w:rsidR="00795BE0" w:rsidRDefault="00795BE0" w:rsidP="00795BE0">
      <w:pPr>
        <w:rPr>
          <w:rFonts w:ascii="Arial" w:hAnsi="Arial" w:cs="Arial"/>
        </w:rPr>
      </w:pPr>
      <w:r w:rsidRPr="00230784">
        <w:rPr>
          <w:rFonts w:ascii="Arial" w:hAnsi="Arial" w:cs="Arial"/>
        </w:rPr>
        <w:t xml:space="preserve">All intra-group trading, balances and unrealised gains and losses as at the end of the period are eliminated in full. </w:t>
      </w:r>
    </w:p>
    <w:p w14:paraId="3332BD53" w14:textId="77777777" w:rsidR="00795BE0" w:rsidRPr="0007572B" w:rsidRDefault="00795BE0" w:rsidP="00795BE0">
      <w:pPr>
        <w:pStyle w:val="Heading3"/>
      </w:pPr>
      <w:bookmarkStart w:id="230" w:name="_Toc92894919"/>
      <w:bookmarkStart w:id="231" w:name="_Toc92895223"/>
      <w:bookmarkStart w:id="232" w:name="_Toc109922657"/>
      <w:r w:rsidRPr="0007572B">
        <w:t>Basis of Preparation of the Group Accounts</w:t>
      </w:r>
      <w:bookmarkEnd w:id="230"/>
      <w:bookmarkEnd w:id="231"/>
      <w:bookmarkEnd w:id="232"/>
    </w:p>
    <w:p w14:paraId="3C95D685" w14:textId="77777777" w:rsidR="00795BE0" w:rsidRPr="0007572B" w:rsidRDefault="00795BE0" w:rsidP="00795BE0">
      <w:pPr>
        <w:rPr>
          <w:rFonts w:ascii="Arial" w:hAnsi="Arial" w:cs="Arial"/>
        </w:rPr>
      </w:pPr>
      <w:r w:rsidRPr="0007572B">
        <w:rPr>
          <w:rFonts w:ascii="Arial" w:hAnsi="Arial" w:cs="Arial"/>
        </w:rPr>
        <w:t>The group accounts have been prepared on a historical cost basis, except for certain property assets that are measured at fair value, in accordance with the Code. The group accounts have been prepared on a going concern basis.</w:t>
      </w:r>
    </w:p>
    <w:p w14:paraId="5B537D16" w14:textId="77777777" w:rsidR="00795BE0" w:rsidRPr="00950EAF" w:rsidRDefault="00795BE0" w:rsidP="00795BE0">
      <w:pPr>
        <w:pStyle w:val="Heading3"/>
      </w:pPr>
      <w:bookmarkStart w:id="233" w:name="_Toc92894920"/>
      <w:bookmarkStart w:id="234" w:name="_Toc92895224"/>
      <w:bookmarkStart w:id="235" w:name="_Toc109922658"/>
      <w:r w:rsidRPr="00950EAF">
        <w:t>Statement of Compliance with IFRS</w:t>
      </w:r>
      <w:bookmarkEnd w:id="233"/>
      <w:bookmarkEnd w:id="234"/>
      <w:bookmarkEnd w:id="235"/>
    </w:p>
    <w:p w14:paraId="2CF2ADDA" w14:textId="77777777" w:rsidR="00795BE0" w:rsidRPr="0007572B" w:rsidRDefault="00795BE0" w:rsidP="00795BE0">
      <w:pPr>
        <w:rPr>
          <w:rFonts w:ascii="Arial" w:hAnsi="Arial" w:cs="Arial"/>
        </w:rPr>
      </w:pPr>
      <w:r w:rsidRPr="0007572B">
        <w:rPr>
          <w:rFonts w:ascii="Arial" w:hAnsi="Arial" w:cs="Arial"/>
        </w:rPr>
        <w:t>In accordance with the CIPFA Code of Practice on Local Authority Accounting in the United Kingdom, TfGM has adopted all aspects of the Code other than as follows:</w:t>
      </w:r>
    </w:p>
    <w:p w14:paraId="75045D82" w14:textId="77777777" w:rsidR="00795BE0" w:rsidRPr="0007572B" w:rsidRDefault="00795BE0" w:rsidP="00795BE0">
      <w:pPr>
        <w:rPr>
          <w:rFonts w:ascii="Arial" w:hAnsi="Arial" w:cs="Arial"/>
        </w:rPr>
      </w:pPr>
    </w:p>
    <w:p w14:paraId="438431D9" w14:textId="77777777" w:rsidR="00795BE0" w:rsidRPr="0007572B" w:rsidRDefault="00795BE0" w:rsidP="00DF4603">
      <w:pPr>
        <w:numPr>
          <w:ilvl w:val="0"/>
          <w:numId w:val="79"/>
        </w:numPr>
        <w:rPr>
          <w:rFonts w:ascii="Arial" w:hAnsi="Arial" w:cs="Arial"/>
        </w:rPr>
      </w:pPr>
      <w:r w:rsidRPr="0007572B">
        <w:rPr>
          <w:rFonts w:ascii="Arial" w:hAnsi="Arial" w:cs="Arial"/>
        </w:rPr>
        <w:t>Deregulation Reserve. IFRS 5 would treat the deregulation of bus services in 1986 as a discontinued operation, leading to the write off of any costs connected with deregulation. However, the Transport Act of 1985 allowed any costs incurred on deregulation to be transferred to a specific reserve, called the ‘Deregulation Reserve’. TfGM has adopted a policy of amortising the Deregulation Reserve over 30 years.</w:t>
      </w:r>
    </w:p>
    <w:p w14:paraId="417921C8" w14:textId="77777777" w:rsidR="00795BE0" w:rsidRPr="0007572B" w:rsidRDefault="00795BE0" w:rsidP="00795BE0">
      <w:pPr>
        <w:jc w:val="both"/>
        <w:rPr>
          <w:rFonts w:ascii="Arial" w:hAnsi="Arial" w:cs="Arial"/>
          <w:sz w:val="22"/>
          <w:szCs w:val="22"/>
        </w:rPr>
      </w:pPr>
    </w:p>
    <w:p w14:paraId="5F11C83A" w14:textId="77777777" w:rsidR="00795BE0" w:rsidRPr="0007572B" w:rsidRDefault="00795BE0" w:rsidP="00795BE0">
      <w:pPr>
        <w:spacing w:after="120"/>
        <w:jc w:val="both"/>
        <w:rPr>
          <w:rFonts w:ascii="Arial" w:hAnsi="Arial" w:cs="Arial"/>
          <w:sz w:val="22"/>
        </w:rPr>
      </w:pPr>
    </w:p>
    <w:p w14:paraId="483B395A" w14:textId="77777777" w:rsidR="00795BE0" w:rsidRPr="0007572B" w:rsidRDefault="00795BE0" w:rsidP="00795BE0">
      <w:pPr>
        <w:rPr>
          <w:rFonts w:ascii="Arial" w:hAnsi="Arial" w:cs="Arial"/>
          <w:sz w:val="22"/>
        </w:rPr>
        <w:sectPr w:rsidR="00795BE0" w:rsidRPr="0007572B" w:rsidSect="003A31EF">
          <w:headerReference w:type="default" r:id="rId103"/>
          <w:pgSz w:w="11906" w:h="16838"/>
          <w:pgMar w:top="946" w:right="1416" w:bottom="1440" w:left="1080" w:header="283" w:footer="567" w:gutter="0"/>
          <w:cols w:space="708"/>
          <w:docGrid w:linePitch="360"/>
        </w:sectPr>
      </w:pPr>
    </w:p>
    <w:p w14:paraId="23141B32" w14:textId="77777777" w:rsidR="00795BE0" w:rsidRPr="0007572B" w:rsidRDefault="00795BE0" w:rsidP="00795BE0">
      <w:pPr>
        <w:jc w:val="center"/>
        <w:rPr>
          <w:rFonts w:ascii="Arial" w:hAnsi="Arial" w:cs="Arial"/>
          <w:b/>
          <w:sz w:val="40"/>
          <w:szCs w:val="40"/>
        </w:rPr>
      </w:pPr>
    </w:p>
    <w:p w14:paraId="55641D69" w14:textId="77777777" w:rsidR="00795BE0" w:rsidRPr="0007572B" w:rsidRDefault="00795BE0" w:rsidP="00795BE0">
      <w:pPr>
        <w:jc w:val="center"/>
        <w:rPr>
          <w:rFonts w:ascii="Arial" w:hAnsi="Arial" w:cs="Arial"/>
          <w:b/>
          <w:sz w:val="40"/>
          <w:szCs w:val="40"/>
        </w:rPr>
      </w:pPr>
    </w:p>
    <w:p w14:paraId="7CC93396" w14:textId="77777777" w:rsidR="00795BE0" w:rsidRPr="0007572B" w:rsidRDefault="00795BE0" w:rsidP="00795BE0">
      <w:pPr>
        <w:jc w:val="center"/>
        <w:rPr>
          <w:rFonts w:ascii="Arial" w:hAnsi="Arial" w:cs="Arial"/>
          <w:b/>
          <w:sz w:val="40"/>
          <w:szCs w:val="40"/>
        </w:rPr>
      </w:pPr>
    </w:p>
    <w:p w14:paraId="4DCCF7A7" w14:textId="77777777" w:rsidR="00795BE0" w:rsidRPr="0007572B" w:rsidRDefault="00795BE0" w:rsidP="00795BE0">
      <w:pPr>
        <w:jc w:val="center"/>
        <w:rPr>
          <w:rFonts w:ascii="Arial" w:hAnsi="Arial" w:cs="Arial"/>
          <w:b/>
          <w:sz w:val="40"/>
          <w:szCs w:val="40"/>
        </w:rPr>
      </w:pPr>
    </w:p>
    <w:p w14:paraId="4B45ACBD" w14:textId="77777777" w:rsidR="00795BE0" w:rsidRPr="0007572B" w:rsidRDefault="00795BE0" w:rsidP="00795BE0">
      <w:pPr>
        <w:pStyle w:val="Heading1"/>
        <w:jc w:val="center"/>
      </w:pPr>
      <w:bookmarkStart w:id="236" w:name="_Toc92895225"/>
      <w:bookmarkStart w:id="237" w:name="_Toc109922659"/>
      <w:r w:rsidRPr="0007572B">
        <w:t>Greater Manchester Combined Authority</w:t>
      </w:r>
      <w:r>
        <w:t xml:space="preserve"> – Group Financial Statements</w:t>
      </w:r>
      <w:bookmarkEnd w:id="236"/>
      <w:bookmarkEnd w:id="237"/>
    </w:p>
    <w:p w14:paraId="4B00BE27" w14:textId="77777777" w:rsidR="00795BE0" w:rsidRPr="0007572B" w:rsidRDefault="00795BE0" w:rsidP="00795BE0">
      <w:pPr>
        <w:jc w:val="center"/>
        <w:rPr>
          <w:rFonts w:ascii="Arial" w:hAnsi="Arial" w:cs="Arial"/>
          <w:b/>
          <w:sz w:val="40"/>
          <w:szCs w:val="40"/>
        </w:rPr>
      </w:pPr>
    </w:p>
    <w:p w14:paraId="768BC2CB" w14:textId="77777777" w:rsidR="00795BE0" w:rsidRPr="0007572B" w:rsidRDefault="00795BE0" w:rsidP="00795BE0">
      <w:pPr>
        <w:jc w:val="center"/>
        <w:rPr>
          <w:rFonts w:ascii="Arial" w:hAnsi="Arial" w:cs="Arial"/>
          <w:b/>
          <w:sz w:val="40"/>
          <w:szCs w:val="40"/>
        </w:rPr>
      </w:pPr>
    </w:p>
    <w:p w14:paraId="6ABCE3C6" w14:textId="77777777" w:rsidR="00795BE0" w:rsidRPr="0007572B" w:rsidRDefault="00795BE0" w:rsidP="00795BE0">
      <w:pPr>
        <w:jc w:val="center"/>
        <w:rPr>
          <w:rFonts w:ascii="Arial" w:hAnsi="Arial" w:cs="Arial"/>
          <w:b/>
          <w:sz w:val="40"/>
          <w:szCs w:val="40"/>
        </w:rPr>
      </w:pPr>
    </w:p>
    <w:p w14:paraId="6B7B10D9" w14:textId="77777777" w:rsidR="00795BE0" w:rsidRPr="0007572B" w:rsidRDefault="00795BE0" w:rsidP="00795BE0">
      <w:pPr>
        <w:jc w:val="center"/>
        <w:rPr>
          <w:rFonts w:ascii="Arial" w:hAnsi="Arial" w:cs="Arial"/>
          <w:b/>
          <w:sz w:val="40"/>
          <w:szCs w:val="40"/>
        </w:rPr>
      </w:pPr>
    </w:p>
    <w:p w14:paraId="6B424094" w14:textId="77777777" w:rsidR="00795BE0" w:rsidRPr="0007572B" w:rsidRDefault="00795BE0" w:rsidP="00795BE0">
      <w:pPr>
        <w:jc w:val="center"/>
        <w:rPr>
          <w:rFonts w:ascii="Arial" w:hAnsi="Arial" w:cs="Arial"/>
          <w:b/>
          <w:sz w:val="40"/>
          <w:szCs w:val="40"/>
        </w:rPr>
      </w:pPr>
    </w:p>
    <w:p w14:paraId="67B44F65" w14:textId="77777777" w:rsidR="00795BE0" w:rsidRPr="0007572B" w:rsidRDefault="00795BE0" w:rsidP="00795BE0">
      <w:pPr>
        <w:rPr>
          <w:rFonts w:ascii="Arial" w:hAnsi="Arial" w:cs="Arial"/>
          <w:sz w:val="22"/>
        </w:rPr>
      </w:pPr>
      <w:r w:rsidRPr="0007572B">
        <w:rPr>
          <w:rFonts w:ascii="Arial" w:hAnsi="Arial" w:cs="Arial"/>
          <w:sz w:val="22"/>
        </w:rPr>
        <w:br w:type="page"/>
      </w:r>
    </w:p>
    <w:p w14:paraId="0B56C99C" w14:textId="77777777" w:rsidR="00795BE0" w:rsidRPr="0007572B" w:rsidRDefault="00795BE0" w:rsidP="00795BE0">
      <w:pPr>
        <w:pStyle w:val="Heading3green"/>
      </w:pPr>
      <w:bookmarkStart w:id="238" w:name="_Toc92895226"/>
      <w:bookmarkStart w:id="239" w:name="_Toc109922660"/>
      <w:r w:rsidRPr="0007572B">
        <w:t>Group Comprehensive Income and Expenditure Statement</w:t>
      </w:r>
      <w:bookmarkEnd w:id="238"/>
      <w:bookmarkEnd w:id="239"/>
    </w:p>
    <w:p w14:paraId="1B811913" w14:textId="77777777" w:rsidR="00795BE0" w:rsidRPr="0007572B" w:rsidRDefault="00795BE0" w:rsidP="00795BE0">
      <w:pPr>
        <w:jc w:val="both"/>
        <w:rPr>
          <w:rFonts w:ascii="Arial" w:hAnsi="Arial" w:cs="Arial"/>
        </w:rPr>
      </w:pPr>
    </w:p>
    <w:p w14:paraId="42ABB89B" w14:textId="77777777" w:rsidR="00795BE0" w:rsidRPr="0007572B" w:rsidRDefault="00795BE0" w:rsidP="00795BE0">
      <w:pPr>
        <w:rPr>
          <w:rFonts w:ascii="Arial" w:hAnsi="Arial" w:cs="Arial"/>
        </w:rPr>
      </w:pPr>
      <w:r w:rsidRPr="0007572B">
        <w:rPr>
          <w:rFonts w:ascii="Arial" w:hAnsi="Arial" w:cs="Arial"/>
        </w:rPr>
        <w:t>This statement shows the Group accounting cost of providing services, rather than the amount set out in legislation that is chargeable to precepts, levies, taxation and grant income. The taxation position is shown in the Movement in Reserves Statement and the Expenditure and Funding Analysis.</w:t>
      </w:r>
    </w:p>
    <w:p w14:paraId="50D5EFD2" w14:textId="77777777" w:rsidR="00795BE0" w:rsidRPr="0007572B" w:rsidRDefault="00795BE0" w:rsidP="00795BE0">
      <w:pPr>
        <w:jc w:val="both"/>
        <w:rPr>
          <w:rFonts w:ascii="Arial" w:hAnsi="Arial" w:cs="Arial"/>
          <w:b/>
          <w:highlight w:val="yellow"/>
        </w:rPr>
      </w:pPr>
    </w:p>
    <w:p w14:paraId="3A5E1924" w14:textId="42933138" w:rsidR="00795BE0" w:rsidRDefault="00541F54" w:rsidP="00795BE0">
      <w:pPr>
        <w:jc w:val="both"/>
        <w:rPr>
          <w:rFonts w:ascii="Arial" w:hAnsi="Arial" w:cs="Arial"/>
        </w:rPr>
      </w:pPr>
      <w:r w:rsidRPr="00541F54">
        <w:rPr>
          <w:noProof/>
        </w:rPr>
        <w:drawing>
          <wp:inline distT="0" distB="0" distL="0" distR="0" wp14:anchorId="1AEB48F9" wp14:editId="370F8FF2">
            <wp:extent cx="5975350" cy="3258185"/>
            <wp:effectExtent l="0" t="0" r="635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5975350" cy="3258185"/>
                    </a:xfrm>
                    <a:prstGeom prst="rect">
                      <a:avLst/>
                    </a:prstGeom>
                    <a:noFill/>
                    <a:ln>
                      <a:noFill/>
                    </a:ln>
                  </pic:spPr>
                </pic:pic>
              </a:graphicData>
            </a:graphic>
          </wp:inline>
        </w:drawing>
      </w:r>
    </w:p>
    <w:p w14:paraId="46F7495A" w14:textId="77777777" w:rsidR="00795BE0" w:rsidRDefault="00795BE0" w:rsidP="00795BE0">
      <w:pPr>
        <w:jc w:val="both"/>
        <w:rPr>
          <w:rFonts w:ascii="Arial" w:hAnsi="Arial" w:cs="Arial"/>
        </w:rPr>
      </w:pPr>
    </w:p>
    <w:p w14:paraId="17C5E248" w14:textId="77777777" w:rsidR="00795BE0" w:rsidRPr="0007572B" w:rsidRDefault="00795BE0" w:rsidP="00795BE0">
      <w:pPr>
        <w:jc w:val="both"/>
        <w:rPr>
          <w:rFonts w:ascii="Arial" w:hAnsi="Arial" w:cs="Arial"/>
          <w:b/>
        </w:rPr>
      </w:pPr>
      <w:r w:rsidRPr="0007572B">
        <w:rPr>
          <w:rFonts w:ascii="Arial" w:hAnsi="Arial" w:cs="Arial"/>
          <w:noProof/>
          <w:sz w:val="28"/>
          <w:szCs w:val="28"/>
          <w:lang w:eastAsia="en-GB"/>
        </w:rPr>
        <w:drawing>
          <wp:inline distT="0" distB="0" distL="0" distR="0" wp14:anchorId="24E705D5" wp14:editId="4DD78DD3">
            <wp:extent cx="1117600" cy="614680"/>
            <wp:effectExtent l="0" t="0" r="6350" b="0"/>
            <wp:docPr id="59" name="Picture 59" descr="Signature of Steve Wilson, Greater Manchester Combined Authority Treasur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Signature of Steve Wilson, Greater Manchester Combined Authority Treasurer "/>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117600" cy="614680"/>
                    </a:xfrm>
                    <a:prstGeom prst="rect">
                      <a:avLst/>
                    </a:prstGeom>
                    <a:noFill/>
                    <a:ln>
                      <a:noFill/>
                    </a:ln>
                  </pic:spPr>
                </pic:pic>
              </a:graphicData>
            </a:graphic>
          </wp:inline>
        </w:drawing>
      </w:r>
    </w:p>
    <w:p w14:paraId="1D869CCE" w14:textId="77777777" w:rsidR="00795BE0" w:rsidRPr="0007572B" w:rsidRDefault="00795BE0" w:rsidP="00795BE0">
      <w:pPr>
        <w:jc w:val="both"/>
        <w:rPr>
          <w:rFonts w:ascii="Arial" w:hAnsi="Arial" w:cs="Arial"/>
          <w:b/>
        </w:rPr>
      </w:pPr>
      <w:r w:rsidRPr="0007572B">
        <w:rPr>
          <w:rFonts w:ascii="Arial" w:hAnsi="Arial" w:cs="Arial"/>
          <w:b/>
        </w:rPr>
        <w:t>Steve Wilson</w:t>
      </w:r>
    </w:p>
    <w:p w14:paraId="503A4A99" w14:textId="77777777" w:rsidR="00795BE0" w:rsidRPr="0007572B" w:rsidRDefault="00795BE0" w:rsidP="00795BE0">
      <w:pPr>
        <w:jc w:val="both"/>
        <w:rPr>
          <w:rFonts w:ascii="Arial" w:hAnsi="Arial" w:cs="Arial"/>
          <w:b/>
        </w:rPr>
      </w:pPr>
      <w:r w:rsidRPr="0007572B">
        <w:rPr>
          <w:rFonts w:ascii="Arial" w:hAnsi="Arial" w:cs="Arial"/>
          <w:b/>
        </w:rPr>
        <w:t>Greater Manchester Combined Authority Treasurer</w:t>
      </w:r>
    </w:p>
    <w:p w14:paraId="674CBF86" w14:textId="08EBCB89" w:rsidR="00795BE0" w:rsidRPr="0007572B" w:rsidRDefault="00795BE0" w:rsidP="00795BE0">
      <w:pPr>
        <w:jc w:val="both"/>
        <w:rPr>
          <w:rFonts w:ascii="Arial" w:hAnsi="Arial" w:cs="Arial"/>
        </w:rPr>
      </w:pPr>
      <w:r w:rsidRPr="0007572B">
        <w:rPr>
          <w:rFonts w:ascii="Arial" w:hAnsi="Arial" w:cs="Arial"/>
          <w:b/>
        </w:rPr>
        <w:t xml:space="preserve">Date: </w:t>
      </w:r>
      <w:r w:rsidR="00041DAE">
        <w:rPr>
          <w:rFonts w:ascii="Arial" w:hAnsi="Arial" w:cs="Arial"/>
          <w:b/>
        </w:rPr>
        <w:t>27</w:t>
      </w:r>
      <w:r>
        <w:rPr>
          <w:rFonts w:ascii="Arial" w:hAnsi="Arial" w:cs="Arial"/>
          <w:b/>
        </w:rPr>
        <w:t xml:space="preserve"> July 2022</w:t>
      </w:r>
    </w:p>
    <w:p w14:paraId="065C5FC2" w14:textId="77777777" w:rsidR="00795BE0" w:rsidRPr="0007572B" w:rsidRDefault="00795BE0" w:rsidP="00795BE0">
      <w:pPr>
        <w:jc w:val="both"/>
        <w:rPr>
          <w:rFonts w:ascii="Arial" w:hAnsi="Arial" w:cs="Arial"/>
          <w:b/>
          <w:sz w:val="22"/>
          <w:szCs w:val="22"/>
        </w:rPr>
      </w:pPr>
    </w:p>
    <w:p w14:paraId="20D2546B" w14:textId="77777777" w:rsidR="00795BE0" w:rsidRPr="0007572B" w:rsidRDefault="00795BE0" w:rsidP="00795BE0">
      <w:pPr>
        <w:jc w:val="both"/>
        <w:rPr>
          <w:rFonts w:ascii="Arial" w:hAnsi="Arial" w:cs="Arial"/>
          <w:b/>
          <w:sz w:val="22"/>
          <w:szCs w:val="22"/>
        </w:rPr>
      </w:pPr>
    </w:p>
    <w:p w14:paraId="3FFD5687" w14:textId="77777777" w:rsidR="00795BE0" w:rsidRPr="0007572B" w:rsidRDefault="00795BE0" w:rsidP="00795BE0">
      <w:pPr>
        <w:rPr>
          <w:rFonts w:ascii="Arial" w:hAnsi="Arial" w:cs="Arial"/>
          <w:sz w:val="22"/>
        </w:rPr>
      </w:pPr>
    </w:p>
    <w:p w14:paraId="74ED41B8" w14:textId="77777777" w:rsidR="00795BE0" w:rsidRPr="0007572B" w:rsidRDefault="00795BE0" w:rsidP="00795BE0">
      <w:pPr>
        <w:rPr>
          <w:rFonts w:ascii="Arial" w:hAnsi="Arial" w:cs="Arial"/>
          <w:sz w:val="22"/>
        </w:rPr>
      </w:pPr>
    </w:p>
    <w:p w14:paraId="4CFF3763" w14:textId="77777777" w:rsidR="00795BE0" w:rsidRPr="0007572B" w:rsidRDefault="00795BE0" w:rsidP="00795BE0">
      <w:pPr>
        <w:rPr>
          <w:rFonts w:ascii="Arial" w:hAnsi="Arial" w:cs="Arial"/>
          <w:sz w:val="22"/>
        </w:rPr>
        <w:sectPr w:rsidR="00795BE0" w:rsidRPr="0007572B" w:rsidSect="006962C5">
          <w:pgSz w:w="11906" w:h="16838"/>
          <w:pgMar w:top="946" w:right="1416" w:bottom="1440" w:left="1080" w:header="283" w:footer="567" w:gutter="0"/>
          <w:cols w:space="708"/>
          <w:docGrid w:linePitch="360"/>
        </w:sectPr>
      </w:pPr>
    </w:p>
    <w:p w14:paraId="75FCC16E" w14:textId="77777777" w:rsidR="00795BE0" w:rsidRPr="0007572B" w:rsidRDefault="00795BE0" w:rsidP="00795BE0">
      <w:pPr>
        <w:pStyle w:val="Heading3green"/>
      </w:pPr>
      <w:bookmarkStart w:id="240" w:name="_Toc92895227"/>
      <w:bookmarkStart w:id="241" w:name="_Toc109922661"/>
      <w:r w:rsidRPr="0007572B">
        <w:t>Group Movement in Reserves Statement</w:t>
      </w:r>
      <w:bookmarkEnd w:id="240"/>
      <w:bookmarkEnd w:id="241"/>
    </w:p>
    <w:p w14:paraId="7C958B73" w14:textId="77777777" w:rsidR="00795BE0" w:rsidRPr="0007572B" w:rsidRDefault="00795BE0" w:rsidP="00795BE0">
      <w:pPr>
        <w:jc w:val="both"/>
        <w:rPr>
          <w:rFonts w:ascii="Arial" w:hAnsi="Arial" w:cs="Arial"/>
        </w:rPr>
      </w:pPr>
    </w:p>
    <w:p w14:paraId="1013A999" w14:textId="77777777" w:rsidR="00795BE0" w:rsidRPr="0007572B" w:rsidRDefault="00795BE0" w:rsidP="00795BE0">
      <w:pPr>
        <w:rPr>
          <w:rFonts w:ascii="Arial" w:hAnsi="Arial" w:cs="Arial"/>
          <w:b/>
        </w:rPr>
      </w:pPr>
      <w:r w:rsidRPr="0007572B">
        <w:rPr>
          <w:rFonts w:ascii="Arial" w:hAnsi="Arial" w:cs="Arial"/>
        </w:rPr>
        <w:t>This statement shows the movement in year on the different reserves held by the Authority Group. This is analysed into usable and unusable reserves. Usable reserves can be utilised to fund services whereas unusable reserves are accounting reserves held to reconcile the position between the accounting cost of services and the cost set out in legislation that is chargeable to precepts and taxation</w:t>
      </w:r>
      <w:r w:rsidRPr="0007572B">
        <w:rPr>
          <w:rFonts w:ascii="Arial" w:hAnsi="Arial" w:cs="Arial"/>
          <w:b/>
        </w:rPr>
        <w:t>.</w:t>
      </w:r>
    </w:p>
    <w:p w14:paraId="5D5E1EEF" w14:textId="77777777" w:rsidR="00795BE0" w:rsidRPr="0007572B" w:rsidRDefault="00795BE0" w:rsidP="00795BE0">
      <w:pPr>
        <w:jc w:val="both"/>
        <w:rPr>
          <w:rFonts w:ascii="Arial" w:hAnsi="Arial" w:cs="Arial"/>
        </w:rPr>
      </w:pPr>
      <w:r w:rsidRPr="0007572B">
        <w:rPr>
          <w:rFonts w:ascii="Arial" w:hAnsi="Arial" w:cs="Arial"/>
        </w:rPr>
        <w:t>Further details of usable reserves can be found in the relevant associated notes.</w:t>
      </w:r>
    </w:p>
    <w:p w14:paraId="7ED5942E" w14:textId="77777777" w:rsidR="00795BE0" w:rsidRPr="0007572B" w:rsidRDefault="00795BE0" w:rsidP="00795BE0">
      <w:pPr>
        <w:jc w:val="both"/>
        <w:rPr>
          <w:rFonts w:ascii="Arial" w:hAnsi="Arial" w:cs="Arial"/>
          <w:b/>
          <w:highlight w:val="yellow"/>
        </w:rPr>
      </w:pPr>
    </w:p>
    <w:p w14:paraId="62A2B559" w14:textId="08F87E8C" w:rsidR="00795BE0" w:rsidRPr="0007572B" w:rsidRDefault="00541F54" w:rsidP="00795BE0">
      <w:pPr>
        <w:jc w:val="both"/>
        <w:rPr>
          <w:rFonts w:ascii="Arial" w:hAnsi="Arial" w:cs="Arial"/>
          <w:b/>
        </w:rPr>
      </w:pPr>
      <w:r w:rsidRPr="00541F54">
        <w:rPr>
          <w:noProof/>
        </w:rPr>
        <w:drawing>
          <wp:inline distT="0" distB="0" distL="0" distR="0" wp14:anchorId="473915D9" wp14:editId="09B86F2C">
            <wp:extent cx="9177020" cy="2630170"/>
            <wp:effectExtent l="0" t="0" r="508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9177020" cy="2630170"/>
                    </a:xfrm>
                    <a:prstGeom prst="rect">
                      <a:avLst/>
                    </a:prstGeom>
                    <a:noFill/>
                    <a:ln>
                      <a:noFill/>
                    </a:ln>
                  </pic:spPr>
                </pic:pic>
              </a:graphicData>
            </a:graphic>
          </wp:inline>
        </w:drawing>
      </w:r>
    </w:p>
    <w:p w14:paraId="1714154A" w14:textId="77777777" w:rsidR="00795BE0" w:rsidRPr="0007572B" w:rsidRDefault="00795BE0" w:rsidP="00795BE0">
      <w:pPr>
        <w:jc w:val="both"/>
        <w:rPr>
          <w:rFonts w:ascii="Arial" w:hAnsi="Arial" w:cs="Arial"/>
          <w:b/>
        </w:rPr>
      </w:pPr>
    </w:p>
    <w:p w14:paraId="78817851" w14:textId="77777777" w:rsidR="00795BE0" w:rsidRPr="0007572B" w:rsidRDefault="00795BE0" w:rsidP="00795BE0">
      <w:pPr>
        <w:jc w:val="both"/>
        <w:rPr>
          <w:rFonts w:ascii="Arial" w:hAnsi="Arial" w:cs="Arial"/>
          <w:b/>
          <w:sz w:val="22"/>
          <w:szCs w:val="22"/>
        </w:rPr>
      </w:pPr>
    </w:p>
    <w:p w14:paraId="19F1C3B9" w14:textId="77777777" w:rsidR="00795BE0" w:rsidRPr="0007572B" w:rsidRDefault="00795BE0" w:rsidP="00795BE0">
      <w:pPr>
        <w:rPr>
          <w:rFonts w:ascii="Arial" w:hAnsi="Arial" w:cs="Arial"/>
          <w:sz w:val="22"/>
        </w:rPr>
        <w:sectPr w:rsidR="00795BE0" w:rsidRPr="0007572B" w:rsidSect="00300D64">
          <w:pgSz w:w="16838" w:h="11906" w:orient="landscape"/>
          <w:pgMar w:top="1080" w:right="946" w:bottom="1416" w:left="1440" w:header="283" w:footer="567" w:gutter="0"/>
          <w:cols w:space="708"/>
          <w:docGrid w:linePitch="360"/>
        </w:sectPr>
      </w:pPr>
    </w:p>
    <w:p w14:paraId="6AEE5344" w14:textId="77777777" w:rsidR="00795BE0" w:rsidRPr="0007572B" w:rsidRDefault="00795BE0" w:rsidP="00795BE0">
      <w:pPr>
        <w:pStyle w:val="Heading3green"/>
      </w:pPr>
      <w:bookmarkStart w:id="242" w:name="_Toc92895228"/>
      <w:bookmarkStart w:id="243" w:name="_Toc109922662"/>
      <w:r w:rsidRPr="0007572B">
        <w:t>Group Balance Sheet</w:t>
      </w:r>
      <w:bookmarkEnd w:id="242"/>
      <w:bookmarkEnd w:id="243"/>
    </w:p>
    <w:p w14:paraId="53FD4758" w14:textId="77777777" w:rsidR="00795BE0" w:rsidRPr="0007572B" w:rsidRDefault="00795BE0" w:rsidP="00795BE0">
      <w:pPr>
        <w:jc w:val="both"/>
        <w:rPr>
          <w:rFonts w:ascii="Arial" w:hAnsi="Arial" w:cs="Arial"/>
        </w:rPr>
      </w:pPr>
    </w:p>
    <w:p w14:paraId="36A6EDAF" w14:textId="77777777" w:rsidR="00795BE0" w:rsidRPr="0007572B" w:rsidRDefault="00795BE0" w:rsidP="00795BE0">
      <w:pPr>
        <w:rPr>
          <w:rFonts w:ascii="Arial" w:hAnsi="Arial" w:cs="Arial"/>
          <w:b/>
        </w:rPr>
      </w:pPr>
      <w:r w:rsidRPr="0007572B">
        <w:rPr>
          <w:rFonts w:ascii="Arial" w:hAnsi="Arial" w:cs="Arial"/>
        </w:rPr>
        <w:t>The Balance Sheet shows the value of assets and liabilities recognised by the Authority Group. The net assets/liabilities are matched by the usable and unusable reserves held. Usable reserves can be utilised to fund services whereas unusable reserves are accounting reserves held to reconcile the position between the accounting cost of services and the cost set out in legislation that is chargeable to precepts and taxation</w:t>
      </w:r>
      <w:r w:rsidRPr="0007572B">
        <w:rPr>
          <w:rFonts w:ascii="Arial" w:hAnsi="Arial" w:cs="Arial"/>
          <w:b/>
        </w:rPr>
        <w:t>.</w:t>
      </w:r>
    </w:p>
    <w:p w14:paraId="3CF92FEF" w14:textId="77777777" w:rsidR="00795BE0" w:rsidRPr="0007572B" w:rsidRDefault="00795BE0" w:rsidP="00795BE0">
      <w:pPr>
        <w:jc w:val="both"/>
        <w:rPr>
          <w:rFonts w:ascii="Arial" w:hAnsi="Arial" w:cs="Arial"/>
        </w:rPr>
      </w:pPr>
      <w:r w:rsidRPr="0007572B">
        <w:rPr>
          <w:rFonts w:ascii="Arial" w:hAnsi="Arial" w:cs="Arial"/>
        </w:rPr>
        <w:t>Further details of balance sheet items can be found in the relevant associated notes.</w:t>
      </w:r>
    </w:p>
    <w:p w14:paraId="3EB0CA1A" w14:textId="77777777" w:rsidR="00795BE0" w:rsidRPr="0007572B" w:rsidRDefault="00795BE0" w:rsidP="00795BE0">
      <w:pPr>
        <w:jc w:val="both"/>
        <w:rPr>
          <w:rFonts w:ascii="Arial" w:hAnsi="Arial" w:cs="Arial"/>
        </w:rPr>
      </w:pPr>
    </w:p>
    <w:p w14:paraId="1F461EF7" w14:textId="481CAC8C" w:rsidR="00795BE0" w:rsidRPr="0007572B" w:rsidRDefault="002919EB" w:rsidP="00795BE0">
      <w:pPr>
        <w:jc w:val="both"/>
        <w:rPr>
          <w:rFonts w:ascii="Arial" w:hAnsi="Arial" w:cs="Arial"/>
        </w:rPr>
      </w:pPr>
      <w:r w:rsidRPr="002919EB">
        <w:rPr>
          <w:noProof/>
        </w:rPr>
        <w:drawing>
          <wp:inline distT="0" distB="0" distL="0" distR="0" wp14:anchorId="4D8086C7" wp14:editId="24C8D83F">
            <wp:extent cx="5168265" cy="5480685"/>
            <wp:effectExtent l="0" t="0" r="0" b="5715"/>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5168265" cy="5480685"/>
                    </a:xfrm>
                    <a:prstGeom prst="rect">
                      <a:avLst/>
                    </a:prstGeom>
                    <a:noFill/>
                    <a:ln>
                      <a:noFill/>
                    </a:ln>
                  </pic:spPr>
                </pic:pic>
              </a:graphicData>
            </a:graphic>
          </wp:inline>
        </w:drawing>
      </w:r>
    </w:p>
    <w:p w14:paraId="601EA333" w14:textId="77777777" w:rsidR="00795BE0" w:rsidRPr="0007572B" w:rsidRDefault="00795BE0" w:rsidP="00795BE0">
      <w:pPr>
        <w:jc w:val="both"/>
        <w:rPr>
          <w:rFonts w:ascii="Arial" w:hAnsi="Arial" w:cs="Arial"/>
          <w:b/>
        </w:rPr>
      </w:pPr>
    </w:p>
    <w:p w14:paraId="1267C195" w14:textId="77777777" w:rsidR="00795BE0" w:rsidRPr="0007572B" w:rsidRDefault="00795BE0" w:rsidP="00795BE0">
      <w:pPr>
        <w:jc w:val="both"/>
        <w:rPr>
          <w:rFonts w:ascii="Arial" w:hAnsi="Arial" w:cs="Arial"/>
          <w:b/>
        </w:rPr>
      </w:pPr>
      <w:r w:rsidRPr="0007572B">
        <w:rPr>
          <w:rFonts w:ascii="Arial" w:hAnsi="Arial" w:cs="Arial"/>
          <w:noProof/>
          <w:sz w:val="28"/>
          <w:szCs w:val="28"/>
          <w:lang w:eastAsia="en-GB"/>
        </w:rPr>
        <w:drawing>
          <wp:inline distT="0" distB="0" distL="0" distR="0" wp14:anchorId="6168C280" wp14:editId="0AFA8318">
            <wp:extent cx="1117600" cy="614680"/>
            <wp:effectExtent l="0" t="0" r="6350" b="0"/>
            <wp:docPr id="15" name="Picture 15" descr="Signature of Steve Wilson, Greater Manchester Combined Authority Treasur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ignature of Steve Wilson, Greater Manchester Combined Authority Treasurer "/>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117600" cy="614680"/>
                    </a:xfrm>
                    <a:prstGeom prst="rect">
                      <a:avLst/>
                    </a:prstGeom>
                    <a:noFill/>
                    <a:ln>
                      <a:noFill/>
                    </a:ln>
                  </pic:spPr>
                </pic:pic>
              </a:graphicData>
            </a:graphic>
          </wp:inline>
        </w:drawing>
      </w:r>
    </w:p>
    <w:p w14:paraId="317A33BE" w14:textId="77777777" w:rsidR="00795BE0" w:rsidRPr="0007572B" w:rsidRDefault="00795BE0" w:rsidP="00795BE0">
      <w:pPr>
        <w:jc w:val="both"/>
        <w:rPr>
          <w:rFonts w:ascii="Arial" w:hAnsi="Arial" w:cs="Arial"/>
          <w:b/>
        </w:rPr>
      </w:pPr>
      <w:r w:rsidRPr="0007572B">
        <w:rPr>
          <w:rFonts w:ascii="Arial" w:hAnsi="Arial" w:cs="Arial"/>
          <w:b/>
        </w:rPr>
        <w:t>Steve Wilson</w:t>
      </w:r>
    </w:p>
    <w:p w14:paraId="381FC5DB" w14:textId="77777777" w:rsidR="00795BE0" w:rsidRPr="0007572B" w:rsidRDefault="00795BE0" w:rsidP="00795BE0">
      <w:pPr>
        <w:jc w:val="both"/>
        <w:rPr>
          <w:rFonts w:ascii="Arial" w:hAnsi="Arial" w:cs="Arial"/>
          <w:b/>
        </w:rPr>
      </w:pPr>
      <w:r w:rsidRPr="0007572B">
        <w:rPr>
          <w:rFonts w:ascii="Arial" w:hAnsi="Arial" w:cs="Arial"/>
          <w:b/>
        </w:rPr>
        <w:t>Greater Manchester Combined Authority Treasurer</w:t>
      </w:r>
    </w:p>
    <w:p w14:paraId="35F6477D" w14:textId="641B4AE7" w:rsidR="00795BE0" w:rsidRPr="0007572B" w:rsidRDefault="00795BE0" w:rsidP="00795BE0">
      <w:pPr>
        <w:rPr>
          <w:rFonts w:ascii="Arial" w:hAnsi="Arial" w:cs="Arial"/>
          <w:b/>
          <w:sz w:val="28"/>
          <w:szCs w:val="28"/>
        </w:rPr>
      </w:pPr>
      <w:r w:rsidRPr="0007572B">
        <w:rPr>
          <w:rFonts w:ascii="Arial" w:hAnsi="Arial" w:cs="Arial"/>
          <w:b/>
        </w:rPr>
        <w:t>Date:</w:t>
      </w:r>
      <w:r>
        <w:rPr>
          <w:rFonts w:ascii="Arial" w:hAnsi="Arial" w:cs="Arial"/>
          <w:b/>
        </w:rPr>
        <w:t xml:space="preserve"> </w:t>
      </w:r>
      <w:r w:rsidRPr="0007572B">
        <w:rPr>
          <w:rFonts w:ascii="Arial" w:hAnsi="Arial" w:cs="Arial"/>
          <w:b/>
        </w:rPr>
        <w:t xml:space="preserve"> </w:t>
      </w:r>
      <w:r w:rsidR="00041DAE">
        <w:rPr>
          <w:rFonts w:ascii="Arial" w:hAnsi="Arial" w:cs="Arial"/>
          <w:b/>
        </w:rPr>
        <w:t>27</w:t>
      </w:r>
      <w:r>
        <w:rPr>
          <w:rFonts w:ascii="Arial" w:hAnsi="Arial" w:cs="Arial"/>
          <w:b/>
        </w:rPr>
        <w:t xml:space="preserve"> July 2022</w:t>
      </w:r>
      <w:r w:rsidRPr="0007572B">
        <w:rPr>
          <w:rFonts w:ascii="Arial" w:hAnsi="Arial" w:cs="Arial"/>
          <w:b/>
          <w:sz w:val="28"/>
          <w:szCs w:val="28"/>
        </w:rPr>
        <w:br w:type="page"/>
      </w:r>
    </w:p>
    <w:p w14:paraId="44215396" w14:textId="77777777" w:rsidR="00795BE0" w:rsidRPr="0007572B" w:rsidRDefault="00795BE0" w:rsidP="00795BE0">
      <w:pPr>
        <w:pStyle w:val="Heading3green"/>
      </w:pPr>
      <w:bookmarkStart w:id="244" w:name="_Toc92895229"/>
      <w:bookmarkStart w:id="245" w:name="_Toc109922663"/>
      <w:r w:rsidRPr="0007572B">
        <w:t>Group Cash Flow Statement</w:t>
      </w:r>
      <w:bookmarkEnd w:id="244"/>
      <w:bookmarkEnd w:id="245"/>
    </w:p>
    <w:p w14:paraId="4D907EC7" w14:textId="77777777" w:rsidR="00795BE0" w:rsidRPr="0007572B" w:rsidRDefault="00795BE0" w:rsidP="00795BE0">
      <w:pPr>
        <w:jc w:val="both"/>
        <w:rPr>
          <w:rFonts w:ascii="Arial" w:hAnsi="Arial" w:cs="Arial"/>
        </w:rPr>
      </w:pPr>
    </w:p>
    <w:p w14:paraId="3B5C779A" w14:textId="77777777" w:rsidR="00795BE0" w:rsidRPr="0007572B" w:rsidRDefault="00795BE0" w:rsidP="00795BE0">
      <w:pPr>
        <w:rPr>
          <w:rFonts w:ascii="Arial" w:hAnsi="Arial" w:cs="Arial"/>
        </w:rPr>
      </w:pPr>
      <w:r w:rsidRPr="0007572B">
        <w:rPr>
          <w:rFonts w:ascii="Arial" w:hAnsi="Arial" w:cs="Arial"/>
        </w:rPr>
        <w:t>The cash flow statement shows the changes in cash and cash equivalents of the Authority Group during the reporting period. The statement shows how the Group generates and uses cash equivalents by classifying cash flows as operating, investing and financing activities. The amount of net cash flows arising from the operating activities is a key indicator of the extent to which the operations of the Group are funded by way of precepts, levies, contributions and grant income. Investing activities represent the extent to which cash outflows have been made for resources which are intended to contribute to future service delivery. Cash flows arising from financing activities are useful in predicting claims on future cash flows by providers of capital (i.e. borrowing) to the Group.</w:t>
      </w:r>
    </w:p>
    <w:p w14:paraId="65652A95" w14:textId="77777777" w:rsidR="00795BE0" w:rsidRPr="0007572B" w:rsidRDefault="00795BE0" w:rsidP="00795BE0">
      <w:pPr>
        <w:jc w:val="both"/>
        <w:rPr>
          <w:rFonts w:ascii="Arial" w:hAnsi="Arial" w:cs="Arial"/>
        </w:rPr>
      </w:pPr>
    </w:p>
    <w:p w14:paraId="751F7596" w14:textId="3E3F8768" w:rsidR="00795BE0" w:rsidRPr="0007572B" w:rsidRDefault="00F20C43" w:rsidP="00795BE0">
      <w:pPr>
        <w:jc w:val="both"/>
        <w:rPr>
          <w:rFonts w:ascii="Arial" w:hAnsi="Arial" w:cs="Arial"/>
        </w:rPr>
      </w:pPr>
      <w:r w:rsidRPr="00F20C43">
        <w:rPr>
          <w:noProof/>
        </w:rPr>
        <w:drawing>
          <wp:inline distT="0" distB="0" distL="0" distR="0" wp14:anchorId="71D5DD18" wp14:editId="0434B908">
            <wp:extent cx="5975350" cy="2264410"/>
            <wp:effectExtent l="0" t="0" r="6350" b="254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5975350" cy="2264410"/>
                    </a:xfrm>
                    <a:prstGeom prst="rect">
                      <a:avLst/>
                    </a:prstGeom>
                    <a:noFill/>
                    <a:ln>
                      <a:noFill/>
                    </a:ln>
                  </pic:spPr>
                </pic:pic>
              </a:graphicData>
            </a:graphic>
          </wp:inline>
        </w:drawing>
      </w:r>
    </w:p>
    <w:p w14:paraId="52EEE511" w14:textId="77777777" w:rsidR="00795BE0" w:rsidRPr="0007572B" w:rsidRDefault="00795BE0" w:rsidP="00795BE0">
      <w:pPr>
        <w:jc w:val="both"/>
        <w:rPr>
          <w:rFonts w:ascii="Arial" w:hAnsi="Arial" w:cs="Arial"/>
        </w:rPr>
      </w:pPr>
    </w:p>
    <w:p w14:paraId="31D69478" w14:textId="77777777" w:rsidR="00795BE0" w:rsidRPr="0007572B" w:rsidRDefault="00795BE0" w:rsidP="00795BE0">
      <w:pPr>
        <w:jc w:val="both"/>
        <w:rPr>
          <w:rFonts w:ascii="Arial" w:hAnsi="Arial" w:cs="Arial"/>
          <w:b/>
          <w:sz w:val="22"/>
          <w:szCs w:val="22"/>
          <w:highlight w:val="yellow"/>
        </w:rPr>
      </w:pPr>
    </w:p>
    <w:p w14:paraId="100A8A86" w14:textId="77777777" w:rsidR="00795BE0" w:rsidRPr="0007572B" w:rsidRDefault="00795BE0" w:rsidP="00795BE0">
      <w:pPr>
        <w:rPr>
          <w:rFonts w:ascii="Arial" w:hAnsi="Arial" w:cs="Arial"/>
          <w:sz w:val="22"/>
        </w:rPr>
      </w:pPr>
      <w:r w:rsidRPr="0007572B">
        <w:rPr>
          <w:rFonts w:ascii="Arial" w:hAnsi="Arial" w:cs="Arial"/>
          <w:sz w:val="22"/>
        </w:rPr>
        <w:br w:type="page"/>
      </w:r>
    </w:p>
    <w:p w14:paraId="7F7102BA" w14:textId="77777777" w:rsidR="00795BE0" w:rsidRPr="0007572B" w:rsidRDefault="00795BE0" w:rsidP="00795BE0">
      <w:pPr>
        <w:rPr>
          <w:rFonts w:ascii="Arial" w:hAnsi="Arial" w:cs="Arial"/>
          <w:sz w:val="22"/>
        </w:rPr>
      </w:pPr>
    </w:p>
    <w:p w14:paraId="2D82A7C9" w14:textId="77777777" w:rsidR="00795BE0" w:rsidRDefault="00795BE0" w:rsidP="00795BE0">
      <w:pPr>
        <w:jc w:val="center"/>
        <w:rPr>
          <w:rFonts w:ascii="Arial" w:hAnsi="Arial" w:cs="Arial"/>
          <w:b/>
          <w:sz w:val="40"/>
          <w:szCs w:val="40"/>
        </w:rPr>
      </w:pPr>
    </w:p>
    <w:p w14:paraId="086B9A92" w14:textId="77777777" w:rsidR="00795BE0" w:rsidRDefault="00795BE0" w:rsidP="00795BE0">
      <w:pPr>
        <w:jc w:val="center"/>
        <w:rPr>
          <w:rFonts w:ascii="Arial" w:hAnsi="Arial" w:cs="Arial"/>
          <w:b/>
          <w:sz w:val="40"/>
          <w:szCs w:val="40"/>
        </w:rPr>
      </w:pPr>
    </w:p>
    <w:p w14:paraId="231590A2" w14:textId="77777777" w:rsidR="00795BE0" w:rsidRDefault="00795BE0" w:rsidP="00795BE0">
      <w:pPr>
        <w:jc w:val="center"/>
        <w:rPr>
          <w:rFonts w:ascii="Arial" w:hAnsi="Arial" w:cs="Arial"/>
          <w:b/>
          <w:sz w:val="40"/>
          <w:szCs w:val="40"/>
        </w:rPr>
      </w:pPr>
    </w:p>
    <w:p w14:paraId="0D5A562B" w14:textId="77777777" w:rsidR="00795BE0" w:rsidRDefault="00795BE0" w:rsidP="00795BE0">
      <w:pPr>
        <w:jc w:val="center"/>
        <w:rPr>
          <w:rFonts w:ascii="Arial" w:hAnsi="Arial" w:cs="Arial"/>
          <w:b/>
          <w:sz w:val="40"/>
          <w:szCs w:val="40"/>
        </w:rPr>
      </w:pPr>
    </w:p>
    <w:p w14:paraId="5DA875C1" w14:textId="77777777" w:rsidR="00795BE0" w:rsidRPr="0007572B" w:rsidRDefault="00795BE0" w:rsidP="00795BE0">
      <w:pPr>
        <w:jc w:val="center"/>
        <w:rPr>
          <w:rFonts w:ascii="Arial" w:hAnsi="Arial" w:cs="Arial"/>
          <w:b/>
          <w:sz w:val="40"/>
          <w:szCs w:val="40"/>
        </w:rPr>
      </w:pPr>
    </w:p>
    <w:p w14:paraId="22BA478E" w14:textId="77777777" w:rsidR="00795BE0" w:rsidRPr="0007572B" w:rsidRDefault="00795BE0" w:rsidP="00795BE0">
      <w:pPr>
        <w:jc w:val="center"/>
        <w:rPr>
          <w:rFonts w:ascii="Arial" w:hAnsi="Arial" w:cs="Arial"/>
          <w:b/>
          <w:sz w:val="40"/>
          <w:szCs w:val="40"/>
        </w:rPr>
      </w:pPr>
    </w:p>
    <w:p w14:paraId="5F57CF47" w14:textId="77777777" w:rsidR="00795BE0" w:rsidRPr="0007572B" w:rsidRDefault="00795BE0" w:rsidP="00795BE0">
      <w:pPr>
        <w:pStyle w:val="Heading1"/>
        <w:jc w:val="center"/>
      </w:pPr>
      <w:bookmarkStart w:id="246" w:name="_Toc92895230"/>
      <w:bookmarkStart w:id="247" w:name="_Toc109922664"/>
      <w:r>
        <w:t>Notes to the Group Financial Statements</w:t>
      </w:r>
      <w:bookmarkEnd w:id="246"/>
      <w:bookmarkEnd w:id="247"/>
    </w:p>
    <w:p w14:paraId="46B7B594" w14:textId="77777777" w:rsidR="00795BE0" w:rsidRDefault="00795BE0" w:rsidP="00795BE0">
      <w:pPr>
        <w:jc w:val="center"/>
        <w:rPr>
          <w:rFonts w:ascii="Arial" w:hAnsi="Arial" w:cs="Arial"/>
          <w:b/>
          <w:sz w:val="40"/>
          <w:szCs w:val="40"/>
        </w:rPr>
      </w:pPr>
    </w:p>
    <w:p w14:paraId="10BDBFFE" w14:textId="77777777" w:rsidR="00795BE0" w:rsidRPr="0007572B" w:rsidRDefault="00795BE0" w:rsidP="00795BE0">
      <w:pPr>
        <w:jc w:val="center"/>
        <w:rPr>
          <w:rFonts w:ascii="Arial" w:hAnsi="Arial" w:cs="Arial"/>
          <w:b/>
          <w:sz w:val="40"/>
          <w:szCs w:val="40"/>
        </w:rPr>
      </w:pPr>
    </w:p>
    <w:p w14:paraId="5A7B22DA" w14:textId="77777777" w:rsidR="00795BE0" w:rsidRPr="0007572B" w:rsidRDefault="00795BE0" w:rsidP="00795BE0">
      <w:pPr>
        <w:rPr>
          <w:rFonts w:ascii="Arial" w:hAnsi="Arial" w:cs="Arial"/>
          <w:sz w:val="22"/>
        </w:rPr>
      </w:pPr>
    </w:p>
    <w:p w14:paraId="40F4EC26" w14:textId="77777777" w:rsidR="00795BE0" w:rsidRPr="0007572B" w:rsidRDefault="00795BE0" w:rsidP="00795BE0">
      <w:pPr>
        <w:rPr>
          <w:rFonts w:ascii="Arial" w:hAnsi="Arial" w:cs="Arial"/>
          <w:sz w:val="22"/>
        </w:rPr>
        <w:sectPr w:rsidR="00795BE0" w:rsidRPr="0007572B" w:rsidSect="006962C5">
          <w:pgSz w:w="11906" w:h="16838"/>
          <w:pgMar w:top="946" w:right="1416" w:bottom="1440" w:left="1080" w:header="283" w:footer="567" w:gutter="0"/>
          <w:cols w:space="708"/>
          <w:docGrid w:linePitch="360"/>
        </w:sectPr>
      </w:pPr>
    </w:p>
    <w:p w14:paraId="0F143750" w14:textId="77777777" w:rsidR="00795BE0" w:rsidRPr="0007572B" w:rsidRDefault="00795BE0" w:rsidP="00795BE0">
      <w:pPr>
        <w:pStyle w:val="Heading3greennumbered"/>
      </w:pPr>
      <w:bookmarkStart w:id="248" w:name="_Toc92894927"/>
      <w:bookmarkStart w:id="249" w:name="_Toc92895231"/>
      <w:bookmarkStart w:id="250" w:name="_Toc109922665"/>
      <w:r w:rsidRPr="0007572B">
        <w:t>36 Group Accounting Policies</w:t>
      </w:r>
      <w:bookmarkEnd w:id="248"/>
      <w:bookmarkEnd w:id="249"/>
      <w:bookmarkEnd w:id="250"/>
      <w:r w:rsidRPr="0007572B">
        <w:t xml:space="preserve"> </w:t>
      </w:r>
    </w:p>
    <w:p w14:paraId="159AB2CF" w14:textId="77777777" w:rsidR="00795BE0" w:rsidRDefault="00795BE0" w:rsidP="00795BE0">
      <w:pPr>
        <w:pStyle w:val="Heading4bold"/>
      </w:pPr>
    </w:p>
    <w:p w14:paraId="6ACA7242" w14:textId="77777777" w:rsidR="00795BE0" w:rsidRPr="0007572B" w:rsidRDefault="00795BE0" w:rsidP="00795BE0">
      <w:pPr>
        <w:pStyle w:val="Heading4bold"/>
      </w:pPr>
      <w:r w:rsidRPr="0007572B">
        <w:t>36.1 Consolidation Method</w:t>
      </w:r>
    </w:p>
    <w:p w14:paraId="738E3D9E" w14:textId="77777777" w:rsidR="00795BE0" w:rsidRDefault="00795BE0" w:rsidP="00795BE0">
      <w:pPr>
        <w:rPr>
          <w:rFonts w:ascii="Arial" w:hAnsi="Arial" w:cs="Arial"/>
        </w:rPr>
      </w:pPr>
      <w:r w:rsidRPr="0007572B">
        <w:rPr>
          <w:rFonts w:ascii="Arial" w:hAnsi="Arial" w:cs="Arial"/>
        </w:rPr>
        <w:t xml:space="preserve">The Accounts of all subsidiary group entities are consolidated on a line by line basis with corresponding consolidation adjustments to remove inter group transactions and balances. </w:t>
      </w:r>
    </w:p>
    <w:p w14:paraId="32DEC91D" w14:textId="77777777" w:rsidR="00795BE0" w:rsidRPr="0007572B" w:rsidRDefault="00795BE0" w:rsidP="00795BE0">
      <w:pPr>
        <w:rPr>
          <w:rFonts w:ascii="Arial" w:hAnsi="Arial" w:cs="Arial"/>
        </w:rPr>
      </w:pPr>
    </w:p>
    <w:p w14:paraId="27D63AF9" w14:textId="77777777" w:rsidR="00795BE0" w:rsidRPr="00CB14E2" w:rsidRDefault="00795BE0" w:rsidP="00795BE0">
      <w:pPr>
        <w:pStyle w:val="8TfGMStandardDocumentText"/>
        <w:jc w:val="left"/>
        <w:rPr>
          <w:rFonts w:ascii="Arial" w:eastAsia="Times New Roman" w:hAnsi="Arial"/>
          <w:sz w:val="24"/>
          <w:lang w:eastAsia="en-US"/>
        </w:rPr>
      </w:pPr>
      <w:r w:rsidRPr="0007572B">
        <w:rPr>
          <w:rFonts w:ascii="Arial" w:hAnsi="Arial"/>
        </w:rPr>
        <w:t xml:space="preserve">The </w:t>
      </w:r>
      <w:r w:rsidRPr="00950EAF">
        <w:rPr>
          <w:rFonts w:ascii="Arial" w:eastAsiaTheme="minorHAnsi" w:hAnsi="Arial"/>
        </w:rPr>
        <w:t xml:space="preserve">accounting policies of the group entities are consistent with the Authority. The following accounting policies are in addition to the single entity policies detailed in </w:t>
      </w:r>
      <w:r w:rsidRPr="00CB14E2">
        <w:rPr>
          <w:rFonts w:ascii="Arial" w:eastAsia="Times New Roman" w:hAnsi="Arial"/>
          <w:sz w:val="24"/>
          <w:lang w:eastAsia="en-US"/>
        </w:rPr>
        <w:t>note 1 of these statements.</w:t>
      </w:r>
    </w:p>
    <w:p w14:paraId="60A12956" w14:textId="77777777" w:rsidR="00795BE0" w:rsidRPr="00CB14E2" w:rsidRDefault="00795BE0" w:rsidP="00795BE0">
      <w:pPr>
        <w:pStyle w:val="Heading4bold"/>
        <w:rPr>
          <w:rFonts w:eastAsiaTheme="minorHAnsi"/>
        </w:rPr>
      </w:pPr>
      <w:r w:rsidRPr="00CB14E2">
        <w:rPr>
          <w:rFonts w:eastAsiaTheme="minorHAnsi"/>
        </w:rPr>
        <w:t>36.2 Investment properties</w:t>
      </w:r>
    </w:p>
    <w:p w14:paraId="21BBC201" w14:textId="58998F9E" w:rsidR="00795BE0" w:rsidRPr="00CB14E2" w:rsidRDefault="00795BE0" w:rsidP="00795BE0">
      <w:pPr>
        <w:pStyle w:val="8TfGMStandardDocumentText"/>
        <w:jc w:val="left"/>
        <w:rPr>
          <w:rFonts w:ascii="Arial" w:eastAsia="Times New Roman" w:hAnsi="Arial"/>
          <w:sz w:val="24"/>
          <w:lang w:eastAsia="en-US"/>
        </w:rPr>
      </w:pPr>
      <w:r w:rsidRPr="00CB14E2">
        <w:rPr>
          <w:rFonts w:ascii="Arial" w:eastAsia="Times New Roman" w:hAnsi="Arial"/>
          <w:sz w:val="24"/>
          <w:lang w:eastAsia="en-US"/>
        </w:rPr>
        <w:t>Investment properties are initially recognised at cost, including direct transaction costs.  They are subsequently revalued annually in accordance with the fair value model, reflecting market conditions at the balance sheet date. Where a fair value cannot be obtained the cost model will be used in IAS 16. Any surplus or deficit arising from any change in fair value is recognised in the Comprehensive Income and Expenditure Statement in the period in which it arises.</w:t>
      </w:r>
    </w:p>
    <w:p w14:paraId="3B0E5A35" w14:textId="4DD3FCE4" w:rsidR="00795BE0" w:rsidRPr="00CB14E2" w:rsidRDefault="00795BE0" w:rsidP="00795BE0">
      <w:pPr>
        <w:pStyle w:val="8TfGMStandardDocumentText"/>
        <w:jc w:val="left"/>
        <w:rPr>
          <w:rFonts w:ascii="Arial" w:eastAsia="Times New Roman" w:hAnsi="Arial"/>
          <w:sz w:val="24"/>
          <w:lang w:eastAsia="en-US"/>
        </w:rPr>
      </w:pPr>
      <w:r w:rsidRPr="00CB14E2">
        <w:rPr>
          <w:rFonts w:ascii="Arial" w:eastAsia="Times New Roman" w:hAnsi="Arial"/>
          <w:sz w:val="24"/>
          <w:lang w:eastAsia="en-US"/>
        </w:rPr>
        <w:t>Investment properties are not depreciated. They are de-recognised when disposed of, or when no future economic use is expected. The difference between net proceeds and carrying value is recognised in the Comprehensive Income and Expenditure Statement in the period of de-recognition.</w:t>
      </w:r>
    </w:p>
    <w:p w14:paraId="30A785C9" w14:textId="77777777" w:rsidR="00795BE0" w:rsidRPr="0007572B" w:rsidRDefault="00795BE0" w:rsidP="00795BE0">
      <w:pPr>
        <w:pStyle w:val="Heading4bold"/>
        <w:rPr>
          <w:rFonts w:eastAsiaTheme="minorHAnsi"/>
        </w:rPr>
      </w:pPr>
      <w:r w:rsidRPr="0007572B">
        <w:rPr>
          <w:rFonts w:eastAsiaTheme="minorHAnsi"/>
        </w:rPr>
        <w:t>36.3 Inventories</w:t>
      </w:r>
    </w:p>
    <w:p w14:paraId="25C44464" w14:textId="77777777" w:rsidR="00795BE0" w:rsidRDefault="00795BE0" w:rsidP="00795BE0">
      <w:pPr>
        <w:spacing w:after="160"/>
        <w:rPr>
          <w:rFonts w:ascii="Arial" w:eastAsiaTheme="minorHAnsi" w:hAnsi="Arial" w:cs="Arial"/>
        </w:rPr>
      </w:pPr>
      <w:r w:rsidRPr="0007572B">
        <w:rPr>
          <w:rFonts w:ascii="Arial" w:eastAsiaTheme="minorHAnsi" w:hAnsi="Arial" w:cs="Arial"/>
        </w:rPr>
        <w:t>Inventories are carried at the lower of cost (including costs incurred in bringing the inventory to its present location, such as freight) and net realisable value, determined on a first in first out basis.</w:t>
      </w:r>
    </w:p>
    <w:p w14:paraId="75807808" w14:textId="77777777" w:rsidR="00795BE0" w:rsidRPr="0007572B" w:rsidRDefault="00795BE0" w:rsidP="00795BE0">
      <w:pPr>
        <w:pStyle w:val="Heading4bold"/>
        <w:rPr>
          <w:rFonts w:eastAsiaTheme="minorHAnsi"/>
        </w:rPr>
      </w:pPr>
      <w:r w:rsidRPr="0007572B">
        <w:rPr>
          <w:rFonts w:eastAsiaTheme="minorHAnsi"/>
        </w:rPr>
        <w:t>36.4 Passenger Transport Facilities</w:t>
      </w:r>
    </w:p>
    <w:p w14:paraId="5C89C497" w14:textId="77777777" w:rsidR="00795BE0" w:rsidRPr="0007572B" w:rsidRDefault="00795BE0" w:rsidP="00795BE0">
      <w:pPr>
        <w:spacing w:after="160"/>
        <w:rPr>
          <w:rFonts w:ascii="Arial" w:eastAsiaTheme="minorHAnsi" w:hAnsi="Arial" w:cs="Arial"/>
        </w:rPr>
      </w:pPr>
      <w:r w:rsidRPr="0007572B">
        <w:rPr>
          <w:rFonts w:ascii="Arial" w:eastAsiaTheme="minorHAnsi" w:hAnsi="Arial" w:cs="Arial"/>
        </w:rPr>
        <w:t>As part of its statutory duties, the Group is responsible for meeting the costs of upgrading public passenger transport facilities in the Greater Manchester area, including railway and highways infrastructure. The expenditure incurred is offset by equivalent grants received from the Authority and other parties, which for the year ended 31 March 202</w:t>
      </w:r>
      <w:r>
        <w:rPr>
          <w:rFonts w:ascii="Arial" w:eastAsiaTheme="minorHAnsi" w:hAnsi="Arial" w:cs="Arial"/>
        </w:rPr>
        <w:t xml:space="preserve">2 </w:t>
      </w:r>
      <w:r w:rsidRPr="00B93355">
        <w:rPr>
          <w:rFonts w:ascii="Arial" w:eastAsiaTheme="minorHAnsi" w:hAnsi="Arial" w:cs="Arial"/>
        </w:rPr>
        <w:t>amounted to £</w:t>
      </w:r>
      <w:r>
        <w:rPr>
          <w:rFonts w:ascii="Arial" w:eastAsiaTheme="minorHAnsi" w:hAnsi="Arial" w:cs="Arial"/>
        </w:rPr>
        <w:t>5.1</w:t>
      </w:r>
      <w:r w:rsidRPr="00B93355">
        <w:rPr>
          <w:rFonts w:ascii="Arial" w:eastAsiaTheme="minorHAnsi" w:hAnsi="Arial" w:cs="Arial"/>
        </w:rPr>
        <w:t>m (</w:t>
      </w:r>
      <w:r>
        <w:rPr>
          <w:rFonts w:ascii="Arial" w:eastAsiaTheme="minorHAnsi" w:hAnsi="Arial" w:cs="Arial"/>
        </w:rPr>
        <w:t>2020/21</w:t>
      </w:r>
      <w:r w:rsidRPr="00B93355">
        <w:rPr>
          <w:rFonts w:ascii="Arial" w:eastAsiaTheme="minorHAnsi" w:hAnsi="Arial" w:cs="Arial"/>
        </w:rPr>
        <w:t>: £</w:t>
      </w:r>
      <w:r>
        <w:rPr>
          <w:rFonts w:ascii="Arial" w:eastAsiaTheme="minorHAnsi" w:hAnsi="Arial" w:cs="Arial"/>
        </w:rPr>
        <w:t>12.2</w:t>
      </w:r>
      <w:r w:rsidRPr="00B93355">
        <w:rPr>
          <w:rFonts w:ascii="Arial" w:eastAsiaTheme="minorHAnsi" w:hAnsi="Arial" w:cs="Arial"/>
        </w:rPr>
        <w:t>m).</w:t>
      </w:r>
    </w:p>
    <w:p w14:paraId="2C47AE19" w14:textId="77777777" w:rsidR="00795BE0" w:rsidRPr="0007572B" w:rsidRDefault="00795BE0" w:rsidP="00795BE0">
      <w:pPr>
        <w:spacing w:after="160"/>
        <w:rPr>
          <w:rFonts w:ascii="Arial" w:eastAsiaTheme="minorHAnsi" w:hAnsi="Arial" w:cs="Arial"/>
        </w:rPr>
      </w:pPr>
      <w:r w:rsidRPr="0007572B">
        <w:rPr>
          <w:rFonts w:ascii="Arial" w:eastAsiaTheme="minorHAnsi" w:hAnsi="Arial" w:cs="Arial"/>
        </w:rPr>
        <w:t>Once completed, ownership of these assets vests in Network Rail, rail operating companies, Highways England, the Authority or the local authority as appropriate.</w:t>
      </w:r>
    </w:p>
    <w:p w14:paraId="54EEB55F" w14:textId="77777777" w:rsidR="00795BE0" w:rsidRPr="0007572B" w:rsidRDefault="00795BE0" w:rsidP="00795BE0">
      <w:pPr>
        <w:spacing w:after="160"/>
        <w:rPr>
          <w:rFonts w:ascii="Arial" w:eastAsiaTheme="minorHAnsi" w:hAnsi="Arial" w:cs="Arial"/>
          <w:highlight w:val="yellow"/>
        </w:rPr>
      </w:pPr>
      <w:r w:rsidRPr="0007572B">
        <w:rPr>
          <w:rFonts w:ascii="Arial" w:eastAsiaTheme="minorHAnsi" w:hAnsi="Arial" w:cs="Arial"/>
        </w:rPr>
        <w:t>Both the costs and the grant income are recognised within the Comprehensive Income and Expenditure Statement.</w:t>
      </w:r>
    </w:p>
    <w:p w14:paraId="64B0D181" w14:textId="77777777" w:rsidR="00795BE0" w:rsidRPr="0007572B" w:rsidRDefault="00795BE0" w:rsidP="00795BE0">
      <w:pPr>
        <w:pStyle w:val="Heading4bold"/>
        <w:rPr>
          <w:rFonts w:eastAsiaTheme="minorHAnsi"/>
        </w:rPr>
      </w:pPr>
      <w:r w:rsidRPr="0007572B">
        <w:rPr>
          <w:rFonts w:eastAsiaTheme="minorHAnsi"/>
        </w:rPr>
        <w:t>36.5 Lease Income</w:t>
      </w:r>
    </w:p>
    <w:p w14:paraId="6E623374" w14:textId="77777777" w:rsidR="00795BE0" w:rsidRPr="0007572B" w:rsidRDefault="00795BE0" w:rsidP="00795BE0">
      <w:pPr>
        <w:spacing w:after="160"/>
        <w:rPr>
          <w:rFonts w:ascii="Arial" w:eastAsiaTheme="minorHAnsi" w:hAnsi="Arial" w:cs="Arial"/>
        </w:rPr>
      </w:pPr>
      <w:r w:rsidRPr="0007572B">
        <w:rPr>
          <w:rFonts w:ascii="Arial" w:eastAsiaTheme="minorHAnsi" w:hAnsi="Arial" w:cs="Arial"/>
        </w:rPr>
        <w:t>Amounts receivable under finance leases are stated net of interest allocated to future periods. Interest is allocated to accounting periods to produce a constant periodic rate of return on the remaining net investment.</w:t>
      </w:r>
    </w:p>
    <w:p w14:paraId="485CD111" w14:textId="77777777" w:rsidR="00795BE0" w:rsidRPr="0007572B" w:rsidRDefault="00795BE0" w:rsidP="00795BE0">
      <w:pPr>
        <w:spacing w:after="160"/>
        <w:rPr>
          <w:rFonts w:ascii="Arial" w:eastAsiaTheme="minorHAnsi" w:hAnsi="Arial" w:cs="Arial"/>
          <w:highlight w:val="yellow"/>
        </w:rPr>
      </w:pPr>
      <w:r w:rsidRPr="0007572B">
        <w:rPr>
          <w:rFonts w:ascii="Arial" w:eastAsiaTheme="minorHAnsi" w:hAnsi="Arial" w:cs="Arial"/>
        </w:rPr>
        <w:t>Rentals receivable under operating leases, and secondary rentals received and retained by the Group under finance leases, are credited to income as they arise. Any premia or incentives within the lease are recognised as income on an equal basis over the term of the lease.</w:t>
      </w:r>
    </w:p>
    <w:p w14:paraId="2BCD509E" w14:textId="77777777" w:rsidR="00795BE0" w:rsidRPr="0007572B" w:rsidRDefault="00795BE0" w:rsidP="00795BE0">
      <w:pPr>
        <w:pStyle w:val="Heading4bold"/>
        <w:rPr>
          <w:rFonts w:eastAsiaTheme="minorHAnsi"/>
        </w:rPr>
      </w:pPr>
      <w:r w:rsidRPr="0007572B">
        <w:rPr>
          <w:rFonts w:eastAsiaTheme="minorHAnsi"/>
        </w:rPr>
        <w:t>36.6 Lease Expenditure</w:t>
      </w:r>
    </w:p>
    <w:p w14:paraId="7E9A9643" w14:textId="77777777" w:rsidR="00795BE0" w:rsidRPr="0007572B" w:rsidRDefault="00795BE0" w:rsidP="00795BE0">
      <w:pPr>
        <w:spacing w:after="160"/>
        <w:rPr>
          <w:rFonts w:ascii="Arial" w:eastAsiaTheme="minorHAnsi" w:hAnsi="Arial" w:cs="Arial"/>
        </w:rPr>
      </w:pPr>
      <w:r w:rsidRPr="0007572B">
        <w:rPr>
          <w:rFonts w:ascii="Arial" w:eastAsiaTheme="minorHAnsi" w:hAnsi="Arial" w:cs="Arial"/>
        </w:rPr>
        <w:t>Assets held under finance leases where the Group retains substantially all the risks and benefits of ownership are capitalised in the balance sheet at the lower of the fair value of the asset and the net present value of the minimum lease payments; the assets are then depreciated over their useful economic lives.</w:t>
      </w:r>
    </w:p>
    <w:p w14:paraId="0B837284" w14:textId="77777777" w:rsidR="00795BE0" w:rsidRPr="00FB1945" w:rsidRDefault="00795BE0" w:rsidP="00795BE0">
      <w:pPr>
        <w:spacing w:after="160"/>
        <w:rPr>
          <w:rFonts w:ascii="Arial" w:eastAsiaTheme="minorHAnsi" w:hAnsi="Arial" w:cs="Arial"/>
        </w:rPr>
      </w:pPr>
      <w:r w:rsidRPr="0007572B">
        <w:rPr>
          <w:rFonts w:ascii="Arial" w:eastAsiaTheme="minorHAnsi" w:hAnsi="Arial" w:cs="Arial"/>
          <w:sz w:val="22"/>
          <w:szCs w:val="22"/>
        </w:rPr>
        <w:t xml:space="preserve">The lease obligations are recognised as a financial liability. The interest element of the rental obligations is charged to the Comprehensive Income and Expenditure Statement over the </w:t>
      </w:r>
      <w:r w:rsidRPr="00FB1945">
        <w:rPr>
          <w:rFonts w:ascii="Arial" w:eastAsiaTheme="minorHAnsi" w:hAnsi="Arial" w:cs="Arial"/>
        </w:rPr>
        <w:t>period of the lease and represents a constant proportion of the balance of capital repayments outstanding.</w:t>
      </w:r>
    </w:p>
    <w:p w14:paraId="4CCCF444" w14:textId="77777777" w:rsidR="00795BE0" w:rsidRPr="0007572B" w:rsidRDefault="00795BE0" w:rsidP="00795BE0">
      <w:pPr>
        <w:spacing w:after="160"/>
        <w:rPr>
          <w:rFonts w:ascii="Arial" w:eastAsiaTheme="minorHAnsi" w:hAnsi="Arial" w:cs="Arial"/>
        </w:rPr>
      </w:pPr>
      <w:r w:rsidRPr="0007572B">
        <w:rPr>
          <w:rFonts w:ascii="Arial" w:eastAsiaTheme="minorHAnsi" w:hAnsi="Arial" w:cs="Arial"/>
        </w:rPr>
        <w:t>Rentals paid under operating leases are charged to expenditure on a straight line basis over the term of the lease, recognising on an equal basis the impact of any premia or incentives.</w:t>
      </w:r>
    </w:p>
    <w:p w14:paraId="6DC3A506" w14:textId="77777777" w:rsidR="00795BE0" w:rsidRPr="0007572B" w:rsidRDefault="00795BE0" w:rsidP="00795BE0">
      <w:pPr>
        <w:pStyle w:val="Heading4bold"/>
        <w:rPr>
          <w:rFonts w:eastAsiaTheme="minorHAnsi"/>
        </w:rPr>
      </w:pPr>
      <w:r w:rsidRPr="0007572B">
        <w:rPr>
          <w:rFonts w:eastAsiaTheme="minorHAnsi"/>
        </w:rPr>
        <w:t>36.7 Agency Services</w:t>
      </w:r>
    </w:p>
    <w:p w14:paraId="059ECC99" w14:textId="77777777" w:rsidR="00795BE0" w:rsidRPr="0007572B" w:rsidRDefault="00795BE0" w:rsidP="00795BE0">
      <w:pPr>
        <w:spacing w:after="160"/>
        <w:rPr>
          <w:rFonts w:ascii="Arial" w:eastAsiaTheme="minorHAnsi" w:hAnsi="Arial" w:cs="Arial"/>
        </w:rPr>
      </w:pPr>
      <w:r w:rsidRPr="0007572B">
        <w:rPr>
          <w:rFonts w:ascii="Arial" w:eastAsiaTheme="minorHAnsi" w:hAnsi="Arial" w:cs="Arial"/>
        </w:rPr>
        <w:t xml:space="preserve">Transactions are excluded from the Group’s financial statements for all agency relationships. As stipulated by the Code, the Group is acting as an agent in situations when the Group does not control the specified goods or services being provided by another party, before they are transferred to the customer. </w:t>
      </w:r>
    </w:p>
    <w:p w14:paraId="381BAEF9" w14:textId="77777777" w:rsidR="00795BE0" w:rsidRPr="0007572B" w:rsidRDefault="00795BE0" w:rsidP="00795BE0">
      <w:pPr>
        <w:spacing w:after="160"/>
        <w:rPr>
          <w:rFonts w:ascii="Arial" w:eastAsiaTheme="minorHAnsi" w:hAnsi="Arial" w:cs="Arial"/>
        </w:rPr>
      </w:pPr>
      <w:r w:rsidRPr="0007572B">
        <w:rPr>
          <w:rFonts w:ascii="Arial" w:eastAsiaTheme="minorHAnsi" w:hAnsi="Arial" w:cs="Arial"/>
        </w:rPr>
        <w:t>All services are reviewed to determine who controls the right to the underlying goods or services and when this is not deemed to be the Group, the transactions have been excluded from the financial statements.</w:t>
      </w:r>
    </w:p>
    <w:p w14:paraId="19145270" w14:textId="77777777" w:rsidR="00795BE0" w:rsidRPr="0007572B" w:rsidRDefault="00795BE0" w:rsidP="00795BE0">
      <w:pPr>
        <w:pStyle w:val="Heading4bold"/>
      </w:pPr>
      <w:r w:rsidRPr="0007572B">
        <w:t xml:space="preserve">36.8 Benefits Payable during Employment </w:t>
      </w:r>
    </w:p>
    <w:p w14:paraId="3BAB4D35" w14:textId="77777777" w:rsidR="00795BE0" w:rsidRPr="0007572B" w:rsidRDefault="00795BE0" w:rsidP="00795BE0">
      <w:pPr>
        <w:spacing w:after="160"/>
        <w:rPr>
          <w:rFonts w:ascii="Arial" w:hAnsi="Arial" w:cs="Arial"/>
        </w:rPr>
      </w:pPr>
      <w:r w:rsidRPr="0007572B">
        <w:rPr>
          <w:rFonts w:ascii="Arial" w:hAnsi="Arial" w:cs="Arial"/>
        </w:rPr>
        <w:t>Short-term employee benefits are those due to be settled wholly within 12 months of the year-end. They include such benefits as wages and salaries, paid annual leave and paid sick leave, bonuses and non-monetary benefits (e.g. cars) for current employees and are recognised as an expense for services in the year in which employees render service to the Group. An accrual is made for the cost of holiday entitlements (or any form of leave, e.g. time off in lieu) earned by employees but not taken before the year-end which employees can carry forward into the next financial year. The accrual is made at the wage and salary rates applicable in the following accounting year, being the period in which the employee takes the benefit. The accrual is charged to Surplus or Deficit on the Provision of Services, but then reversed out through the Movement in Reserves Statement so that holiday entitlements are charged to revenue in the financial year in which the holiday absence occurs.</w:t>
      </w:r>
    </w:p>
    <w:p w14:paraId="35BDBEC6" w14:textId="77777777" w:rsidR="00795BE0" w:rsidRPr="0007572B" w:rsidRDefault="00795BE0" w:rsidP="00795BE0">
      <w:pPr>
        <w:spacing w:after="160"/>
        <w:rPr>
          <w:rFonts w:ascii="Arial" w:eastAsiaTheme="minorHAnsi" w:hAnsi="Arial" w:cs="Arial"/>
        </w:rPr>
      </w:pPr>
      <w:r w:rsidRPr="0007572B">
        <w:rPr>
          <w:rFonts w:ascii="Arial" w:hAnsi="Arial" w:cs="Arial"/>
        </w:rPr>
        <w:t>The group accumulated absences are entirely attributable to Greater Manchester Police. The single entity accounts do not include an adjustment for employee benefits for reasons of materiality. The Greater Manchester Police accrual was material to their accounts and has therefore been included in the group figures.</w:t>
      </w:r>
    </w:p>
    <w:p w14:paraId="4B4C8793" w14:textId="77777777" w:rsidR="00795BE0" w:rsidRPr="0007572B" w:rsidRDefault="00795BE0" w:rsidP="00795BE0">
      <w:pPr>
        <w:pStyle w:val="Heading4bold"/>
      </w:pPr>
      <w:r w:rsidRPr="0007572B">
        <w:t>36.9 Post-Employment Benefits – Pensions</w:t>
      </w:r>
    </w:p>
    <w:p w14:paraId="51F9DD7B" w14:textId="1D2A953A" w:rsidR="00795BE0" w:rsidRDefault="00795BE0" w:rsidP="00795BE0">
      <w:pPr>
        <w:rPr>
          <w:rFonts w:ascii="Arial" w:hAnsi="Arial" w:cs="Arial"/>
        </w:rPr>
      </w:pPr>
      <w:r w:rsidRPr="0007572B">
        <w:rPr>
          <w:rFonts w:ascii="Arial" w:hAnsi="Arial" w:cs="Arial"/>
        </w:rPr>
        <w:t>Employees of the Group are members of three separate pension schemes</w:t>
      </w:r>
      <w:r>
        <w:rPr>
          <w:rFonts w:ascii="Arial" w:hAnsi="Arial" w:cs="Arial"/>
        </w:rPr>
        <w:t xml:space="preserve">. These are explained in more detail in the single entity accounts. Police Officers are covered by the </w:t>
      </w:r>
      <w:r w:rsidRPr="006B1E72">
        <w:rPr>
          <w:rFonts w:ascii="Arial" w:hAnsi="Arial" w:cs="Arial"/>
        </w:rPr>
        <w:t>Police Pension Scheme administered by XPS Administration on behalf of the Chief Constable</w:t>
      </w:r>
      <w:r>
        <w:rPr>
          <w:rFonts w:ascii="Arial" w:hAnsi="Arial" w:cs="Arial"/>
        </w:rPr>
        <w:t>. This</w:t>
      </w:r>
      <w:r w:rsidRPr="0007572B">
        <w:rPr>
          <w:rFonts w:ascii="Arial" w:hAnsi="Arial" w:cs="Arial"/>
        </w:rPr>
        <w:t xml:space="preserve"> scheme provide</w:t>
      </w:r>
      <w:r>
        <w:rPr>
          <w:rFonts w:ascii="Arial" w:hAnsi="Arial" w:cs="Arial"/>
        </w:rPr>
        <w:t>s</w:t>
      </w:r>
      <w:r w:rsidRPr="0007572B">
        <w:rPr>
          <w:rFonts w:ascii="Arial" w:hAnsi="Arial" w:cs="Arial"/>
        </w:rPr>
        <w:t xml:space="preserve"> defined benefits to members (retirement lump sums and pensions) earned as a police officer.</w:t>
      </w:r>
    </w:p>
    <w:p w14:paraId="05AB81CE" w14:textId="77777777" w:rsidR="00795BE0" w:rsidRPr="0007572B" w:rsidRDefault="00795BE0" w:rsidP="00795BE0">
      <w:pPr>
        <w:rPr>
          <w:rFonts w:ascii="Arial" w:hAnsi="Arial" w:cs="Arial"/>
        </w:rPr>
      </w:pPr>
    </w:p>
    <w:p w14:paraId="79B291AB" w14:textId="77777777" w:rsidR="00795BE0" w:rsidRPr="0007572B" w:rsidRDefault="00795BE0" w:rsidP="00795BE0">
      <w:pPr>
        <w:pStyle w:val="Heading4bold"/>
      </w:pPr>
      <w:r w:rsidRPr="0007572B">
        <w:t xml:space="preserve">36.10 </w:t>
      </w:r>
      <w:r>
        <w:t>T</w:t>
      </w:r>
      <w:r w:rsidRPr="0007572B">
        <w:t>he Police Pension Scheme</w:t>
      </w:r>
    </w:p>
    <w:p w14:paraId="528B5318" w14:textId="77777777" w:rsidR="00795BE0" w:rsidRPr="0007572B" w:rsidRDefault="00795BE0" w:rsidP="00795BE0">
      <w:pPr>
        <w:jc w:val="both"/>
        <w:rPr>
          <w:rFonts w:ascii="Arial" w:hAnsi="Arial" w:cs="Arial"/>
          <w:b/>
        </w:rPr>
      </w:pPr>
    </w:p>
    <w:p w14:paraId="45FF90DE" w14:textId="77777777" w:rsidR="00795BE0" w:rsidRPr="0007572B" w:rsidRDefault="00795BE0" w:rsidP="00795BE0">
      <w:pPr>
        <w:spacing w:after="120"/>
        <w:rPr>
          <w:rFonts w:ascii="Arial" w:hAnsi="Arial" w:cs="Arial"/>
        </w:rPr>
      </w:pPr>
      <w:r>
        <w:rPr>
          <w:rFonts w:ascii="Arial" w:hAnsi="Arial" w:cs="Arial"/>
        </w:rPr>
        <w:t>This scheme is a</w:t>
      </w:r>
      <w:r w:rsidRPr="0007572B">
        <w:rPr>
          <w:rFonts w:ascii="Arial" w:hAnsi="Arial" w:cs="Arial"/>
        </w:rPr>
        <w:t xml:space="preserve"> defined benefit scheme, the rules of which are set out in Police Pension Regulations. The scheme </w:t>
      </w:r>
      <w:r>
        <w:rPr>
          <w:rFonts w:ascii="Arial" w:hAnsi="Arial" w:cs="Arial"/>
        </w:rPr>
        <w:t>is</w:t>
      </w:r>
      <w:r w:rsidRPr="0007572B">
        <w:rPr>
          <w:rFonts w:ascii="Arial" w:hAnsi="Arial" w:cs="Arial"/>
        </w:rPr>
        <w:t xml:space="preserve"> wholly unfunded. No investment assets have been built up to meet liabilities and cash ha</w:t>
      </w:r>
      <w:r>
        <w:rPr>
          <w:rFonts w:ascii="Arial" w:hAnsi="Arial" w:cs="Arial"/>
        </w:rPr>
        <w:t>s</w:t>
      </w:r>
      <w:r w:rsidRPr="0007572B">
        <w:rPr>
          <w:rFonts w:ascii="Arial" w:hAnsi="Arial" w:cs="Arial"/>
        </w:rPr>
        <w:t xml:space="preserve"> to be generated from employee and employer contributions to meet actual pension payments as they fall due.</w:t>
      </w:r>
    </w:p>
    <w:p w14:paraId="7865639F" w14:textId="77777777" w:rsidR="00795BE0" w:rsidRPr="0007572B" w:rsidRDefault="00795BE0" w:rsidP="00795BE0">
      <w:pPr>
        <w:spacing w:after="120"/>
        <w:rPr>
          <w:rFonts w:ascii="Arial" w:hAnsi="Arial" w:cs="Arial"/>
        </w:rPr>
      </w:pPr>
      <w:r w:rsidRPr="0007572B">
        <w:rPr>
          <w:rFonts w:ascii="Arial" w:hAnsi="Arial" w:cs="Arial"/>
        </w:rPr>
        <w:t>The Chief Constable as employer, and police officers as members, pay pension contribution</w:t>
      </w:r>
      <w:r>
        <w:rPr>
          <w:rFonts w:ascii="Arial" w:hAnsi="Arial" w:cs="Arial"/>
        </w:rPr>
        <w:t>s</w:t>
      </w:r>
      <w:r w:rsidRPr="0007572B">
        <w:rPr>
          <w:rFonts w:ascii="Arial" w:hAnsi="Arial" w:cs="Arial"/>
        </w:rPr>
        <w:t xml:space="preserve"> based on a percentage of pensionable pay into the Police Pension Fund Account. Pension benefits are paid out of the Pension Fund Accounts.</w:t>
      </w:r>
    </w:p>
    <w:p w14:paraId="64ABB5D5" w14:textId="77777777" w:rsidR="00795BE0" w:rsidRPr="0007572B" w:rsidRDefault="00795BE0" w:rsidP="00795BE0">
      <w:pPr>
        <w:spacing w:after="120"/>
        <w:rPr>
          <w:rFonts w:ascii="Arial" w:hAnsi="Arial" w:cs="Arial"/>
        </w:rPr>
      </w:pPr>
      <w:r w:rsidRPr="0007572B">
        <w:rPr>
          <w:rFonts w:ascii="Arial" w:hAnsi="Arial" w:cs="Arial"/>
        </w:rPr>
        <w:t>The amounts payable into and out of the Pension Fund Account are specified by regulations. Any surplus or deficit on the Pension Fund Accounts must be transferred to or from the Combined Authority and ultimately repaid to or received from the Home Office.</w:t>
      </w:r>
    </w:p>
    <w:p w14:paraId="2A6B9BF3" w14:textId="77777777" w:rsidR="00795BE0" w:rsidRPr="0007572B" w:rsidRDefault="00795BE0" w:rsidP="00795BE0">
      <w:pPr>
        <w:spacing w:after="120"/>
        <w:jc w:val="both"/>
        <w:rPr>
          <w:rFonts w:ascii="Arial" w:hAnsi="Arial" w:cs="Arial"/>
        </w:rPr>
      </w:pPr>
      <w:r w:rsidRPr="0007572B">
        <w:rPr>
          <w:rFonts w:ascii="Arial" w:hAnsi="Arial" w:cs="Arial"/>
        </w:rPr>
        <w:t xml:space="preserve">Injury awards are not part of </w:t>
      </w:r>
      <w:r>
        <w:rPr>
          <w:rFonts w:ascii="Arial" w:hAnsi="Arial" w:cs="Arial"/>
        </w:rPr>
        <w:t xml:space="preserve">the </w:t>
      </w:r>
      <w:r w:rsidRPr="0007572B">
        <w:rPr>
          <w:rFonts w:ascii="Arial" w:hAnsi="Arial" w:cs="Arial"/>
        </w:rPr>
        <w:t>pension scheme and are charged directly to the Comprehensive Income and Expenditure Statement. However, liabilities in respect of injury awards are disclosed as part of the overall pension liability.</w:t>
      </w:r>
    </w:p>
    <w:p w14:paraId="7D4A7E82" w14:textId="77777777" w:rsidR="00795BE0" w:rsidRDefault="00795BE0" w:rsidP="00795BE0">
      <w:pPr>
        <w:jc w:val="both"/>
        <w:rPr>
          <w:rFonts w:ascii="Arial" w:hAnsi="Arial" w:cs="Arial"/>
        </w:rPr>
      </w:pPr>
      <w:r w:rsidRPr="0007572B">
        <w:rPr>
          <w:rFonts w:ascii="Arial" w:hAnsi="Arial" w:cs="Arial"/>
        </w:rPr>
        <w:t>Other than references to assets, th</w:t>
      </w:r>
      <w:r>
        <w:rPr>
          <w:rFonts w:ascii="Arial" w:hAnsi="Arial" w:cs="Arial"/>
        </w:rPr>
        <w:t>is</w:t>
      </w:r>
      <w:r w:rsidRPr="0007572B">
        <w:rPr>
          <w:rFonts w:ascii="Arial" w:hAnsi="Arial" w:cs="Arial"/>
        </w:rPr>
        <w:t xml:space="preserve"> scheme </w:t>
      </w:r>
      <w:r>
        <w:rPr>
          <w:rFonts w:ascii="Arial" w:hAnsi="Arial" w:cs="Arial"/>
        </w:rPr>
        <w:t>is</w:t>
      </w:r>
      <w:r w:rsidRPr="0007572B">
        <w:rPr>
          <w:rFonts w:ascii="Arial" w:hAnsi="Arial" w:cs="Arial"/>
        </w:rPr>
        <w:t xml:space="preserve"> accounted for in the same way as the Local Government Pension Scheme.</w:t>
      </w:r>
    </w:p>
    <w:p w14:paraId="2DE43B23" w14:textId="77777777" w:rsidR="00795BE0" w:rsidRDefault="00795BE0" w:rsidP="00795BE0">
      <w:pPr>
        <w:jc w:val="both"/>
        <w:rPr>
          <w:rFonts w:ascii="Arial" w:hAnsi="Arial" w:cs="Arial"/>
          <w:b/>
          <w:sz w:val="22"/>
          <w:szCs w:val="22"/>
        </w:rPr>
        <w:sectPr w:rsidR="00795BE0" w:rsidSect="0086765F">
          <w:pgSz w:w="11906" w:h="16838"/>
          <w:pgMar w:top="946" w:right="1416" w:bottom="1440" w:left="1418" w:header="283" w:footer="567" w:gutter="0"/>
          <w:cols w:space="708"/>
          <w:docGrid w:linePitch="360"/>
        </w:sectPr>
      </w:pPr>
      <w:bookmarkStart w:id="251" w:name="_Hlk61858772"/>
      <w:r w:rsidRPr="0007572B">
        <w:rPr>
          <w:rFonts w:ascii="Arial" w:hAnsi="Arial" w:cs="Arial"/>
          <w:b/>
          <w:sz w:val="22"/>
          <w:szCs w:val="22"/>
        </w:rPr>
        <w:br w:type="page"/>
      </w:r>
    </w:p>
    <w:p w14:paraId="27BD7593" w14:textId="77777777" w:rsidR="00795BE0" w:rsidRPr="0007572B" w:rsidRDefault="00795BE0" w:rsidP="00795BE0">
      <w:pPr>
        <w:jc w:val="both"/>
        <w:rPr>
          <w:rFonts w:ascii="Arial" w:hAnsi="Arial" w:cs="Arial"/>
          <w:b/>
          <w:sz w:val="22"/>
          <w:szCs w:val="22"/>
        </w:rPr>
      </w:pPr>
    </w:p>
    <w:p w14:paraId="2A54434C" w14:textId="77777777" w:rsidR="00795BE0" w:rsidRPr="0007572B" w:rsidRDefault="00795BE0" w:rsidP="00795BE0">
      <w:pPr>
        <w:pStyle w:val="Heading3greennumbered"/>
      </w:pPr>
      <w:bookmarkStart w:id="252" w:name="_Toc92894928"/>
      <w:bookmarkStart w:id="253" w:name="_Toc92895232"/>
      <w:bookmarkStart w:id="254" w:name="_Toc109922666"/>
      <w:bookmarkEnd w:id="251"/>
      <w:r w:rsidRPr="0007572B">
        <w:t>37a Group Expenditure and Funding Analysis</w:t>
      </w:r>
      <w:bookmarkEnd w:id="252"/>
      <w:bookmarkEnd w:id="253"/>
      <w:bookmarkEnd w:id="254"/>
    </w:p>
    <w:p w14:paraId="7DA68B9A" w14:textId="77777777" w:rsidR="00795BE0" w:rsidRPr="0007572B" w:rsidRDefault="00795BE0" w:rsidP="00795BE0">
      <w:pPr>
        <w:rPr>
          <w:rFonts w:ascii="Arial" w:hAnsi="Arial" w:cs="Arial"/>
        </w:rPr>
      </w:pPr>
    </w:p>
    <w:p w14:paraId="7946A0B5" w14:textId="2A5E6EA2" w:rsidR="00795BE0" w:rsidRDefault="00795BE0" w:rsidP="00795BE0">
      <w:pPr>
        <w:rPr>
          <w:rFonts w:ascii="Arial" w:hAnsi="Arial" w:cs="Arial"/>
        </w:rPr>
      </w:pPr>
      <w:r w:rsidRPr="0007572B">
        <w:rPr>
          <w:rFonts w:ascii="Arial" w:hAnsi="Arial" w:cs="Arial"/>
        </w:rPr>
        <w:t xml:space="preserve">The Expenditure and Funding Analysis shows how annual expenditure is used and funded from resources by local authorities in comparison to those resources consumed or earned by local authorities in accordance with generally accepted accounting practices. It also shows how the expenditure is allocated between Directorates. Income and expenditure accounted for under generally accepted accounting practice is presented more fully in the Comprehensive Income and Expenditure Statement. </w:t>
      </w:r>
    </w:p>
    <w:p w14:paraId="03C705C3" w14:textId="77777777" w:rsidR="00F542E3" w:rsidRPr="0007572B" w:rsidRDefault="00F542E3" w:rsidP="00795BE0">
      <w:pPr>
        <w:rPr>
          <w:rFonts w:ascii="Arial" w:hAnsi="Arial" w:cs="Arial"/>
          <w:lang w:eastAsia="en-GB"/>
        </w:rPr>
      </w:pPr>
    </w:p>
    <w:p w14:paraId="25903312" w14:textId="1BC6880F" w:rsidR="00795BE0" w:rsidRPr="0007572B" w:rsidRDefault="00F542E3" w:rsidP="00795BE0">
      <w:pPr>
        <w:rPr>
          <w:rFonts w:ascii="Arial" w:hAnsi="Arial" w:cs="Arial"/>
          <w:b/>
          <w:highlight w:val="yellow"/>
        </w:rPr>
      </w:pPr>
      <w:r w:rsidRPr="00F542E3">
        <w:rPr>
          <w:noProof/>
        </w:rPr>
        <w:drawing>
          <wp:inline distT="0" distB="0" distL="0" distR="0" wp14:anchorId="3C7B4396" wp14:editId="096250E8">
            <wp:extent cx="8976360" cy="3391535"/>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8976360" cy="3391535"/>
                    </a:xfrm>
                    <a:prstGeom prst="rect">
                      <a:avLst/>
                    </a:prstGeom>
                    <a:noFill/>
                    <a:ln>
                      <a:noFill/>
                    </a:ln>
                  </pic:spPr>
                </pic:pic>
              </a:graphicData>
            </a:graphic>
          </wp:inline>
        </w:drawing>
      </w:r>
    </w:p>
    <w:p w14:paraId="280401FF" w14:textId="77777777" w:rsidR="00795BE0" w:rsidRDefault="00795BE0" w:rsidP="00795BE0">
      <w:pPr>
        <w:rPr>
          <w:rFonts w:ascii="Arial" w:hAnsi="Arial" w:cs="Arial"/>
          <w:b/>
          <w:bCs/>
          <w:color w:val="000000" w:themeColor="text1"/>
          <w:sz w:val="26"/>
          <w:szCs w:val="26"/>
        </w:rPr>
      </w:pPr>
      <w:r>
        <w:br w:type="page"/>
      </w:r>
    </w:p>
    <w:p w14:paraId="3CCD5FEA" w14:textId="77777777" w:rsidR="00795BE0" w:rsidRPr="0007572B" w:rsidRDefault="00795BE0" w:rsidP="00795BE0">
      <w:pPr>
        <w:pStyle w:val="Heading3greennumbered"/>
      </w:pPr>
      <w:bookmarkStart w:id="255" w:name="_Toc92894929"/>
      <w:bookmarkStart w:id="256" w:name="_Toc92895233"/>
      <w:bookmarkStart w:id="257" w:name="_Toc109922667"/>
      <w:r w:rsidRPr="0007572B">
        <w:t>37b Note to the Group Expenditure and Funding Analysis</w:t>
      </w:r>
      <w:bookmarkEnd w:id="255"/>
      <w:bookmarkEnd w:id="256"/>
      <w:bookmarkEnd w:id="257"/>
    </w:p>
    <w:p w14:paraId="2DE56A67" w14:textId="77777777" w:rsidR="00795BE0" w:rsidRPr="0007572B" w:rsidRDefault="00795BE0" w:rsidP="00795BE0">
      <w:pPr>
        <w:jc w:val="both"/>
        <w:rPr>
          <w:rFonts w:ascii="Arial" w:hAnsi="Arial" w:cs="Arial"/>
          <w:b/>
          <w:highlight w:val="yellow"/>
        </w:rPr>
      </w:pPr>
    </w:p>
    <w:p w14:paraId="552FB574" w14:textId="7F142376" w:rsidR="00795BE0" w:rsidRPr="0007572B" w:rsidRDefault="00F542E3" w:rsidP="00795BE0">
      <w:pPr>
        <w:jc w:val="both"/>
        <w:rPr>
          <w:rFonts w:ascii="Arial" w:hAnsi="Arial" w:cs="Arial"/>
        </w:rPr>
      </w:pPr>
      <w:r w:rsidRPr="00F542E3">
        <w:rPr>
          <w:noProof/>
        </w:rPr>
        <w:drawing>
          <wp:inline distT="0" distB="0" distL="0" distR="0" wp14:anchorId="4FA62969" wp14:editId="43A72A72">
            <wp:extent cx="8114030" cy="2609850"/>
            <wp:effectExtent l="0" t="0" r="127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8114030" cy="2609850"/>
                    </a:xfrm>
                    <a:prstGeom prst="rect">
                      <a:avLst/>
                    </a:prstGeom>
                    <a:noFill/>
                    <a:ln>
                      <a:noFill/>
                    </a:ln>
                  </pic:spPr>
                </pic:pic>
              </a:graphicData>
            </a:graphic>
          </wp:inline>
        </w:drawing>
      </w:r>
    </w:p>
    <w:p w14:paraId="2250FA49" w14:textId="77777777" w:rsidR="00795BE0" w:rsidRPr="0007572B" w:rsidRDefault="00795BE0" w:rsidP="00795BE0">
      <w:pPr>
        <w:jc w:val="both"/>
        <w:rPr>
          <w:rFonts w:ascii="Arial" w:hAnsi="Arial" w:cs="Arial"/>
          <w:b/>
        </w:rPr>
      </w:pPr>
    </w:p>
    <w:p w14:paraId="179E7F84" w14:textId="77777777" w:rsidR="00795BE0" w:rsidRPr="0007572B" w:rsidRDefault="00795BE0" w:rsidP="00DF4603">
      <w:pPr>
        <w:pStyle w:val="ListParagraph"/>
        <w:numPr>
          <w:ilvl w:val="0"/>
          <w:numId w:val="76"/>
        </w:numPr>
        <w:spacing w:before="120" w:after="0" w:line="240" w:lineRule="auto"/>
        <w:ind w:left="284" w:hanging="284"/>
        <w:rPr>
          <w:rFonts w:ascii="Arial" w:hAnsi="Arial" w:cs="Arial"/>
          <w:sz w:val="24"/>
          <w:szCs w:val="24"/>
        </w:rPr>
      </w:pPr>
      <w:r w:rsidRPr="0007572B">
        <w:rPr>
          <w:rFonts w:ascii="Arial" w:hAnsi="Arial" w:cs="Arial"/>
          <w:sz w:val="24"/>
          <w:szCs w:val="24"/>
        </w:rPr>
        <w:t>Adjustments for capital purposes include revenue expenditure funded from capital under statute, depreciation and impairment, gain/loss on disposal of non-current assets, capital grants and contributions, minimum revenue provision and revenue contribution to capital outlay.</w:t>
      </w:r>
    </w:p>
    <w:p w14:paraId="368E98E3" w14:textId="77777777" w:rsidR="00795BE0" w:rsidRPr="0007572B" w:rsidRDefault="00795BE0" w:rsidP="00DF4603">
      <w:pPr>
        <w:pStyle w:val="ListParagraph"/>
        <w:numPr>
          <w:ilvl w:val="0"/>
          <w:numId w:val="76"/>
        </w:numPr>
        <w:spacing w:line="240" w:lineRule="auto"/>
        <w:ind w:left="284" w:hanging="284"/>
        <w:rPr>
          <w:rFonts w:ascii="Arial" w:hAnsi="Arial" w:cs="Arial"/>
          <w:sz w:val="24"/>
          <w:szCs w:val="24"/>
        </w:rPr>
      </w:pPr>
      <w:r w:rsidRPr="0007572B">
        <w:rPr>
          <w:rFonts w:ascii="Arial" w:hAnsi="Arial" w:cs="Arial"/>
          <w:sz w:val="24"/>
          <w:szCs w:val="24"/>
        </w:rPr>
        <w:t>Pension adjustments include employer's contribution to the pension scheme and retirement benefits per IAS 19.</w:t>
      </w:r>
    </w:p>
    <w:p w14:paraId="178BFD35" w14:textId="77777777" w:rsidR="00795BE0" w:rsidRPr="0007572B" w:rsidRDefault="00795BE0" w:rsidP="00DF4603">
      <w:pPr>
        <w:pStyle w:val="ListParagraph"/>
        <w:numPr>
          <w:ilvl w:val="0"/>
          <w:numId w:val="76"/>
        </w:numPr>
        <w:spacing w:line="240" w:lineRule="auto"/>
        <w:ind w:left="284" w:hanging="284"/>
        <w:rPr>
          <w:rFonts w:ascii="Arial" w:hAnsi="Arial" w:cs="Arial"/>
          <w:sz w:val="24"/>
          <w:szCs w:val="24"/>
        </w:rPr>
      </w:pPr>
      <w:r w:rsidRPr="0007572B">
        <w:rPr>
          <w:rFonts w:ascii="Arial" w:hAnsi="Arial" w:cs="Arial"/>
          <w:sz w:val="24"/>
          <w:szCs w:val="24"/>
        </w:rPr>
        <w:t xml:space="preserve">Other adjustments include </w:t>
      </w:r>
      <w:r w:rsidRPr="00795BE0">
        <w:rPr>
          <w:rFonts w:ascii="Arial" w:hAnsi="Arial" w:cs="Arial"/>
          <w:sz w:val="24"/>
          <w:szCs w:val="24"/>
        </w:rPr>
        <w:t>contributions to capital bad debt provision and</w:t>
      </w:r>
      <w:r w:rsidRPr="0007572B">
        <w:rPr>
          <w:rFonts w:ascii="Arial" w:hAnsi="Arial" w:cs="Arial"/>
          <w:sz w:val="24"/>
          <w:szCs w:val="24"/>
        </w:rPr>
        <w:t xml:space="preserve"> available for sale financial instruments.</w:t>
      </w:r>
    </w:p>
    <w:p w14:paraId="707D8B54" w14:textId="77777777" w:rsidR="00795BE0" w:rsidRPr="0007572B" w:rsidRDefault="00795BE0" w:rsidP="00795BE0">
      <w:pPr>
        <w:rPr>
          <w:rFonts w:ascii="Arial" w:hAnsi="Arial" w:cs="Arial"/>
          <w:b/>
          <w:sz w:val="22"/>
          <w:szCs w:val="22"/>
        </w:rPr>
        <w:sectPr w:rsidR="00795BE0" w:rsidRPr="0007572B" w:rsidSect="00994EAE">
          <w:pgSz w:w="16838" w:h="11906" w:orient="landscape"/>
          <w:pgMar w:top="1418" w:right="946" w:bottom="1416" w:left="1440" w:header="283" w:footer="567" w:gutter="0"/>
          <w:cols w:space="708"/>
          <w:docGrid w:linePitch="360"/>
        </w:sectPr>
      </w:pPr>
    </w:p>
    <w:p w14:paraId="1B5714BF" w14:textId="77777777" w:rsidR="00795BE0" w:rsidRPr="0007572B" w:rsidRDefault="00795BE0" w:rsidP="00795BE0">
      <w:pPr>
        <w:pStyle w:val="Heading3greennumbered"/>
      </w:pPr>
      <w:bookmarkStart w:id="258" w:name="_Toc92894930"/>
      <w:bookmarkStart w:id="259" w:name="_Toc92895234"/>
      <w:bookmarkStart w:id="260" w:name="_Toc109922668"/>
      <w:r w:rsidRPr="0007572B">
        <w:t>38 Group Adjustments between Accounting Basis and Funding Basis under Regulations</w:t>
      </w:r>
      <w:bookmarkEnd w:id="258"/>
      <w:bookmarkEnd w:id="259"/>
      <w:bookmarkEnd w:id="260"/>
    </w:p>
    <w:p w14:paraId="76C3A758" w14:textId="77777777" w:rsidR="00795BE0" w:rsidRDefault="00795BE0" w:rsidP="00795BE0">
      <w:pPr>
        <w:rPr>
          <w:rFonts w:ascii="Arial" w:hAnsi="Arial" w:cs="Arial"/>
        </w:rPr>
      </w:pPr>
    </w:p>
    <w:p w14:paraId="4AF7D181" w14:textId="77777777" w:rsidR="00795BE0" w:rsidRPr="0007572B" w:rsidRDefault="00795BE0" w:rsidP="00795BE0">
      <w:pPr>
        <w:rPr>
          <w:rFonts w:ascii="Arial" w:hAnsi="Arial" w:cs="Arial"/>
        </w:rPr>
      </w:pPr>
      <w:r w:rsidRPr="0007572B">
        <w:rPr>
          <w:rFonts w:ascii="Arial" w:hAnsi="Arial" w:cs="Arial"/>
        </w:rPr>
        <w:t>This note details the adjustments that are made to the total comprehensive income and expenditure recognised by the Group in the year in accordance with proper accounting practice to the resources that are specified by statutory provisions as being available to meet future capital and revenue expenditure.</w:t>
      </w:r>
    </w:p>
    <w:p w14:paraId="202D297E" w14:textId="77777777" w:rsidR="00795BE0" w:rsidRPr="0007572B" w:rsidRDefault="00795BE0" w:rsidP="00795BE0">
      <w:pPr>
        <w:rPr>
          <w:rFonts w:ascii="Arial" w:hAnsi="Arial" w:cs="Arial"/>
          <w:b/>
          <w:highlight w:val="yellow"/>
        </w:rPr>
      </w:pPr>
    </w:p>
    <w:p w14:paraId="7F9D8243" w14:textId="23770D72" w:rsidR="00795BE0" w:rsidRPr="0007572B" w:rsidRDefault="00CB7932" w:rsidP="00795BE0">
      <w:pPr>
        <w:rPr>
          <w:rFonts w:ascii="Arial" w:hAnsi="Arial" w:cs="Arial"/>
          <w:b/>
        </w:rPr>
      </w:pPr>
      <w:r w:rsidRPr="00CB7932">
        <w:rPr>
          <w:noProof/>
        </w:rPr>
        <w:drawing>
          <wp:inline distT="0" distB="0" distL="0" distR="0" wp14:anchorId="78AB4C78" wp14:editId="7754E625">
            <wp:extent cx="9177020" cy="3192145"/>
            <wp:effectExtent l="0" t="0" r="5080" b="825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9177020" cy="3192145"/>
                    </a:xfrm>
                    <a:prstGeom prst="rect">
                      <a:avLst/>
                    </a:prstGeom>
                    <a:noFill/>
                    <a:ln>
                      <a:noFill/>
                    </a:ln>
                  </pic:spPr>
                </pic:pic>
              </a:graphicData>
            </a:graphic>
          </wp:inline>
        </w:drawing>
      </w:r>
    </w:p>
    <w:p w14:paraId="589B4D15" w14:textId="77777777" w:rsidR="00795BE0" w:rsidRPr="0007572B" w:rsidRDefault="00795BE0" w:rsidP="00795BE0">
      <w:pPr>
        <w:rPr>
          <w:rFonts w:ascii="Arial" w:hAnsi="Arial" w:cs="Arial"/>
          <w:b/>
        </w:rPr>
      </w:pPr>
    </w:p>
    <w:p w14:paraId="58E90B80" w14:textId="77777777" w:rsidR="00795BE0" w:rsidRPr="0007572B" w:rsidRDefault="00795BE0" w:rsidP="00795BE0">
      <w:pPr>
        <w:jc w:val="both"/>
        <w:rPr>
          <w:rFonts w:ascii="Arial" w:hAnsi="Arial" w:cs="Arial"/>
          <w:b/>
          <w:sz w:val="22"/>
          <w:szCs w:val="22"/>
        </w:rPr>
      </w:pPr>
    </w:p>
    <w:p w14:paraId="7F6B046A" w14:textId="77777777" w:rsidR="00795BE0" w:rsidRPr="0007572B" w:rsidRDefault="00795BE0" w:rsidP="00795BE0">
      <w:pPr>
        <w:rPr>
          <w:rFonts w:ascii="Arial" w:hAnsi="Arial" w:cs="Arial"/>
          <w:b/>
          <w:sz w:val="22"/>
          <w:szCs w:val="22"/>
        </w:rPr>
      </w:pPr>
    </w:p>
    <w:p w14:paraId="47954B52" w14:textId="77777777" w:rsidR="00795BE0" w:rsidRPr="0007572B" w:rsidRDefault="00795BE0" w:rsidP="00795BE0">
      <w:pPr>
        <w:rPr>
          <w:rFonts w:ascii="Arial" w:hAnsi="Arial" w:cs="Arial"/>
          <w:b/>
          <w:sz w:val="22"/>
          <w:szCs w:val="22"/>
        </w:rPr>
        <w:sectPr w:rsidR="00795BE0" w:rsidRPr="0007572B" w:rsidSect="00171330">
          <w:pgSz w:w="16838" w:h="11906" w:orient="landscape"/>
          <w:pgMar w:top="1080" w:right="946" w:bottom="1416" w:left="1440" w:header="283" w:footer="567" w:gutter="0"/>
          <w:cols w:space="708"/>
          <w:docGrid w:linePitch="360"/>
        </w:sectPr>
      </w:pPr>
    </w:p>
    <w:p w14:paraId="45776985" w14:textId="77777777" w:rsidR="00795BE0" w:rsidRPr="0007572B" w:rsidRDefault="00795BE0" w:rsidP="00795BE0">
      <w:pPr>
        <w:pStyle w:val="Heading3greennumbered"/>
      </w:pPr>
      <w:bookmarkStart w:id="261" w:name="_Toc92894931"/>
      <w:bookmarkStart w:id="262" w:name="_Toc92895235"/>
      <w:bookmarkStart w:id="263" w:name="_Toc109922669"/>
      <w:r w:rsidRPr="0007572B">
        <w:t>39 Transfers (to)/from Group Earmarked Reserves</w:t>
      </w:r>
      <w:bookmarkEnd w:id="261"/>
      <w:bookmarkEnd w:id="262"/>
      <w:bookmarkEnd w:id="263"/>
    </w:p>
    <w:p w14:paraId="11180044" w14:textId="77777777" w:rsidR="00795BE0" w:rsidRDefault="00795BE0" w:rsidP="00795BE0">
      <w:pPr>
        <w:rPr>
          <w:rFonts w:ascii="Arial" w:hAnsi="Arial" w:cs="Arial"/>
        </w:rPr>
      </w:pPr>
    </w:p>
    <w:p w14:paraId="60CEE839" w14:textId="77777777" w:rsidR="00795BE0" w:rsidRDefault="00795BE0" w:rsidP="00795BE0">
      <w:pPr>
        <w:rPr>
          <w:rFonts w:ascii="Arial" w:hAnsi="Arial" w:cs="Arial"/>
        </w:rPr>
      </w:pPr>
      <w:r w:rsidRPr="0007572B">
        <w:rPr>
          <w:rFonts w:ascii="Arial" w:hAnsi="Arial" w:cs="Arial"/>
        </w:rPr>
        <w:t>This note sets out the amounts set aside from the General Fund in reserves to provide financing for future expenditure plans and the amounts posted back from reserves to meet General Fund expenditure.</w:t>
      </w:r>
    </w:p>
    <w:p w14:paraId="7CAFC365" w14:textId="77777777" w:rsidR="00795BE0" w:rsidRPr="0007572B" w:rsidRDefault="00795BE0" w:rsidP="00795BE0">
      <w:pPr>
        <w:rPr>
          <w:rFonts w:ascii="Arial" w:hAnsi="Arial" w:cs="Arial"/>
        </w:rPr>
      </w:pPr>
    </w:p>
    <w:p w14:paraId="7DE80115" w14:textId="58311188" w:rsidR="00795BE0" w:rsidRPr="0007572B" w:rsidRDefault="00CB7932" w:rsidP="00795BE0">
      <w:pPr>
        <w:rPr>
          <w:rFonts w:ascii="Arial" w:hAnsi="Arial" w:cs="Arial"/>
          <w:b/>
          <w:highlight w:val="yellow"/>
        </w:rPr>
      </w:pPr>
      <w:r w:rsidRPr="00CB7932">
        <w:rPr>
          <w:noProof/>
        </w:rPr>
        <w:drawing>
          <wp:inline distT="0" distB="0" distL="0" distR="0" wp14:anchorId="02A24F4D" wp14:editId="0C61A26F">
            <wp:extent cx="5975350" cy="5996305"/>
            <wp:effectExtent l="0" t="0" r="6350" b="4445"/>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5975350" cy="5996305"/>
                    </a:xfrm>
                    <a:prstGeom prst="rect">
                      <a:avLst/>
                    </a:prstGeom>
                    <a:noFill/>
                    <a:ln>
                      <a:noFill/>
                    </a:ln>
                  </pic:spPr>
                </pic:pic>
              </a:graphicData>
            </a:graphic>
          </wp:inline>
        </w:drawing>
      </w:r>
    </w:p>
    <w:p w14:paraId="487E8B86" w14:textId="77777777" w:rsidR="00795BE0" w:rsidRPr="0007572B" w:rsidRDefault="00795BE0" w:rsidP="00795BE0">
      <w:pPr>
        <w:rPr>
          <w:rFonts w:ascii="Arial" w:hAnsi="Arial" w:cs="Arial"/>
          <w:b/>
          <w:sz w:val="22"/>
          <w:szCs w:val="22"/>
        </w:rPr>
      </w:pPr>
      <w:r w:rsidRPr="0007572B">
        <w:rPr>
          <w:rFonts w:ascii="Arial" w:hAnsi="Arial" w:cs="Arial"/>
          <w:b/>
          <w:sz w:val="22"/>
          <w:szCs w:val="22"/>
        </w:rPr>
        <w:br w:type="page"/>
      </w:r>
    </w:p>
    <w:p w14:paraId="39BB6820" w14:textId="77777777" w:rsidR="00795BE0" w:rsidRPr="0007572B" w:rsidRDefault="00795BE0" w:rsidP="00795BE0">
      <w:pPr>
        <w:pStyle w:val="Heading3greennumbered"/>
      </w:pPr>
      <w:bookmarkStart w:id="264" w:name="_Toc92894932"/>
      <w:bookmarkStart w:id="265" w:name="_Toc92895236"/>
      <w:bookmarkStart w:id="266" w:name="_Toc109922670"/>
      <w:r w:rsidRPr="0007572B">
        <w:t>39 Transfers (to)/from Group Earmarked Reserves (Continued)</w:t>
      </w:r>
      <w:bookmarkEnd w:id="264"/>
      <w:bookmarkEnd w:id="265"/>
      <w:bookmarkEnd w:id="266"/>
    </w:p>
    <w:p w14:paraId="6596624C" w14:textId="77777777" w:rsidR="00795BE0" w:rsidRDefault="00795BE0" w:rsidP="00795BE0">
      <w:pPr>
        <w:jc w:val="both"/>
        <w:rPr>
          <w:rFonts w:ascii="Arial" w:hAnsi="Arial" w:cs="Arial"/>
        </w:rPr>
      </w:pPr>
    </w:p>
    <w:p w14:paraId="5545F32C" w14:textId="22F57D7D" w:rsidR="00795BE0" w:rsidRDefault="00CB7932" w:rsidP="00795BE0">
      <w:pPr>
        <w:jc w:val="both"/>
        <w:rPr>
          <w:rFonts w:ascii="Arial" w:hAnsi="Arial" w:cs="Arial"/>
        </w:rPr>
      </w:pPr>
      <w:r w:rsidRPr="00CB7932">
        <w:rPr>
          <w:noProof/>
        </w:rPr>
        <w:drawing>
          <wp:inline distT="0" distB="0" distL="0" distR="0" wp14:anchorId="3ED889CA" wp14:editId="7C43BFDE">
            <wp:extent cx="5975350" cy="4957445"/>
            <wp:effectExtent l="0" t="0" r="635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5975350" cy="4957445"/>
                    </a:xfrm>
                    <a:prstGeom prst="rect">
                      <a:avLst/>
                    </a:prstGeom>
                    <a:noFill/>
                    <a:ln>
                      <a:noFill/>
                    </a:ln>
                  </pic:spPr>
                </pic:pic>
              </a:graphicData>
            </a:graphic>
          </wp:inline>
        </w:drawing>
      </w:r>
    </w:p>
    <w:p w14:paraId="778EB898" w14:textId="77777777" w:rsidR="00795BE0" w:rsidRPr="0007572B" w:rsidRDefault="00795BE0" w:rsidP="00795BE0">
      <w:pPr>
        <w:jc w:val="both"/>
        <w:rPr>
          <w:rFonts w:ascii="Arial" w:hAnsi="Arial" w:cs="Arial"/>
        </w:rPr>
      </w:pPr>
    </w:p>
    <w:p w14:paraId="394CA8B7" w14:textId="77777777" w:rsidR="00795BE0" w:rsidRPr="0007572B" w:rsidRDefault="00795BE0" w:rsidP="00795BE0">
      <w:pPr>
        <w:jc w:val="both"/>
        <w:rPr>
          <w:rFonts w:ascii="Arial" w:hAnsi="Arial" w:cs="Arial"/>
        </w:rPr>
      </w:pPr>
    </w:p>
    <w:p w14:paraId="4CF133F2" w14:textId="77777777" w:rsidR="00795BE0" w:rsidRPr="0007572B" w:rsidRDefault="00795BE0" w:rsidP="00795BE0">
      <w:pPr>
        <w:pStyle w:val="Heading3greennumbered"/>
      </w:pPr>
      <w:bookmarkStart w:id="267" w:name="_Toc92894933"/>
      <w:bookmarkStart w:id="268" w:name="_Toc92895237"/>
      <w:bookmarkStart w:id="269" w:name="_Toc109922671"/>
      <w:r>
        <w:t>40</w:t>
      </w:r>
      <w:r w:rsidRPr="0007572B">
        <w:t xml:space="preserve"> Purpose of Group Earmarked Reserves</w:t>
      </w:r>
      <w:bookmarkEnd w:id="267"/>
      <w:bookmarkEnd w:id="268"/>
      <w:bookmarkEnd w:id="269"/>
    </w:p>
    <w:p w14:paraId="5C629EFB" w14:textId="77777777" w:rsidR="00795BE0" w:rsidRDefault="00795BE0" w:rsidP="00795BE0">
      <w:pPr>
        <w:rPr>
          <w:rFonts w:ascii="Arial" w:hAnsi="Arial" w:cs="Arial"/>
        </w:rPr>
      </w:pPr>
    </w:p>
    <w:p w14:paraId="4E79FBBE" w14:textId="77777777" w:rsidR="00795BE0" w:rsidRPr="0007572B" w:rsidRDefault="00795BE0" w:rsidP="00795BE0">
      <w:pPr>
        <w:rPr>
          <w:rFonts w:ascii="Arial" w:hAnsi="Arial" w:cs="Arial"/>
        </w:rPr>
      </w:pPr>
      <w:r w:rsidRPr="0007572B">
        <w:rPr>
          <w:rFonts w:ascii="Arial" w:hAnsi="Arial" w:cs="Arial"/>
        </w:rPr>
        <w:t xml:space="preserve">The purpose of the Authority’s earmarked reserves is set out in </w:t>
      </w:r>
      <w:r>
        <w:rPr>
          <w:rFonts w:ascii="Arial" w:hAnsi="Arial" w:cs="Arial"/>
        </w:rPr>
        <w:t xml:space="preserve">the </w:t>
      </w:r>
      <w:r w:rsidRPr="0007572B">
        <w:rPr>
          <w:rFonts w:ascii="Arial" w:hAnsi="Arial" w:cs="Arial"/>
        </w:rPr>
        <w:t>note</w:t>
      </w:r>
      <w:r>
        <w:rPr>
          <w:rFonts w:ascii="Arial" w:hAnsi="Arial" w:cs="Arial"/>
        </w:rPr>
        <w:t>s to the single entity accounts</w:t>
      </w:r>
      <w:r w:rsidRPr="0007572B">
        <w:rPr>
          <w:rFonts w:ascii="Arial" w:hAnsi="Arial" w:cs="Arial"/>
        </w:rPr>
        <w:t>. The purpose of other group reserves is set out below:</w:t>
      </w:r>
    </w:p>
    <w:p w14:paraId="38BB8BD4" w14:textId="77777777" w:rsidR="00795BE0" w:rsidRPr="0007572B" w:rsidRDefault="00795BE0" w:rsidP="00795BE0">
      <w:pPr>
        <w:rPr>
          <w:rFonts w:ascii="Arial" w:hAnsi="Arial" w:cs="Arial"/>
        </w:rPr>
      </w:pPr>
    </w:p>
    <w:p w14:paraId="0DF01BC3" w14:textId="77777777" w:rsidR="00795BE0" w:rsidRPr="00A4694D" w:rsidRDefault="00795BE0" w:rsidP="00795BE0">
      <w:pPr>
        <w:rPr>
          <w:rFonts w:ascii="Arial" w:hAnsi="Arial" w:cs="Arial"/>
        </w:rPr>
      </w:pPr>
      <w:bookmarkStart w:id="270" w:name="_Hlk76896645"/>
      <w:r w:rsidRPr="00A4694D">
        <w:rPr>
          <w:rFonts w:ascii="Arial" w:hAnsi="Arial" w:cs="Arial"/>
        </w:rPr>
        <w:t>Transport for Greater Manchester Reserves</w:t>
      </w:r>
    </w:p>
    <w:p w14:paraId="4F65AFDA" w14:textId="77777777" w:rsidR="00795BE0" w:rsidRPr="00A4694D" w:rsidRDefault="00795BE0" w:rsidP="00DF4603">
      <w:pPr>
        <w:pStyle w:val="ListParagraph"/>
        <w:numPr>
          <w:ilvl w:val="0"/>
          <w:numId w:val="80"/>
        </w:numPr>
        <w:spacing w:line="240" w:lineRule="auto"/>
        <w:rPr>
          <w:rFonts w:ascii="Arial" w:hAnsi="Arial" w:cs="Arial"/>
          <w:sz w:val="24"/>
          <w:szCs w:val="24"/>
        </w:rPr>
      </w:pPr>
      <w:r w:rsidRPr="00A4694D">
        <w:rPr>
          <w:rFonts w:ascii="Arial" w:hAnsi="Arial" w:cs="Arial"/>
          <w:sz w:val="24"/>
          <w:szCs w:val="24"/>
        </w:rPr>
        <w:t>Revenue Grants Unapplied Reserve – Manchester Airport Contribution to the Metrolink extension to the airport;</w:t>
      </w:r>
    </w:p>
    <w:p w14:paraId="0B1817E3" w14:textId="77777777" w:rsidR="00795BE0" w:rsidRPr="00A4694D" w:rsidRDefault="00795BE0" w:rsidP="00DF4603">
      <w:pPr>
        <w:pStyle w:val="ListParagraph"/>
        <w:numPr>
          <w:ilvl w:val="0"/>
          <w:numId w:val="80"/>
        </w:numPr>
        <w:spacing w:line="240" w:lineRule="auto"/>
        <w:rPr>
          <w:rFonts w:ascii="Arial" w:hAnsi="Arial" w:cs="Arial"/>
          <w:sz w:val="24"/>
          <w:szCs w:val="24"/>
        </w:rPr>
      </w:pPr>
      <w:r w:rsidRPr="00A4694D">
        <w:rPr>
          <w:rFonts w:ascii="Arial" w:hAnsi="Arial" w:cs="Arial"/>
          <w:sz w:val="24"/>
          <w:szCs w:val="24"/>
        </w:rPr>
        <w:t>Property Reserve – surpluses arising from 2 Piccadilly Place to be reinvested in property activity;</w:t>
      </w:r>
    </w:p>
    <w:p w14:paraId="36592333" w14:textId="77777777" w:rsidR="00795BE0" w:rsidRPr="00A4694D" w:rsidRDefault="00795BE0" w:rsidP="00DF4603">
      <w:pPr>
        <w:pStyle w:val="ListParagraph"/>
        <w:numPr>
          <w:ilvl w:val="0"/>
          <w:numId w:val="80"/>
        </w:numPr>
        <w:spacing w:line="240" w:lineRule="auto"/>
        <w:rPr>
          <w:rFonts w:ascii="Arial" w:hAnsi="Arial" w:cs="Arial"/>
          <w:sz w:val="24"/>
          <w:szCs w:val="24"/>
        </w:rPr>
      </w:pPr>
      <w:r w:rsidRPr="00A4694D">
        <w:rPr>
          <w:rFonts w:ascii="Arial" w:hAnsi="Arial" w:cs="Arial"/>
          <w:sz w:val="24"/>
          <w:szCs w:val="24"/>
        </w:rPr>
        <w:t>Metrolink Reserve – funding set aside for Metrolink Service Enhancements;</w:t>
      </w:r>
    </w:p>
    <w:p w14:paraId="14A83D29" w14:textId="77777777" w:rsidR="00795BE0" w:rsidRPr="00A4694D" w:rsidRDefault="00795BE0" w:rsidP="00DF4603">
      <w:pPr>
        <w:pStyle w:val="ListParagraph"/>
        <w:numPr>
          <w:ilvl w:val="0"/>
          <w:numId w:val="80"/>
        </w:numPr>
        <w:spacing w:line="240" w:lineRule="auto"/>
        <w:rPr>
          <w:rFonts w:ascii="Arial" w:hAnsi="Arial" w:cs="Arial"/>
          <w:sz w:val="24"/>
          <w:szCs w:val="24"/>
        </w:rPr>
      </w:pPr>
      <w:r w:rsidRPr="00A4694D">
        <w:rPr>
          <w:rFonts w:ascii="Arial" w:hAnsi="Arial" w:cs="Arial"/>
          <w:sz w:val="24"/>
          <w:szCs w:val="24"/>
        </w:rPr>
        <w:t>Joint Road Safety Group Reserve – surpluses arising from JRSG activity;</w:t>
      </w:r>
    </w:p>
    <w:p w14:paraId="153F1B60" w14:textId="77777777" w:rsidR="00795BE0" w:rsidRPr="00A4694D" w:rsidRDefault="00795BE0" w:rsidP="00DF4603">
      <w:pPr>
        <w:pStyle w:val="ListParagraph"/>
        <w:numPr>
          <w:ilvl w:val="0"/>
          <w:numId w:val="80"/>
        </w:numPr>
        <w:spacing w:line="240" w:lineRule="auto"/>
        <w:rPr>
          <w:rFonts w:ascii="Arial" w:hAnsi="Arial" w:cs="Arial"/>
          <w:sz w:val="24"/>
          <w:szCs w:val="24"/>
        </w:rPr>
      </w:pPr>
      <w:r w:rsidRPr="00A4694D">
        <w:rPr>
          <w:rFonts w:ascii="Arial" w:hAnsi="Arial" w:cs="Arial"/>
          <w:sz w:val="24"/>
          <w:szCs w:val="24"/>
        </w:rPr>
        <w:t>Concessionary Fares Reserve – surpluses of reimbursed income set aside for future investment;</w:t>
      </w:r>
    </w:p>
    <w:p w14:paraId="3109DE4F" w14:textId="77777777" w:rsidR="00795BE0" w:rsidRPr="00A4694D" w:rsidRDefault="00795BE0" w:rsidP="00DF4603">
      <w:pPr>
        <w:pStyle w:val="ListParagraph"/>
        <w:numPr>
          <w:ilvl w:val="0"/>
          <w:numId w:val="80"/>
        </w:numPr>
        <w:spacing w:line="240" w:lineRule="auto"/>
        <w:rPr>
          <w:rFonts w:ascii="Arial" w:hAnsi="Arial" w:cs="Arial"/>
          <w:sz w:val="24"/>
          <w:szCs w:val="24"/>
        </w:rPr>
      </w:pPr>
      <w:r w:rsidRPr="00A4694D">
        <w:rPr>
          <w:rFonts w:ascii="Arial" w:hAnsi="Arial" w:cs="Arial"/>
          <w:sz w:val="24"/>
          <w:szCs w:val="24"/>
        </w:rPr>
        <w:t>Capital Grants Unapplied Reserve – grants for specific capital schemes to be applied in future years.</w:t>
      </w:r>
    </w:p>
    <w:bookmarkEnd w:id="270"/>
    <w:p w14:paraId="62A24B86" w14:textId="77777777" w:rsidR="00795BE0" w:rsidRPr="0007572B" w:rsidRDefault="00795BE0" w:rsidP="00795BE0">
      <w:pPr>
        <w:rPr>
          <w:rFonts w:ascii="Arial" w:hAnsi="Arial" w:cs="Arial"/>
        </w:rPr>
      </w:pPr>
      <w:r w:rsidRPr="0007572B">
        <w:rPr>
          <w:rFonts w:ascii="Arial" w:hAnsi="Arial" w:cs="Arial"/>
        </w:rPr>
        <w:t>NW Evergreen Holdings Reserve</w:t>
      </w:r>
    </w:p>
    <w:p w14:paraId="073830D2" w14:textId="77777777" w:rsidR="00795BE0" w:rsidRPr="0007572B" w:rsidRDefault="00795BE0" w:rsidP="00DF4603">
      <w:pPr>
        <w:pStyle w:val="ListParagraph"/>
        <w:numPr>
          <w:ilvl w:val="0"/>
          <w:numId w:val="81"/>
        </w:numPr>
        <w:spacing w:line="240" w:lineRule="auto"/>
        <w:rPr>
          <w:rFonts w:ascii="Arial" w:hAnsi="Arial" w:cs="Arial"/>
          <w:sz w:val="24"/>
          <w:szCs w:val="24"/>
        </w:rPr>
      </w:pPr>
      <w:r w:rsidRPr="0007572B">
        <w:rPr>
          <w:rFonts w:ascii="Arial" w:hAnsi="Arial" w:cs="Arial"/>
          <w:sz w:val="24"/>
          <w:szCs w:val="24"/>
        </w:rPr>
        <w:t>Includes grant monies novated to NW Evergreen for investment in city areas.</w:t>
      </w:r>
    </w:p>
    <w:p w14:paraId="11B5934D" w14:textId="77777777" w:rsidR="00795BE0" w:rsidRPr="0007572B" w:rsidRDefault="00795BE0" w:rsidP="00795BE0">
      <w:pPr>
        <w:rPr>
          <w:rFonts w:ascii="Arial" w:hAnsi="Arial" w:cs="Arial"/>
        </w:rPr>
      </w:pPr>
      <w:r w:rsidRPr="0007572B">
        <w:rPr>
          <w:rFonts w:ascii="Arial" w:hAnsi="Arial" w:cs="Arial"/>
        </w:rPr>
        <w:t>Fund of Funds Reserve</w:t>
      </w:r>
    </w:p>
    <w:p w14:paraId="7DE0AE7C" w14:textId="77777777" w:rsidR="00795BE0" w:rsidRPr="0007572B" w:rsidRDefault="00795BE0" w:rsidP="00DF4603">
      <w:pPr>
        <w:pStyle w:val="ListParagraph"/>
        <w:numPr>
          <w:ilvl w:val="0"/>
          <w:numId w:val="81"/>
        </w:numPr>
        <w:spacing w:line="240" w:lineRule="auto"/>
        <w:rPr>
          <w:rFonts w:ascii="Arial" w:hAnsi="Arial" w:cs="Arial"/>
          <w:sz w:val="24"/>
          <w:szCs w:val="24"/>
        </w:rPr>
      </w:pPr>
      <w:r w:rsidRPr="0007572B">
        <w:rPr>
          <w:rFonts w:ascii="Arial" w:hAnsi="Arial" w:cs="Arial"/>
          <w:sz w:val="24"/>
          <w:szCs w:val="24"/>
        </w:rPr>
        <w:t>Includes funding from European Regional Development Fund held for investment in low carbon and energy efficiency initiatives.</w:t>
      </w:r>
    </w:p>
    <w:p w14:paraId="2F92D01F" w14:textId="77777777" w:rsidR="00795BE0" w:rsidRPr="0007572B" w:rsidRDefault="00795BE0" w:rsidP="00795BE0">
      <w:pPr>
        <w:rPr>
          <w:rFonts w:ascii="Arial" w:hAnsi="Arial" w:cs="Arial"/>
          <w:b/>
          <w:sz w:val="22"/>
          <w:szCs w:val="22"/>
        </w:rPr>
      </w:pPr>
    </w:p>
    <w:p w14:paraId="2E46FF84" w14:textId="77777777" w:rsidR="00795BE0" w:rsidRPr="0007572B" w:rsidRDefault="00795BE0" w:rsidP="00795BE0">
      <w:pPr>
        <w:pStyle w:val="Heading3greennumbered"/>
      </w:pPr>
      <w:bookmarkStart w:id="271" w:name="_Toc92894934"/>
      <w:bookmarkStart w:id="272" w:name="_Toc92895238"/>
      <w:bookmarkStart w:id="273" w:name="_Toc109922672"/>
      <w:r w:rsidRPr="0007572B">
        <w:t>4</w:t>
      </w:r>
      <w:r>
        <w:t>1</w:t>
      </w:r>
      <w:r w:rsidRPr="0007572B">
        <w:t xml:space="preserve"> Group Nature of Income and Expenditure</w:t>
      </w:r>
      <w:bookmarkEnd w:id="271"/>
      <w:bookmarkEnd w:id="272"/>
      <w:bookmarkEnd w:id="273"/>
    </w:p>
    <w:p w14:paraId="74C54504" w14:textId="77777777" w:rsidR="00795BE0" w:rsidRDefault="00795BE0" w:rsidP="00795BE0">
      <w:pPr>
        <w:rPr>
          <w:rFonts w:ascii="Arial" w:hAnsi="Arial" w:cs="Arial"/>
        </w:rPr>
      </w:pPr>
    </w:p>
    <w:p w14:paraId="4EF59108" w14:textId="77777777" w:rsidR="00795BE0" w:rsidRPr="0007572B" w:rsidRDefault="00795BE0" w:rsidP="00795BE0">
      <w:pPr>
        <w:rPr>
          <w:rFonts w:ascii="Arial" w:hAnsi="Arial" w:cs="Arial"/>
        </w:rPr>
      </w:pPr>
      <w:r w:rsidRPr="0007572B">
        <w:rPr>
          <w:rFonts w:ascii="Arial" w:hAnsi="Arial" w:cs="Arial"/>
        </w:rPr>
        <w:t>The nature of the Group’s income and expenditure is outlined in the table below:</w:t>
      </w:r>
    </w:p>
    <w:p w14:paraId="3DC9AD02" w14:textId="77777777" w:rsidR="00795BE0" w:rsidRPr="0007572B" w:rsidRDefault="00795BE0" w:rsidP="00795BE0">
      <w:pPr>
        <w:rPr>
          <w:rFonts w:ascii="Arial" w:hAnsi="Arial" w:cs="Arial"/>
          <w:b/>
          <w:highlight w:val="yellow"/>
        </w:rPr>
      </w:pPr>
    </w:p>
    <w:p w14:paraId="7CFEFC0A" w14:textId="42A523FE" w:rsidR="00795BE0" w:rsidRPr="0007572B" w:rsidRDefault="00376627" w:rsidP="00795BE0">
      <w:pPr>
        <w:rPr>
          <w:rFonts w:ascii="Arial" w:hAnsi="Arial" w:cs="Arial"/>
        </w:rPr>
      </w:pPr>
      <w:r w:rsidRPr="00376627">
        <w:rPr>
          <w:noProof/>
        </w:rPr>
        <w:drawing>
          <wp:inline distT="0" distB="0" distL="0" distR="0" wp14:anchorId="6B03BDC0" wp14:editId="72EB2987">
            <wp:extent cx="5393690" cy="3055620"/>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5393690" cy="3055620"/>
                    </a:xfrm>
                    <a:prstGeom prst="rect">
                      <a:avLst/>
                    </a:prstGeom>
                    <a:noFill/>
                    <a:ln>
                      <a:noFill/>
                    </a:ln>
                  </pic:spPr>
                </pic:pic>
              </a:graphicData>
            </a:graphic>
          </wp:inline>
        </w:drawing>
      </w:r>
    </w:p>
    <w:p w14:paraId="5D18156D" w14:textId="77777777" w:rsidR="00795BE0" w:rsidRPr="0007572B" w:rsidRDefault="00795BE0" w:rsidP="00795BE0">
      <w:pPr>
        <w:rPr>
          <w:rFonts w:ascii="Arial" w:hAnsi="Arial" w:cs="Arial"/>
          <w:b/>
        </w:rPr>
      </w:pPr>
    </w:p>
    <w:p w14:paraId="7FFAD1EF" w14:textId="77777777" w:rsidR="00795BE0" w:rsidRPr="0007572B" w:rsidRDefault="00795BE0" w:rsidP="00795BE0">
      <w:pPr>
        <w:rPr>
          <w:rFonts w:ascii="Arial" w:hAnsi="Arial" w:cs="Arial"/>
          <w:b/>
        </w:rPr>
      </w:pPr>
    </w:p>
    <w:p w14:paraId="5454A7C6" w14:textId="77777777" w:rsidR="00795BE0" w:rsidRPr="0007572B" w:rsidRDefault="00795BE0" w:rsidP="00795BE0">
      <w:pPr>
        <w:rPr>
          <w:rFonts w:ascii="Arial" w:hAnsi="Arial" w:cs="Arial"/>
          <w:b/>
          <w:sz w:val="22"/>
          <w:szCs w:val="22"/>
        </w:rPr>
      </w:pPr>
      <w:r w:rsidRPr="0007572B">
        <w:rPr>
          <w:rFonts w:ascii="Arial" w:hAnsi="Arial" w:cs="Arial"/>
          <w:b/>
          <w:sz w:val="22"/>
          <w:szCs w:val="22"/>
        </w:rPr>
        <w:br w:type="page"/>
      </w:r>
    </w:p>
    <w:p w14:paraId="4EB52AC6" w14:textId="77777777" w:rsidR="00795BE0" w:rsidRPr="0007572B" w:rsidRDefault="00795BE0" w:rsidP="00795BE0">
      <w:pPr>
        <w:jc w:val="both"/>
        <w:rPr>
          <w:rFonts w:ascii="Arial" w:hAnsi="Arial" w:cs="Arial"/>
          <w:bCs/>
          <w:sz w:val="22"/>
          <w:szCs w:val="22"/>
        </w:rPr>
      </w:pPr>
    </w:p>
    <w:p w14:paraId="1736D196" w14:textId="77777777" w:rsidR="00795BE0" w:rsidRPr="0007572B" w:rsidRDefault="00795BE0" w:rsidP="00795BE0">
      <w:pPr>
        <w:pStyle w:val="Heading3greennumbered"/>
      </w:pPr>
      <w:bookmarkStart w:id="274" w:name="_Toc92894935"/>
      <w:bookmarkStart w:id="275" w:name="_Toc92895239"/>
      <w:bookmarkStart w:id="276" w:name="_Toc109922673"/>
      <w:r w:rsidRPr="0007572B">
        <w:t>42 Group Financing and Investment Expenditure and Income</w:t>
      </w:r>
      <w:bookmarkEnd w:id="274"/>
      <w:bookmarkEnd w:id="275"/>
      <w:bookmarkEnd w:id="276"/>
    </w:p>
    <w:p w14:paraId="2D13314C" w14:textId="77777777" w:rsidR="00795BE0" w:rsidRDefault="00795BE0" w:rsidP="00795BE0">
      <w:pPr>
        <w:rPr>
          <w:rFonts w:ascii="Arial" w:hAnsi="Arial" w:cs="Arial"/>
        </w:rPr>
      </w:pPr>
    </w:p>
    <w:p w14:paraId="5457073A" w14:textId="1C84C9D8" w:rsidR="00795BE0" w:rsidRPr="0007572B" w:rsidRDefault="00F65B75" w:rsidP="00795BE0">
      <w:pPr>
        <w:rPr>
          <w:rFonts w:ascii="Arial" w:hAnsi="Arial" w:cs="Arial"/>
        </w:rPr>
      </w:pPr>
      <w:r w:rsidRPr="00F65B75">
        <w:rPr>
          <w:noProof/>
        </w:rPr>
        <w:drawing>
          <wp:inline distT="0" distB="0" distL="0" distR="0" wp14:anchorId="07C01C6B" wp14:editId="1422F7B0">
            <wp:extent cx="4722495" cy="1151890"/>
            <wp:effectExtent l="0" t="0" r="1905"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722495" cy="1151890"/>
                    </a:xfrm>
                    <a:prstGeom prst="rect">
                      <a:avLst/>
                    </a:prstGeom>
                    <a:noFill/>
                    <a:ln>
                      <a:noFill/>
                    </a:ln>
                  </pic:spPr>
                </pic:pic>
              </a:graphicData>
            </a:graphic>
          </wp:inline>
        </w:drawing>
      </w:r>
    </w:p>
    <w:p w14:paraId="29BD1503" w14:textId="77777777" w:rsidR="00795BE0" w:rsidRPr="0007572B" w:rsidRDefault="00795BE0" w:rsidP="00795BE0">
      <w:pPr>
        <w:rPr>
          <w:rFonts w:ascii="Arial" w:hAnsi="Arial" w:cs="Arial"/>
          <w:b/>
          <w:szCs w:val="28"/>
        </w:rPr>
      </w:pPr>
    </w:p>
    <w:p w14:paraId="6F01CF20" w14:textId="4D6B2385" w:rsidR="00795BE0" w:rsidRDefault="00F65B75" w:rsidP="00795BE0">
      <w:pPr>
        <w:rPr>
          <w:rFonts w:ascii="Arial" w:hAnsi="Arial" w:cs="Arial"/>
          <w:b/>
          <w:szCs w:val="28"/>
        </w:rPr>
      </w:pPr>
      <w:r w:rsidRPr="00F65B75">
        <w:rPr>
          <w:noProof/>
        </w:rPr>
        <w:drawing>
          <wp:inline distT="0" distB="0" distL="0" distR="0" wp14:anchorId="3F76042C" wp14:editId="0D4F56D6">
            <wp:extent cx="4722495" cy="897255"/>
            <wp:effectExtent l="0" t="0" r="1905"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4722495" cy="897255"/>
                    </a:xfrm>
                    <a:prstGeom prst="rect">
                      <a:avLst/>
                    </a:prstGeom>
                    <a:noFill/>
                    <a:ln>
                      <a:noFill/>
                    </a:ln>
                  </pic:spPr>
                </pic:pic>
              </a:graphicData>
            </a:graphic>
          </wp:inline>
        </w:drawing>
      </w:r>
    </w:p>
    <w:p w14:paraId="223E72DF" w14:textId="50C98869" w:rsidR="00F65B75" w:rsidRDefault="00F65B75" w:rsidP="00795BE0">
      <w:pPr>
        <w:rPr>
          <w:rFonts w:ascii="Arial" w:hAnsi="Arial" w:cs="Arial"/>
          <w:b/>
          <w:szCs w:val="28"/>
        </w:rPr>
      </w:pPr>
    </w:p>
    <w:p w14:paraId="5E831536" w14:textId="77777777" w:rsidR="00F65B75" w:rsidRPr="0007572B" w:rsidRDefault="00F65B75" w:rsidP="00795BE0">
      <w:pPr>
        <w:rPr>
          <w:rFonts w:ascii="Arial" w:hAnsi="Arial" w:cs="Arial"/>
          <w:b/>
          <w:szCs w:val="28"/>
        </w:rPr>
      </w:pPr>
    </w:p>
    <w:p w14:paraId="3373EEB8" w14:textId="77777777" w:rsidR="00795BE0" w:rsidRPr="0007572B" w:rsidRDefault="00795BE0" w:rsidP="00795BE0">
      <w:pPr>
        <w:pStyle w:val="Heading3greennumbered"/>
      </w:pPr>
      <w:bookmarkStart w:id="277" w:name="_Toc92894936"/>
      <w:bookmarkStart w:id="278" w:name="_Toc92895240"/>
      <w:bookmarkStart w:id="279" w:name="_Toc109922674"/>
      <w:r w:rsidRPr="0007572B">
        <w:t>43 Group Taxation and Non-Specific Grant Income</w:t>
      </w:r>
      <w:bookmarkEnd w:id="277"/>
      <w:bookmarkEnd w:id="278"/>
      <w:bookmarkEnd w:id="279"/>
    </w:p>
    <w:p w14:paraId="0199D87F" w14:textId="77777777" w:rsidR="00795BE0" w:rsidRDefault="00795BE0" w:rsidP="00795BE0">
      <w:pPr>
        <w:rPr>
          <w:rFonts w:ascii="Arial" w:hAnsi="Arial" w:cs="Arial"/>
          <w:b/>
        </w:rPr>
      </w:pPr>
    </w:p>
    <w:p w14:paraId="061336D7" w14:textId="0C199202" w:rsidR="00795BE0" w:rsidRPr="0007572B" w:rsidRDefault="00F65B75" w:rsidP="00795BE0">
      <w:pPr>
        <w:rPr>
          <w:rFonts w:ascii="Arial" w:hAnsi="Arial" w:cs="Arial"/>
          <w:b/>
        </w:rPr>
      </w:pPr>
      <w:r w:rsidRPr="00F65B75">
        <w:rPr>
          <w:noProof/>
        </w:rPr>
        <w:drawing>
          <wp:inline distT="0" distB="0" distL="0" distR="0" wp14:anchorId="26E97521" wp14:editId="6D4F0902">
            <wp:extent cx="5231765" cy="4323080"/>
            <wp:effectExtent l="0" t="0" r="6985" b="127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5231765" cy="4323080"/>
                    </a:xfrm>
                    <a:prstGeom prst="rect">
                      <a:avLst/>
                    </a:prstGeom>
                    <a:noFill/>
                    <a:ln>
                      <a:noFill/>
                    </a:ln>
                  </pic:spPr>
                </pic:pic>
              </a:graphicData>
            </a:graphic>
          </wp:inline>
        </w:drawing>
      </w:r>
    </w:p>
    <w:p w14:paraId="2A2B7A26" w14:textId="77777777" w:rsidR="00795BE0" w:rsidRPr="0007572B" w:rsidRDefault="00795BE0" w:rsidP="00795BE0">
      <w:pPr>
        <w:rPr>
          <w:rFonts w:ascii="Arial" w:hAnsi="Arial" w:cs="Arial"/>
          <w:b/>
        </w:rPr>
      </w:pPr>
    </w:p>
    <w:p w14:paraId="60F9D0F0" w14:textId="77777777" w:rsidR="00795BE0" w:rsidRPr="0007572B" w:rsidRDefault="00795BE0" w:rsidP="00795BE0">
      <w:pPr>
        <w:rPr>
          <w:rFonts w:ascii="Arial" w:hAnsi="Arial" w:cs="Arial"/>
          <w:b/>
        </w:rPr>
      </w:pPr>
    </w:p>
    <w:p w14:paraId="6AD16C87" w14:textId="77777777" w:rsidR="00795BE0" w:rsidRPr="0007572B" w:rsidRDefault="00795BE0" w:rsidP="00795BE0">
      <w:pPr>
        <w:rPr>
          <w:rFonts w:ascii="Arial" w:hAnsi="Arial" w:cs="Arial"/>
          <w:b/>
          <w:sz w:val="22"/>
          <w:szCs w:val="22"/>
        </w:rPr>
      </w:pPr>
      <w:r w:rsidRPr="0007572B">
        <w:rPr>
          <w:rFonts w:ascii="Arial" w:hAnsi="Arial" w:cs="Arial"/>
          <w:b/>
          <w:sz w:val="22"/>
          <w:szCs w:val="22"/>
        </w:rPr>
        <w:br w:type="page"/>
      </w:r>
    </w:p>
    <w:p w14:paraId="7F3D5766" w14:textId="77777777" w:rsidR="00795BE0" w:rsidRPr="0007572B" w:rsidRDefault="00795BE0" w:rsidP="00795BE0">
      <w:pPr>
        <w:pStyle w:val="Heading3greennumbered"/>
      </w:pPr>
      <w:bookmarkStart w:id="280" w:name="_Toc92894937"/>
      <w:bookmarkStart w:id="281" w:name="_Toc92895241"/>
      <w:bookmarkStart w:id="282" w:name="_Toc109922675"/>
      <w:r w:rsidRPr="0007572B">
        <w:t>44 Group External Audit Fees</w:t>
      </w:r>
      <w:bookmarkEnd w:id="280"/>
      <w:bookmarkEnd w:id="281"/>
      <w:bookmarkEnd w:id="282"/>
    </w:p>
    <w:p w14:paraId="6F4ED4AB" w14:textId="77777777" w:rsidR="00795BE0" w:rsidRDefault="00795BE0" w:rsidP="00795BE0">
      <w:pPr>
        <w:rPr>
          <w:rFonts w:ascii="Arial" w:hAnsi="Arial" w:cs="Arial"/>
        </w:rPr>
      </w:pPr>
    </w:p>
    <w:p w14:paraId="3E41A4A0" w14:textId="77777777" w:rsidR="00795BE0" w:rsidRPr="0007572B" w:rsidRDefault="00795BE0" w:rsidP="00795BE0">
      <w:pPr>
        <w:rPr>
          <w:rFonts w:ascii="Arial" w:hAnsi="Arial" w:cs="Arial"/>
        </w:rPr>
      </w:pPr>
      <w:r w:rsidRPr="0007572B">
        <w:rPr>
          <w:rFonts w:ascii="Arial" w:hAnsi="Arial" w:cs="Arial"/>
        </w:rPr>
        <w:t>The Group has incurred the following External Audit costs in relation to the audit of the Statement of Accounts and certification of grant claims.</w:t>
      </w:r>
    </w:p>
    <w:p w14:paraId="77555561" w14:textId="77777777" w:rsidR="00795BE0" w:rsidRPr="0007572B" w:rsidRDefault="00795BE0" w:rsidP="00795BE0">
      <w:pPr>
        <w:rPr>
          <w:rFonts w:ascii="Arial" w:hAnsi="Arial" w:cs="Arial"/>
        </w:rPr>
      </w:pPr>
    </w:p>
    <w:p w14:paraId="1FB9607A" w14:textId="45F38F38" w:rsidR="00795BE0" w:rsidRPr="0007572B" w:rsidRDefault="00F65B75" w:rsidP="00795BE0">
      <w:pPr>
        <w:jc w:val="both"/>
        <w:rPr>
          <w:rFonts w:ascii="Arial" w:hAnsi="Arial" w:cs="Arial"/>
          <w:b/>
        </w:rPr>
      </w:pPr>
      <w:r w:rsidRPr="00F65B75">
        <w:rPr>
          <w:noProof/>
        </w:rPr>
        <w:drawing>
          <wp:inline distT="0" distB="0" distL="0" distR="0" wp14:anchorId="1ED5B25D" wp14:editId="7B315C93">
            <wp:extent cx="5975350" cy="1231900"/>
            <wp:effectExtent l="0" t="0" r="6350" b="635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5975350" cy="1231900"/>
                    </a:xfrm>
                    <a:prstGeom prst="rect">
                      <a:avLst/>
                    </a:prstGeom>
                    <a:noFill/>
                    <a:ln>
                      <a:noFill/>
                    </a:ln>
                  </pic:spPr>
                </pic:pic>
              </a:graphicData>
            </a:graphic>
          </wp:inline>
        </w:drawing>
      </w:r>
    </w:p>
    <w:p w14:paraId="25B6F413" w14:textId="77777777" w:rsidR="00795BE0" w:rsidRPr="0007572B" w:rsidRDefault="00795BE0" w:rsidP="00795BE0">
      <w:pPr>
        <w:jc w:val="both"/>
        <w:rPr>
          <w:rFonts w:ascii="Arial" w:hAnsi="Arial" w:cs="Arial"/>
          <w:b/>
        </w:rPr>
      </w:pPr>
    </w:p>
    <w:p w14:paraId="76BE48E0" w14:textId="77777777" w:rsidR="00795BE0" w:rsidRPr="007A6E96" w:rsidRDefault="00795BE0" w:rsidP="00795BE0">
      <w:pPr>
        <w:pStyle w:val="Heading3greennumbered"/>
      </w:pPr>
      <w:bookmarkStart w:id="283" w:name="_Toc92894938"/>
      <w:bookmarkStart w:id="284" w:name="_Toc92895242"/>
      <w:bookmarkStart w:id="285" w:name="_Toc109922676"/>
      <w:r w:rsidRPr="007A6E96">
        <w:t>45 Group Officer Remuneration</w:t>
      </w:r>
      <w:bookmarkEnd w:id="283"/>
      <w:bookmarkEnd w:id="284"/>
      <w:bookmarkEnd w:id="285"/>
    </w:p>
    <w:p w14:paraId="7CFEC09E" w14:textId="77777777" w:rsidR="00795BE0" w:rsidRDefault="00795BE0" w:rsidP="00795BE0">
      <w:pPr>
        <w:rPr>
          <w:rFonts w:ascii="Arial" w:hAnsi="Arial" w:cs="Arial"/>
          <w:b/>
        </w:rPr>
      </w:pPr>
    </w:p>
    <w:p w14:paraId="5430685B" w14:textId="77777777" w:rsidR="00795BE0" w:rsidRPr="0007572B" w:rsidRDefault="00795BE0" w:rsidP="00795BE0">
      <w:pPr>
        <w:pStyle w:val="Heading4bold"/>
      </w:pPr>
      <w:r w:rsidRPr="0007572B">
        <w:t>Officers Remuneration above £50,000</w:t>
      </w:r>
    </w:p>
    <w:p w14:paraId="602047BE" w14:textId="77777777" w:rsidR="00795BE0" w:rsidRDefault="00795BE0" w:rsidP="00795BE0">
      <w:pPr>
        <w:rPr>
          <w:rFonts w:ascii="Arial" w:hAnsi="Arial" w:cs="Arial"/>
          <w:bCs/>
        </w:rPr>
      </w:pPr>
      <w:r w:rsidRPr="0007572B">
        <w:rPr>
          <w:rFonts w:ascii="Arial" w:hAnsi="Arial" w:cs="Arial"/>
        </w:rPr>
        <w:t>The number of employees (including senior officer) receiving more than £50,000 remuneration for the year (excluding employer's pension contributions) were as follows</w:t>
      </w:r>
      <w:r w:rsidRPr="0007572B">
        <w:rPr>
          <w:rFonts w:ascii="Arial" w:hAnsi="Arial" w:cs="Arial"/>
          <w:bCs/>
        </w:rPr>
        <w:t>:</w:t>
      </w:r>
    </w:p>
    <w:p w14:paraId="516D3850" w14:textId="33A4AC5E" w:rsidR="00795BE0" w:rsidRDefault="00795BE0" w:rsidP="00795BE0">
      <w:pPr>
        <w:rPr>
          <w:rFonts w:ascii="Arial" w:hAnsi="Arial" w:cs="Arial"/>
          <w:b/>
        </w:rPr>
      </w:pPr>
    </w:p>
    <w:p w14:paraId="4F756E76" w14:textId="1B9B092F" w:rsidR="00795BE0" w:rsidRPr="0007572B" w:rsidRDefault="00795BE0" w:rsidP="00795BE0">
      <w:pPr>
        <w:rPr>
          <w:rFonts w:ascii="Arial" w:hAnsi="Arial" w:cs="Arial"/>
          <w:b/>
        </w:rPr>
      </w:pPr>
      <w:r w:rsidRPr="00795BE0">
        <w:rPr>
          <w:noProof/>
        </w:rPr>
        <w:drawing>
          <wp:inline distT="0" distB="0" distL="0" distR="0" wp14:anchorId="352EF1B5" wp14:editId="6F366389">
            <wp:extent cx="5975350" cy="4404995"/>
            <wp:effectExtent l="0" t="0" r="635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5975350" cy="4404995"/>
                    </a:xfrm>
                    <a:prstGeom prst="rect">
                      <a:avLst/>
                    </a:prstGeom>
                    <a:noFill/>
                    <a:ln>
                      <a:noFill/>
                    </a:ln>
                  </pic:spPr>
                </pic:pic>
              </a:graphicData>
            </a:graphic>
          </wp:inline>
        </w:drawing>
      </w:r>
    </w:p>
    <w:p w14:paraId="66162B4E" w14:textId="77777777" w:rsidR="00795BE0" w:rsidRPr="0007572B" w:rsidRDefault="00795BE0" w:rsidP="00795BE0">
      <w:pPr>
        <w:rPr>
          <w:rFonts w:ascii="Arial" w:hAnsi="Arial" w:cs="Arial"/>
        </w:rPr>
      </w:pPr>
    </w:p>
    <w:p w14:paraId="7B882BCB" w14:textId="77777777" w:rsidR="00795BE0" w:rsidRDefault="00795BE0" w:rsidP="00795BE0">
      <w:pPr>
        <w:rPr>
          <w:rFonts w:ascii="Arial" w:hAnsi="Arial" w:cs="Arial"/>
          <w:b/>
        </w:rPr>
        <w:sectPr w:rsidR="00795BE0" w:rsidSect="00171330">
          <w:pgSz w:w="11906" w:h="16838"/>
          <w:pgMar w:top="946" w:right="1416" w:bottom="1440" w:left="1080" w:header="283" w:footer="567" w:gutter="0"/>
          <w:cols w:space="708"/>
          <w:docGrid w:linePitch="360"/>
        </w:sectPr>
      </w:pPr>
    </w:p>
    <w:p w14:paraId="3205107F" w14:textId="77777777" w:rsidR="00795BE0" w:rsidRPr="0007572B" w:rsidRDefault="00795BE0" w:rsidP="00795BE0">
      <w:pPr>
        <w:rPr>
          <w:rFonts w:ascii="Arial" w:hAnsi="Arial" w:cs="Arial"/>
          <w:b/>
        </w:rPr>
      </w:pPr>
    </w:p>
    <w:p w14:paraId="07569475" w14:textId="77777777" w:rsidR="00795BE0" w:rsidRPr="0007572B" w:rsidRDefault="00795BE0" w:rsidP="00795BE0">
      <w:pPr>
        <w:pStyle w:val="Heading4bold"/>
      </w:pPr>
      <w:r w:rsidRPr="0007572B">
        <w:t>Senior Officers Remuneration</w:t>
      </w:r>
    </w:p>
    <w:p w14:paraId="1F8A0873" w14:textId="77777777" w:rsidR="00795BE0" w:rsidRPr="0007572B" w:rsidRDefault="00795BE0" w:rsidP="00795BE0">
      <w:pPr>
        <w:rPr>
          <w:rFonts w:ascii="Arial" w:hAnsi="Arial" w:cs="Arial"/>
          <w:sz w:val="28"/>
          <w:szCs w:val="28"/>
        </w:rPr>
      </w:pPr>
      <w:r w:rsidRPr="0007572B">
        <w:rPr>
          <w:rFonts w:ascii="Arial" w:hAnsi="Arial" w:cs="Arial"/>
        </w:rPr>
        <w:t>Employees are classed as senior officer employees when they received a salary in excess of £150,000 (disclosed by name) or received a salary in excess of £50,000 and reported to a Head of Paid Service for any of the group entities. In addition the salaries for the Mayor, Deputy Mayor for Police and Crime and the Director of the Mayor’s Office are disclosed.</w:t>
      </w:r>
      <w:r w:rsidRPr="0007572B">
        <w:rPr>
          <w:rFonts w:ascii="Arial" w:hAnsi="Arial" w:cs="Arial"/>
          <w:sz w:val="28"/>
          <w:szCs w:val="28"/>
        </w:rPr>
        <w:t xml:space="preserve"> </w:t>
      </w:r>
    </w:p>
    <w:p w14:paraId="0D72E33F" w14:textId="77777777" w:rsidR="00795BE0" w:rsidRPr="0007572B" w:rsidRDefault="00795BE0" w:rsidP="00795BE0">
      <w:pPr>
        <w:jc w:val="both"/>
        <w:rPr>
          <w:rFonts w:ascii="Arial" w:hAnsi="Arial" w:cs="Arial"/>
          <w:b/>
        </w:rPr>
      </w:pPr>
    </w:p>
    <w:p w14:paraId="0B849599" w14:textId="2FFF377E" w:rsidR="00795BE0" w:rsidRPr="0007572B" w:rsidRDefault="00795BE0" w:rsidP="00795BE0">
      <w:pPr>
        <w:jc w:val="both"/>
        <w:rPr>
          <w:rFonts w:ascii="Arial" w:hAnsi="Arial" w:cs="Arial"/>
          <w:b/>
        </w:rPr>
      </w:pPr>
      <w:r w:rsidRPr="00795BE0">
        <w:rPr>
          <w:noProof/>
        </w:rPr>
        <w:drawing>
          <wp:inline distT="0" distB="0" distL="0" distR="0" wp14:anchorId="09D4CF4A" wp14:editId="3F26A0A0">
            <wp:extent cx="9177020" cy="4035425"/>
            <wp:effectExtent l="0" t="0" r="5080" b="317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9177020" cy="4035425"/>
                    </a:xfrm>
                    <a:prstGeom prst="rect">
                      <a:avLst/>
                    </a:prstGeom>
                    <a:noFill/>
                    <a:ln>
                      <a:noFill/>
                    </a:ln>
                  </pic:spPr>
                </pic:pic>
              </a:graphicData>
            </a:graphic>
          </wp:inline>
        </w:drawing>
      </w:r>
    </w:p>
    <w:p w14:paraId="786BBA69" w14:textId="77777777" w:rsidR="00795BE0" w:rsidRDefault="00795BE0" w:rsidP="00795BE0">
      <w:pPr>
        <w:rPr>
          <w:rFonts w:ascii="Arial" w:hAnsi="Arial" w:cs="Arial"/>
          <w:b/>
        </w:rPr>
      </w:pPr>
      <w:r>
        <w:rPr>
          <w:rFonts w:ascii="Arial" w:hAnsi="Arial" w:cs="Arial"/>
          <w:b/>
        </w:rPr>
        <w:br w:type="page"/>
      </w:r>
    </w:p>
    <w:p w14:paraId="57DB5850" w14:textId="77777777" w:rsidR="00795BE0" w:rsidRPr="0007572B" w:rsidRDefault="00795BE0" w:rsidP="00795BE0">
      <w:pPr>
        <w:jc w:val="both"/>
        <w:rPr>
          <w:rFonts w:ascii="Arial" w:hAnsi="Arial" w:cs="Arial"/>
          <w:b/>
        </w:rPr>
      </w:pPr>
    </w:p>
    <w:p w14:paraId="14D7CCCE" w14:textId="749AEEEE" w:rsidR="00795BE0" w:rsidRPr="0007572B" w:rsidRDefault="00795BE0" w:rsidP="00795BE0">
      <w:pPr>
        <w:jc w:val="both"/>
        <w:rPr>
          <w:rFonts w:ascii="Arial" w:hAnsi="Arial" w:cs="Arial"/>
          <w:b/>
        </w:rPr>
      </w:pPr>
      <w:r w:rsidRPr="00795BE0">
        <w:rPr>
          <w:noProof/>
        </w:rPr>
        <w:drawing>
          <wp:inline distT="0" distB="0" distL="0" distR="0" wp14:anchorId="1564E8C2" wp14:editId="7FE94390">
            <wp:extent cx="9177020" cy="3197860"/>
            <wp:effectExtent l="0" t="0" r="5080" b="254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9177020" cy="3197860"/>
                    </a:xfrm>
                    <a:prstGeom prst="rect">
                      <a:avLst/>
                    </a:prstGeom>
                    <a:noFill/>
                    <a:ln>
                      <a:noFill/>
                    </a:ln>
                  </pic:spPr>
                </pic:pic>
              </a:graphicData>
            </a:graphic>
          </wp:inline>
        </w:drawing>
      </w:r>
    </w:p>
    <w:p w14:paraId="35D8C936" w14:textId="77777777" w:rsidR="00795BE0" w:rsidRPr="0007572B" w:rsidRDefault="00795BE0" w:rsidP="00795BE0">
      <w:pPr>
        <w:jc w:val="both"/>
        <w:rPr>
          <w:rFonts w:ascii="Arial" w:hAnsi="Arial" w:cs="Arial"/>
          <w:b/>
        </w:rPr>
      </w:pPr>
    </w:p>
    <w:p w14:paraId="58ABF64E" w14:textId="77777777" w:rsidR="00795BE0" w:rsidRPr="0007572B" w:rsidRDefault="00795BE0" w:rsidP="00795BE0">
      <w:pPr>
        <w:rPr>
          <w:rFonts w:ascii="Arial" w:hAnsi="Arial" w:cs="Arial"/>
          <w:b/>
          <w:sz w:val="22"/>
          <w:szCs w:val="22"/>
        </w:rPr>
        <w:sectPr w:rsidR="00795BE0" w:rsidRPr="0007572B" w:rsidSect="008B249B">
          <w:pgSz w:w="16838" w:h="11906" w:orient="landscape"/>
          <w:pgMar w:top="1080" w:right="946" w:bottom="1416" w:left="1440" w:header="283" w:footer="567" w:gutter="0"/>
          <w:cols w:space="708"/>
          <w:docGrid w:linePitch="360"/>
        </w:sectPr>
      </w:pPr>
    </w:p>
    <w:p w14:paraId="5814F86F" w14:textId="77777777" w:rsidR="00795BE0" w:rsidRPr="0007572B" w:rsidRDefault="00795BE0" w:rsidP="00795BE0">
      <w:pPr>
        <w:pStyle w:val="Heading4bold"/>
      </w:pPr>
      <w:r w:rsidRPr="0007572B">
        <w:t>Exit Costs</w:t>
      </w:r>
    </w:p>
    <w:p w14:paraId="378B9BF5" w14:textId="77777777" w:rsidR="00795BE0" w:rsidRPr="0007572B" w:rsidRDefault="00795BE0" w:rsidP="00795BE0">
      <w:pPr>
        <w:rPr>
          <w:rFonts w:ascii="Arial" w:hAnsi="Arial" w:cs="Arial"/>
        </w:rPr>
      </w:pPr>
      <w:r w:rsidRPr="0007572B">
        <w:rPr>
          <w:rFonts w:ascii="Arial" w:hAnsi="Arial" w:cs="Arial"/>
        </w:rPr>
        <w:t>Exit payments are made as a result of the departure of staff from the Authority. The total cost per band and the total cost of compulsory and other redundancies are set out in the table below:</w:t>
      </w:r>
    </w:p>
    <w:p w14:paraId="01EAD37C" w14:textId="77777777" w:rsidR="00795BE0" w:rsidRPr="0007572B" w:rsidRDefault="00795BE0" w:rsidP="00795BE0">
      <w:pPr>
        <w:rPr>
          <w:rFonts w:ascii="Arial" w:hAnsi="Arial" w:cs="Arial"/>
          <w:b/>
          <w:highlight w:val="yellow"/>
        </w:rPr>
      </w:pPr>
    </w:p>
    <w:p w14:paraId="28BFE87B" w14:textId="0C33325D" w:rsidR="00795BE0" w:rsidRPr="0007572B" w:rsidRDefault="00795BE0" w:rsidP="00795BE0">
      <w:pPr>
        <w:rPr>
          <w:rFonts w:ascii="Arial" w:hAnsi="Arial" w:cs="Arial"/>
          <w:b/>
        </w:rPr>
      </w:pPr>
      <w:r w:rsidRPr="00795BE0">
        <w:rPr>
          <w:noProof/>
        </w:rPr>
        <w:drawing>
          <wp:inline distT="0" distB="0" distL="0" distR="0" wp14:anchorId="204A6C3A" wp14:editId="3A769059">
            <wp:extent cx="5975350" cy="1545590"/>
            <wp:effectExtent l="0" t="0" r="635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5975350" cy="1545590"/>
                    </a:xfrm>
                    <a:prstGeom prst="rect">
                      <a:avLst/>
                    </a:prstGeom>
                    <a:noFill/>
                    <a:ln>
                      <a:noFill/>
                    </a:ln>
                  </pic:spPr>
                </pic:pic>
              </a:graphicData>
            </a:graphic>
          </wp:inline>
        </w:drawing>
      </w:r>
    </w:p>
    <w:p w14:paraId="65468582" w14:textId="77777777" w:rsidR="00795BE0" w:rsidRDefault="00795BE0" w:rsidP="00795BE0">
      <w:pPr>
        <w:rPr>
          <w:rFonts w:ascii="Arial" w:hAnsi="Arial" w:cs="Arial"/>
          <w:b/>
          <w:highlight w:val="yellow"/>
        </w:rPr>
      </w:pPr>
    </w:p>
    <w:p w14:paraId="15EC9E75" w14:textId="77777777" w:rsidR="00795BE0" w:rsidRPr="0007572B" w:rsidRDefault="00795BE0" w:rsidP="00795BE0">
      <w:pPr>
        <w:rPr>
          <w:rFonts w:ascii="Arial" w:hAnsi="Arial" w:cs="Arial"/>
          <w:b/>
          <w:highlight w:val="yellow"/>
        </w:rPr>
      </w:pPr>
    </w:p>
    <w:p w14:paraId="3187ACD8" w14:textId="77777777" w:rsidR="00795BE0" w:rsidRPr="0007572B" w:rsidRDefault="00795BE0" w:rsidP="00795BE0">
      <w:pPr>
        <w:pStyle w:val="Heading3greennumbered"/>
      </w:pPr>
      <w:bookmarkStart w:id="286" w:name="_Toc92894939"/>
      <w:bookmarkStart w:id="287" w:name="_Toc92895243"/>
      <w:bookmarkStart w:id="288" w:name="_Toc109922677"/>
      <w:r w:rsidRPr="0007572B">
        <w:t>46 Group Capital and Lease Commitments</w:t>
      </w:r>
      <w:bookmarkEnd w:id="286"/>
      <w:bookmarkEnd w:id="287"/>
      <w:bookmarkEnd w:id="288"/>
    </w:p>
    <w:p w14:paraId="3CFEB91B" w14:textId="77777777" w:rsidR="00795BE0" w:rsidRDefault="00795BE0" w:rsidP="00795BE0">
      <w:pPr>
        <w:rPr>
          <w:rFonts w:ascii="Arial" w:hAnsi="Arial" w:cs="Arial"/>
        </w:rPr>
      </w:pPr>
    </w:p>
    <w:p w14:paraId="13100419" w14:textId="3A496AA7" w:rsidR="00795BE0" w:rsidRPr="0007572B" w:rsidRDefault="003877F1" w:rsidP="00795BE0">
      <w:pPr>
        <w:rPr>
          <w:rFonts w:ascii="Arial" w:hAnsi="Arial" w:cs="Arial"/>
        </w:rPr>
      </w:pPr>
      <w:r w:rsidRPr="003877F1">
        <w:rPr>
          <w:noProof/>
        </w:rPr>
        <w:drawing>
          <wp:inline distT="0" distB="0" distL="0" distR="0" wp14:anchorId="5C8D34A7" wp14:editId="39D7986A">
            <wp:extent cx="5307965" cy="1340427"/>
            <wp:effectExtent l="0" t="0" r="6985"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5310778" cy="1341137"/>
                    </a:xfrm>
                    <a:prstGeom prst="rect">
                      <a:avLst/>
                    </a:prstGeom>
                    <a:noFill/>
                    <a:ln>
                      <a:noFill/>
                    </a:ln>
                  </pic:spPr>
                </pic:pic>
              </a:graphicData>
            </a:graphic>
          </wp:inline>
        </w:drawing>
      </w:r>
    </w:p>
    <w:p w14:paraId="6879EAE7" w14:textId="77777777" w:rsidR="00795BE0" w:rsidRPr="0007572B" w:rsidRDefault="00795BE0" w:rsidP="00795BE0">
      <w:pPr>
        <w:ind w:left="2" w:right="4073" w:firstLine="10"/>
        <w:rPr>
          <w:rFonts w:ascii="Arial" w:eastAsia="Calibri" w:hAnsi="Arial" w:cs="Arial"/>
        </w:rPr>
      </w:pPr>
    </w:p>
    <w:p w14:paraId="2835861F" w14:textId="7F6FCACD" w:rsidR="00795BE0" w:rsidRPr="0007572B" w:rsidRDefault="00795BE0" w:rsidP="00795BE0">
      <w:pPr>
        <w:ind w:right="95" w:firstLine="10"/>
        <w:rPr>
          <w:rFonts w:ascii="Arial" w:eastAsia="Calibri" w:hAnsi="Arial" w:cs="Arial"/>
          <w:spacing w:val="-1"/>
        </w:rPr>
      </w:pPr>
      <w:r w:rsidRPr="0007572B">
        <w:rPr>
          <w:rFonts w:ascii="Arial" w:eastAsia="Calibri" w:hAnsi="Arial" w:cs="Arial"/>
          <w:spacing w:val="-1"/>
        </w:rPr>
        <w:t>The key commitments for 202</w:t>
      </w:r>
      <w:r>
        <w:rPr>
          <w:rFonts w:ascii="Arial" w:eastAsia="Calibri" w:hAnsi="Arial" w:cs="Arial"/>
          <w:spacing w:val="-1"/>
        </w:rPr>
        <w:t>1</w:t>
      </w:r>
      <w:r w:rsidRPr="0007572B">
        <w:rPr>
          <w:rFonts w:ascii="Arial" w:eastAsia="Calibri" w:hAnsi="Arial" w:cs="Arial"/>
          <w:spacing w:val="-1"/>
        </w:rPr>
        <w:t>/2</w:t>
      </w:r>
      <w:r>
        <w:rPr>
          <w:rFonts w:ascii="Arial" w:eastAsia="Calibri" w:hAnsi="Arial" w:cs="Arial"/>
          <w:spacing w:val="-1"/>
        </w:rPr>
        <w:t>2</w:t>
      </w:r>
      <w:r w:rsidRPr="0007572B">
        <w:rPr>
          <w:rFonts w:ascii="Arial" w:eastAsia="Calibri" w:hAnsi="Arial" w:cs="Arial"/>
          <w:spacing w:val="-1"/>
        </w:rPr>
        <w:t xml:space="preserve"> are in relation to the Transport for Greater Manchester and the following projects:</w:t>
      </w:r>
    </w:p>
    <w:p w14:paraId="286723D0" w14:textId="77777777" w:rsidR="00795BE0" w:rsidRPr="007A6E96" w:rsidRDefault="00795BE0" w:rsidP="00795BE0">
      <w:pPr>
        <w:ind w:right="4071" w:firstLine="11"/>
        <w:rPr>
          <w:rFonts w:ascii="Arial" w:eastAsia="Calibri" w:hAnsi="Arial" w:cs="Arial"/>
          <w:sz w:val="28"/>
          <w:szCs w:val="28"/>
        </w:rPr>
      </w:pPr>
    </w:p>
    <w:p w14:paraId="18470C5B" w14:textId="6228DB7C" w:rsidR="00795BE0" w:rsidRPr="00795BE0" w:rsidRDefault="00795BE0" w:rsidP="00DF4603">
      <w:pPr>
        <w:pStyle w:val="ListParagraph"/>
        <w:numPr>
          <w:ilvl w:val="0"/>
          <w:numId w:val="82"/>
        </w:numPr>
        <w:snapToGrid w:val="0"/>
        <w:spacing w:after="0" w:line="240" w:lineRule="auto"/>
        <w:rPr>
          <w:rFonts w:ascii="Arial" w:hAnsi="Arial" w:cs="Arial"/>
          <w:sz w:val="24"/>
          <w:szCs w:val="24"/>
        </w:rPr>
      </w:pPr>
      <w:r w:rsidRPr="00795BE0">
        <w:rPr>
          <w:rFonts w:ascii="Arial" w:hAnsi="Arial" w:cs="Arial"/>
          <w:sz w:val="24"/>
          <w:szCs w:val="24"/>
        </w:rPr>
        <w:t>Stockport Interchange / Mixed Use Scheme £87.1m (2020/21: £1.2m). This is in respect of the construction of a new interchange inclusive of a park podium, link bridge and residential apartments; and</w:t>
      </w:r>
    </w:p>
    <w:p w14:paraId="17D5A028" w14:textId="26C96C28" w:rsidR="00795BE0" w:rsidRPr="00795BE0" w:rsidRDefault="00795BE0" w:rsidP="00DF4603">
      <w:pPr>
        <w:pStyle w:val="ListParagraph"/>
        <w:numPr>
          <w:ilvl w:val="0"/>
          <w:numId w:val="82"/>
        </w:numPr>
        <w:snapToGrid w:val="0"/>
        <w:spacing w:after="0" w:line="240" w:lineRule="auto"/>
        <w:rPr>
          <w:rFonts w:ascii="Arial" w:hAnsi="Arial" w:cs="Arial"/>
        </w:rPr>
      </w:pPr>
      <w:r w:rsidRPr="00795BE0">
        <w:rPr>
          <w:rFonts w:ascii="Arial" w:hAnsi="Arial" w:cs="Arial"/>
          <w:sz w:val="24"/>
          <w:szCs w:val="24"/>
        </w:rPr>
        <w:t>Metrolink Capacity Improvement Programme (MCIP) £18.9m (2020/21: £16.8m). This project relates to the purchase of 27 additional trams and associated infrastructure.</w:t>
      </w:r>
    </w:p>
    <w:p w14:paraId="06E493F8" w14:textId="77777777" w:rsidR="00795BE0" w:rsidRDefault="00795BE0" w:rsidP="00795BE0">
      <w:pPr>
        <w:tabs>
          <w:tab w:val="left" w:pos="720"/>
        </w:tabs>
        <w:ind w:left="721" w:right="54" w:hanging="360"/>
        <w:rPr>
          <w:rFonts w:ascii="Arial" w:eastAsia="Calibri" w:hAnsi="Arial" w:cs="Arial"/>
        </w:rPr>
      </w:pPr>
    </w:p>
    <w:p w14:paraId="0A0D452C" w14:textId="72322A8E" w:rsidR="00795BE0" w:rsidRPr="0007572B" w:rsidRDefault="0027341C" w:rsidP="00795BE0">
      <w:pPr>
        <w:tabs>
          <w:tab w:val="left" w:pos="720"/>
        </w:tabs>
        <w:ind w:left="360" w:right="54" w:hanging="360"/>
        <w:rPr>
          <w:rFonts w:ascii="Arial" w:eastAsia="Calibri" w:hAnsi="Arial" w:cs="Arial"/>
        </w:rPr>
      </w:pPr>
      <w:r w:rsidRPr="0027341C">
        <w:rPr>
          <w:rFonts w:eastAsia="Calibri"/>
          <w:noProof/>
        </w:rPr>
        <w:drawing>
          <wp:inline distT="0" distB="0" distL="0" distR="0" wp14:anchorId="7F9231FB" wp14:editId="57A864DC">
            <wp:extent cx="5393690" cy="2025650"/>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5393690" cy="2025650"/>
                    </a:xfrm>
                    <a:prstGeom prst="rect">
                      <a:avLst/>
                    </a:prstGeom>
                    <a:noFill/>
                    <a:ln>
                      <a:noFill/>
                    </a:ln>
                  </pic:spPr>
                </pic:pic>
              </a:graphicData>
            </a:graphic>
          </wp:inline>
        </w:drawing>
      </w:r>
    </w:p>
    <w:p w14:paraId="3A2365AD" w14:textId="77777777" w:rsidR="00795BE0" w:rsidRPr="0007572B" w:rsidRDefault="00795BE0" w:rsidP="00795BE0">
      <w:pPr>
        <w:rPr>
          <w:rFonts w:ascii="Arial" w:hAnsi="Arial" w:cs="Arial"/>
          <w:b/>
        </w:rPr>
      </w:pPr>
    </w:p>
    <w:p w14:paraId="7B007CA1" w14:textId="77777777" w:rsidR="00795BE0" w:rsidRPr="0007572B" w:rsidRDefault="00795BE0" w:rsidP="00795BE0">
      <w:pPr>
        <w:rPr>
          <w:rFonts w:ascii="Arial" w:hAnsi="Arial" w:cs="Arial"/>
          <w:b/>
          <w:sz w:val="22"/>
          <w:szCs w:val="22"/>
        </w:rPr>
        <w:sectPr w:rsidR="00795BE0" w:rsidRPr="0007572B" w:rsidSect="006962C5">
          <w:pgSz w:w="11906" w:h="16838"/>
          <w:pgMar w:top="946" w:right="1416" w:bottom="1440" w:left="1080" w:header="283" w:footer="567" w:gutter="0"/>
          <w:cols w:space="708"/>
          <w:docGrid w:linePitch="360"/>
        </w:sectPr>
      </w:pPr>
    </w:p>
    <w:p w14:paraId="5CBA2413" w14:textId="77777777" w:rsidR="00795BE0" w:rsidRPr="0007572B" w:rsidRDefault="00795BE0" w:rsidP="00795BE0">
      <w:pPr>
        <w:rPr>
          <w:rFonts w:ascii="Arial" w:hAnsi="Arial" w:cs="Arial"/>
          <w:b/>
          <w:sz w:val="22"/>
          <w:szCs w:val="22"/>
        </w:rPr>
      </w:pPr>
    </w:p>
    <w:p w14:paraId="6C06C2D8" w14:textId="77777777" w:rsidR="00795BE0" w:rsidRPr="0007572B" w:rsidRDefault="00795BE0" w:rsidP="00795BE0">
      <w:pPr>
        <w:pStyle w:val="Heading3greennumbered"/>
      </w:pPr>
      <w:bookmarkStart w:id="289" w:name="_Toc92894940"/>
      <w:bookmarkStart w:id="290" w:name="_Toc92895244"/>
      <w:bookmarkStart w:id="291" w:name="_Toc109922678"/>
      <w:r w:rsidRPr="0007572B">
        <w:t>47 Group Property, Plant and Equipment</w:t>
      </w:r>
      <w:bookmarkEnd w:id="289"/>
      <w:bookmarkEnd w:id="290"/>
      <w:bookmarkEnd w:id="291"/>
      <w:r w:rsidRPr="0007572B">
        <w:t xml:space="preserve"> </w:t>
      </w:r>
    </w:p>
    <w:p w14:paraId="5A6DBF6B" w14:textId="77777777" w:rsidR="00795BE0" w:rsidRDefault="00795BE0" w:rsidP="00795BE0">
      <w:pPr>
        <w:rPr>
          <w:rFonts w:ascii="Arial" w:hAnsi="Arial" w:cs="Arial"/>
        </w:rPr>
      </w:pPr>
    </w:p>
    <w:p w14:paraId="3F555BE4" w14:textId="77777777" w:rsidR="00795BE0" w:rsidRPr="0007572B" w:rsidRDefault="00795BE0" w:rsidP="00795BE0">
      <w:pPr>
        <w:rPr>
          <w:rFonts w:ascii="Arial" w:hAnsi="Arial" w:cs="Arial"/>
        </w:rPr>
      </w:pPr>
      <w:r w:rsidRPr="0007572B">
        <w:rPr>
          <w:rFonts w:ascii="Arial" w:hAnsi="Arial" w:cs="Arial"/>
        </w:rPr>
        <w:t>Property, plant and equipment is reported as either capitalised assets available for use or as assets under construction. An analysis of the movements are contained in the tables below:</w:t>
      </w:r>
    </w:p>
    <w:p w14:paraId="48B30282" w14:textId="77777777" w:rsidR="00795BE0" w:rsidRPr="0007572B" w:rsidRDefault="00795BE0" w:rsidP="00795BE0">
      <w:pPr>
        <w:rPr>
          <w:rFonts w:ascii="Arial" w:hAnsi="Arial" w:cs="Arial"/>
        </w:rPr>
      </w:pPr>
    </w:p>
    <w:p w14:paraId="16741669" w14:textId="2423EFB7" w:rsidR="00795BE0" w:rsidRPr="0007572B" w:rsidRDefault="00D536E5" w:rsidP="00795BE0">
      <w:pPr>
        <w:rPr>
          <w:rFonts w:ascii="Arial" w:hAnsi="Arial" w:cs="Arial"/>
        </w:rPr>
      </w:pPr>
      <w:r w:rsidRPr="00D536E5">
        <w:rPr>
          <w:noProof/>
        </w:rPr>
        <w:drawing>
          <wp:inline distT="0" distB="0" distL="0" distR="0" wp14:anchorId="3C8782F6" wp14:editId="28D9F3AF">
            <wp:extent cx="9177020" cy="3652520"/>
            <wp:effectExtent l="0" t="0" r="5080" b="508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9177020" cy="3652520"/>
                    </a:xfrm>
                    <a:prstGeom prst="rect">
                      <a:avLst/>
                    </a:prstGeom>
                    <a:noFill/>
                    <a:ln>
                      <a:noFill/>
                    </a:ln>
                  </pic:spPr>
                </pic:pic>
              </a:graphicData>
            </a:graphic>
          </wp:inline>
        </w:drawing>
      </w:r>
    </w:p>
    <w:p w14:paraId="7E8C842C" w14:textId="77777777" w:rsidR="00795BE0" w:rsidRPr="0007572B" w:rsidRDefault="00795BE0" w:rsidP="00795BE0">
      <w:pPr>
        <w:rPr>
          <w:rFonts w:ascii="Arial" w:hAnsi="Arial" w:cs="Arial"/>
        </w:rPr>
      </w:pPr>
    </w:p>
    <w:p w14:paraId="6FB77781" w14:textId="4C664881" w:rsidR="00D536E5" w:rsidRDefault="00D536E5">
      <w:pPr>
        <w:rPr>
          <w:rFonts w:ascii="Arial" w:hAnsi="Arial" w:cs="Arial"/>
        </w:rPr>
      </w:pPr>
      <w:r>
        <w:rPr>
          <w:rFonts w:ascii="Arial" w:hAnsi="Arial" w:cs="Arial"/>
        </w:rPr>
        <w:br w:type="page"/>
      </w:r>
    </w:p>
    <w:p w14:paraId="0AF86518" w14:textId="77777777" w:rsidR="00795BE0" w:rsidRPr="0007572B" w:rsidRDefault="00795BE0" w:rsidP="00795BE0">
      <w:pPr>
        <w:rPr>
          <w:rFonts w:ascii="Arial" w:hAnsi="Arial" w:cs="Arial"/>
        </w:rPr>
      </w:pPr>
    </w:p>
    <w:p w14:paraId="6C7082E0" w14:textId="03F08404" w:rsidR="00795BE0" w:rsidRPr="0007572B" w:rsidRDefault="00D536E5" w:rsidP="00795BE0">
      <w:pPr>
        <w:rPr>
          <w:rFonts w:ascii="Arial" w:hAnsi="Arial" w:cs="Arial"/>
        </w:rPr>
      </w:pPr>
      <w:r w:rsidRPr="00D536E5">
        <w:rPr>
          <w:noProof/>
        </w:rPr>
        <w:drawing>
          <wp:inline distT="0" distB="0" distL="0" distR="0" wp14:anchorId="1D9B60A2" wp14:editId="745DAD6E">
            <wp:extent cx="9177020" cy="3480435"/>
            <wp:effectExtent l="0" t="0" r="5080" b="5715"/>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9177020" cy="3480435"/>
                    </a:xfrm>
                    <a:prstGeom prst="rect">
                      <a:avLst/>
                    </a:prstGeom>
                    <a:noFill/>
                    <a:ln>
                      <a:noFill/>
                    </a:ln>
                  </pic:spPr>
                </pic:pic>
              </a:graphicData>
            </a:graphic>
          </wp:inline>
        </w:drawing>
      </w:r>
    </w:p>
    <w:p w14:paraId="3359C4AF" w14:textId="77777777" w:rsidR="00795BE0" w:rsidRPr="0007572B" w:rsidRDefault="00795BE0" w:rsidP="00795BE0">
      <w:pPr>
        <w:rPr>
          <w:rFonts w:ascii="Arial" w:hAnsi="Arial" w:cs="Arial"/>
          <w:b/>
        </w:rPr>
      </w:pPr>
    </w:p>
    <w:p w14:paraId="15DB4A6A" w14:textId="77777777" w:rsidR="00795BE0" w:rsidRPr="0007572B" w:rsidRDefault="00795BE0" w:rsidP="00795BE0">
      <w:pPr>
        <w:rPr>
          <w:rFonts w:ascii="Arial" w:hAnsi="Arial" w:cs="Arial"/>
          <w:b/>
        </w:rPr>
      </w:pPr>
    </w:p>
    <w:p w14:paraId="18C27A02" w14:textId="77777777" w:rsidR="00795BE0" w:rsidRPr="0007572B" w:rsidRDefault="00795BE0" w:rsidP="00795BE0">
      <w:pPr>
        <w:rPr>
          <w:rFonts w:ascii="Arial" w:hAnsi="Arial" w:cs="Arial"/>
          <w:sz w:val="22"/>
          <w:szCs w:val="22"/>
        </w:rPr>
        <w:sectPr w:rsidR="00795BE0" w:rsidRPr="0007572B" w:rsidSect="00095C18">
          <w:pgSz w:w="16838" w:h="11906" w:orient="landscape"/>
          <w:pgMar w:top="1080" w:right="946" w:bottom="1416" w:left="1440" w:header="283" w:footer="567" w:gutter="0"/>
          <w:cols w:space="708"/>
          <w:docGrid w:linePitch="360"/>
        </w:sectPr>
      </w:pPr>
    </w:p>
    <w:p w14:paraId="77CF6CB9" w14:textId="77777777" w:rsidR="00795BE0" w:rsidRPr="0007572B" w:rsidRDefault="00795BE0" w:rsidP="00795BE0">
      <w:pPr>
        <w:pStyle w:val="Heading3greennumbered"/>
      </w:pPr>
      <w:bookmarkStart w:id="292" w:name="_Toc92894941"/>
      <w:bookmarkStart w:id="293" w:name="_Toc92895245"/>
      <w:bookmarkStart w:id="294" w:name="_Toc109922679"/>
      <w:bookmarkStart w:id="295" w:name="_Hlk109658869"/>
      <w:r w:rsidRPr="0007572B">
        <w:t>47 Group Property, Plant and Equipment Valuations</w:t>
      </w:r>
      <w:bookmarkEnd w:id="292"/>
      <w:bookmarkEnd w:id="293"/>
      <w:bookmarkEnd w:id="294"/>
    </w:p>
    <w:p w14:paraId="6B8AF8C7" w14:textId="77777777" w:rsidR="00795BE0" w:rsidRDefault="00795BE0" w:rsidP="00795BE0">
      <w:pPr>
        <w:rPr>
          <w:rFonts w:ascii="Arial" w:hAnsi="Arial" w:cs="Arial"/>
        </w:rPr>
      </w:pPr>
    </w:p>
    <w:p w14:paraId="4D76E8FF" w14:textId="77777777" w:rsidR="00795BE0" w:rsidRPr="00BD07AE" w:rsidRDefault="00795BE0" w:rsidP="00795BE0">
      <w:pPr>
        <w:rPr>
          <w:rFonts w:ascii="Arial" w:hAnsi="Arial" w:cs="Arial"/>
        </w:rPr>
      </w:pPr>
      <w:r>
        <w:rPr>
          <w:rFonts w:ascii="Arial" w:hAnsi="Arial" w:cs="Arial"/>
        </w:rPr>
        <w:t xml:space="preserve">Details relating to GMCA property, plant and equipment are provided in note 20 to the single </w:t>
      </w:r>
      <w:r w:rsidRPr="00BD07AE">
        <w:rPr>
          <w:rFonts w:ascii="Arial" w:hAnsi="Arial" w:cs="Arial"/>
        </w:rPr>
        <w:t xml:space="preserve">entity financial statements. </w:t>
      </w:r>
    </w:p>
    <w:p w14:paraId="65D55E78" w14:textId="77777777" w:rsidR="00795BE0" w:rsidRPr="00BD07AE" w:rsidRDefault="00795BE0" w:rsidP="00795BE0">
      <w:pPr>
        <w:rPr>
          <w:rFonts w:ascii="Arial" w:hAnsi="Arial" w:cs="Arial"/>
        </w:rPr>
      </w:pPr>
    </w:p>
    <w:p w14:paraId="459607A5" w14:textId="73BD1176" w:rsidR="00795BE0" w:rsidRPr="00BD07AE" w:rsidRDefault="00795BE0" w:rsidP="00795BE0">
      <w:pPr>
        <w:rPr>
          <w:rFonts w:ascii="Arial" w:hAnsi="Arial" w:cs="Arial"/>
        </w:rPr>
      </w:pPr>
      <w:r w:rsidRPr="00BD07AE">
        <w:rPr>
          <w:rFonts w:ascii="Arial" w:hAnsi="Arial" w:cs="Arial"/>
        </w:rPr>
        <w:t>Within the Group, TfGM carries out a rolling programme that ensures that all Property, Plant and Equipment required to be measured at current value is revalued at least every five years. Valuations of land and buildings were carried out in accordance with the methodologies and bases for estimation set out in the professional standards of the Royal Institution of Chartered Surveyors. The current values for these properties have been based on existing use values and these were re-valued as at 31 March 20</w:t>
      </w:r>
      <w:r w:rsidR="00BD07AE" w:rsidRPr="00BD07AE">
        <w:rPr>
          <w:rFonts w:ascii="Arial" w:hAnsi="Arial" w:cs="Arial"/>
        </w:rPr>
        <w:t>22</w:t>
      </w:r>
      <w:r w:rsidRPr="00BD07AE">
        <w:rPr>
          <w:rFonts w:ascii="Arial" w:hAnsi="Arial" w:cs="Arial"/>
        </w:rPr>
        <w:t xml:space="preserve">. </w:t>
      </w:r>
    </w:p>
    <w:p w14:paraId="27B02DEB" w14:textId="77777777" w:rsidR="00795BE0" w:rsidRPr="00BD07AE" w:rsidRDefault="00795BE0" w:rsidP="00795BE0">
      <w:pPr>
        <w:rPr>
          <w:rFonts w:ascii="Arial" w:hAnsi="Arial" w:cs="Arial"/>
        </w:rPr>
      </w:pPr>
    </w:p>
    <w:p w14:paraId="2CDE5635" w14:textId="77777777" w:rsidR="00795BE0" w:rsidRPr="00BD07AE" w:rsidRDefault="00795BE0" w:rsidP="00795BE0">
      <w:pPr>
        <w:rPr>
          <w:rFonts w:ascii="Arial" w:hAnsi="Arial" w:cs="Arial"/>
        </w:rPr>
      </w:pPr>
      <w:r w:rsidRPr="00BD07AE">
        <w:rPr>
          <w:rFonts w:ascii="Arial" w:hAnsi="Arial" w:cs="Arial"/>
        </w:rPr>
        <w:t xml:space="preserve">A number of surplus properties were identified in 2015/16 and in accordance with the code were revalued at fair value. The fair value for the properties has been based on the market approach using current market conditions and recent sales prices and other relevant information for similar assets in the local area. Market conditions are such that similar properties are actively purchased and sold and the level of observable inputs are significant, leading to the properties being categorised at Level 2 in the fair value hierarchy. </w:t>
      </w:r>
    </w:p>
    <w:p w14:paraId="689DEDD1" w14:textId="77777777" w:rsidR="00795BE0" w:rsidRPr="00BD07AE" w:rsidRDefault="00795BE0" w:rsidP="00795BE0">
      <w:pPr>
        <w:rPr>
          <w:rFonts w:ascii="Arial" w:hAnsi="Arial" w:cs="Arial"/>
        </w:rPr>
      </w:pPr>
    </w:p>
    <w:p w14:paraId="0DB95E78" w14:textId="3B3FE1CD" w:rsidR="00795BE0" w:rsidRPr="00BD07AE" w:rsidRDefault="00795BE0" w:rsidP="00795BE0">
      <w:pPr>
        <w:rPr>
          <w:rFonts w:ascii="Arial" w:hAnsi="Arial" w:cs="Arial"/>
        </w:rPr>
      </w:pPr>
      <w:r w:rsidRPr="00BD07AE">
        <w:rPr>
          <w:rFonts w:ascii="Arial" w:hAnsi="Arial" w:cs="Arial"/>
        </w:rPr>
        <w:t xml:space="preserve">In estimating the fair value of TfGM’s surplus properties, the highest and best use of the properties is their current use. </w:t>
      </w:r>
      <w:r w:rsidR="00BD07AE" w:rsidRPr="00BD07AE">
        <w:rPr>
          <w:rFonts w:ascii="Arial" w:hAnsi="Arial" w:cs="Arial"/>
        </w:rPr>
        <w:t xml:space="preserve">These were revalued in 2021/22, however due to the value of the properties and the minimal movements the changes in valuations have not been updated in the financial statements. </w:t>
      </w:r>
    </w:p>
    <w:p w14:paraId="1B69D885" w14:textId="77777777" w:rsidR="00795BE0" w:rsidRPr="00BD07AE" w:rsidRDefault="00795BE0" w:rsidP="00795BE0">
      <w:pPr>
        <w:rPr>
          <w:rFonts w:ascii="Arial" w:hAnsi="Arial" w:cs="Arial"/>
        </w:rPr>
      </w:pPr>
    </w:p>
    <w:p w14:paraId="46A41F43" w14:textId="77777777" w:rsidR="00795BE0" w:rsidRPr="00BD07AE" w:rsidRDefault="00795BE0" w:rsidP="00795BE0">
      <w:pPr>
        <w:rPr>
          <w:rFonts w:ascii="Arial" w:hAnsi="Arial" w:cs="Arial"/>
        </w:rPr>
      </w:pPr>
      <w:r w:rsidRPr="00BD07AE">
        <w:rPr>
          <w:rFonts w:ascii="Arial" w:hAnsi="Arial" w:cs="Arial"/>
        </w:rPr>
        <w:t>All TFGM valuations were carried out by Leslie Roberts &amp; Co Ltd, in accordance with the methodologies and bases for estimation set out in the professional standards of the Royal Institution of Chartered Surveyors. TfGM’s valuation experts work closely with finance officers reporting directly to the chief financial officer on a regular basis regarding all valuation matters.</w:t>
      </w:r>
    </w:p>
    <w:p w14:paraId="215028FB" w14:textId="77777777" w:rsidR="00795BE0" w:rsidRPr="00BD07AE" w:rsidRDefault="00795BE0" w:rsidP="00795BE0">
      <w:pPr>
        <w:rPr>
          <w:rFonts w:ascii="Arial" w:hAnsi="Arial" w:cs="Arial"/>
        </w:rPr>
      </w:pPr>
    </w:p>
    <w:p w14:paraId="1B40DE48" w14:textId="77777777" w:rsidR="00795BE0" w:rsidRDefault="00795BE0" w:rsidP="00795BE0">
      <w:pPr>
        <w:pStyle w:val="8TfGMStandardDocumentText"/>
        <w:jc w:val="left"/>
      </w:pPr>
      <w:r w:rsidRPr="00BD07AE">
        <w:rPr>
          <w:rFonts w:ascii="Arial" w:eastAsia="Times New Roman" w:hAnsi="Arial"/>
          <w:sz w:val="24"/>
          <w:lang w:eastAsia="en-US"/>
        </w:rPr>
        <w:t>COVID-19 has impacted global financial markets and has led to an unprecedented set of circumstances on which the valuations have been based due to the restrictions imposed. Due to the unknown future impact that COVID-19 will have on the real estate market, the valuations will be kept under regular review. The latest valuation was undertaken 31 March 2022 and there was no material impact on the accounts</w:t>
      </w:r>
      <w:r w:rsidRPr="00BD07AE">
        <w:t>.</w:t>
      </w:r>
    </w:p>
    <w:p w14:paraId="229C335E" w14:textId="77777777" w:rsidR="00795BE0" w:rsidRDefault="00795BE0" w:rsidP="00795BE0">
      <w:pPr>
        <w:rPr>
          <w:rFonts w:ascii="Arial" w:eastAsia="Palatino Linotype" w:hAnsi="Arial" w:cs="Arial"/>
          <w:b/>
          <w:bCs/>
          <w:szCs w:val="28"/>
          <w:lang w:val="en-US"/>
        </w:rPr>
      </w:pPr>
      <w:bookmarkStart w:id="296" w:name="_Toc92894942"/>
      <w:bookmarkStart w:id="297" w:name="_Toc92895246"/>
      <w:bookmarkEnd w:id="295"/>
      <w:r>
        <w:br w:type="page"/>
      </w:r>
    </w:p>
    <w:p w14:paraId="5D6B745D" w14:textId="77777777" w:rsidR="00795BE0" w:rsidRPr="0007572B" w:rsidRDefault="00795BE0" w:rsidP="00795BE0">
      <w:pPr>
        <w:pStyle w:val="Heading3greennumbered"/>
      </w:pPr>
      <w:bookmarkStart w:id="298" w:name="_Toc109922680"/>
      <w:r w:rsidRPr="0007572B">
        <w:t>48 Group Intangible Assets</w:t>
      </w:r>
      <w:bookmarkEnd w:id="296"/>
      <w:bookmarkEnd w:id="297"/>
      <w:bookmarkEnd w:id="298"/>
    </w:p>
    <w:p w14:paraId="7E5BFE1B" w14:textId="77777777" w:rsidR="00795BE0" w:rsidRDefault="00795BE0" w:rsidP="00795BE0">
      <w:pPr>
        <w:rPr>
          <w:rFonts w:ascii="Arial" w:hAnsi="Arial" w:cs="Arial"/>
        </w:rPr>
      </w:pPr>
    </w:p>
    <w:p w14:paraId="2A304859" w14:textId="77777777" w:rsidR="00795BE0" w:rsidRPr="0007572B" w:rsidRDefault="00795BE0" w:rsidP="00795BE0">
      <w:pPr>
        <w:rPr>
          <w:rFonts w:ascii="Arial" w:hAnsi="Arial" w:cs="Arial"/>
        </w:rPr>
      </w:pPr>
      <w:r w:rsidRPr="0007572B">
        <w:rPr>
          <w:rFonts w:ascii="Arial" w:hAnsi="Arial" w:cs="Arial"/>
        </w:rPr>
        <w:t xml:space="preserve">The </w:t>
      </w:r>
      <w:r>
        <w:rPr>
          <w:rFonts w:ascii="Arial" w:hAnsi="Arial" w:cs="Arial"/>
        </w:rPr>
        <w:t>Group</w:t>
      </w:r>
      <w:r w:rsidRPr="0007572B">
        <w:rPr>
          <w:rFonts w:ascii="Arial" w:hAnsi="Arial" w:cs="Arial"/>
        </w:rPr>
        <w:t xml:space="preserve"> accounts for its software as intangible assets, to the extent that the software is not an integral part of a particular IT system and accounted for as part of the hardware item of property, plant and equipment. The intangible assets are purchased licenses</w:t>
      </w:r>
      <w:r>
        <w:rPr>
          <w:rFonts w:ascii="Arial" w:hAnsi="Arial" w:cs="Arial"/>
        </w:rPr>
        <w:t xml:space="preserve"> and internally generated software</w:t>
      </w:r>
      <w:r w:rsidRPr="0007572B">
        <w:rPr>
          <w:rFonts w:ascii="Arial" w:hAnsi="Arial" w:cs="Arial"/>
        </w:rPr>
        <w:t xml:space="preserve">. </w:t>
      </w:r>
    </w:p>
    <w:p w14:paraId="19543F99" w14:textId="77777777" w:rsidR="00795BE0" w:rsidRPr="0007572B" w:rsidRDefault="00795BE0" w:rsidP="00795BE0">
      <w:pPr>
        <w:rPr>
          <w:rFonts w:ascii="Arial" w:hAnsi="Arial" w:cs="Arial"/>
        </w:rPr>
      </w:pPr>
    </w:p>
    <w:p w14:paraId="50188C13" w14:textId="77777777" w:rsidR="00795BE0" w:rsidRPr="0007572B" w:rsidRDefault="00795BE0" w:rsidP="00795BE0">
      <w:pPr>
        <w:rPr>
          <w:rFonts w:ascii="Arial" w:hAnsi="Arial" w:cs="Arial"/>
        </w:rPr>
      </w:pPr>
      <w:r w:rsidRPr="0007572B">
        <w:rPr>
          <w:rFonts w:ascii="Arial" w:hAnsi="Arial" w:cs="Arial"/>
        </w:rPr>
        <w:t>All software is given a finite useful life, based on assessments of the period that the software is expected to be used by the Authority. The useful lives assigned to the major software suites used by the Authority are:</w:t>
      </w:r>
    </w:p>
    <w:p w14:paraId="58C29748" w14:textId="77777777" w:rsidR="00795BE0" w:rsidRPr="0007572B" w:rsidRDefault="00795BE0" w:rsidP="00795BE0">
      <w:pPr>
        <w:rPr>
          <w:rFonts w:ascii="Arial" w:hAnsi="Arial" w:cs="Arial"/>
        </w:rPr>
      </w:pPr>
    </w:p>
    <w:tbl>
      <w:tblPr>
        <w:tblStyle w:val="TableGrid"/>
        <w:tblW w:w="0" w:type="auto"/>
        <w:tblLook w:val="04A0" w:firstRow="1" w:lastRow="0" w:firstColumn="1" w:lastColumn="0" w:noHBand="0" w:noVBand="1"/>
      </w:tblPr>
      <w:tblGrid>
        <w:gridCol w:w="5524"/>
        <w:gridCol w:w="3876"/>
      </w:tblGrid>
      <w:tr w:rsidR="00795BE0" w14:paraId="18142C6E" w14:textId="77777777" w:rsidTr="00D323EE">
        <w:tc>
          <w:tcPr>
            <w:tcW w:w="5524" w:type="dxa"/>
          </w:tcPr>
          <w:p w14:paraId="3C3291F4" w14:textId="77777777" w:rsidR="00795BE0" w:rsidRDefault="00795BE0" w:rsidP="00D323EE">
            <w:pPr>
              <w:rPr>
                <w:rFonts w:ascii="Arial" w:hAnsi="Arial" w:cs="Arial"/>
                <w:sz w:val="22"/>
                <w:szCs w:val="22"/>
              </w:rPr>
            </w:pPr>
            <w:r>
              <w:rPr>
                <w:rFonts w:ascii="Arial" w:hAnsi="Arial" w:cs="Arial"/>
                <w:sz w:val="22"/>
                <w:szCs w:val="22"/>
              </w:rPr>
              <w:t>Assets attributable to the Fire and Rescue Service</w:t>
            </w:r>
          </w:p>
        </w:tc>
        <w:tc>
          <w:tcPr>
            <w:tcW w:w="3876" w:type="dxa"/>
          </w:tcPr>
          <w:p w14:paraId="7B160D96" w14:textId="77777777" w:rsidR="00795BE0" w:rsidRDefault="00795BE0" w:rsidP="00D323EE">
            <w:pPr>
              <w:rPr>
                <w:rFonts w:ascii="Arial" w:hAnsi="Arial" w:cs="Arial"/>
                <w:sz w:val="22"/>
                <w:szCs w:val="22"/>
              </w:rPr>
            </w:pPr>
            <w:r>
              <w:rPr>
                <w:rFonts w:ascii="Arial" w:hAnsi="Arial" w:cs="Arial"/>
                <w:sz w:val="22"/>
                <w:szCs w:val="22"/>
              </w:rPr>
              <w:t>3 to 10 years</w:t>
            </w:r>
          </w:p>
        </w:tc>
      </w:tr>
      <w:tr w:rsidR="00795BE0" w14:paraId="274DBE31" w14:textId="77777777" w:rsidTr="00D323EE">
        <w:tc>
          <w:tcPr>
            <w:tcW w:w="5524" w:type="dxa"/>
          </w:tcPr>
          <w:p w14:paraId="58F93207" w14:textId="77777777" w:rsidR="00795BE0" w:rsidRDefault="00795BE0" w:rsidP="00D323EE">
            <w:pPr>
              <w:rPr>
                <w:rFonts w:ascii="Arial" w:hAnsi="Arial" w:cs="Arial"/>
                <w:sz w:val="22"/>
                <w:szCs w:val="22"/>
              </w:rPr>
            </w:pPr>
            <w:r>
              <w:rPr>
                <w:rFonts w:ascii="Arial" w:hAnsi="Arial" w:cs="Arial"/>
                <w:sz w:val="22"/>
                <w:szCs w:val="22"/>
              </w:rPr>
              <w:t>Assets attributable to the Policing Service</w:t>
            </w:r>
          </w:p>
        </w:tc>
        <w:tc>
          <w:tcPr>
            <w:tcW w:w="3876" w:type="dxa"/>
          </w:tcPr>
          <w:p w14:paraId="6B012DFA" w14:textId="77777777" w:rsidR="00795BE0" w:rsidRDefault="00795BE0" w:rsidP="00D323EE">
            <w:pPr>
              <w:rPr>
                <w:rFonts w:ascii="Arial" w:hAnsi="Arial" w:cs="Arial"/>
                <w:sz w:val="22"/>
                <w:szCs w:val="22"/>
              </w:rPr>
            </w:pPr>
            <w:r>
              <w:rPr>
                <w:rFonts w:ascii="Arial" w:hAnsi="Arial" w:cs="Arial"/>
                <w:sz w:val="22"/>
                <w:szCs w:val="22"/>
              </w:rPr>
              <w:t>5 years</w:t>
            </w:r>
          </w:p>
        </w:tc>
      </w:tr>
      <w:tr w:rsidR="00795BE0" w14:paraId="7F7CD559" w14:textId="77777777" w:rsidTr="00D323EE">
        <w:tc>
          <w:tcPr>
            <w:tcW w:w="5524" w:type="dxa"/>
          </w:tcPr>
          <w:p w14:paraId="6C8626B4" w14:textId="77777777" w:rsidR="00795BE0" w:rsidRDefault="00795BE0" w:rsidP="00D323EE">
            <w:pPr>
              <w:rPr>
                <w:rFonts w:ascii="Arial" w:hAnsi="Arial" w:cs="Arial"/>
                <w:sz w:val="22"/>
                <w:szCs w:val="22"/>
              </w:rPr>
            </w:pPr>
            <w:r>
              <w:rPr>
                <w:rFonts w:ascii="Arial" w:hAnsi="Arial" w:cs="Arial"/>
                <w:sz w:val="22"/>
                <w:szCs w:val="22"/>
              </w:rPr>
              <w:t>Assets attributable to the Waste Disposal Service</w:t>
            </w:r>
          </w:p>
        </w:tc>
        <w:tc>
          <w:tcPr>
            <w:tcW w:w="3876" w:type="dxa"/>
          </w:tcPr>
          <w:p w14:paraId="7187BD7A" w14:textId="77777777" w:rsidR="00795BE0" w:rsidRDefault="00795BE0" w:rsidP="00D323EE">
            <w:pPr>
              <w:rPr>
                <w:rFonts w:ascii="Arial" w:hAnsi="Arial" w:cs="Arial"/>
                <w:sz w:val="22"/>
                <w:szCs w:val="22"/>
              </w:rPr>
            </w:pPr>
            <w:r>
              <w:rPr>
                <w:rFonts w:ascii="Arial" w:hAnsi="Arial" w:cs="Arial"/>
                <w:sz w:val="22"/>
                <w:szCs w:val="22"/>
              </w:rPr>
              <w:t>5 years</w:t>
            </w:r>
          </w:p>
        </w:tc>
      </w:tr>
      <w:tr w:rsidR="00795BE0" w14:paraId="5FF420D0" w14:textId="77777777" w:rsidTr="00D323EE">
        <w:tc>
          <w:tcPr>
            <w:tcW w:w="5524" w:type="dxa"/>
          </w:tcPr>
          <w:p w14:paraId="7311A40D" w14:textId="77777777" w:rsidR="00795BE0" w:rsidRDefault="00795BE0" w:rsidP="00D323EE">
            <w:pPr>
              <w:rPr>
                <w:rFonts w:ascii="Arial" w:hAnsi="Arial" w:cs="Arial"/>
                <w:sz w:val="22"/>
                <w:szCs w:val="22"/>
              </w:rPr>
            </w:pPr>
            <w:r>
              <w:rPr>
                <w:rFonts w:ascii="Arial" w:hAnsi="Arial" w:cs="Arial"/>
                <w:sz w:val="22"/>
                <w:szCs w:val="22"/>
              </w:rPr>
              <w:t>Assets attributable to TfGM</w:t>
            </w:r>
          </w:p>
        </w:tc>
        <w:tc>
          <w:tcPr>
            <w:tcW w:w="3876" w:type="dxa"/>
          </w:tcPr>
          <w:p w14:paraId="06CF7625" w14:textId="77777777" w:rsidR="00795BE0" w:rsidRDefault="00795BE0" w:rsidP="00D323EE">
            <w:pPr>
              <w:rPr>
                <w:rFonts w:ascii="Arial" w:hAnsi="Arial" w:cs="Arial"/>
                <w:sz w:val="22"/>
                <w:szCs w:val="22"/>
              </w:rPr>
            </w:pPr>
            <w:r>
              <w:rPr>
                <w:rFonts w:ascii="Arial" w:hAnsi="Arial" w:cs="Arial"/>
                <w:sz w:val="22"/>
                <w:szCs w:val="22"/>
              </w:rPr>
              <w:t>4 to 5 years</w:t>
            </w:r>
          </w:p>
        </w:tc>
      </w:tr>
    </w:tbl>
    <w:p w14:paraId="339BAE52" w14:textId="77777777" w:rsidR="00795BE0" w:rsidRPr="0007572B" w:rsidRDefault="00795BE0" w:rsidP="00795BE0">
      <w:pPr>
        <w:rPr>
          <w:rFonts w:ascii="Arial" w:hAnsi="Arial" w:cs="Arial"/>
          <w:sz w:val="22"/>
          <w:szCs w:val="22"/>
        </w:rPr>
      </w:pPr>
    </w:p>
    <w:p w14:paraId="767B42B2" w14:textId="77777777" w:rsidR="00795BE0" w:rsidRDefault="00795BE0" w:rsidP="00795BE0">
      <w:pPr>
        <w:rPr>
          <w:rFonts w:ascii="Arial" w:hAnsi="Arial" w:cs="Arial"/>
        </w:rPr>
      </w:pPr>
      <w:r w:rsidRPr="0007572B">
        <w:rPr>
          <w:rFonts w:ascii="Arial" w:hAnsi="Arial" w:cs="Arial"/>
        </w:rPr>
        <w:t>The carrying amounts of intangible assets is amortised on a straight-line basis. Amortisation has been charged to service headings in the cost of services as follows:</w:t>
      </w:r>
    </w:p>
    <w:p w14:paraId="71BAAEBB" w14:textId="77777777" w:rsidR="00795BE0" w:rsidRDefault="00795BE0" w:rsidP="00795BE0">
      <w:pPr>
        <w:rPr>
          <w:rFonts w:ascii="Arial" w:hAnsi="Arial" w:cs="Arial"/>
        </w:rPr>
      </w:pPr>
    </w:p>
    <w:tbl>
      <w:tblPr>
        <w:tblStyle w:val="TableGrid"/>
        <w:tblW w:w="0" w:type="auto"/>
        <w:tblLook w:val="04A0" w:firstRow="1" w:lastRow="0" w:firstColumn="1" w:lastColumn="0" w:noHBand="0" w:noVBand="1"/>
      </w:tblPr>
      <w:tblGrid>
        <w:gridCol w:w="3964"/>
        <w:gridCol w:w="1134"/>
      </w:tblGrid>
      <w:tr w:rsidR="00795BE0" w14:paraId="53D89BB9" w14:textId="77777777" w:rsidTr="00D323EE">
        <w:trPr>
          <w:trHeight w:val="428"/>
        </w:trPr>
        <w:tc>
          <w:tcPr>
            <w:tcW w:w="3964" w:type="dxa"/>
          </w:tcPr>
          <w:p w14:paraId="7F16E5C5" w14:textId="77777777" w:rsidR="00795BE0" w:rsidRPr="002810BB" w:rsidRDefault="00795BE0" w:rsidP="00D323EE">
            <w:pPr>
              <w:rPr>
                <w:rFonts w:ascii="Arial" w:hAnsi="Arial" w:cs="Arial"/>
                <w:b/>
                <w:bCs/>
              </w:rPr>
            </w:pPr>
            <w:r>
              <w:rPr>
                <w:rFonts w:ascii="Arial" w:hAnsi="Arial" w:cs="Arial"/>
                <w:b/>
                <w:bCs/>
              </w:rPr>
              <w:t>Amortisation</w:t>
            </w:r>
          </w:p>
        </w:tc>
        <w:tc>
          <w:tcPr>
            <w:tcW w:w="1134" w:type="dxa"/>
          </w:tcPr>
          <w:p w14:paraId="2C79B319" w14:textId="77777777" w:rsidR="00795BE0" w:rsidRPr="002810BB" w:rsidRDefault="00795BE0" w:rsidP="00D323EE">
            <w:pPr>
              <w:jc w:val="right"/>
              <w:rPr>
                <w:rFonts w:ascii="Arial" w:hAnsi="Arial" w:cs="Arial"/>
                <w:b/>
                <w:bCs/>
              </w:rPr>
            </w:pPr>
            <w:r w:rsidRPr="002810BB">
              <w:rPr>
                <w:rFonts w:ascii="Arial" w:hAnsi="Arial" w:cs="Arial"/>
                <w:b/>
                <w:bCs/>
              </w:rPr>
              <w:t>£000s</w:t>
            </w:r>
          </w:p>
        </w:tc>
      </w:tr>
      <w:tr w:rsidR="00795BE0" w14:paraId="5D2B2FDA" w14:textId="77777777" w:rsidTr="00D323EE">
        <w:tc>
          <w:tcPr>
            <w:tcW w:w="3964" w:type="dxa"/>
          </w:tcPr>
          <w:p w14:paraId="37DAF9A6" w14:textId="77777777" w:rsidR="00795BE0" w:rsidRDefault="00795BE0" w:rsidP="00D323EE">
            <w:pPr>
              <w:rPr>
                <w:rFonts w:ascii="Arial" w:hAnsi="Arial" w:cs="Arial"/>
              </w:rPr>
            </w:pPr>
            <w:r>
              <w:rPr>
                <w:rFonts w:ascii="Arial" w:hAnsi="Arial" w:cs="Arial"/>
              </w:rPr>
              <w:t>Fire and Rescue Service</w:t>
            </w:r>
          </w:p>
        </w:tc>
        <w:tc>
          <w:tcPr>
            <w:tcW w:w="1134" w:type="dxa"/>
          </w:tcPr>
          <w:p w14:paraId="66A82F4B" w14:textId="39C929BA" w:rsidR="00795BE0" w:rsidRDefault="0043503F" w:rsidP="00D323EE">
            <w:pPr>
              <w:jc w:val="right"/>
              <w:rPr>
                <w:rFonts w:ascii="Arial" w:hAnsi="Arial" w:cs="Arial"/>
              </w:rPr>
            </w:pPr>
            <w:r>
              <w:rPr>
                <w:rFonts w:ascii="Arial" w:hAnsi="Arial" w:cs="Arial"/>
              </w:rPr>
              <w:t>(25)</w:t>
            </w:r>
          </w:p>
        </w:tc>
      </w:tr>
      <w:tr w:rsidR="00795BE0" w14:paraId="16FC5DA5" w14:textId="77777777" w:rsidTr="00D323EE">
        <w:tc>
          <w:tcPr>
            <w:tcW w:w="3964" w:type="dxa"/>
          </w:tcPr>
          <w:p w14:paraId="5CD7B5B4" w14:textId="77777777" w:rsidR="00795BE0" w:rsidRDefault="00795BE0" w:rsidP="00D323EE">
            <w:pPr>
              <w:rPr>
                <w:rFonts w:ascii="Arial" w:hAnsi="Arial" w:cs="Arial"/>
              </w:rPr>
            </w:pPr>
            <w:r>
              <w:rPr>
                <w:rFonts w:ascii="Arial" w:hAnsi="Arial" w:cs="Arial"/>
              </w:rPr>
              <w:t>Policing Service</w:t>
            </w:r>
          </w:p>
        </w:tc>
        <w:tc>
          <w:tcPr>
            <w:tcW w:w="1134" w:type="dxa"/>
          </w:tcPr>
          <w:p w14:paraId="5A62AFBA" w14:textId="2398A26E" w:rsidR="00795BE0" w:rsidRDefault="0043503F" w:rsidP="00D323EE">
            <w:pPr>
              <w:jc w:val="right"/>
              <w:rPr>
                <w:rFonts w:ascii="Arial" w:hAnsi="Arial" w:cs="Arial"/>
              </w:rPr>
            </w:pPr>
            <w:r>
              <w:rPr>
                <w:rFonts w:ascii="Arial" w:hAnsi="Arial" w:cs="Arial"/>
              </w:rPr>
              <w:t>(4,485)</w:t>
            </w:r>
          </w:p>
        </w:tc>
      </w:tr>
      <w:tr w:rsidR="00795BE0" w14:paraId="41E7D04A" w14:textId="77777777" w:rsidTr="00D323EE">
        <w:tc>
          <w:tcPr>
            <w:tcW w:w="3964" w:type="dxa"/>
          </w:tcPr>
          <w:p w14:paraId="6AA14C12" w14:textId="77777777" w:rsidR="00795BE0" w:rsidRDefault="00795BE0" w:rsidP="00D323EE">
            <w:pPr>
              <w:rPr>
                <w:rFonts w:ascii="Arial" w:hAnsi="Arial" w:cs="Arial"/>
              </w:rPr>
            </w:pPr>
            <w:r>
              <w:rPr>
                <w:rFonts w:ascii="Arial" w:hAnsi="Arial" w:cs="Arial"/>
              </w:rPr>
              <w:t>Waste Disposal Service</w:t>
            </w:r>
          </w:p>
        </w:tc>
        <w:tc>
          <w:tcPr>
            <w:tcW w:w="1134" w:type="dxa"/>
          </w:tcPr>
          <w:p w14:paraId="48F0332B" w14:textId="603598F1" w:rsidR="00795BE0" w:rsidRDefault="0043503F" w:rsidP="0043503F">
            <w:pPr>
              <w:jc w:val="right"/>
              <w:rPr>
                <w:rFonts w:ascii="Arial" w:hAnsi="Arial" w:cs="Arial"/>
              </w:rPr>
            </w:pPr>
            <w:r>
              <w:rPr>
                <w:rFonts w:ascii="Arial" w:hAnsi="Arial" w:cs="Arial"/>
              </w:rPr>
              <w:t>0</w:t>
            </w:r>
          </w:p>
        </w:tc>
      </w:tr>
      <w:tr w:rsidR="00795BE0" w14:paraId="5BBD7206" w14:textId="77777777" w:rsidTr="00D323EE">
        <w:tc>
          <w:tcPr>
            <w:tcW w:w="3964" w:type="dxa"/>
          </w:tcPr>
          <w:p w14:paraId="752E6E49" w14:textId="77777777" w:rsidR="00795BE0" w:rsidRDefault="00795BE0" w:rsidP="00D323EE">
            <w:pPr>
              <w:rPr>
                <w:rFonts w:ascii="Arial" w:hAnsi="Arial" w:cs="Arial"/>
              </w:rPr>
            </w:pPr>
            <w:r>
              <w:rPr>
                <w:rFonts w:ascii="Arial" w:hAnsi="Arial" w:cs="Arial"/>
              </w:rPr>
              <w:t>TfGM</w:t>
            </w:r>
          </w:p>
        </w:tc>
        <w:tc>
          <w:tcPr>
            <w:tcW w:w="1134" w:type="dxa"/>
          </w:tcPr>
          <w:p w14:paraId="1149EAB2" w14:textId="15406868" w:rsidR="00795BE0" w:rsidRDefault="0043503F" w:rsidP="00D323EE">
            <w:pPr>
              <w:jc w:val="right"/>
              <w:rPr>
                <w:rFonts w:ascii="Arial" w:hAnsi="Arial" w:cs="Arial"/>
              </w:rPr>
            </w:pPr>
            <w:r>
              <w:rPr>
                <w:rFonts w:ascii="Arial" w:hAnsi="Arial" w:cs="Arial"/>
              </w:rPr>
              <w:t>(3,255)</w:t>
            </w:r>
          </w:p>
        </w:tc>
      </w:tr>
      <w:tr w:rsidR="00795BE0" w14:paraId="646AB14A" w14:textId="77777777" w:rsidTr="00D323EE">
        <w:tc>
          <w:tcPr>
            <w:tcW w:w="3964" w:type="dxa"/>
          </w:tcPr>
          <w:p w14:paraId="0DCC3556" w14:textId="77777777" w:rsidR="00795BE0" w:rsidRPr="002810BB" w:rsidRDefault="00795BE0" w:rsidP="00D323EE">
            <w:pPr>
              <w:rPr>
                <w:rFonts w:ascii="Arial" w:hAnsi="Arial" w:cs="Arial"/>
                <w:b/>
                <w:bCs/>
              </w:rPr>
            </w:pPr>
            <w:r w:rsidRPr="002810BB">
              <w:rPr>
                <w:rFonts w:ascii="Arial" w:hAnsi="Arial" w:cs="Arial"/>
                <w:b/>
                <w:bCs/>
              </w:rPr>
              <w:t>Total</w:t>
            </w:r>
          </w:p>
        </w:tc>
        <w:tc>
          <w:tcPr>
            <w:tcW w:w="1134" w:type="dxa"/>
          </w:tcPr>
          <w:p w14:paraId="6E26DFF5" w14:textId="0C8EB441" w:rsidR="00795BE0" w:rsidRPr="002810BB" w:rsidRDefault="0043503F" w:rsidP="00D323EE">
            <w:pPr>
              <w:jc w:val="right"/>
              <w:rPr>
                <w:rFonts w:ascii="Arial" w:hAnsi="Arial" w:cs="Arial"/>
                <w:b/>
                <w:bCs/>
              </w:rPr>
            </w:pPr>
            <w:r>
              <w:rPr>
                <w:rFonts w:ascii="Arial" w:hAnsi="Arial" w:cs="Arial"/>
                <w:b/>
                <w:bCs/>
              </w:rPr>
              <w:t>(7,765)</w:t>
            </w:r>
          </w:p>
        </w:tc>
      </w:tr>
    </w:tbl>
    <w:p w14:paraId="6C204450" w14:textId="77777777" w:rsidR="00795BE0" w:rsidRDefault="00795BE0" w:rsidP="00795BE0">
      <w:pPr>
        <w:rPr>
          <w:rFonts w:ascii="Arial" w:hAnsi="Arial" w:cs="Arial"/>
        </w:rPr>
      </w:pPr>
    </w:p>
    <w:p w14:paraId="2CE9A880" w14:textId="77777777" w:rsidR="00795BE0" w:rsidRPr="0007572B" w:rsidRDefault="00795BE0" w:rsidP="00795BE0">
      <w:pPr>
        <w:rPr>
          <w:rFonts w:ascii="Arial" w:hAnsi="Arial" w:cs="Arial"/>
        </w:rPr>
      </w:pPr>
      <w:r w:rsidRPr="0007572B">
        <w:rPr>
          <w:rFonts w:ascii="Arial" w:hAnsi="Arial" w:cs="Arial"/>
        </w:rPr>
        <w:t>The movement on intangible asset balances during the year is as follows:</w:t>
      </w:r>
    </w:p>
    <w:p w14:paraId="1AF1FEA9" w14:textId="77777777" w:rsidR="00795BE0" w:rsidRDefault="00795BE0" w:rsidP="00795BE0">
      <w:pPr>
        <w:rPr>
          <w:rFonts w:ascii="Arial" w:hAnsi="Arial" w:cs="Arial"/>
        </w:rPr>
      </w:pPr>
    </w:p>
    <w:p w14:paraId="50C349CC" w14:textId="0CD0F9A2" w:rsidR="00795BE0" w:rsidRPr="0007572B" w:rsidRDefault="0043503F" w:rsidP="00795BE0">
      <w:pPr>
        <w:rPr>
          <w:rFonts w:ascii="Arial" w:hAnsi="Arial" w:cs="Arial"/>
        </w:rPr>
      </w:pPr>
      <w:r w:rsidRPr="0043503F">
        <w:rPr>
          <w:noProof/>
        </w:rPr>
        <w:drawing>
          <wp:inline distT="0" distB="0" distL="0" distR="0" wp14:anchorId="1C007F35" wp14:editId="711973F2">
            <wp:extent cx="5975350" cy="2872740"/>
            <wp:effectExtent l="0" t="0" r="6350" b="381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5975350" cy="2872740"/>
                    </a:xfrm>
                    <a:prstGeom prst="rect">
                      <a:avLst/>
                    </a:prstGeom>
                    <a:noFill/>
                    <a:ln>
                      <a:noFill/>
                    </a:ln>
                  </pic:spPr>
                </pic:pic>
              </a:graphicData>
            </a:graphic>
          </wp:inline>
        </w:drawing>
      </w:r>
    </w:p>
    <w:p w14:paraId="6EF2FDFC" w14:textId="77777777" w:rsidR="00795BE0" w:rsidRPr="0007572B" w:rsidRDefault="00795BE0" w:rsidP="00795BE0">
      <w:pPr>
        <w:rPr>
          <w:rFonts w:ascii="Arial" w:hAnsi="Arial" w:cs="Arial"/>
        </w:rPr>
      </w:pPr>
    </w:p>
    <w:p w14:paraId="7B069571" w14:textId="77777777" w:rsidR="00795BE0" w:rsidRPr="0007572B" w:rsidRDefault="00795BE0" w:rsidP="00795BE0">
      <w:pPr>
        <w:rPr>
          <w:rFonts w:ascii="Arial" w:hAnsi="Arial" w:cs="Arial"/>
        </w:rPr>
      </w:pPr>
    </w:p>
    <w:p w14:paraId="07514BB5" w14:textId="77777777" w:rsidR="00795BE0" w:rsidRDefault="00795BE0" w:rsidP="00795BE0">
      <w:pPr>
        <w:rPr>
          <w:rFonts w:ascii="Arial" w:hAnsi="Arial" w:cs="Arial"/>
        </w:rPr>
      </w:pPr>
    </w:p>
    <w:p w14:paraId="54D20C29" w14:textId="77777777" w:rsidR="00795BE0" w:rsidRDefault="00795BE0" w:rsidP="00795BE0">
      <w:pPr>
        <w:rPr>
          <w:rFonts w:ascii="Arial" w:hAnsi="Arial" w:cs="Arial"/>
        </w:rPr>
      </w:pPr>
      <w:r>
        <w:rPr>
          <w:rFonts w:ascii="Arial" w:hAnsi="Arial" w:cs="Arial"/>
        </w:rPr>
        <w:br w:type="page"/>
      </w:r>
    </w:p>
    <w:p w14:paraId="19295D95" w14:textId="5FE2B6CB" w:rsidR="00795BE0" w:rsidRPr="0007572B" w:rsidRDefault="00795BE0" w:rsidP="00795BE0">
      <w:pPr>
        <w:rPr>
          <w:rFonts w:ascii="Arial" w:hAnsi="Arial" w:cs="Arial"/>
        </w:rPr>
      </w:pPr>
      <w:r w:rsidRPr="0007572B">
        <w:rPr>
          <w:rFonts w:ascii="Arial" w:hAnsi="Arial" w:cs="Arial"/>
        </w:rPr>
        <w:t xml:space="preserve">There is one capitalised software suite that is individually material to the financial statements: The Information Services Transformation Programme had a carrying amount </w:t>
      </w:r>
      <w:r w:rsidRPr="002810BB">
        <w:rPr>
          <w:rFonts w:ascii="Arial" w:hAnsi="Arial" w:cs="Arial"/>
        </w:rPr>
        <w:t>of £2</w:t>
      </w:r>
      <w:r w:rsidR="0043503F">
        <w:rPr>
          <w:rFonts w:ascii="Arial" w:hAnsi="Arial" w:cs="Arial"/>
        </w:rPr>
        <w:t>5</w:t>
      </w:r>
      <w:r w:rsidRPr="002810BB">
        <w:rPr>
          <w:rFonts w:ascii="Arial" w:hAnsi="Arial" w:cs="Arial"/>
        </w:rPr>
        <w:t>.</w:t>
      </w:r>
      <w:r w:rsidR="0043503F">
        <w:rPr>
          <w:rFonts w:ascii="Arial" w:hAnsi="Arial" w:cs="Arial"/>
        </w:rPr>
        <w:t>30</w:t>
      </w:r>
      <w:r w:rsidRPr="002810BB">
        <w:rPr>
          <w:rFonts w:ascii="Arial" w:hAnsi="Arial" w:cs="Arial"/>
        </w:rPr>
        <w:t>6m at 31 March</w:t>
      </w:r>
      <w:r w:rsidRPr="0007572B">
        <w:rPr>
          <w:rFonts w:ascii="Arial" w:hAnsi="Arial" w:cs="Arial"/>
        </w:rPr>
        <w:t xml:space="preserve"> 202</w:t>
      </w:r>
      <w:r w:rsidR="0043503F">
        <w:rPr>
          <w:rFonts w:ascii="Arial" w:hAnsi="Arial" w:cs="Arial"/>
        </w:rPr>
        <w:t>2</w:t>
      </w:r>
      <w:r w:rsidRPr="0007572B">
        <w:rPr>
          <w:rFonts w:ascii="Arial" w:hAnsi="Arial" w:cs="Arial"/>
        </w:rPr>
        <w:t xml:space="preserve"> and remaining amortisation period of </w:t>
      </w:r>
      <w:r w:rsidR="0043503F">
        <w:rPr>
          <w:rFonts w:ascii="Arial" w:hAnsi="Arial" w:cs="Arial"/>
        </w:rPr>
        <w:t>2</w:t>
      </w:r>
      <w:r w:rsidRPr="0007572B">
        <w:rPr>
          <w:rFonts w:ascii="Arial" w:hAnsi="Arial" w:cs="Arial"/>
        </w:rPr>
        <w:t>.5 years.</w:t>
      </w:r>
    </w:p>
    <w:p w14:paraId="62F7EB0D" w14:textId="77777777" w:rsidR="00795BE0" w:rsidRPr="0007572B" w:rsidRDefault="00795BE0" w:rsidP="00795BE0">
      <w:pPr>
        <w:rPr>
          <w:rFonts w:ascii="Arial" w:hAnsi="Arial" w:cs="Arial"/>
        </w:rPr>
      </w:pPr>
    </w:p>
    <w:p w14:paraId="5C014E54" w14:textId="2C4A3CDC" w:rsidR="00795BE0" w:rsidRPr="0007572B" w:rsidRDefault="00795BE0" w:rsidP="00795BE0">
      <w:pPr>
        <w:rPr>
          <w:rFonts w:ascii="Arial" w:hAnsi="Arial" w:cs="Arial"/>
        </w:rPr>
      </w:pPr>
      <w:r w:rsidRPr="0007572B">
        <w:rPr>
          <w:rFonts w:ascii="Arial" w:hAnsi="Arial" w:cs="Arial"/>
        </w:rPr>
        <w:t>Internally generated assets relate to TFGM and</w:t>
      </w:r>
      <w:r>
        <w:rPr>
          <w:rFonts w:ascii="Arial" w:hAnsi="Arial" w:cs="Arial"/>
        </w:rPr>
        <w:t xml:space="preserve"> for 202</w:t>
      </w:r>
      <w:r w:rsidR="0043503F">
        <w:rPr>
          <w:rFonts w:ascii="Arial" w:hAnsi="Arial" w:cs="Arial"/>
        </w:rPr>
        <w:t>1</w:t>
      </w:r>
      <w:r>
        <w:rPr>
          <w:rFonts w:ascii="Arial" w:hAnsi="Arial" w:cs="Arial"/>
        </w:rPr>
        <w:t>/2</w:t>
      </w:r>
      <w:r w:rsidR="0043503F">
        <w:rPr>
          <w:rFonts w:ascii="Arial" w:hAnsi="Arial" w:cs="Arial"/>
        </w:rPr>
        <w:t>2</w:t>
      </w:r>
      <w:r w:rsidRPr="0007572B">
        <w:rPr>
          <w:rFonts w:ascii="Arial" w:hAnsi="Arial" w:cs="Arial"/>
        </w:rPr>
        <w:t xml:space="preserve"> </w:t>
      </w:r>
      <w:r w:rsidR="0043503F">
        <w:rPr>
          <w:rFonts w:ascii="Arial" w:hAnsi="Arial" w:cs="Arial"/>
        </w:rPr>
        <w:t>relate to the Clean Air Plan and Bus Franchising Programmes</w:t>
      </w:r>
      <w:r>
        <w:rPr>
          <w:rFonts w:ascii="Arial" w:hAnsi="Arial" w:cs="Arial"/>
        </w:rPr>
        <w:t>.</w:t>
      </w:r>
    </w:p>
    <w:p w14:paraId="3926C8FA" w14:textId="77777777" w:rsidR="00795BE0" w:rsidRPr="0007572B" w:rsidRDefault="00795BE0" w:rsidP="00795BE0">
      <w:pPr>
        <w:rPr>
          <w:rFonts w:ascii="Arial" w:hAnsi="Arial" w:cs="Arial"/>
        </w:rPr>
      </w:pPr>
    </w:p>
    <w:p w14:paraId="1FF8FE35" w14:textId="77777777" w:rsidR="00795BE0" w:rsidRDefault="00795BE0" w:rsidP="00795BE0">
      <w:pPr>
        <w:rPr>
          <w:rFonts w:ascii="Arial" w:eastAsia="Palatino Linotype" w:hAnsi="Arial" w:cs="Arial"/>
          <w:b/>
          <w:bCs/>
          <w:szCs w:val="28"/>
          <w:lang w:val="en-US"/>
        </w:rPr>
      </w:pPr>
      <w:bookmarkStart w:id="299" w:name="_Toc92894943"/>
      <w:bookmarkStart w:id="300" w:name="_Toc92895247"/>
    </w:p>
    <w:p w14:paraId="2E3CF37F" w14:textId="77777777" w:rsidR="00795BE0" w:rsidRPr="0007572B" w:rsidRDefault="00795BE0" w:rsidP="00795BE0">
      <w:pPr>
        <w:pStyle w:val="Heading3greennumbered"/>
      </w:pPr>
      <w:bookmarkStart w:id="301" w:name="_Toc109922681"/>
      <w:r w:rsidRPr="0007572B">
        <w:t>49 Group Short and Long Term Debtors and Payments in Advance</w:t>
      </w:r>
      <w:bookmarkEnd w:id="299"/>
      <w:bookmarkEnd w:id="300"/>
      <w:bookmarkEnd w:id="301"/>
    </w:p>
    <w:p w14:paraId="73562A79" w14:textId="77777777" w:rsidR="00795BE0" w:rsidRDefault="00795BE0" w:rsidP="00795BE0">
      <w:pPr>
        <w:rPr>
          <w:rFonts w:ascii="Arial" w:hAnsi="Arial" w:cs="Arial"/>
          <w:b/>
        </w:rPr>
      </w:pPr>
    </w:p>
    <w:p w14:paraId="4BA84DE8" w14:textId="646C2B10" w:rsidR="00795BE0" w:rsidRPr="0007572B" w:rsidRDefault="00753900" w:rsidP="00795BE0">
      <w:pPr>
        <w:rPr>
          <w:rFonts w:ascii="Arial" w:hAnsi="Arial" w:cs="Arial"/>
          <w:b/>
          <w:highlight w:val="yellow"/>
        </w:rPr>
      </w:pPr>
      <w:r w:rsidRPr="00753900">
        <w:rPr>
          <w:noProof/>
        </w:rPr>
        <w:drawing>
          <wp:inline distT="0" distB="0" distL="0" distR="0" wp14:anchorId="43379946" wp14:editId="3E873795">
            <wp:extent cx="5654040" cy="845185"/>
            <wp:effectExtent l="0" t="0" r="381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5654040" cy="845185"/>
                    </a:xfrm>
                    <a:prstGeom prst="rect">
                      <a:avLst/>
                    </a:prstGeom>
                    <a:noFill/>
                    <a:ln>
                      <a:noFill/>
                    </a:ln>
                  </pic:spPr>
                </pic:pic>
              </a:graphicData>
            </a:graphic>
          </wp:inline>
        </w:drawing>
      </w:r>
    </w:p>
    <w:p w14:paraId="12C19121" w14:textId="77777777" w:rsidR="00795BE0" w:rsidRPr="0007572B" w:rsidRDefault="00795BE0" w:rsidP="00795BE0">
      <w:pPr>
        <w:rPr>
          <w:rFonts w:ascii="Arial" w:hAnsi="Arial" w:cs="Arial"/>
          <w:b/>
        </w:rPr>
      </w:pPr>
    </w:p>
    <w:p w14:paraId="26E95C48" w14:textId="05E73D59" w:rsidR="00795BE0" w:rsidRDefault="00753900" w:rsidP="00795BE0">
      <w:pPr>
        <w:rPr>
          <w:rFonts w:ascii="Arial" w:hAnsi="Arial" w:cs="Arial"/>
          <w:b/>
        </w:rPr>
      </w:pPr>
      <w:r w:rsidRPr="00753900">
        <w:rPr>
          <w:noProof/>
        </w:rPr>
        <w:drawing>
          <wp:inline distT="0" distB="0" distL="0" distR="0" wp14:anchorId="30C5805E" wp14:editId="6DC3A6E9">
            <wp:extent cx="5654040" cy="1400810"/>
            <wp:effectExtent l="0" t="0" r="3810" b="889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5654040" cy="1400810"/>
                    </a:xfrm>
                    <a:prstGeom prst="rect">
                      <a:avLst/>
                    </a:prstGeom>
                    <a:noFill/>
                    <a:ln>
                      <a:noFill/>
                    </a:ln>
                  </pic:spPr>
                </pic:pic>
              </a:graphicData>
            </a:graphic>
          </wp:inline>
        </w:drawing>
      </w:r>
    </w:p>
    <w:p w14:paraId="6185FFF5" w14:textId="77777777" w:rsidR="00795BE0" w:rsidRPr="0007572B" w:rsidRDefault="00795BE0" w:rsidP="00795BE0">
      <w:pPr>
        <w:rPr>
          <w:rFonts w:ascii="Arial" w:hAnsi="Arial" w:cs="Arial"/>
          <w:b/>
        </w:rPr>
      </w:pPr>
    </w:p>
    <w:p w14:paraId="6CB956FB" w14:textId="77777777" w:rsidR="00795BE0" w:rsidRPr="0007572B" w:rsidRDefault="00795BE0" w:rsidP="00795BE0">
      <w:pPr>
        <w:pStyle w:val="Heading3greennumbered"/>
      </w:pPr>
      <w:bookmarkStart w:id="302" w:name="_Toc92894944"/>
      <w:bookmarkStart w:id="303" w:name="_Toc92895248"/>
      <w:bookmarkStart w:id="304" w:name="_Toc109922682"/>
      <w:r w:rsidRPr="0007572B">
        <w:t>50 Group Cash and Cash Equivalents</w:t>
      </w:r>
      <w:bookmarkEnd w:id="302"/>
      <w:bookmarkEnd w:id="303"/>
      <w:bookmarkEnd w:id="304"/>
    </w:p>
    <w:p w14:paraId="1D4ADA7D" w14:textId="77777777" w:rsidR="00795BE0" w:rsidRDefault="00795BE0" w:rsidP="00795BE0">
      <w:pPr>
        <w:rPr>
          <w:rFonts w:ascii="Arial" w:hAnsi="Arial" w:cs="Arial"/>
          <w:b/>
        </w:rPr>
      </w:pPr>
    </w:p>
    <w:p w14:paraId="5BACB843" w14:textId="35AA4D7E" w:rsidR="00795BE0" w:rsidRPr="0007572B" w:rsidRDefault="00753900" w:rsidP="00795BE0">
      <w:pPr>
        <w:rPr>
          <w:rFonts w:ascii="Arial" w:hAnsi="Arial" w:cs="Arial"/>
          <w:b/>
        </w:rPr>
      </w:pPr>
      <w:r w:rsidRPr="00753900">
        <w:rPr>
          <w:noProof/>
        </w:rPr>
        <w:drawing>
          <wp:inline distT="0" distB="0" distL="0" distR="0" wp14:anchorId="3EB9C0F5" wp14:editId="23D43021">
            <wp:extent cx="4487648" cy="1012785"/>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4503006" cy="1016251"/>
                    </a:xfrm>
                    <a:prstGeom prst="rect">
                      <a:avLst/>
                    </a:prstGeom>
                    <a:noFill/>
                    <a:ln>
                      <a:noFill/>
                    </a:ln>
                  </pic:spPr>
                </pic:pic>
              </a:graphicData>
            </a:graphic>
          </wp:inline>
        </w:drawing>
      </w:r>
    </w:p>
    <w:p w14:paraId="0C25CDCA" w14:textId="77777777" w:rsidR="00795BE0" w:rsidRPr="0007572B" w:rsidRDefault="00795BE0" w:rsidP="00795BE0">
      <w:pPr>
        <w:rPr>
          <w:rFonts w:ascii="Arial" w:hAnsi="Arial" w:cs="Arial"/>
          <w:b/>
        </w:rPr>
      </w:pPr>
    </w:p>
    <w:p w14:paraId="215483FE" w14:textId="77777777" w:rsidR="00795BE0" w:rsidRPr="0007572B" w:rsidRDefault="00795BE0" w:rsidP="00795BE0">
      <w:pPr>
        <w:pStyle w:val="Heading3greennumbered"/>
      </w:pPr>
      <w:bookmarkStart w:id="305" w:name="_Toc92894945"/>
      <w:bookmarkStart w:id="306" w:name="_Toc92895249"/>
      <w:bookmarkStart w:id="307" w:name="_Toc109922683"/>
      <w:r w:rsidRPr="0007572B">
        <w:t>51 Group Short Term Creditors</w:t>
      </w:r>
      <w:bookmarkEnd w:id="305"/>
      <w:bookmarkEnd w:id="306"/>
      <w:bookmarkEnd w:id="307"/>
    </w:p>
    <w:p w14:paraId="4258774C" w14:textId="77777777" w:rsidR="00795BE0" w:rsidRDefault="00795BE0" w:rsidP="00795BE0">
      <w:pPr>
        <w:rPr>
          <w:rFonts w:ascii="Arial" w:hAnsi="Arial" w:cs="Arial"/>
          <w:noProof/>
          <w:sz w:val="28"/>
          <w:szCs w:val="28"/>
          <w:lang w:eastAsia="en-GB"/>
        </w:rPr>
      </w:pPr>
    </w:p>
    <w:p w14:paraId="56E57826" w14:textId="52A847AC" w:rsidR="00795BE0" w:rsidRPr="0007572B" w:rsidRDefault="00753900" w:rsidP="00795BE0">
      <w:pPr>
        <w:rPr>
          <w:rFonts w:ascii="Arial" w:hAnsi="Arial" w:cs="Arial"/>
          <w:noProof/>
          <w:sz w:val="28"/>
          <w:szCs w:val="28"/>
          <w:lang w:eastAsia="en-GB"/>
        </w:rPr>
      </w:pPr>
      <w:r w:rsidRPr="00753900">
        <w:rPr>
          <w:noProof/>
        </w:rPr>
        <w:drawing>
          <wp:inline distT="0" distB="0" distL="0" distR="0" wp14:anchorId="4C5F7DDA" wp14:editId="64BA1AF0">
            <wp:extent cx="5243195" cy="1278890"/>
            <wp:effectExtent l="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5243195" cy="1278890"/>
                    </a:xfrm>
                    <a:prstGeom prst="rect">
                      <a:avLst/>
                    </a:prstGeom>
                    <a:noFill/>
                    <a:ln>
                      <a:noFill/>
                    </a:ln>
                  </pic:spPr>
                </pic:pic>
              </a:graphicData>
            </a:graphic>
          </wp:inline>
        </w:drawing>
      </w:r>
    </w:p>
    <w:p w14:paraId="3C3F25F8" w14:textId="77777777" w:rsidR="00795BE0" w:rsidRPr="0007572B" w:rsidRDefault="00795BE0" w:rsidP="00795BE0">
      <w:pPr>
        <w:rPr>
          <w:rFonts w:ascii="Arial" w:hAnsi="Arial" w:cs="Arial"/>
          <w:b/>
          <w:sz w:val="22"/>
          <w:szCs w:val="22"/>
        </w:rPr>
      </w:pPr>
      <w:r w:rsidRPr="0007572B">
        <w:rPr>
          <w:rFonts w:ascii="Arial" w:hAnsi="Arial" w:cs="Arial"/>
          <w:b/>
          <w:sz w:val="22"/>
          <w:szCs w:val="22"/>
        </w:rPr>
        <w:br w:type="page"/>
      </w:r>
    </w:p>
    <w:p w14:paraId="5DA05E9A" w14:textId="77777777" w:rsidR="00795BE0" w:rsidRPr="0007572B" w:rsidRDefault="00795BE0" w:rsidP="00795BE0">
      <w:pPr>
        <w:pStyle w:val="Heading3greennumbered"/>
      </w:pPr>
      <w:bookmarkStart w:id="308" w:name="_Toc92894946"/>
      <w:bookmarkStart w:id="309" w:name="_Toc92895250"/>
      <w:bookmarkStart w:id="310" w:name="_Toc109922684"/>
      <w:r w:rsidRPr="0007572B">
        <w:t>52 Group Short and Long Term Provisions</w:t>
      </w:r>
      <w:bookmarkEnd w:id="308"/>
      <w:bookmarkEnd w:id="309"/>
      <w:bookmarkEnd w:id="310"/>
    </w:p>
    <w:p w14:paraId="6C5A2D08" w14:textId="77777777" w:rsidR="00795BE0" w:rsidRDefault="00795BE0" w:rsidP="00795BE0">
      <w:pPr>
        <w:rPr>
          <w:rFonts w:ascii="Arial" w:hAnsi="Arial" w:cs="Arial"/>
        </w:rPr>
      </w:pPr>
    </w:p>
    <w:p w14:paraId="5A7E8C1B" w14:textId="77C299A1" w:rsidR="00795BE0" w:rsidRPr="0007572B" w:rsidRDefault="00795BE0" w:rsidP="00795BE0">
      <w:pPr>
        <w:rPr>
          <w:rFonts w:ascii="Arial" w:hAnsi="Arial" w:cs="Arial"/>
        </w:rPr>
      </w:pPr>
      <w:r w:rsidRPr="0007572B">
        <w:rPr>
          <w:rFonts w:ascii="Arial" w:hAnsi="Arial" w:cs="Arial"/>
        </w:rPr>
        <w:t>Provisions are established to meet liabilities or losses which are likely or certain to be incurred, but the amounts or timings are uncertain. Provisions provided as at 31 March 202</w:t>
      </w:r>
      <w:r>
        <w:rPr>
          <w:rFonts w:ascii="Arial" w:hAnsi="Arial" w:cs="Arial"/>
        </w:rPr>
        <w:t>2</w:t>
      </w:r>
      <w:r w:rsidRPr="0007572B">
        <w:rPr>
          <w:rFonts w:ascii="Arial" w:hAnsi="Arial" w:cs="Arial"/>
        </w:rPr>
        <w:t xml:space="preserve"> relate to (a) capital works, (b) insurance excesses,</w:t>
      </w:r>
      <w:r w:rsidR="00EF116E">
        <w:rPr>
          <w:rFonts w:ascii="Arial" w:hAnsi="Arial" w:cs="Arial"/>
        </w:rPr>
        <w:t xml:space="preserve"> </w:t>
      </w:r>
      <w:r w:rsidR="00B54132">
        <w:rPr>
          <w:rFonts w:ascii="Arial" w:hAnsi="Arial" w:cs="Arial"/>
        </w:rPr>
        <w:t xml:space="preserve">(c) </w:t>
      </w:r>
      <w:r w:rsidRPr="0007572B">
        <w:rPr>
          <w:rFonts w:ascii="Arial" w:hAnsi="Arial" w:cs="Arial"/>
        </w:rPr>
        <w:t>an onerous lease</w:t>
      </w:r>
      <w:r w:rsidR="00EF116E">
        <w:rPr>
          <w:rFonts w:ascii="Arial" w:hAnsi="Arial" w:cs="Arial"/>
        </w:rPr>
        <w:t xml:space="preserve"> and (d) landcare provision</w:t>
      </w:r>
      <w:r w:rsidRPr="0007572B">
        <w:rPr>
          <w:rFonts w:ascii="Arial" w:hAnsi="Arial" w:cs="Arial"/>
        </w:rPr>
        <w:t>.</w:t>
      </w:r>
    </w:p>
    <w:p w14:paraId="43D1DFEB" w14:textId="77777777" w:rsidR="00795BE0" w:rsidRPr="0007572B" w:rsidRDefault="00795BE0" w:rsidP="00795BE0">
      <w:pPr>
        <w:rPr>
          <w:rFonts w:ascii="Arial" w:hAnsi="Arial" w:cs="Arial"/>
          <w:b/>
        </w:rPr>
      </w:pPr>
    </w:p>
    <w:p w14:paraId="65881ABA" w14:textId="7E84E39D" w:rsidR="00795BE0" w:rsidRDefault="00E66BDC" w:rsidP="00795BE0">
      <w:pPr>
        <w:rPr>
          <w:rFonts w:ascii="Arial" w:hAnsi="Arial" w:cs="Arial"/>
          <w:b/>
        </w:rPr>
      </w:pPr>
      <w:r w:rsidRPr="00E66BDC">
        <w:rPr>
          <w:rFonts w:ascii="Arial" w:hAnsi="Arial" w:cs="Arial"/>
          <w:b/>
        </w:rPr>
        <w:t xml:space="preserve"> </w:t>
      </w:r>
      <w:r w:rsidRPr="00E66BDC">
        <w:rPr>
          <w:noProof/>
        </w:rPr>
        <w:drawing>
          <wp:inline distT="0" distB="0" distL="0" distR="0" wp14:anchorId="205F0BEB" wp14:editId="4D3EF00D">
            <wp:extent cx="5975350" cy="3175635"/>
            <wp:effectExtent l="0" t="0" r="6350" b="5715"/>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5975350" cy="3175635"/>
                    </a:xfrm>
                    <a:prstGeom prst="rect">
                      <a:avLst/>
                    </a:prstGeom>
                    <a:noFill/>
                    <a:ln>
                      <a:noFill/>
                    </a:ln>
                  </pic:spPr>
                </pic:pic>
              </a:graphicData>
            </a:graphic>
          </wp:inline>
        </w:drawing>
      </w:r>
    </w:p>
    <w:p w14:paraId="3176420A" w14:textId="77777777" w:rsidR="00795BE0" w:rsidRPr="0007572B" w:rsidRDefault="00795BE0" w:rsidP="00795BE0">
      <w:pPr>
        <w:jc w:val="both"/>
        <w:rPr>
          <w:rFonts w:ascii="Arial" w:hAnsi="Arial" w:cs="Arial"/>
          <w:b/>
          <w:u w:val="single"/>
          <w:lang w:eastAsia="en-GB"/>
        </w:rPr>
      </w:pPr>
    </w:p>
    <w:p w14:paraId="20D045C3" w14:textId="77777777" w:rsidR="00795BE0" w:rsidRDefault="00795BE0" w:rsidP="00DF4603">
      <w:pPr>
        <w:pStyle w:val="ListParagraph"/>
        <w:numPr>
          <w:ilvl w:val="0"/>
          <w:numId w:val="83"/>
        </w:numPr>
        <w:spacing w:after="0" w:line="240" w:lineRule="auto"/>
        <w:rPr>
          <w:rFonts w:ascii="Arial" w:hAnsi="Arial" w:cs="Arial"/>
          <w:sz w:val="24"/>
          <w:szCs w:val="24"/>
        </w:rPr>
      </w:pPr>
      <w:bookmarkStart w:id="311" w:name="_Hlk107235867"/>
      <w:r>
        <w:rPr>
          <w:rFonts w:ascii="Arial" w:hAnsi="Arial" w:cs="Arial"/>
          <w:sz w:val="24"/>
          <w:szCs w:val="24"/>
        </w:rPr>
        <w:t xml:space="preserve">Capital Works - </w:t>
      </w:r>
      <w:r w:rsidRPr="000A2EDF">
        <w:rPr>
          <w:rFonts w:ascii="Arial" w:hAnsi="Arial" w:cs="Arial"/>
          <w:sz w:val="24"/>
          <w:szCs w:val="24"/>
        </w:rPr>
        <w:t>Costs for works arising for land acquired</w:t>
      </w:r>
      <w:r w:rsidRPr="000A2EDF" w:rsidDel="001F1EF1">
        <w:rPr>
          <w:rFonts w:ascii="Arial" w:hAnsi="Arial" w:cs="Arial"/>
          <w:sz w:val="24"/>
          <w:szCs w:val="24"/>
        </w:rPr>
        <w:t xml:space="preserve"> </w:t>
      </w:r>
      <w:r w:rsidRPr="000A2EDF">
        <w:rPr>
          <w:rFonts w:ascii="Arial" w:hAnsi="Arial" w:cs="Arial"/>
          <w:sz w:val="24"/>
          <w:szCs w:val="24"/>
        </w:rPr>
        <w:t>in the ordinary course of delivering TfGM’s capital programme, where the amount of payment is uncertain</w:t>
      </w:r>
    </w:p>
    <w:p w14:paraId="7111124B" w14:textId="77777777" w:rsidR="00795BE0" w:rsidRDefault="00795BE0" w:rsidP="00795BE0">
      <w:pPr>
        <w:pStyle w:val="ListParagraph"/>
        <w:spacing w:after="0" w:line="240" w:lineRule="auto"/>
        <w:rPr>
          <w:rFonts w:ascii="Arial" w:hAnsi="Arial" w:cs="Arial"/>
          <w:sz w:val="24"/>
          <w:szCs w:val="24"/>
        </w:rPr>
      </w:pPr>
    </w:p>
    <w:p w14:paraId="36F7B9E3" w14:textId="77777777" w:rsidR="00795BE0" w:rsidRDefault="00795BE0" w:rsidP="00DF4603">
      <w:pPr>
        <w:pStyle w:val="ListParagraph"/>
        <w:numPr>
          <w:ilvl w:val="0"/>
          <w:numId w:val="83"/>
        </w:numPr>
        <w:spacing w:after="0" w:line="240" w:lineRule="auto"/>
        <w:rPr>
          <w:rFonts w:ascii="Arial" w:hAnsi="Arial" w:cs="Arial"/>
          <w:sz w:val="24"/>
          <w:szCs w:val="24"/>
        </w:rPr>
      </w:pPr>
      <w:r>
        <w:rPr>
          <w:rFonts w:ascii="Arial" w:hAnsi="Arial" w:cs="Arial"/>
          <w:sz w:val="24"/>
          <w:szCs w:val="24"/>
        </w:rPr>
        <w:t xml:space="preserve">Insurance Excess - </w:t>
      </w:r>
      <w:r w:rsidRPr="00E5256C">
        <w:rPr>
          <w:rFonts w:ascii="Arial" w:hAnsi="Arial" w:cs="Arial"/>
          <w:sz w:val="24"/>
          <w:szCs w:val="24"/>
        </w:rPr>
        <w:t>Excesses on Public Liability claims, arising from minor accidents to the public, and Employers Liability claims for work related illnesses that were potentially incurred prior to the transfer of TfGM’s bus operations following the implementation of the Transport Act 1985</w:t>
      </w:r>
    </w:p>
    <w:p w14:paraId="58A31001" w14:textId="77777777" w:rsidR="00795BE0" w:rsidRPr="00E5256C" w:rsidRDefault="00795BE0" w:rsidP="00795BE0">
      <w:pPr>
        <w:pStyle w:val="ListParagraph"/>
        <w:rPr>
          <w:rFonts w:ascii="Arial" w:hAnsi="Arial" w:cs="Arial"/>
          <w:sz w:val="24"/>
          <w:szCs w:val="24"/>
        </w:rPr>
      </w:pPr>
    </w:p>
    <w:p w14:paraId="02A9EEB4" w14:textId="5200F454" w:rsidR="00795BE0" w:rsidRDefault="00795BE0" w:rsidP="00DF4603">
      <w:pPr>
        <w:pStyle w:val="ListParagraph"/>
        <w:numPr>
          <w:ilvl w:val="0"/>
          <w:numId w:val="83"/>
        </w:numPr>
        <w:spacing w:after="0" w:line="240" w:lineRule="auto"/>
        <w:rPr>
          <w:rFonts w:ascii="Arial" w:hAnsi="Arial" w:cs="Arial"/>
          <w:sz w:val="24"/>
          <w:szCs w:val="24"/>
        </w:rPr>
      </w:pPr>
      <w:r w:rsidRPr="00E5256C">
        <w:rPr>
          <w:rFonts w:ascii="Arial" w:hAnsi="Arial" w:cs="Arial"/>
          <w:sz w:val="24"/>
          <w:szCs w:val="24"/>
        </w:rPr>
        <w:t>Onerous lease</w:t>
      </w:r>
      <w:r>
        <w:rPr>
          <w:rFonts w:ascii="Arial" w:hAnsi="Arial" w:cs="Arial"/>
          <w:sz w:val="24"/>
          <w:szCs w:val="24"/>
        </w:rPr>
        <w:t xml:space="preserve"> -</w:t>
      </w:r>
      <w:r w:rsidRPr="00E5256C">
        <w:rPr>
          <w:rFonts w:ascii="Arial" w:hAnsi="Arial" w:cs="Arial"/>
          <w:sz w:val="24"/>
          <w:szCs w:val="24"/>
        </w:rPr>
        <w:t xml:space="preserve"> Future lease costs of a property held on a long</w:t>
      </w:r>
      <w:r>
        <w:rPr>
          <w:rFonts w:ascii="Arial" w:hAnsi="Arial" w:cs="Arial"/>
          <w:sz w:val="24"/>
          <w:szCs w:val="24"/>
        </w:rPr>
        <w:t>-</w:t>
      </w:r>
      <w:r w:rsidRPr="00E5256C">
        <w:rPr>
          <w:rFonts w:ascii="Arial" w:hAnsi="Arial" w:cs="Arial"/>
          <w:sz w:val="24"/>
          <w:szCs w:val="24"/>
        </w:rPr>
        <w:t>term lease by TfGM</w:t>
      </w:r>
    </w:p>
    <w:p w14:paraId="3B0ECE8C" w14:textId="77777777" w:rsidR="00EF116E" w:rsidRPr="00EF116E" w:rsidRDefault="00EF116E" w:rsidP="00EF116E">
      <w:pPr>
        <w:pStyle w:val="ListParagraph"/>
        <w:rPr>
          <w:rFonts w:ascii="Arial" w:hAnsi="Arial" w:cs="Arial"/>
          <w:sz w:val="24"/>
          <w:szCs w:val="24"/>
        </w:rPr>
      </w:pPr>
    </w:p>
    <w:p w14:paraId="3F6C421F" w14:textId="115CF6A4" w:rsidR="00EF116E" w:rsidRDefault="00EF116E" w:rsidP="00EF116E">
      <w:pPr>
        <w:pStyle w:val="ListParagraph"/>
        <w:numPr>
          <w:ilvl w:val="0"/>
          <w:numId w:val="83"/>
        </w:numPr>
        <w:spacing w:after="0" w:line="240" w:lineRule="auto"/>
        <w:rPr>
          <w:rFonts w:ascii="Arial" w:hAnsi="Arial" w:cs="Arial"/>
          <w:sz w:val="24"/>
          <w:szCs w:val="24"/>
        </w:rPr>
      </w:pPr>
      <w:r w:rsidRPr="00271082">
        <w:rPr>
          <w:rFonts w:ascii="Arial" w:hAnsi="Arial" w:cs="Arial"/>
          <w:sz w:val="24"/>
          <w:szCs w:val="24"/>
        </w:rPr>
        <w:t>Landcare Provision - The GMWDA sold 18 sites to the private sector (Landcare (Manchester) Limited) in December 2012 in return for agreeing a fixed ten year contribution less potential income from part of any enhanced value (overage) from future development of the sites. The Landcare provision represents the maximum amounts that GMCA would have to pay each year, however as there is an overage clause if Landcare were to make money from one of the sites transferred to them, there is a mechanism to reduce the annual payment.</w:t>
      </w:r>
    </w:p>
    <w:p w14:paraId="33D7E3A9" w14:textId="77777777" w:rsidR="0062785B" w:rsidRPr="0062785B" w:rsidRDefault="0062785B" w:rsidP="0062785B">
      <w:pPr>
        <w:pStyle w:val="ListParagraph"/>
        <w:rPr>
          <w:rFonts w:ascii="Arial" w:hAnsi="Arial" w:cs="Arial"/>
          <w:sz w:val="24"/>
          <w:szCs w:val="24"/>
        </w:rPr>
      </w:pPr>
    </w:p>
    <w:p w14:paraId="366EADBF" w14:textId="7AD552F2" w:rsidR="0062785B" w:rsidRDefault="0062785B" w:rsidP="0062785B">
      <w:pPr>
        <w:pStyle w:val="ListParagraph"/>
        <w:spacing w:after="0" w:line="240" w:lineRule="auto"/>
        <w:rPr>
          <w:rFonts w:ascii="Arial" w:hAnsi="Arial" w:cs="Arial"/>
          <w:sz w:val="24"/>
          <w:szCs w:val="24"/>
        </w:rPr>
      </w:pPr>
    </w:p>
    <w:p w14:paraId="64DC03B3" w14:textId="58562F64" w:rsidR="0062785B" w:rsidRDefault="0062785B" w:rsidP="0062785B">
      <w:pPr>
        <w:pStyle w:val="ListParagraph"/>
        <w:spacing w:after="0" w:line="240" w:lineRule="auto"/>
        <w:rPr>
          <w:rFonts w:ascii="Arial" w:hAnsi="Arial" w:cs="Arial"/>
          <w:sz w:val="24"/>
          <w:szCs w:val="24"/>
        </w:rPr>
      </w:pPr>
    </w:p>
    <w:p w14:paraId="7D65033D" w14:textId="2AC887EF" w:rsidR="0062785B" w:rsidRDefault="0062785B" w:rsidP="0062785B">
      <w:pPr>
        <w:pStyle w:val="ListParagraph"/>
        <w:spacing w:after="0" w:line="240" w:lineRule="auto"/>
        <w:rPr>
          <w:rFonts w:ascii="Arial" w:hAnsi="Arial" w:cs="Arial"/>
          <w:sz w:val="24"/>
          <w:szCs w:val="24"/>
        </w:rPr>
      </w:pPr>
    </w:p>
    <w:p w14:paraId="6A13A939" w14:textId="77777777" w:rsidR="0062785B" w:rsidRDefault="0062785B" w:rsidP="0062785B">
      <w:pPr>
        <w:pStyle w:val="ListParagraph"/>
        <w:spacing w:after="0" w:line="240" w:lineRule="auto"/>
        <w:rPr>
          <w:rFonts w:ascii="Arial" w:hAnsi="Arial" w:cs="Arial"/>
          <w:sz w:val="24"/>
          <w:szCs w:val="24"/>
        </w:rPr>
      </w:pPr>
    </w:p>
    <w:bookmarkEnd w:id="311"/>
    <w:p w14:paraId="57568625" w14:textId="77777777" w:rsidR="00795BE0" w:rsidRPr="0007572B" w:rsidRDefault="00795BE0" w:rsidP="00795BE0">
      <w:pPr>
        <w:jc w:val="both"/>
        <w:rPr>
          <w:rFonts w:ascii="Arial" w:hAnsi="Arial" w:cs="Arial"/>
          <w:b/>
          <w:sz w:val="22"/>
          <w:szCs w:val="22"/>
        </w:rPr>
      </w:pPr>
    </w:p>
    <w:p w14:paraId="2D6514C8" w14:textId="77777777" w:rsidR="00795BE0" w:rsidRPr="0007572B" w:rsidRDefault="00795BE0" w:rsidP="00795BE0">
      <w:pPr>
        <w:pStyle w:val="Heading3greennumbered"/>
      </w:pPr>
      <w:bookmarkStart w:id="312" w:name="_Toc92894947"/>
      <w:bookmarkStart w:id="313" w:name="_Toc92895251"/>
      <w:bookmarkStart w:id="314" w:name="_Toc109922685"/>
      <w:r w:rsidRPr="0007572B">
        <w:t>53 Group Unusable Reserves</w:t>
      </w:r>
      <w:bookmarkEnd w:id="312"/>
      <w:bookmarkEnd w:id="313"/>
      <w:bookmarkEnd w:id="314"/>
    </w:p>
    <w:p w14:paraId="19DB003F" w14:textId="77777777" w:rsidR="00795BE0" w:rsidRPr="0007572B" w:rsidRDefault="00795BE0" w:rsidP="00795BE0">
      <w:pPr>
        <w:rPr>
          <w:rFonts w:ascii="Arial" w:hAnsi="Arial" w:cs="Arial"/>
          <w:b/>
        </w:rPr>
      </w:pPr>
    </w:p>
    <w:p w14:paraId="01A51E39" w14:textId="6E315266" w:rsidR="00795BE0" w:rsidRPr="0007572B" w:rsidRDefault="00E66BDC" w:rsidP="00795BE0">
      <w:pPr>
        <w:rPr>
          <w:rFonts w:ascii="Arial" w:hAnsi="Arial" w:cs="Arial"/>
        </w:rPr>
      </w:pPr>
      <w:r w:rsidRPr="00E66BDC">
        <w:rPr>
          <w:noProof/>
        </w:rPr>
        <w:drawing>
          <wp:inline distT="0" distB="0" distL="0" distR="0" wp14:anchorId="12066007" wp14:editId="27E3EE15">
            <wp:extent cx="5544185" cy="1672590"/>
            <wp:effectExtent l="0" t="0" r="0" b="381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5544185" cy="1672590"/>
                    </a:xfrm>
                    <a:prstGeom prst="rect">
                      <a:avLst/>
                    </a:prstGeom>
                    <a:noFill/>
                    <a:ln>
                      <a:noFill/>
                    </a:ln>
                  </pic:spPr>
                </pic:pic>
              </a:graphicData>
            </a:graphic>
          </wp:inline>
        </w:drawing>
      </w:r>
    </w:p>
    <w:p w14:paraId="36852010" w14:textId="77777777" w:rsidR="00795BE0" w:rsidRPr="0007572B" w:rsidRDefault="00795BE0" w:rsidP="00795BE0">
      <w:pPr>
        <w:rPr>
          <w:rFonts w:ascii="Arial" w:hAnsi="Arial" w:cs="Arial"/>
          <w:b/>
        </w:rPr>
      </w:pPr>
    </w:p>
    <w:p w14:paraId="2904F441" w14:textId="75330ACA" w:rsidR="00795BE0" w:rsidRPr="0007572B" w:rsidRDefault="00795BE0" w:rsidP="00795BE0">
      <w:pPr>
        <w:rPr>
          <w:rFonts w:ascii="Arial" w:hAnsi="Arial" w:cs="Arial"/>
          <w:b/>
          <w:sz w:val="22"/>
          <w:szCs w:val="22"/>
        </w:rPr>
      </w:pPr>
    </w:p>
    <w:p w14:paraId="3E1B3994" w14:textId="77777777" w:rsidR="00795BE0" w:rsidRPr="0007572B" w:rsidRDefault="00795BE0" w:rsidP="00795BE0">
      <w:pPr>
        <w:pStyle w:val="Heading4bold"/>
      </w:pPr>
      <w:r w:rsidRPr="0007572B">
        <w:t>Capital Adjustment Account</w:t>
      </w:r>
    </w:p>
    <w:p w14:paraId="357CC60C" w14:textId="77777777" w:rsidR="00795BE0" w:rsidRPr="0007572B" w:rsidRDefault="00795BE0" w:rsidP="00795BE0">
      <w:pPr>
        <w:rPr>
          <w:rFonts w:ascii="Arial" w:hAnsi="Arial" w:cs="Arial"/>
        </w:rPr>
      </w:pPr>
      <w:r w:rsidRPr="0007572B">
        <w:rPr>
          <w:rFonts w:ascii="Arial" w:hAnsi="Arial" w:cs="Arial"/>
        </w:rPr>
        <w:t>The Capital Adjustment Account absorbs the timing differences arising from the different arrangements for accounting for the consumption of non-current assets and for financing the acquisition, construction or enhancement of those assets under statutory provisions.</w:t>
      </w:r>
    </w:p>
    <w:p w14:paraId="0EC687B0" w14:textId="77777777" w:rsidR="00795BE0" w:rsidRPr="0007572B" w:rsidRDefault="00795BE0" w:rsidP="00795BE0">
      <w:pPr>
        <w:rPr>
          <w:rFonts w:ascii="Arial" w:hAnsi="Arial" w:cs="Arial"/>
        </w:rPr>
      </w:pPr>
    </w:p>
    <w:p w14:paraId="71502FCB" w14:textId="4497022D" w:rsidR="00795BE0" w:rsidRPr="0007572B" w:rsidRDefault="00E66BDC" w:rsidP="00795BE0">
      <w:pPr>
        <w:tabs>
          <w:tab w:val="left" w:pos="2977"/>
        </w:tabs>
        <w:rPr>
          <w:rFonts w:ascii="Arial" w:hAnsi="Arial" w:cs="Arial"/>
        </w:rPr>
      </w:pPr>
      <w:r w:rsidRPr="00E66BDC">
        <w:rPr>
          <w:rFonts w:ascii="Arial" w:hAnsi="Arial" w:cs="Arial"/>
        </w:rPr>
        <w:t xml:space="preserve"> </w:t>
      </w:r>
      <w:r w:rsidRPr="00E66BDC">
        <w:rPr>
          <w:noProof/>
        </w:rPr>
        <w:drawing>
          <wp:inline distT="0" distB="0" distL="0" distR="0" wp14:anchorId="34085BEF" wp14:editId="01A74A5A">
            <wp:extent cx="5975350" cy="2982595"/>
            <wp:effectExtent l="0" t="0" r="6350" b="8255"/>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5975350" cy="2982595"/>
                    </a:xfrm>
                    <a:prstGeom prst="rect">
                      <a:avLst/>
                    </a:prstGeom>
                    <a:noFill/>
                    <a:ln>
                      <a:noFill/>
                    </a:ln>
                  </pic:spPr>
                </pic:pic>
              </a:graphicData>
            </a:graphic>
          </wp:inline>
        </w:drawing>
      </w:r>
    </w:p>
    <w:p w14:paraId="2C467C2D" w14:textId="77777777" w:rsidR="00795BE0" w:rsidRPr="0007572B" w:rsidRDefault="00795BE0" w:rsidP="00795BE0">
      <w:pPr>
        <w:rPr>
          <w:rFonts w:ascii="Arial" w:hAnsi="Arial" w:cs="Arial"/>
          <w:b/>
        </w:rPr>
      </w:pPr>
    </w:p>
    <w:p w14:paraId="2716A6E3" w14:textId="77777777" w:rsidR="00795BE0" w:rsidRPr="0007572B" w:rsidRDefault="00795BE0" w:rsidP="00795BE0">
      <w:pPr>
        <w:pStyle w:val="Heading4bold"/>
      </w:pPr>
      <w:r w:rsidRPr="0007572B">
        <w:t>Pensions Reserve</w:t>
      </w:r>
    </w:p>
    <w:p w14:paraId="2B0D1275" w14:textId="77777777" w:rsidR="00795BE0" w:rsidRPr="0007572B" w:rsidRDefault="00795BE0" w:rsidP="00795BE0">
      <w:pPr>
        <w:rPr>
          <w:rFonts w:ascii="Arial" w:hAnsi="Arial" w:cs="Arial"/>
        </w:rPr>
      </w:pPr>
      <w:r w:rsidRPr="0007572B">
        <w:rPr>
          <w:rFonts w:ascii="Arial" w:hAnsi="Arial" w:cs="Arial"/>
        </w:rPr>
        <w:t>This relates to the net pension asset as at 31 March 202</w:t>
      </w:r>
      <w:r>
        <w:rPr>
          <w:rFonts w:ascii="Arial" w:hAnsi="Arial" w:cs="Arial"/>
        </w:rPr>
        <w:t>2</w:t>
      </w:r>
      <w:r w:rsidRPr="0007572B">
        <w:rPr>
          <w:rFonts w:ascii="Arial" w:hAnsi="Arial" w:cs="Arial"/>
        </w:rPr>
        <w:t xml:space="preserve"> in accordance with the actuary's report. Further details are shown in note 60.</w:t>
      </w:r>
    </w:p>
    <w:p w14:paraId="2F89CAA0" w14:textId="77777777" w:rsidR="00795BE0" w:rsidRPr="0007572B" w:rsidRDefault="00795BE0" w:rsidP="00795BE0">
      <w:pPr>
        <w:rPr>
          <w:rFonts w:ascii="Arial" w:hAnsi="Arial" w:cs="Arial"/>
          <w:b/>
        </w:rPr>
      </w:pPr>
    </w:p>
    <w:p w14:paraId="542F37D6" w14:textId="3CAE73C9" w:rsidR="00795BE0" w:rsidRPr="0007572B" w:rsidRDefault="00CF44E1" w:rsidP="00795BE0">
      <w:pPr>
        <w:rPr>
          <w:rFonts w:ascii="Arial" w:hAnsi="Arial" w:cs="Arial"/>
          <w:b/>
        </w:rPr>
      </w:pPr>
      <w:r w:rsidRPr="00CF44E1">
        <w:rPr>
          <w:noProof/>
        </w:rPr>
        <w:drawing>
          <wp:inline distT="0" distB="0" distL="0" distR="0" wp14:anchorId="3F7712F8" wp14:editId="6352B9A9">
            <wp:extent cx="5975350" cy="1173480"/>
            <wp:effectExtent l="0" t="0" r="6350" b="762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5975350" cy="1173480"/>
                    </a:xfrm>
                    <a:prstGeom prst="rect">
                      <a:avLst/>
                    </a:prstGeom>
                    <a:noFill/>
                    <a:ln>
                      <a:noFill/>
                    </a:ln>
                  </pic:spPr>
                </pic:pic>
              </a:graphicData>
            </a:graphic>
          </wp:inline>
        </w:drawing>
      </w:r>
    </w:p>
    <w:p w14:paraId="327DF32C" w14:textId="77777777" w:rsidR="00795BE0" w:rsidRPr="0007572B" w:rsidRDefault="00795BE0" w:rsidP="00795BE0">
      <w:pPr>
        <w:rPr>
          <w:rFonts w:ascii="Arial" w:hAnsi="Arial" w:cs="Arial"/>
          <w:b/>
        </w:rPr>
      </w:pPr>
    </w:p>
    <w:p w14:paraId="24E69E13" w14:textId="77777777" w:rsidR="00795BE0" w:rsidRPr="0007572B" w:rsidRDefault="00795BE0" w:rsidP="00795BE0">
      <w:pPr>
        <w:rPr>
          <w:rFonts w:ascii="Arial" w:hAnsi="Arial" w:cs="Arial"/>
          <w:b/>
          <w:sz w:val="22"/>
          <w:szCs w:val="22"/>
        </w:rPr>
      </w:pPr>
      <w:r w:rsidRPr="0007572B">
        <w:rPr>
          <w:rFonts w:ascii="Arial" w:hAnsi="Arial" w:cs="Arial"/>
          <w:b/>
          <w:sz w:val="22"/>
          <w:szCs w:val="22"/>
        </w:rPr>
        <w:br w:type="page"/>
      </w:r>
    </w:p>
    <w:p w14:paraId="3E4B167E" w14:textId="77777777" w:rsidR="00795BE0" w:rsidRPr="0007572B" w:rsidRDefault="00795BE0" w:rsidP="00795BE0">
      <w:pPr>
        <w:pStyle w:val="Heading4bold"/>
      </w:pPr>
      <w:r w:rsidRPr="0007572B">
        <w:t>Revaluation Reserve</w:t>
      </w:r>
    </w:p>
    <w:p w14:paraId="6F90D755" w14:textId="3B818A98" w:rsidR="00795BE0" w:rsidRPr="0007572B" w:rsidRDefault="00CF44E1" w:rsidP="00795BE0">
      <w:pPr>
        <w:rPr>
          <w:rFonts w:ascii="Arial" w:hAnsi="Arial" w:cs="Arial"/>
        </w:rPr>
      </w:pPr>
      <w:r w:rsidRPr="00CF44E1">
        <w:rPr>
          <w:noProof/>
        </w:rPr>
        <w:drawing>
          <wp:inline distT="0" distB="0" distL="0" distR="0" wp14:anchorId="2B5EE1B5" wp14:editId="16FE5DEF">
            <wp:extent cx="5975350" cy="2051050"/>
            <wp:effectExtent l="0" t="0" r="6350" b="635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5975350" cy="2051050"/>
                    </a:xfrm>
                    <a:prstGeom prst="rect">
                      <a:avLst/>
                    </a:prstGeom>
                    <a:noFill/>
                    <a:ln>
                      <a:noFill/>
                    </a:ln>
                  </pic:spPr>
                </pic:pic>
              </a:graphicData>
            </a:graphic>
          </wp:inline>
        </w:drawing>
      </w:r>
    </w:p>
    <w:p w14:paraId="22A1C13B" w14:textId="53EA84B5" w:rsidR="00795BE0" w:rsidRDefault="00795BE0" w:rsidP="00795BE0">
      <w:pPr>
        <w:rPr>
          <w:rFonts w:ascii="Arial" w:hAnsi="Arial" w:cs="Arial"/>
          <w:b/>
        </w:rPr>
      </w:pPr>
    </w:p>
    <w:p w14:paraId="66F1EECA" w14:textId="77777777" w:rsidR="00A04862" w:rsidRPr="0007572B" w:rsidRDefault="00A04862" w:rsidP="00795BE0">
      <w:pPr>
        <w:rPr>
          <w:rFonts w:ascii="Arial" w:hAnsi="Arial" w:cs="Arial"/>
          <w:b/>
        </w:rPr>
      </w:pPr>
    </w:p>
    <w:p w14:paraId="327EB6E5" w14:textId="77777777" w:rsidR="00795BE0" w:rsidRPr="0007572B" w:rsidRDefault="00795BE0" w:rsidP="00795BE0">
      <w:pPr>
        <w:pStyle w:val="Heading4bold"/>
      </w:pPr>
      <w:r w:rsidRPr="0007572B">
        <w:t>Accumulated Absences Reserve</w:t>
      </w:r>
    </w:p>
    <w:p w14:paraId="423B4D74" w14:textId="29FE168C" w:rsidR="00795BE0" w:rsidRPr="0007572B" w:rsidRDefault="00A04862" w:rsidP="00795BE0">
      <w:pPr>
        <w:rPr>
          <w:rFonts w:ascii="Arial" w:hAnsi="Arial" w:cs="Arial"/>
          <w:b/>
        </w:rPr>
      </w:pPr>
      <w:r w:rsidRPr="00A04862">
        <w:rPr>
          <w:noProof/>
        </w:rPr>
        <w:drawing>
          <wp:inline distT="0" distB="0" distL="0" distR="0" wp14:anchorId="41D8934E" wp14:editId="54BE7793">
            <wp:extent cx="5934075" cy="15621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5934075" cy="1562100"/>
                    </a:xfrm>
                    <a:prstGeom prst="rect">
                      <a:avLst/>
                    </a:prstGeom>
                    <a:noFill/>
                    <a:ln>
                      <a:noFill/>
                    </a:ln>
                  </pic:spPr>
                </pic:pic>
              </a:graphicData>
            </a:graphic>
          </wp:inline>
        </w:drawing>
      </w:r>
    </w:p>
    <w:p w14:paraId="781721F2" w14:textId="5C464EF9" w:rsidR="00795BE0" w:rsidRPr="0007572B" w:rsidRDefault="00795BE0" w:rsidP="00795BE0">
      <w:pPr>
        <w:rPr>
          <w:rFonts w:ascii="Arial" w:hAnsi="Arial" w:cs="Arial"/>
          <w:b/>
        </w:rPr>
      </w:pPr>
    </w:p>
    <w:p w14:paraId="2A7E33B5" w14:textId="77777777" w:rsidR="00795BE0" w:rsidRPr="0007572B" w:rsidRDefault="00795BE0" w:rsidP="00795BE0">
      <w:pPr>
        <w:rPr>
          <w:rFonts w:ascii="Arial" w:hAnsi="Arial" w:cs="Arial"/>
          <w:b/>
        </w:rPr>
      </w:pPr>
    </w:p>
    <w:p w14:paraId="469264B8" w14:textId="77777777" w:rsidR="00795BE0" w:rsidRPr="0007572B" w:rsidRDefault="00795BE0" w:rsidP="00795BE0">
      <w:pPr>
        <w:pStyle w:val="Heading4bold"/>
      </w:pPr>
      <w:r w:rsidRPr="0007572B">
        <w:t>Deregulation Reserve</w:t>
      </w:r>
    </w:p>
    <w:p w14:paraId="792EC8FF" w14:textId="77777777" w:rsidR="00795BE0" w:rsidRPr="0007572B" w:rsidRDefault="00795BE0" w:rsidP="00795BE0">
      <w:pPr>
        <w:rPr>
          <w:rFonts w:ascii="Arial" w:hAnsi="Arial" w:cs="Arial"/>
        </w:rPr>
      </w:pPr>
      <w:r w:rsidRPr="0007572B">
        <w:rPr>
          <w:rFonts w:ascii="Arial" w:hAnsi="Arial" w:cs="Arial"/>
        </w:rPr>
        <w:t>The Deregulation Reserve represents payments and losses incurred by TfGM with respect to deregulation on 25 October 1986, which were not charged to profit and loss.</w:t>
      </w:r>
    </w:p>
    <w:p w14:paraId="12E1DCE5" w14:textId="77777777" w:rsidR="00795BE0" w:rsidRPr="0007572B" w:rsidRDefault="00795BE0" w:rsidP="00795BE0">
      <w:pPr>
        <w:rPr>
          <w:rFonts w:ascii="Arial" w:hAnsi="Arial" w:cs="Arial"/>
          <w:b/>
        </w:rPr>
      </w:pPr>
    </w:p>
    <w:p w14:paraId="7DE3F336" w14:textId="4AA4F80E" w:rsidR="00795BE0" w:rsidRPr="0007572B" w:rsidRDefault="00CF44E1" w:rsidP="00795BE0">
      <w:pPr>
        <w:rPr>
          <w:rFonts w:ascii="Arial" w:hAnsi="Arial" w:cs="Arial"/>
          <w:b/>
        </w:rPr>
      </w:pPr>
      <w:r w:rsidRPr="00CF44E1">
        <w:rPr>
          <w:noProof/>
        </w:rPr>
        <w:drawing>
          <wp:inline distT="0" distB="0" distL="0" distR="0" wp14:anchorId="5ACB43D2" wp14:editId="577D1688">
            <wp:extent cx="5326270" cy="682907"/>
            <wp:effectExtent l="0" t="0" r="9525" b="3175"/>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5326270" cy="682907"/>
                    </a:xfrm>
                    <a:prstGeom prst="rect">
                      <a:avLst/>
                    </a:prstGeom>
                    <a:noFill/>
                    <a:ln>
                      <a:noFill/>
                    </a:ln>
                  </pic:spPr>
                </pic:pic>
              </a:graphicData>
            </a:graphic>
          </wp:inline>
        </w:drawing>
      </w:r>
    </w:p>
    <w:p w14:paraId="2CF65D66" w14:textId="77777777" w:rsidR="00795BE0" w:rsidRPr="0007572B" w:rsidRDefault="00795BE0" w:rsidP="00795BE0">
      <w:pPr>
        <w:rPr>
          <w:rFonts w:ascii="Arial" w:hAnsi="Arial" w:cs="Arial"/>
          <w:b/>
        </w:rPr>
      </w:pPr>
    </w:p>
    <w:p w14:paraId="0269D26C" w14:textId="77777777" w:rsidR="00795BE0" w:rsidRPr="0007572B" w:rsidRDefault="00795BE0" w:rsidP="00795BE0">
      <w:pPr>
        <w:rPr>
          <w:rFonts w:ascii="Arial" w:hAnsi="Arial" w:cs="Arial"/>
          <w:b/>
          <w:szCs w:val="28"/>
        </w:rPr>
      </w:pPr>
    </w:p>
    <w:p w14:paraId="30BA2DD6" w14:textId="77777777" w:rsidR="00795BE0" w:rsidRPr="0007572B" w:rsidRDefault="00795BE0" w:rsidP="00795BE0">
      <w:pPr>
        <w:rPr>
          <w:rFonts w:ascii="Arial" w:hAnsi="Arial" w:cs="Arial"/>
          <w:b/>
          <w:sz w:val="22"/>
          <w:szCs w:val="22"/>
        </w:rPr>
      </w:pPr>
      <w:r w:rsidRPr="0007572B">
        <w:rPr>
          <w:rFonts w:ascii="Arial" w:hAnsi="Arial" w:cs="Arial"/>
          <w:b/>
          <w:sz w:val="22"/>
          <w:szCs w:val="22"/>
        </w:rPr>
        <w:br w:type="page"/>
      </w:r>
    </w:p>
    <w:p w14:paraId="717D31D9" w14:textId="77777777" w:rsidR="00795BE0" w:rsidRPr="0007572B" w:rsidRDefault="00795BE0" w:rsidP="00795BE0">
      <w:pPr>
        <w:pStyle w:val="Heading3greennumbered"/>
      </w:pPr>
      <w:bookmarkStart w:id="315" w:name="_Toc92894948"/>
      <w:bookmarkStart w:id="316" w:name="_Toc92895252"/>
      <w:bookmarkStart w:id="317" w:name="_Toc109922686"/>
      <w:r w:rsidRPr="0007572B">
        <w:t>5</w:t>
      </w:r>
      <w:r>
        <w:t>4</w:t>
      </w:r>
      <w:r w:rsidRPr="0007572B">
        <w:t xml:space="preserve"> Group Contingent Liabilities</w:t>
      </w:r>
      <w:bookmarkEnd w:id="315"/>
      <w:bookmarkEnd w:id="316"/>
      <w:bookmarkEnd w:id="317"/>
    </w:p>
    <w:p w14:paraId="6AEE5122" w14:textId="77777777" w:rsidR="00795BE0" w:rsidRDefault="00795BE0" w:rsidP="00795BE0">
      <w:pPr>
        <w:rPr>
          <w:rFonts w:ascii="Arial" w:hAnsi="Arial" w:cs="Arial"/>
          <w:b/>
          <w:bCs/>
        </w:rPr>
      </w:pPr>
    </w:p>
    <w:p w14:paraId="57B4D2FD" w14:textId="64B12802" w:rsidR="001C7C79" w:rsidRPr="001C7C79" w:rsidRDefault="001C7C79" w:rsidP="00795BE0">
      <w:pPr>
        <w:pStyle w:val="Heading4bold"/>
      </w:pPr>
      <w:bookmarkStart w:id="318" w:name="_Hlk109673158"/>
      <w:r w:rsidRPr="001C7C79">
        <w:t>Contingent Liabilities relating to GMP</w:t>
      </w:r>
    </w:p>
    <w:p w14:paraId="0FD44D52" w14:textId="77777777" w:rsidR="001C7C79" w:rsidRPr="001C7C79" w:rsidRDefault="001C7C79" w:rsidP="001C7C79">
      <w:pPr>
        <w:pStyle w:val="Normal0"/>
        <w:rPr>
          <w:rFonts w:ascii="Arial" w:hAnsi="Arial" w:cs="Arial"/>
          <w:sz w:val="24"/>
          <w:szCs w:val="24"/>
        </w:rPr>
      </w:pPr>
    </w:p>
    <w:p w14:paraId="53AB7691" w14:textId="7CDD7A96" w:rsidR="00795BE0" w:rsidRPr="001C7C79" w:rsidRDefault="00795BE0" w:rsidP="00795BE0">
      <w:pPr>
        <w:pStyle w:val="Heading4bold"/>
      </w:pPr>
      <w:r w:rsidRPr="001C7C79">
        <w:t>McCloud / Sargeant Compensation Claims</w:t>
      </w:r>
    </w:p>
    <w:p w14:paraId="73F08432" w14:textId="77777777" w:rsidR="00795BE0" w:rsidRPr="001C7C79" w:rsidRDefault="00795BE0" w:rsidP="00795BE0">
      <w:pPr>
        <w:rPr>
          <w:rFonts w:ascii="Arial" w:hAnsi="Arial" w:cs="Arial"/>
        </w:rPr>
      </w:pPr>
    </w:p>
    <w:p w14:paraId="0A73CA0C" w14:textId="77777777" w:rsidR="00F06E01" w:rsidRPr="001C7C79" w:rsidRDefault="00795BE0" w:rsidP="00795BE0">
      <w:pPr>
        <w:rPr>
          <w:rFonts w:ascii="Arial" w:hAnsi="Arial" w:cs="Arial"/>
        </w:rPr>
      </w:pPr>
      <w:r w:rsidRPr="001C7C79">
        <w:rPr>
          <w:rFonts w:ascii="Arial" w:hAnsi="Arial" w:cs="Arial"/>
        </w:rPr>
        <w:t>Claimants have lodged claims</w:t>
      </w:r>
      <w:r w:rsidR="00F06E01" w:rsidRPr="001C7C79">
        <w:rPr>
          <w:rFonts w:ascii="Arial" w:hAnsi="Arial" w:cs="Arial"/>
        </w:rPr>
        <w:t xml:space="preserve"> for compensation under two active sets of litigation, Aarons and Penningtons. </w:t>
      </w:r>
    </w:p>
    <w:p w14:paraId="7E5F1483" w14:textId="77777777" w:rsidR="00F06E01" w:rsidRDefault="00F06E01" w:rsidP="00795BE0">
      <w:pPr>
        <w:rPr>
          <w:rFonts w:ascii="Arial" w:hAnsi="Arial" w:cs="Arial"/>
          <w:highlight w:val="yellow"/>
        </w:rPr>
      </w:pPr>
    </w:p>
    <w:bookmarkEnd w:id="318"/>
    <w:p w14:paraId="0F8F88DD" w14:textId="1A8064F0" w:rsidR="00795BE0" w:rsidRPr="00F06E01" w:rsidRDefault="00F06E01" w:rsidP="00795BE0">
      <w:pPr>
        <w:rPr>
          <w:rFonts w:ascii="Arial" w:hAnsi="Arial" w:cs="Arial"/>
          <w:b/>
          <w:bCs/>
        </w:rPr>
      </w:pPr>
      <w:r w:rsidRPr="00F06E01">
        <w:rPr>
          <w:rFonts w:ascii="Arial" w:hAnsi="Arial" w:cs="Arial"/>
          <w:b/>
          <w:bCs/>
        </w:rPr>
        <w:t>Aarons and Ors</w:t>
      </w:r>
    </w:p>
    <w:p w14:paraId="4AAD1BA9" w14:textId="6AA3C74B" w:rsidR="00F06E01" w:rsidRDefault="00F06E01" w:rsidP="00795BE0">
      <w:pPr>
        <w:rPr>
          <w:rFonts w:ascii="Arial" w:hAnsi="Arial" w:cs="Arial"/>
        </w:rPr>
      </w:pPr>
      <w:r>
        <w:rPr>
          <w:rFonts w:ascii="Arial" w:hAnsi="Arial" w:cs="Arial"/>
        </w:rPr>
        <w:t>Government Legal Department settled the injury to feelings claims for Aaron on behalf of Chief Officers without seeking any financial contributions. Pecuniary loss claims are due to be heard by the Employment Tribunal in December 2022. The settlement of the injury to feelings for Aarons sets a helpful precedent, and therefore no liability in respect of compensation claims is recognised in these accounts.</w:t>
      </w:r>
    </w:p>
    <w:p w14:paraId="282172B9" w14:textId="263ADAF5" w:rsidR="00F06E01" w:rsidRDefault="00F06E01" w:rsidP="00795BE0">
      <w:pPr>
        <w:rPr>
          <w:rFonts w:ascii="Arial" w:hAnsi="Arial" w:cs="Arial"/>
        </w:rPr>
      </w:pPr>
    </w:p>
    <w:p w14:paraId="3AEEA1E0" w14:textId="0A6A6F8E" w:rsidR="00F06E01" w:rsidRPr="00F06E01" w:rsidRDefault="00F06E01" w:rsidP="00795BE0">
      <w:pPr>
        <w:rPr>
          <w:rFonts w:ascii="Arial" w:hAnsi="Arial" w:cs="Arial"/>
          <w:b/>
          <w:bCs/>
        </w:rPr>
      </w:pPr>
      <w:r w:rsidRPr="00F06E01">
        <w:rPr>
          <w:rFonts w:ascii="Arial" w:hAnsi="Arial" w:cs="Arial"/>
          <w:b/>
          <w:bCs/>
        </w:rPr>
        <w:t>Penningtons</w:t>
      </w:r>
    </w:p>
    <w:p w14:paraId="30465CE6" w14:textId="5DC667F2" w:rsidR="00F06E01" w:rsidRDefault="00F06E01" w:rsidP="00795BE0">
      <w:pPr>
        <w:rPr>
          <w:rFonts w:ascii="Arial" w:hAnsi="Arial" w:cs="Arial"/>
        </w:rPr>
      </w:pPr>
      <w:r>
        <w:rPr>
          <w:rFonts w:ascii="Arial" w:hAnsi="Arial" w:cs="Arial"/>
        </w:rPr>
        <w:t>As at 31 March 2022, it is not possible to reliably estimate the extent or likelihood of these claims being successful, and therefore no liability in respect of compensation claim</w:t>
      </w:r>
      <w:r w:rsidR="001C7C79">
        <w:rPr>
          <w:rFonts w:ascii="Arial" w:hAnsi="Arial" w:cs="Arial"/>
        </w:rPr>
        <w:t>s</w:t>
      </w:r>
      <w:r>
        <w:rPr>
          <w:rFonts w:ascii="Arial" w:hAnsi="Arial" w:cs="Arial"/>
        </w:rPr>
        <w:t xml:space="preserve"> is recognised in these accounts.</w:t>
      </w:r>
    </w:p>
    <w:p w14:paraId="36F4160A" w14:textId="4CFE4364" w:rsidR="00F06E01" w:rsidRDefault="00F06E01" w:rsidP="00795BE0">
      <w:pPr>
        <w:rPr>
          <w:rFonts w:ascii="Arial" w:hAnsi="Arial" w:cs="Arial"/>
        </w:rPr>
      </w:pPr>
    </w:p>
    <w:p w14:paraId="516C314A" w14:textId="77777777" w:rsidR="00F06E01" w:rsidRDefault="00F06E01" w:rsidP="00795BE0">
      <w:pPr>
        <w:rPr>
          <w:rFonts w:ascii="Arial" w:hAnsi="Arial" w:cs="Arial"/>
        </w:rPr>
      </w:pPr>
    </w:p>
    <w:p w14:paraId="108247DA" w14:textId="77777777" w:rsidR="00795BE0" w:rsidRPr="00CE76C2" w:rsidRDefault="00795BE0" w:rsidP="00795BE0">
      <w:pPr>
        <w:pStyle w:val="Heading4bold"/>
      </w:pPr>
      <w:r w:rsidRPr="00CE76C2">
        <w:t>Contingent Liabilities relating to TfGM</w:t>
      </w:r>
    </w:p>
    <w:p w14:paraId="710B2732" w14:textId="1F8EA4C7" w:rsidR="00795BE0" w:rsidRPr="00CE76C2" w:rsidRDefault="00795BE0" w:rsidP="00795BE0">
      <w:pPr>
        <w:pStyle w:val="2TfGMHeading2"/>
        <w:numPr>
          <w:ilvl w:val="0"/>
          <w:numId w:val="0"/>
        </w:numPr>
        <w:jc w:val="left"/>
        <w:rPr>
          <w:rFonts w:ascii="Arial" w:hAnsi="Arial"/>
          <w:sz w:val="24"/>
          <w:lang w:eastAsia="en-US"/>
        </w:rPr>
      </w:pPr>
      <w:r w:rsidRPr="00CE76C2">
        <w:rPr>
          <w:rFonts w:ascii="Arial" w:hAnsi="Arial"/>
          <w:sz w:val="24"/>
          <w:lang w:eastAsia="en-US"/>
        </w:rPr>
        <w:t>A contingent liability exists in relation to a claim received from a third party for damages. There are ongoing court proceedings and liability is denied. Due to this, the final amount payable, if any, in relation to this claim is uncertain. The Directors consider that the provision of additional information could be prejudicial to its position in resolving this matter.</w:t>
      </w:r>
    </w:p>
    <w:p w14:paraId="53EBA16C" w14:textId="77777777" w:rsidR="00795BE0" w:rsidRDefault="00795BE0" w:rsidP="00795BE0">
      <w:pPr>
        <w:rPr>
          <w:rFonts w:ascii="Arial" w:hAnsi="Arial" w:cs="Arial"/>
          <w:b/>
          <w:bCs/>
          <w:color w:val="000000" w:themeColor="text1"/>
          <w:sz w:val="26"/>
          <w:szCs w:val="26"/>
        </w:rPr>
      </w:pPr>
    </w:p>
    <w:p w14:paraId="119C9A9B" w14:textId="77777777" w:rsidR="00795BE0" w:rsidRPr="0007572B" w:rsidRDefault="00795BE0" w:rsidP="00795BE0">
      <w:pPr>
        <w:pStyle w:val="Heading3greennumbered"/>
      </w:pPr>
      <w:bookmarkStart w:id="319" w:name="_Toc92894949"/>
      <w:bookmarkStart w:id="320" w:name="_Toc92895253"/>
      <w:bookmarkStart w:id="321" w:name="_Toc109922687"/>
      <w:r w:rsidRPr="0007572B">
        <w:t>5</w:t>
      </w:r>
      <w:r>
        <w:t>5</w:t>
      </w:r>
      <w:r w:rsidRPr="0007572B">
        <w:t xml:space="preserve"> Group Financial Instruments</w:t>
      </w:r>
      <w:bookmarkEnd w:id="319"/>
      <w:bookmarkEnd w:id="320"/>
      <w:bookmarkEnd w:id="321"/>
    </w:p>
    <w:p w14:paraId="3FE3F524" w14:textId="77777777" w:rsidR="00795BE0" w:rsidRDefault="00795BE0" w:rsidP="00795BE0">
      <w:pPr>
        <w:rPr>
          <w:rFonts w:ascii="Arial" w:hAnsi="Arial" w:cs="Arial"/>
          <w:b/>
        </w:rPr>
      </w:pPr>
    </w:p>
    <w:p w14:paraId="27402ED6" w14:textId="77777777" w:rsidR="00795BE0" w:rsidRPr="0007572B" w:rsidRDefault="00795BE0" w:rsidP="00795BE0">
      <w:pPr>
        <w:pStyle w:val="Heading4bold"/>
      </w:pPr>
      <w:r w:rsidRPr="0007572B">
        <w:t>Categories of Financial Instruments</w:t>
      </w:r>
    </w:p>
    <w:p w14:paraId="64518987" w14:textId="77777777" w:rsidR="00795BE0" w:rsidRPr="0007572B" w:rsidRDefault="00795BE0" w:rsidP="00795BE0">
      <w:pPr>
        <w:rPr>
          <w:rFonts w:ascii="Arial" w:hAnsi="Arial" w:cs="Arial"/>
        </w:rPr>
      </w:pPr>
      <w:r w:rsidRPr="0007572B">
        <w:rPr>
          <w:rFonts w:ascii="Arial" w:hAnsi="Arial" w:cs="Arial"/>
        </w:rPr>
        <w:t>The tables below show the categories of financial instruments which are carried in the Balance Sheet:</w:t>
      </w:r>
    </w:p>
    <w:p w14:paraId="2715EC51" w14:textId="77777777" w:rsidR="00795BE0" w:rsidRPr="0007572B" w:rsidRDefault="00795BE0" w:rsidP="00795BE0">
      <w:pPr>
        <w:rPr>
          <w:rFonts w:ascii="Arial" w:hAnsi="Arial" w:cs="Arial"/>
        </w:rPr>
      </w:pPr>
    </w:p>
    <w:p w14:paraId="0F17A4F6" w14:textId="69284F65" w:rsidR="00795BE0" w:rsidRPr="0007572B" w:rsidRDefault="00882716" w:rsidP="00795BE0">
      <w:pPr>
        <w:rPr>
          <w:rFonts w:ascii="Arial" w:hAnsi="Arial" w:cs="Arial"/>
          <w:b/>
        </w:rPr>
      </w:pPr>
      <w:r w:rsidRPr="00882716">
        <w:rPr>
          <w:noProof/>
        </w:rPr>
        <w:drawing>
          <wp:inline distT="0" distB="0" distL="0" distR="0" wp14:anchorId="2B20A3C4" wp14:editId="6FE29F02">
            <wp:extent cx="5975350" cy="1297940"/>
            <wp:effectExtent l="0" t="0" r="635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5975350" cy="1297940"/>
                    </a:xfrm>
                    <a:prstGeom prst="rect">
                      <a:avLst/>
                    </a:prstGeom>
                    <a:noFill/>
                    <a:ln>
                      <a:noFill/>
                    </a:ln>
                  </pic:spPr>
                </pic:pic>
              </a:graphicData>
            </a:graphic>
          </wp:inline>
        </w:drawing>
      </w:r>
    </w:p>
    <w:p w14:paraId="19203A6D" w14:textId="77777777" w:rsidR="00795BE0" w:rsidRPr="0007572B" w:rsidRDefault="00795BE0" w:rsidP="00795BE0">
      <w:pPr>
        <w:rPr>
          <w:rFonts w:ascii="Arial" w:hAnsi="Arial" w:cs="Arial"/>
          <w:noProof/>
          <w:sz w:val="28"/>
          <w:szCs w:val="28"/>
        </w:rPr>
      </w:pPr>
    </w:p>
    <w:p w14:paraId="046E1EE6" w14:textId="2B92393F" w:rsidR="00795BE0" w:rsidRPr="0007572B" w:rsidRDefault="00882716" w:rsidP="00795BE0">
      <w:pPr>
        <w:rPr>
          <w:rFonts w:ascii="Arial" w:hAnsi="Arial" w:cs="Arial"/>
          <w:noProof/>
          <w:sz w:val="28"/>
          <w:szCs w:val="28"/>
        </w:rPr>
      </w:pPr>
      <w:r w:rsidRPr="00882716">
        <w:rPr>
          <w:noProof/>
        </w:rPr>
        <w:drawing>
          <wp:inline distT="0" distB="0" distL="0" distR="0" wp14:anchorId="4EBC08A7" wp14:editId="13D9B148">
            <wp:extent cx="5975350" cy="743585"/>
            <wp:effectExtent l="0" t="0" r="635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5975350" cy="743585"/>
                    </a:xfrm>
                    <a:prstGeom prst="rect">
                      <a:avLst/>
                    </a:prstGeom>
                    <a:noFill/>
                    <a:ln>
                      <a:noFill/>
                    </a:ln>
                  </pic:spPr>
                </pic:pic>
              </a:graphicData>
            </a:graphic>
          </wp:inline>
        </w:drawing>
      </w:r>
    </w:p>
    <w:p w14:paraId="0FA412FB" w14:textId="77777777" w:rsidR="00795BE0" w:rsidRPr="0007572B" w:rsidRDefault="00795BE0" w:rsidP="00795BE0">
      <w:pPr>
        <w:rPr>
          <w:rFonts w:ascii="Arial" w:hAnsi="Arial" w:cs="Arial"/>
        </w:rPr>
      </w:pPr>
    </w:p>
    <w:p w14:paraId="2478EE38" w14:textId="69821C7C" w:rsidR="00795BE0" w:rsidRPr="0007572B" w:rsidRDefault="00882716" w:rsidP="00795BE0">
      <w:pPr>
        <w:rPr>
          <w:rFonts w:ascii="Arial" w:hAnsi="Arial" w:cs="Arial"/>
        </w:rPr>
      </w:pPr>
      <w:r w:rsidRPr="00882716">
        <w:rPr>
          <w:noProof/>
        </w:rPr>
        <w:drawing>
          <wp:inline distT="0" distB="0" distL="0" distR="0" wp14:anchorId="2FD4D8E0" wp14:editId="105369E7">
            <wp:extent cx="5975350" cy="963930"/>
            <wp:effectExtent l="0" t="0" r="6350" b="762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5975350" cy="963930"/>
                    </a:xfrm>
                    <a:prstGeom prst="rect">
                      <a:avLst/>
                    </a:prstGeom>
                    <a:noFill/>
                    <a:ln>
                      <a:noFill/>
                    </a:ln>
                  </pic:spPr>
                </pic:pic>
              </a:graphicData>
            </a:graphic>
          </wp:inline>
        </w:drawing>
      </w:r>
    </w:p>
    <w:p w14:paraId="4E579550" w14:textId="77777777" w:rsidR="00795BE0" w:rsidRPr="0007572B" w:rsidRDefault="00795BE0" w:rsidP="00795BE0">
      <w:pPr>
        <w:rPr>
          <w:rFonts w:ascii="Arial" w:hAnsi="Arial" w:cs="Arial"/>
        </w:rPr>
      </w:pPr>
    </w:p>
    <w:p w14:paraId="1107F608" w14:textId="582150C3" w:rsidR="00795BE0" w:rsidRPr="0007572B" w:rsidRDefault="00882716" w:rsidP="00795BE0">
      <w:pPr>
        <w:rPr>
          <w:rFonts w:ascii="Arial" w:hAnsi="Arial" w:cs="Arial"/>
        </w:rPr>
      </w:pPr>
      <w:r w:rsidRPr="00882716">
        <w:rPr>
          <w:noProof/>
        </w:rPr>
        <w:drawing>
          <wp:inline distT="0" distB="0" distL="0" distR="0" wp14:anchorId="0D5CDA08" wp14:editId="621369B5">
            <wp:extent cx="5975350" cy="915670"/>
            <wp:effectExtent l="0" t="0" r="635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5975350" cy="915670"/>
                    </a:xfrm>
                    <a:prstGeom prst="rect">
                      <a:avLst/>
                    </a:prstGeom>
                    <a:noFill/>
                    <a:ln>
                      <a:noFill/>
                    </a:ln>
                  </pic:spPr>
                </pic:pic>
              </a:graphicData>
            </a:graphic>
          </wp:inline>
        </w:drawing>
      </w:r>
    </w:p>
    <w:p w14:paraId="79764DD2" w14:textId="77777777" w:rsidR="00795BE0" w:rsidRPr="0007572B" w:rsidRDefault="00795BE0" w:rsidP="00795BE0">
      <w:pPr>
        <w:rPr>
          <w:rFonts w:ascii="Arial" w:hAnsi="Arial" w:cs="Arial"/>
        </w:rPr>
      </w:pPr>
    </w:p>
    <w:p w14:paraId="4A9464FA" w14:textId="77777777" w:rsidR="00795BE0" w:rsidRPr="0007572B" w:rsidRDefault="00795BE0" w:rsidP="00795BE0">
      <w:pPr>
        <w:rPr>
          <w:rFonts w:ascii="Arial" w:hAnsi="Arial" w:cs="Arial"/>
          <w:b/>
          <w:sz w:val="22"/>
          <w:szCs w:val="22"/>
        </w:rPr>
      </w:pPr>
    </w:p>
    <w:p w14:paraId="39F2B60B" w14:textId="77777777" w:rsidR="00795BE0" w:rsidRPr="0007572B" w:rsidRDefault="00795BE0" w:rsidP="00795BE0">
      <w:pPr>
        <w:pStyle w:val="Heading4bold"/>
      </w:pPr>
      <w:r w:rsidRPr="0007572B">
        <w:t>Income, Expenses, Gains and Losses</w:t>
      </w:r>
    </w:p>
    <w:p w14:paraId="2F3E9B10" w14:textId="77777777" w:rsidR="00795BE0" w:rsidRPr="0007572B" w:rsidRDefault="00795BE0" w:rsidP="00795BE0">
      <w:pPr>
        <w:rPr>
          <w:rFonts w:ascii="Arial" w:hAnsi="Arial" w:cs="Arial"/>
          <w:sz w:val="22"/>
          <w:szCs w:val="22"/>
        </w:rPr>
      </w:pPr>
      <w:r w:rsidRPr="0007572B">
        <w:rPr>
          <w:rFonts w:ascii="Arial" w:hAnsi="Arial" w:cs="Arial"/>
          <w:sz w:val="22"/>
          <w:szCs w:val="22"/>
        </w:rPr>
        <w:t>The gains and losses recognised in the Group Comprehensive Income and Expenditure Statement in relation to financial instruments are summarised in the table below:</w:t>
      </w:r>
    </w:p>
    <w:p w14:paraId="0FCF9134" w14:textId="77777777" w:rsidR="00795BE0" w:rsidRPr="0007572B" w:rsidRDefault="00795BE0" w:rsidP="00795BE0">
      <w:pPr>
        <w:rPr>
          <w:rFonts w:ascii="Arial" w:hAnsi="Arial" w:cs="Arial"/>
          <w:b/>
          <w:sz w:val="22"/>
          <w:szCs w:val="22"/>
          <w:highlight w:val="yellow"/>
        </w:rPr>
      </w:pPr>
    </w:p>
    <w:p w14:paraId="290229F2" w14:textId="5C5148F3" w:rsidR="00795BE0" w:rsidRDefault="00882716" w:rsidP="00795BE0">
      <w:pPr>
        <w:rPr>
          <w:rFonts w:ascii="Arial" w:hAnsi="Arial" w:cs="Arial"/>
          <w:sz w:val="22"/>
          <w:szCs w:val="22"/>
        </w:rPr>
      </w:pPr>
      <w:r w:rsidRPr="00882716">
        <w:rPr>
          <w:rFonts w:ascii="Arial" w:hAnsi="Arial" w:cs="Arial"/>
          <w:sz w:val="22"/>
          <w:szCs w:val="22"/>
        </w:rPr>
        <w:t xml:space="preserve"> </w:t>
      </w:r>
      <w:r w:rsidRPr="00882716">
        <w:rPr>
          <w:noProof/>
        </w:rPr>
        <w:drawing>
          <wp:inline distT="0" distB="0" distL="0" distR="0" wp14:anchorId="2749E570" wp14:editId="63505D54">
            <wp:extent cx="5975350" cy="2287905"/>
            <wp:effectExtent l="0" t="0" r="635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5975350" cy="2287905"/>
                    </a:xfrm>
                    <a:prstGeom prst="rect">
                      <a:avLst/>
                    </a:prstGeom>
                    <a:noFill/>
                    <a:ln>
                      <a:noFill/>
                    </a:ln>
                  </pic:spPr>
                </pic:pic>
              </a:graphicData>
            </a:graphic>
          </wp:inline>
        </w:drawing>
      </w:r>
    </w:p>
    <w:p w14:paraId="530FE947" w14:textId="77777777" w:rsidR="00795BE0" w:rsidRPr="0007572B" w:rsidRDefault="00795BE0" w:rsidP="00795BE0">
      <w:pPr>
        <w:rPr>
          <w:rFonts w:ascii="Arial" w:hAnsi="Arial" w:cs="Arial"/>
          <w:sz w:val="22"/>
          <w:szCs w:val="22"/>
        </w:rPr>
      </w:pPr>
    </w:p>
    <w:p w14:paraId="247523C2" w14:textId="77777777" w:rsidR="00795BE0" w:rsidRPr="0007572B" w:rsidRDefault="00795BE0" w:rsidP="00795BE0">
      <w:pPr>
        <w:rPr>
          <w:rFonts w:ascii="Arial" w:hAnsi="Arial" w:cs="Arial"/>
          <w:b/>
          <w:sz w:val="22"/>
          <w:szCs w:val="22"/>
        </w:rPr>
      </w:pPr>
    </w:p>
    <w:p w14:paraId="3CE99096" w14:textId="77777777" w:rsidR="00795BE0" w:rsidRPr="0007572B" w:rsidRDefault="00795BE0" w:rsidP="00795BE0">
      <w:pPr>
        <w:pStyle w:val="Heading4bold"/>
      </w:pPr>
      <w:r w:rsidRPr="0007572B">
        <w:t>Fair Value of Assets and Liabilities</w:t>
      </w:r>
    </w:p>
    <w:p w14:paraId="675C8C6D" w14:textId="77777777" w:rsidR="00795BE0" w:rsidRPr="0007572B" w:rsidRDefault="00795BE0" w:rsidP="00795BE0">
      <w:pPr>
        <w:rPr>
          <w:rFonts w:ascii="Arial" w:hAnsi="Arial" w:cs="Arial"/>
          <w:sz w:val="22"/>
          <w:szCs w:val="22"/>
        </w:rPr>
      </w:pPr>
    </w:p>
    <w:p w14:paraId="64842BCE" w14:textId="77777777" w:rsidR="00795BE0" w:rsidRPr="0007572B" w:rsidRDefault="00795BE0" w:rsidP="00795BE0">
      <w:pPr>
        <w:rPr>
          <w:rFonts w:ascii="Arial" w:hAnsi="Arial" w:cs="Arial"/>
          <w:sz w:val="22"/>
          <w:szCs w:val="22"/>
        </w:rPr>
      </w:pPr>
      <w:r w:rsidRPr="0007572B">
        <w:rPr>
          <w:rFonts w:ascii="Arial" w:hAnsi="Arial" w:cs="Arial"/>
          <w:sz w:val="22"/>
          <w:szCs w:val="22"/>
        </w:rPr>
        <w:t>Set out below is a comparison by class of the carrying amounts and fair value of the Group financial assets and financial liabilities:</w:t>
      </w:r>
    </w:p>
    <w:p w14:paraId="3D91617E" w14:textId="77777777" w:rsidR="00795BE0" w:rsidRPr="0007572B" w:rsidRDefault="00795BE0" w:rsidP="00795BE0">
      <w:pPr>
        <w:rPr>
          <w:rFonts w:ascii="Arial" w:hAnsi="Arial" w:cs="Arial"/>
          <w:noProof/>
          <w:sz w:val="22"/>
          <w:szCs w:val="22"/>
          <w:lang w:eastAsia="en-GB"/>
        </w:rPr>
      </w:pPr>
    </w:p>
    <w:p w14:paraId="0D55E895" w14:textId="2FD2BF80" w:rsidR="00795BE0" w:rsidRPr="0007572B" w:rsidRDefault="001C7C79" w:rsidP="00795BE0">
      <w:pPr>
        <w:rPr>
          <w:rFonts w:ascii="Arial" w:hAnsi="Arial" w:cs="Arial"/>
          <w:sz w:val="22"/>
          <w:szCs w:val="22"/>
        </w:rPr>
      </w:pPr>
      <w:r w:rsidRPr="001C7C79">
        <w:rPr>
          <w:noProof/>
        </w:rPr>
        <w:drawing>
          <wp:inline distT="0" distB="0" distL="0" distR="0" wp14:anchorId="0BD0ED80" wp14:editId="2A62EAB4">
            <wp:extent cx="5975350" cy="240411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5975350" cy="2404110"/>
                    </a:xfrm>
                    <a:prstGeom prst="rect">
                      <a:avLst/>
                    </a:prstGeom>
                    <a:noFill/>
                    <a:ln>
                      <a:noFill/>
                    </a:ln>
                  </pic:spPr>
                </pic:pic>
              </a:graphicData>
            </a:graphic>
          </wp:inline>
        </w:drawing>
      </w:r>
    </w:p>
    <w:p w14:paraId="33C84C62" w14:textId="77777777" w:rsidR="00795BE0" w:rsidRPr="0007572B" w:rsidRDefault="00795BE0" w:rsidP="00795BE0">
      <w:pPr>
        <w:rPr>
          <w:rFonts w:ascii="Arial" w:hAnsi="Arial" w:cs="Arial"/>
          <w:sz w:val="22"/>
          <w:szCs w:val="22"/>
        </w:rPr>
      </w:pPr>
    </w:p>
    <w:p w14:paraId="2627248B" w14:textId="77777777" w:rsidR="00795BE0" w:rsidRPr="00C41280" w:rsidRDefault="00795BE0" w:rsidP="00795BE0">
      <w:pPr>
        <w:rPr>
          <w:rFonts w:ascii="Arial" w:hAnsi="Arial" w:cs="Arial"/>
          <w:highlight w:val="yellow"/>
        </w:rPr>
      </w:pPr>
      <w:r w:rsidRPr="0007572B">
        <w:rPr>
          <w:rFonts w:ascii="Arial" w:hAnsi="Arial" w:cs="Arial"/>
          <w:sz w:val="22"/>
          <w:szCs w:val="22"/>
        </w:rPr>
        <w:br w:type="page"/>
      </w:r>
      <w:r w:rsidRPr="006A2C2B">
        <w:rPr>
          <w:rFonts w:ascii="Arial" w:hAnsi="Arial" w:cs="Arial"/>
        </w:rPr>
        <w:t xml:space="preserve">The Authority holds </w:t>
      </w:r>
      <w:r w:rsidRPr="00B94071">
        <w:rPr>
          <w:rFonts w:ascii="Arial" w:hAnsi="Arial" w:cs="Arial"/>
        </w:rPr>
        <w:t>£47,156m</w:t>
      </w:r>
      <w:r w:rsidRPr="006A2C2B">
        <w:rPr>
          <w:rFonts w:ascii="Arial" w:hAnsi="Arial" w:cs="Arial"/>
        </w:rPr>
        <w:t xml:space="preserve"> in equity investments:</w:t>
      </w:r>
    </w:p>
    <w:p w14:paraId="46B1B346" w14:textId="77777777" w:rsidR="00795BE0" w:rsidRPr="00C41280" w:rsidRDefault="00795BE0" w:rsidP="00795BE0">
      <w:pPr>
        <w:rPr>
          <w:rFonts w:ascii="Arial" w:hAnsi="Arial" w:cs="Arial"/>
          <w:highlight w:val="yellow"/>
        </w:rPr>
      </w:pPr>
    </w:p>
    <w:p w14:paraId="2A3768E9" w14:textId="77777777" w:rsidR="00795BE0" w:rsidRPr="00882716" w:rsidRDefault="00795BE0" w:rsidP="00795BE0">
      <w:pPr>
        <w:rPr>
          <w:rFonts w:ascii="Arial" w:hAnsi="Arial" w:cs="Arial"/>
          <w:highlight w:val="yellow"/>
        </w:rPr>
      </w:pPr>
      <w:r w:rsidRPr="00B94071">
        <w:rPr>
          <w:rFonts w:ascii="Arial" w:hAnsi="Arial" w:cs="Arial"/>
        </w:rPr>
        <w:t>£40.766m</w:t>
      </w:r>
      <w:r w:rsidRPr="006A2C2B">
        <w:rPr>
          <w:rFonts w:ascii="Arial" w:hAnsi="Arial" w:cs="Arial"/>
        </w:rPr>
        <w:t xml:space="preserve"> within the single entity accounts relates to a number of businesses that either previously held loans with the Authority and which have converted to equity investments or are a direct equity investment. These shares are not traded in active markets. The shares are valued based on level 2 - observable input data from the companies, such as latest filed accounts and management accounting reports. There have been no transfers between input levels or changes in valuation techniques during </w:t>
      </w:r>
      <w:r>
        <w:rPr>
          <w:rFonts w:ascii="Arial" w:hAnsi="Arial" w:cs="Arial"/>
        </w:rPr>
        <w:t>2021/22</w:t>
      </w:r>
      <w:r w:rsidRPr="006A2C2B">
        <w:rPr>
          <w:rFonts w:ascii="Arial" w:hAnsi="Arial" w:cs="Arial"/>
        </w:rPr>
        <w:t xml:space="preserve"> for this class of </w:t>
      </w:r>
      <w:r w:rsidRPr="00882716">
        <w:rPr>
          <w:rFonts w:ascii="Arial" w:hAnsi="Arial" w:cs="Arial"/>
        </w:rPr>
        <w:t>asset.</w:t>
      </w:r>
    </w:p>
    <w:p w14:paraId="2E1B77BE" w14:textId="77777777" w:rsidR="00795BE0" w:rsidRPr="00882716" w:rsidRDefault="00795BE0" w:rsidP="00795BE0">
      <w:pPr>
        <w:rPr>
          <w:rFonts w:ascii="Arial" w:hAnsi="Arial" w:cs="Arial"/>
        </w:rPr>
      </w:pPr>
    </w:p>
    <w:p w14:paraId="6ECD7E6D" w14:textId="77777777" w:rsidR="00795BE0" w:rsidRPr="00882716" w:rsidRDefault="00795BE0" w:rsidP="00795BE0">
      <w:pPr>
        <w:rPr>
          <w:rFonts w:ascii="Arial" w:hAnsi="Arial" w:cs="Arial"/>
        </w:rPr>
      </w:pPr>
      <w:bookmarkStart w:id="322" w:name="_Hlk109073824"/>
      <w:r w:rsidRPr="00882716">
        <w:rPr>
          <w:rFonts w:ascii="Arial" w:hAnsi="Arial" w:cs="Arial"/>
        </w:rPr>
        <w:t>£6.390m of TfGM long-term investments evaluated based on level 3 – unobservable inputs for the asset or liability and included using a discounted cash flow value, based on analysis of the Gross Development Value, cost inputs and timing assumptions. This is a change from the previous input level 2 valuation technique in the prior year for this class of asset.</w:t>
      </w:r>
    </w:p>
    <w:bookmarkEnd w:id="322"/>
    <w:p w14:paraId="5C780399" w14:textId="77777777" w:rsidR="00795BE0" w:rsidRPr="00E12104" w:rsidRDefault="00795BE0" w:rsidP="00795BE0">
      <w:pPr>
        <w:rPr>
          <w:rFonts w:ascii="Arial" w:hAnsi="Arial" w:cs="Arial"/>
        </w:rPr>
      </w:pPr>
    </w:p>
    <w:p w14:paraId="032EE2EC" w14:textId="77777777" w:rsidR="00795BE0" w:rsidRPr="00924B0A" w:rsidRDefault="00795BE0" w:rsidP="00795BE0">
      <w:pPr>
        <w:rPr>
          <w:rFonts w:ascii="Arial" w:hAnsi="Arial" w:cs="Arial"/>
        </w:rPr>
      </w:pPr>
      <w:r w:rsidRPr="00924B0A">
        <w:rPr>
          <w:rFonts w:ascii="Arial" w:hAnsi="Arial" w:cs="Arial"/>
        </w:rPr>
        <w:t>Other Financial Assets and Financial Liabilities are carried in the balance sheet at amortised cost, with carrying values as disclosed above. Their fair values disclosed in the table below have been assessed by calculating the present value of the cash flows that will take place over the remaining term of the instruments, using the following assumptions;</w:t>
      </w:r>
    </w:p>
    <w:p w14:paraId="38C41F26" w14:textId="77777777" w:rsidR="00795BE0" w:rsidRPr="00C41280" w:rsidRDefault="00795BE0" w:rsidP="00795BE0">
      <w:pPr>
        <w:rPr>
          <w:rFonts w:ascii="Arial" w:hAnsi="Arial" w:cs="Arial"/>
          <w:highlight w:val="yellow"/>
        </w:rPr>
      </w:pPr>
    </w:p>
    <w:p w14:paraId="56EBBD1D" w14:textId="77777777" w:rsidR="00795BE0" w:rsidRPr="00924B0A" w:rsidRDefault="00795BE0" w:rsidP="00DF4603">
      <w:pPr>
        <w:pStyle w:val="Normal0"/>
        <w:numPr>
          <w:ilvl w:val="0"/>
          <w:numId w:val="77"/>
        </w:numPr>
        <w:spacing w:line="240" w:lineRule="auto"/>
        <w:rPr>
          <w:rFonts w:ascii="Arial" w:eastAsia="Verdana" w:hAnsi="Arial" w:cs="Arial"/>
          <w:sz w:val="24"/>
          <w:szCs w:val="24"/>
          <w:lang w:val="en-GB"/>
        </w:rPr>
      </w:pPr>
      <w:r w:rsidRPr="00924B0A">
        <w:rPr>
          <w:rFonts w:ascii="Arial" w:eastAsia="Verdana" w:hAnsi="Arial" w:cs="Arial"/>
          <w:sz w:val="24"/>
          <w:szCs w:val="24"/>
          <w:lang w:val="en-GB"/>
        </w:rPr>
        <w:t>The fair value of cash and cash equivalents (which includes other investments), short-term debtors and short-term creditors is taken to be their carrying amount as this is deemed to provide a reasonable approximation in accordance with the CIPFA Code of Practice.</w:t>
      </w:r>
    </w:p>
    <w:p w14:paraId="2CC2D6E1" w14:textId="77777777" w:rsidR="00795BE0" w:rsidRPr="000E1954" w:rsidRDefault="00795BE0" w:rsidP="00795BE0">
      <w:pPr>
        <w:pStyle w:val="Normal0"/>
        <w:spacing w:line="240" w:lineRule="auto"/>
        <w:ind w:left="720"/>
        <w:rPr>
          <w:rFonts w:ascii="Arial" w:eastAsia="Verdana" w:hAnsi="Arial" w:cs="Arial"/>
          <w:sz w:val="24"/>
          <w:szCs w:val="24"/>
          <w:lang w:val="en-GB"/>
        </w:rPr>
      </w:pPr>
    </w:p>
    <w:p w14:paraId="49BA4B4E" w14:textId="77777777" w:rsidR="00795BE0" w:rsidRPr="000E1954" w:rsidRDefault="00795BE0" w:rsidP="00795BE0">
      <w:pPr>
        <w:pStyle w:val="Normal0"/>
        <w:numPr>
          <w:ilvl w:val="0"/>
          <w:numId w:val="37"/>
        </w:numPr>
        <w:spacing w:line="240" w:lineRule="auto"/>
        <w:rPr>
          <w:rFonts w:ascii="Arial" w:eastAsia="Verdana" w:hAnsi="Arial" w:cs="Arial"/>
          <w:sz w:val="24"/>
          <w:szCs w:val="24"/>
          <w:lang w:val="en-GB"/>
        </w:rPr>
      </w:pPr>
      <w:r w:rsidRPr="000E1954">
        <w:rPr>
          <w:rFonts w:ascii="Arial" w:eastAsia="Verdana" w:hAnsi="Arial" w:cs="Arial"/>
          <w:sz w:val="24"/>
          <w:szCs w:val="24"/>
          <w:lang w:val="en-GB"/>
        </w:rPr>
        <w:t xml:space="preserve">The fair value of long-term debtors within the single entity accounts has been evaluated and where these relate to loan advances greater than £3m, prevailing benchmark market rates have been applied to provide the fair value. All other long-term debtors are included at their carrying value. </w:t>
      </w:r>
    </w:p>
    <w:p w14:paraId="0AE7D9D0" w14:textId="77777777" w:rsidR="00795BE0" w:rsidRPr="00C41280" w:rsidRDefault="00795BE0" w:rsidP="00795BE0">
      <w:pPr>
        <w:pStyle w:val="Normal0"/>
        <w:spacing w:line="240" w:lineRule="auto"/>
        <w:ind w:left="720"/>
        <w:rPr>
          <w:rFonts w:ascii="Arial" w:eastAsia="Verdana" w:hAnsi="Arial" w:cs="Arial"/>
          <w:sz w:val="24"/>
          <w:szCs w:val="24"/>
          <w:highlight w:val="yellow"/>
          <w:lang w:val="en-GB"/>
        </w:rPr>
      </w:pPr>
    </w:p>
    <w:p w14:paraId="7B9BB84E" w14:textId="77777777" w:rsidR="00795BE0" w:rsidRPr="00342B6D" w:rsidRDefault="00795BE0" w:rsidP="00795BE0">
      <w:pPr>
        <w:pStyle w:val="Normal0"/>
        <w:numPr>
          <w:ilvl w:val="0"/>
          <w:numId w:val="37"/>
        </w:numPr>
        <w:spacing w:line="240" w:lineRule="auto"/>
        <w:rPr>
          <w:rFonts w:ascii="Arial" w:eastAsia="Verdana" w:hAnsi="Arial" w:cs="Arial"/>
          <w:sz w:val="24"/>
          <w:szCs w:val="24"/>
          <w:lang w:val="en-GB"/>
        </w:rPr>
      </w:pPr>
      <w:r w:rsidRPr="00342B6D">
        <w:rPr>
          <w:rFonts w:ascii="Arial" w:eastAsia="Verdana" w:hAnsi="Arial" w:cs="Arial"/>
          <w:sz w:val="24"/>
          <w:szCs w:val="24"/>
          <w:lang w:val="en-GB"/>
        </w:rPr>
        <w:t xml:space="preserve">Fair value for deferred liabilities in the single entity accounts in relation to the historical Greater Manchester Loan Fund is held at cost as this debt is not tradeable in any principal or alternative market. </w:t>
      </w:r>
    </w:p>
    <w:p w14:paraId="1FFA8DEF" w14:textId="77777777" w:rsidR="00795BE0" w:rsidRPr="00342B6D" w:rsidRDefault="00795BE0" w:rsidP="00795BE0">
      <w:pPr>
        <w:rPr>
          <w:rFonts w:ascii="Arial" w:hAnsi="Arial" w:cs="Arial"/>
        </w:rPr>
      </w:pPr>
    </w:p>
    <w:p w14:paraId="6A23DE91" w14:textId="77777777" w:rsidR="00795BE0" w:rsidRPr="00342B6D" w:rsidRDefault="00795BE0" w:rsidP="00795BE0">
      <w:pPr>
        <w:pStyle w:val="Normal0"/>
        <w:numPr>
          <w:ilvl w:val="0"/>
          <w:numId w:val="37"/>
        </w:numPr>
        <w:spacing w:line="240" w:lineRule="auto"/>
        <w:rPr>
          <w:rFonts w:ascii="Arial" w:eastAsia="Verdana" w:hAnsi="Arial" w:cs="Arial"/>
          <w:sz w:val="24"/>
          <w:szCs w:val="24"/>
          <w:lang w:val="en-GB"/>
        </w:rPr>
      </w:pPr>
      <w:r w:rsidRPr="00342B6D">
        <w:rPr>
          <w:rFonts w:ascii="Arial" w:eastAsia="Verdana" w:hAnsi="Arial" w:cs="Arial"/>
          <w:sz w:val="24"/>
          <w:szCs w:val="24"/>
          <w:lang w:val="en-GB"/>
        </w:rPr>
        <w:t>Fair value for PFI schemes cannot be obtained as there is no comparable information available, and these have therefore been shown at cost.</w:t>
      </w:r>
    </w:p>
    <w:p w14:paraId="7D1E4B38" w14:textId="77777777" w:rsidR="00795BE0" w:rsidRPr="00C41280" w:rsidRDefault="00795BE0" w:rsidP="00795BE0">
      <w:pPr>
        <w:pStyle w:val="Normal0"/>
        <w:spacing w:line="240" w:lineRule="auto"/>
        <w:ind w:left="720"/>
        <w:rPr>
          <w:rFonts w:ascii="Arial" w:eastAsia="Verdana" w:hAnsi="Arial" w:cs="Arial"/>
          <w:sz w:val="24"/>
          <w:szCs w:val="24"/>
          <w:highlight w:val="yellow"/>
          <w:lang w:val="en-GB"/>
        </w:rPr>
      </w:pPr>
    </w:p>
    <w:p w14:paraId="0E38AECA" w14:textId="77777777" w:rsidR="00795BE0" w:rsidRPr="0022418C" w:rsidRDefault="00795BE0" w:rsidP="00DF4603">
      <w:pPr>
        <w:numPr>
          <w:ilvl w:val="0"/>
          <w:numId w:val="77"/>
        </w:numPr>
        <w:rPr>
          <w:rFonts w:ascii="Arial" w:hAnsi="Arial" w:cs="Arial"/>
        </w:rPr>
      </w:pPr>
      <w:bookmarkStart w:id="323" w:name="_Hlk109072659"/>
      <w:r w:rsidRPr="0022418C">
        <w:rPr>
          <w:rFonts w:ascii="Arial" w:hAnsi="Arial" w:cs="Arial"/>
        </w:rPr>
        <w:t xml:space="preserve">For loans from the PWLB, premature repayment rates from the PWLB have been applied to provide the fair value; by applying new loan rates their fair value would be </w:t>
      </w:r>
      <w:r w:rsidRPr="00A2072D">
        <w:rPr>
          <w:rFonts w:ascii="Arial" w:hAnsi="Arial" w:cs="Arial"/>
        </w:rPr>
        <w:t>£7</w:t>
      </w:r>
      <w:r>
        <w:rPr>
          <w:rFonts w:ascii="Arial" w:hAnsi="Arial" w:cs="Arial"/>
        </w:rPr>
        <w:t>00</w:t>
      </w:r>
      <w:r w:rsidRPr="00A2072D">
        <w:rPr>
          <w:rFonts w:ascii="Arial" w:hAnsi="Arial" w:cs="Arial"/>
        </w:rPr>
        <w:t>.</w:t>
      </w:r>
      <w:r>
        <w:rPr>
          <w:rFonts w:ascii="Arial" w:hAnsi="Arial" w:cs="Arial"/>
        </w:rPr>
        <w:t>910</w:t>
      </w:r>
      <w:r w:rsidRPr="00A2072D">
        <w:rPr>
          <w:rFonts w:ascii="Arial" w:hAnsi="Arial" w:cs="Arial"/>
        </w:rPr>
        <w:t>m</w:t>
      </w:r>
      <w:r w:rsidRPr="0022418C">
        <w:rPr>
          <w:rFonts w:ascii="Arial" w:hAnsi="Arial" w:cs="Arial"/>
        </w:rPr>
        <w:t>.</w:t>
      </w:r>
    </w:p>
    <w:p w14:paraId="2F963035" w14:textId="77777777" w:rsidR="00795BE0" w:rsidRPr="00C41280" w:rsidRDefault="00795BE0" w:rsidP="00795BE0">
      <w:pPr>
        <w:ind w:left="720"/>
        <w:rPr>
          <w:rFonts w:ascii="Arial" w:hAnsi="Arial" w:cs="Arial"/>
          <w:highlight w:val="yellow"/>
        </w:rPr>
      </w:pPr>
    </w:p>
    <w:p w14:paraId="2FC43D44" w14:textId="77777777" w:rsidR="00795BE0" w:rsidRPr="0022418C" w:rsidRDefault="00795BE0" w:rsidP="00DF4603">
      <w:pPr>
        <w:numPr>
          <w:ilvl w:val="0"/>
          <w:numId w:val="77"/>
        </w:numPr>
        <w:rPr>
          <w:rFonts w:ascii="Arial" w:hAnsi="Arial" w:cs="Arial"/>
        </w:rPr>
      </w:pPr>
      <w:r w:rsidRPr="0022418C">
        <w:rPr>
          <w:rFonts w:ascii="Arial" w:hAnsi="Arial" w:cs="Arial"/>
        </w:rPr>
        <w:t xml:space="preserve">For non-PWLB loans payable, premature repayment rates have been applied to provide the fair value; by applying new loan rates their fair value would be </w:t>
      </w:r>
      <w:r w:rsidRPr="00A2072D">
        <w:rPr>
          <w:rFonts w:ascii="Arial" w:hAnsi="Arial" w:cs="Arial"/>
        </w:rPr>
        <w:t>£1,</w:t>
      </w:r>
      <w:r>
        <w:rPr>
          <w:rFonts w:ascii="Arial" w:hAnsi="Arial" w:cs="Arial"/>
        </w:rPr>
        <w:t>052</w:t>
      </w:r>
      <w:r w:rsidRPr="00A2072D">
        <w:rPr>
          <w:rFonts w:ascii="Arial" w:hAnsi="Arial" w:cs="Arial"/>
        </w:rPr>
        <w:t>.0</w:t>
      </w:r>
      <w:r>
        <w:rPr>
          <w:rFonts w:ascii="Arial" w:hAnsi="Arial" w:cs="Arial"/>
        </w:rPr>
        <w:t>66</w:t>
      </w:r>
      <w:r w:rsidRPr="00A2072D">
        <w:rPr>
          <w:rFonts w:ascii="Arial" w:hAnsi="Arial" w:cs="Arial"/>
        </w:rPr>
        <w:t>m</w:t>
      </w:r>
      <w:r w:rsidRPr="0022418C">
        <w:rPr>
          <w:rFonts w:ascii="Arial" w:hAnsi="Arial" w:cs="Arial"/>
        </w:rPr>
        <w:t>.</w:t>
      </w:r>
    </w:p>
    <w:bookmarkEnd w:id="323"/>
    <w:p w14:paraId="166F35A5" w14:textId="77777777" w:rsidR="00795BE0" w:rsidRPr="00C41280" w:rsidRDefault="00795BE0" w:rsidP="00795BE0">
      <w:pPr>
        <w:ind w:left="720"/>
        <w:rPr>
          <w:rFonts w:ascii="Arial" w:hAnsi="Arial" w:cs="Arial"/>
          <w:highlight w:val="yellow"/>
        </w:rPr>
      </w:pPr>
    </w:p>
    <w:p w14:paraId="4369A98C" w14:textId="77777777" w:rsidR="00795BE0" w:rsidRPr="00342B6D" w:rsidRDefault="00795BE0" w:rsidP="00DF4603">
      <w:pPr>
        <w:pStyle w:val="Normal0"/>
        <w:numPr>
          <w:ilvl w:val="0"/>
          <w:numId w:val="77"/>
        </w:numPr>
        <w:spacing w:line="240" w:lineRule="auto"/>
        <w:rPr>
          <w:rFonts w:ascii="Arial" w:eastAsia="Verdana" w:hAnsi="Arial" w:cs="Arial"/>
          <w:sz w:val="24"/>
          <w:szCs w:val="24"/>
          <w:lang w:val="en-GB"/>
        </w:rPr>
      </w:pPr>
      <w:r w:rsidRPr="00342B6D">
        <w:rPr>
          <w:rFonts w:ascii="Arial" w:eastAsia="Verdana" w:hAnsi="Arial" w:cs="Arial"/>
          <w:sz w:val="24"/>
          <w:szCs w:val="24"/>
          <w:lang w:val="en-GB"/>
        </w:rPr>
        <w:t>The valuation techniques used for PWLB and non-PWLB debt are level 2 –observable inputs. There have been no changes in valuation technique during the financial year.</w:t>
      </w:r>
    </w:p>
    <w:p w14:paraId="479A38F3" w14:textId="77777777" w:rsidR="00795BE0" w:rsidRPr="00C41280" w:rsidRDefault="00795BE0" w:rsidP="00795BE0">
      <w:pPr>
        <w:pStyle w:val="Normal0"/>
        <w:spacing w:line="240" w:lineRule="auto"/>
        <w:rPr>
          <w:rFonts w:ascii="Arial" w:eastAsia="Verdana" w:hAnsi="Arial" w:cs="Arial"/>
          <w:sz w:val="24"/>
          <w:szCs w:val="24"/>
          <w:highlight w:val="yellow"/>
          <w:lang w:val="en-GB"/>
        </w:rPr>
      </w:pPr>
    </w:p>
    <w:p w14:paraId="02879AFF" w14:textId="77777777" w:rsidR="00795BE0" w:rsidRPr="00342B6D" w:rsidRDefault="00795BE0" w:rsidP="00795BE0">
      <w:pPr>
        <w:pStyle w:val="Normal0"/>
        <w:spacing w:line="240" w:lineRule="auto"/>
        <w:ind w:left="360"/>
        <w:rPr>
          <w:rFonts w:ascii="Arial" w:eastAsia="Verdana" w:hAnsi="Arial" w:cs="Arial"/>
          <w:sz w:val="24"/>
          <w:szCs w:val="24"/>
          <w:lang w:val="en-GB"/>
        </w:rPr>
      </w:pPr>
      <w:r w:rsidRPr="00342B6D">
        <w:rPr>
          <w:rFonts w:ascii="Arial" w:eastAsia="Verdana" w:hAnsi="Arial" w:cs="Arial"/>
          <w:sz w:val="24"/>
          <w:szCs w:val="24"/>
          <w:lang w:val="en-GB"/>
        </w:rPr>
        <w:t>The purpose of the fair value disclosure is primarily to provide a comparison with the carrying value, which includes accrued interest as at the balance sheet date. The Authority has therefore included accrued interest in the fair value calculation.</w:t>
      </w:r>
    </w:p>
    <w:p w14:paraId="2751DE83" w14:textId="77777777" w:rsidR="00795BE0" w:rsidRPr="00342B6D" w:rsidRDefault="00795BE0" w:rsidP="00795BE0">
      <w:pPr>
        <w:pStyle w:val="Normal0"/>
        <w:spacing w:line="240" w:lineRule="auto"/>
        <w:ind w:left="720"/>
        <w:rPr>
          <w:rFonts w:ascii="Arial" w:eastAsia="Verdana" w:hAnsi="Arial" w:cs="Arial"/>
          <w:sz w:val="24"/>
          <w:szCs w:val="24"/>
          <w:lang w:val="en-GB"/>
        </w:rPr>
      </w:pPr>
    </w:p>
    <w:p w14:paraId="0AD21213" w14:textId="77777777" w:rsidR="00795BE0" w:rsidRPr="00342B6D" w:rsidRDefault="00795BE0" w:rsidP="00795BE0">
      <w:pPr>
        <w:pStyle w:val="Normal0"/>
        <w:spacing w:line="240" w:lineRule="auto"/>
        <w:ind w:left="360"/>
        <w:rPr>
          <w:rFonts w:ascii="Arial" w:eastAsia="Verdana" w:hAnsi="Arial" w:cs="Arial"/>
          <w:sz w:val="24"/>
          <w:szCs w:val="24"/>
          <w:lang w:val="en-GB"/>
        </w:rPr>
      </w:pPr>
      <w:r w:rsidRPr="00342B6D">
        <w:rPr>
          <w:rFonts w:ascii="Arial" w:eastAsia="Verdana" w:hAnsi="Arial" w:cs="Arial"/>
          <w:sz w:val="24"/>
          <w:szCs w:val="24"/>
          <w:lang w:val="en-GB"/>
        </w:rPr>
        <w:t>The discount rates used for the evaluation were obtained by the Authority from Link Asset Services. The Link Asset Group is a leading and independent provider of capital financing, treasury advisory and strategic advisory consulting services to the public sector.</w:t>
      </w:r>
    </w:p>
    <w:p w14:paraId="380C1C26" w14:textId="77777777" w:rsidR="00795BE0" w:rsidRPr="00C41280" w:rsidRDefault="00795BE0" w:rsidP="00795BE0">
      <w:pPr>
        <w:pStyle w:val="Normal0"/>
        <w:spacing w:line="240" w:lineRule="auto"/>
        <w:ind w:left="360"/>
        <w:rPr>
          <w:rFonts w:ascii="Arial" w:eastAsia="Verdana" w:hAnsi="Arial" w:cs="Arial"/>
          <w:sz w:val="24"/>
          <w:szCs w:val="24"/>
          <w:highlight w:val="yellow"/>
          <w:lang w:val="en-GB"/>
        </w:rPr>
      </w:pPr>
    </w:p>
    <w:p w14:paraId="43A0AEF4" w14:textId="77777777" w:rsidR="00795BE0" w:rsidRPr="00342B6D" w:rsidRDefault="00795BE0" w:rsidP="00795BE0">
      <w:pPr>
        <w:ind w:left="360"/>
        <w:rPr>
          <w:rFonts w:ascii="Arial" w:hAnsi="Arial" w:cs="Arial"/>
        </w:rPr>
      </w:pPr>
      <w:r w:rsidRPr="00342B6D">
        <w:rPr>
          <w:rFonts w:ascii="Arial" w:eastAsia="Verdana" w:hAnsi="Arial" w:cs="Arial"/>
        </w:rPr>
        <w:t>Assumptions used, which do not have a material effect on the fair value evaluation are</w:t>
      </w:r>
      <w:r>
        <w:rPr>
          <w:rFonts w:ascii="Arial" w:eastAsia="Verdana" w:hAnsi="Arial" w:cs="Arial"/>
        </w:rPr>
        <w:t>;</w:t>
      </w:r>
      <w:r w:rsidRPr="00342B6D">
        <w:rPr>
          <w:rFonts w:ascii="Arial" w:eastAsia="Verdana" w:hAnsi="Arial" w:cs="Arial"/>
        </w:rPr>
        <w:t xml:space="preserve"> interest is calculated using a 365-day basis; interest is paid on the maturity date; no adjustment is made to the interest value and date where a relevant date occurs on a non-working day.</w:t>
      </w:r>
    </w:p>
    <w:p w14:paraId="0664959E" w14:textId="77777777" w:rsidR="00795BE0" w:rsidRPr="00C41280" w:rsidRDefault="00795BE0" w:rsidP="00795BE0">
      <w:pPr>
        <w:rPr>
          <w:rFonts w:ascii="Arial" w:hAnsi="Arial" w:cs="Arial"/>
          <w:highlight w:val="yellow"/>
        </w:rPr>
      </w:pPr>
    </w:p>
    <w:p w14:paraId="5BCC931B" w14:textId="77777777" w:rsidR="00795BE0" w:rsidRPr="0007572B" w:rsidRDefault="00795BE0" w:rsidP="00795BE0">
      <w:pPr>
        <w:ind w:left="360"/>
        <w:rPr>
          <w:rFonts w:ascii="Arial" w:hAnsi="Arial" w:cs="Arial"/>
        </w:rPr>
      </w:pPr>
      <w:r w:rsidRPr="00342B6D">
        <w:rPr>
          <w:rFonts w:ascii="Arial" w:hAnsi="Arial" w:cs="Arial"/>
        </w:rPr>
        <w:t>Loans and Borrowings of the Group are set out by type of loan and by maturity in the table below:</w:t>
      </w:r>
    </w:p>
    <w:p w14:paraId="5234624D" w14:textId="77777777" w:rsidR="00795BE0" w:rsidRPr="0007572B" w:rsidRDefault="00795BE0" w:rsidP="00795BE0">
      <w:pPr>
        <w:rPr>
          <w:rFonts w:ascii="Arial" w:hAnsi="Arial" w:cs="Arial"/>
        </w:rPr>
      </w:pPr>
    </w:p>
    <w:p w14:paraId="3EAC089A" w14:textId="64103E37" w:rsidR="00795BE0" w:rsidRPr="0007572B" w:rsidRDefault="00882716" w:rsidP="00795BE0">
      <w:pPr>
        <w:rPr>
          <w:rFonts w:ascii="Arial" w:hAnsi="Arial" w:cs="Arial"/>
        </w:rPr>
      </w:pPr>
      <w:r w:rsidRPr="00882716">
        <w:rPr>
          <w:noProof/>
        </w:rPr>
        <w:drawing>
          <wp:inline distT="0" distB="0" distL="0" distR="0" wp14:anchorId="3F4AE05D" wp14:editId="7EA2159F">
            <wp:extent cx="5975350" cy="3954780"/>
            <wp:effectExtent l="0" t="0" r="6350" b="762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5975350" cy="3954780"/>
                    </a:xfrm>
                    <a:prstGeom prst="rect">
                      <a:avLst/>
                    </a:prstGeom>
                    <a:noFill/>
                    <a:ln>
                      <a:noFill/>
                    </a:ln>
                  </pic:spPr>
                </pic:pic>
              </a:graphicData>
            </a:graphic>
          </wp:inline>
        </w:drawing>
      </w:r>
    </w:p>
    <w:p w14:paraId="68D2D39C" w14:textId="77777777" w:rsidR="00795BE0" w:rsidRPr="0007572B" w:rsidRDefault="00795BE0" w:rsidP="00795BE0">
      <w:pPr>
        <w:rPr>
          <w:rFonts w:ascii="Arial" w:hAnsi="Arial" w:cs="Arial"/>
          <w:b/>
          <w:sz w:val="22"/>
          <w:szCs w:val="22"/>
        </w:rPr>
      </w:pPr>
    </w:p>
    <w:p w14:paraId="32A7A275" w14:textId="77777777" w:rsidR="00882716" w:rsidRDefault="00882716">
      <w:pPr>
        <w:rPr>
          <w:rFonts w:ascii="Arial" w:eastAsia="Palatino Linotype" w:hAnsi="Arial" w:cs="Arial"/>
          <w:b/>
          <w:bCs/>
          <w:szCs w:val="28"/>
          <w:lang w:val="en-US"/>
        </w:rPr>
      </w:pPr>
      <w:bookmarkStart w:id="324" w:name="_Toc92894950"/>
      <w:bookmarkStart w:id="325" w:name="_Toc92895254"/>
      <w:r>
        <w:br w:type="page"/>
      </w:r>
    </w:p>
    <w:p w14:paraId="7B0CF570" w14:textId="2B24824E" w:rsidR="00795BE0" w:rsidRPr="0007572B" w:rsidRDefault="00795BE0" w:rsidP="00795BE0">
      <w:pPr>
        <w:pStyle w:val="Heading3greennumbered"/>
      </w:pPr>
      <w:bookmarkStart w:id="326" w:name="_Toc109922688"/>
      <w:r w:rsidRPr="0007572B">
        <w:t>5</w:t>
      </w:r>
      <w:r>
        <w:t>6</w:t>
      </w:r>
      <w:r w:rsidRPr="0007572B">
        <w:t xml:space="preserve"> Group Nature and Extent of Risks arising from Financial Instruments</w:t>
      </w:r>
      <w:bookmarkEnd w:id="324"/>
      <w:bookmarkEnd w:id="325"/>
      <w:bookmarkEnd w:id="326"/>
    </w:p>
    <w:p w14:paraId="3B30CDDD" w14:textId="77777777" w:rsidR="00795BE0" w:rsidRDefault="00795BE0" w:rsidP="00795BE0">
      <w:pPr>
        <w:rPr>
          <w:rFonts w:ascii="Arial" w:eastAsiaTheme="minorHAnsi" w:hAnsi="Arial" w:cs="Arial"/>
        </w:rPr>
      </w:pPr>
    </w:p>
    <w:p w14:paraId="5A565AA5" w14:textId="77777777" w:rsidR="00795BE0" w:rsidRPr="0007572B" w:rsidRDefault="00795BE0" w:rsidP="00795BE0">
      <w:pPr>
        <w:spacing w:after="160"/>
        <w:rPr>
          <w:rFonts w:ascii="Arial" w:eastAsiaTheme="minorHAnsi" w:hAnsi="Arial" w:cs="Arial"/>
        </w:rPr>
      </w:pPr>
      <w:r w:rsidRPr="0007572B">
        <w:rPr>
          <w:rFonts w:ascii="Arial" w:eastAsiaTheme="minorHAnsi" w:hAnsi="Arial" w:cs="Arial"/>
        </w:rPr>
        <w:t>The Authority’s risks are explained in note 30, this narrative covers the risk associated with TfGM, NWEH and</w:t>
      </w:r>
      <w:r w:rsidRPr="0007572B">
        <w:rPr>
          <w:rFonts w:ascii="Arial" w:eastAsiaTheme="minorHAnsi" w:hAnsi="Arial" w:cs="Arial"/>
          <w:color w:val="FF0000"/>
        </w:rPr>
        <w:t xml:space="preserve"> </w:t>
      </w:r>
      <w:r w:rsidRPr="0007572B">
        <w:rPr>
          <w:rFonts w:ascii="Arial" w:eastAsiaTheme="minorHAnsi" w:hAnsi="Arial" w:cs="Arial"/>
        </w:rPr>
        <w:t>FoFLP financial instruments.</w:t>
      </w:r>
    </w:p>
    <w:p w14:paraId="3DE05118" w14:textId="77777777" w:rsidR="00795BE0" w:rsidRPr="0007572B" w:rsidRDefault="00795BE0" w:rsidP="00795BE0">
      <w:pPr>
        <w:pStyle w:val="Heading4bold"/>
        <w:rPr>
          <w:rFonts w:eastAsiaTheme="minorHAnsi"/>
        </w:rPr>
      </w:pPr>
      <w:r w:rsidRPr="0007572B">
        <w:rPr>
          <w:rFonts w:eastAsiaTheme="minorHAnsi"/>
        </w:rPr>
        <w:t>Risk Factors</w:t>
      </w:r>
    </w:p>
    <w:p w14:paraId="6193E7CC" w14:textId="77777777" w:rsidR="00795BE0" w:rsidRPr="00716403" w:rsidRDefault="00795BE0" w:rsidP="00795BE0">
      <w:pPr>
        <w:pStyle w:val="Heading5underline"/>
      </w:pPr>
      <w:r w:rsidRPr="00716403">
        <w:t>TfGM</w:t>
      </w:r>
    </w:p>
    <w:p w14:paraId="02307466" w14:textId="77777777" w:rsidR="00795BE0" w:rsidRPr="00A333FE" w:rsidRDefault="00795BE0" w:rsidP="00795BE0">
      <w:pPr>
        <w:rPr>
          <w:rFonts w:ascii="Arial" w:eastAsiaTheme="minorHAnsi" w:hAnsi="Arial" w:cs="Arial"/>
        </w:rPr>
      </w:pPr>
      <w:r w:rsidRPr="00A333FE">
        <w:rPr>
          <w:rFonts w:ascii="Arial" w:eastAsiaTheme="minorHAnsi" w:hAnsi="Arial" w:cs="Arial"/>
        </w:rPr>
        <w:t xml:space="preserve">TfGM has a credit risk management policy that establishes guidelines and processes for credit risk assessments conducted on customer accounts, via a licence to Companywatch. Assessments consider historic financial information and an overall financial health score based on cashflow, balance sheet liquidity, and income and expenditure analysis. </w:t>
      </w:r>
    </w:p>
    <w:p w14:paraId="17EE2720" w14:textId="77777777" w:rsidR="00795BE0" w:rsidRPr="000162E7" w:rsidRDefault="00795BE0" w:rsidP="00795BE0">
      <w:pPr>
        <w:rPr>
          <w:rFonts w:ascii="Arial" w:eastAsiaTheme="minorHAnsi" w:hAnsi="Arial" w:cs="Arial"/>
          <w:highlight w:val="yellow"/>
        </w:rPr>
      </w:pPr>
    </w:p>
    <w:p w14:paraId="265FC7B4" w14:textId="77777777" w:rsidR="00795BE0" w:rsidRPr="0007572B" w:rsidRDefault="00795BE0" w:rsidP="00795BE0">
      <w:pPr>
        <w:rPr>
          <w:rFonts w:ascii="Arial" w:hAnsi="Arial" w:cs="Arial"/>
        </w:rPr>
      </w:pPr>
      <w:r w:rsidRPr="00AE4811">
        <w:rPr>
          <w:rFonts w:ascii="Arial" w:eastAsiaTheme="minorHAnsi" w:hAnsi="Arial" w:cs="Arial"/>
        </w:rPr>
        <w:t xml:space="preserve">As at 31 March </w:t>
      </w:r>
      <w:r>
        <w:rPr>
          <w:rFonts w:ascii="Arial" w:eastAsiaTheme="minorHAnsi" w:hAnsi="Arial" w:cs="Arial"/>
        </w:rPr>
        <w:t>2022</w:t>
      </w:r>
      <w:r w:rsidRPr="00AE4811">
        <w:rPr>
          <w:rFonts w:ascii="Arial" w:eastAsiaTheme="minorHAnsi" w:hAnsi="Arial" w:cs="Arial"/>
        </w:rPr>
        <w:t>,</w:t>
      </w:r>
      <w:r w:rsidRPr="0007572B">
        <w:rPr>
          <w:rFonts w:ascii="Arial" w:eastAsiaTheme="minorHAnsi" w:hAnsi="Arial" w:cs="Arial"/>
        </w:rPr>
        <w:t xml:space="preserve"> </w:t>
      </w:r>
      <w:r w:rsidRPr="00A77BA2">
        <w:rPr>
          <w:rFonts w:ascii="Arial" w:eastAsiaTheme="minorHAnsi" w:hAnsi="Arial" w:cs="Arial"/>
        </w:rPr>
        <w:t>a substantial proportion of the total debtors</w:t>
      </w:r>
      <w:r>
        <w:rPr>
          <w:rFonts w:ascii="Arial" w:eastAsiaTheme="minorHAnsi" w:hAnsi="Arial" w:cs="Arial"/>
        </w:rPr>
        <w:t xml:space="preserve"> </w:t>
      </w:r>
      <w:r w:rsidRPr="00AE4811">
        <w:rPr>
          <w:rFonts w:ascii="Arial" w:eastAsiaTheme="minorHAnsi" w:hAnsi="Arial" w:cs="Arial"/>
        </w:rPr>
        <w:t>relate to central government and local authority bodies which are deemed to be low credit risk</w:t>
      </w:r>
      <w:r w:rsidRPr="00AE4811">
        <w:rPr>
          <w:rFonts w:ascii="Arial" w:hAnsi="Arial" w:cs="Arial"/>
        </w:rPr>
        <w:t>.</w:t>
      </w:r>
    </w:p>
    <w:p w14:paraId="437CFD09" w14:textId="77777777" w:rsidR="00795BE0" w:rsidRPr="0007572B" w:rsidRDefault="00795BE0" w:rsidP="00795BE0">
      <w:pPr>
        <w:rPr>
          <w:rFonts w:ascii="Arial" w:eastAsiaTheme="minorHAnsi" w:hAnsi="Arial" w:cs="Arial"/>
        </w:rPr>
      </w:pPr>
      <w:r w:rsidRPr="0007572B">
        <w:rPr>
          <w:rFonts w:ascii="Arial" w:eastAsiaTheme="minorHAnsi" w:hAnsi="Arial" w:cs="Arial"/>
        </w:rPr>
        <w:t xml:space="preserve"> </w:t>
      </w:r>
    </w:p>
    <w:p w14:paraId="2D042866" w14:textId="0F2D5EA3" w:rsidR="00795BE0" w:rsidRPr="00235431" w:rsidRDefault="00795BE0" w:rsidP="00795BE0">
      <w:pPr>
        <w:rPr>
          <w:rFonts w:ascii="Arial" w:eastAsiaTheme="minorHAnsi" w:hAnsi="Arial" w:cs="Arial"/>
          <w:highlight w:val="yellow"/>
        </w:rPr>
      </w:pPr>
      <w:r w:rsidRPr="00AE4811">
        <w:rPr>
          <w:rFonts w:ascii="Arial" w:eastAsiaTheme="minorHAnsi" w:hAnsi="Arial" w:cs="Arial"/>
        </w:rPr>
        <w:t>The remaining £</w:t>
      </w:r>
      <w:r>
        <w:rPr>
          <w:rFonts w:ascii="Arial" w:eastAsiaTheme="minorHAnsi" w:hAnsi="Arial" w:cs="Arial"/>
        </w:rPr>
        <w:t>2</w:t>
      </w:r>
      <w:r w:rsidR="00235431">
        <w:rPr>
          <w:rFonts w:ascii="Arial" w:eastAsiaTheme="minorHAnsi" w:hAnsi="Arial" w:cs="Arial"/>
        </w:rPr>
        <w:t>5</w:t>
      </w:r>
      <w:r>
        <w:rPr>
          <w:rFonts w:ascii="Arial" w:eastAsiaTheme="minorHAnsi" w:hAnsi="Arial" w:cs="Arial"/>
        </w:rPr>
        <w:t>.</w:t>
      </w:r>
      <w:r w:rsidR="00235431">
        <w:rPr>
          <w:rFonts w:ascii="Arial" w:eastAsiaTheme="minorHAnsi" w:hAnsi="Arial" w:cs="Arial"/>
        </w:rPr>
        <w:t>6</w:t>
      </w:r>
      <w:r>
        <w:rPr>
          <w:rFonts w:ascii="Arial" w:eastAsiaTheme="minorHAnsi" w:hAnsi="Arial" w:cs="Arial"/>
        </w:rPr>
        <w:t>m</w:t>
      </w:r>
      <w:r w:rsidRPr="00AE4811">
        <w:rPr>
          <w:rFonts w:ascii="Arial" w:eastAsiaTheme="minorHAnsi" w:hAnsi="Arial" w:cs="Arial"/>
        </w:rPr>
        <w:t xml:space="preserve"> of debtors relate to other entities and individuals, including</w:t>
      </w:r>
      <w:r w:rsidR="00235431">
        <w:rPr>
          <w:rFonts w:ascii="Arial" w:eastAsiaTheme="minorHAnsi" w:hAnsi="Arial" w:cs="Arial"/>
        </w:rPr>
        <w:t xml:space="preserve"> £8.5m trade debtors, of which</w:t>
      </w:r>
      <w:r w:rsidRPr="00AE4811">
        <w:rPr>
          <w:rFonts w:ascii="Arial" w:eastAsiaTheme="minorHAnsi" w:hAnsi="Arial" w:cs="Arial"/>
        </w:rPr>
        <w:t xml:space="preserve"> </w:t>
      </w:r>
      <w:r>
        <w:rPr>
          <w:rFonts w:ascii="Arial" w:eastAsiaTheme="minorHAnsi" w:hAnsi="Arial" w:cs="Arial"/>
        </w:rPr>
        <w:t>56</w:t>
      </w:r>
      <w:r w:rsidRPr="00F17DC4">
        <w:rPr>
          <w:rFonts w:ascii="Arial" w:eastAsiaTheme="minorHAnsi" w:hAnsi="Arial" w:cs="Arial"/>
        </w:rPr>
        <w:t xml:space="preserve">% are past </w:t>
      </w:r>
      <w:r w:rsidRPr="00235431">
        <w:rPr>
          <w:rFonts w:ascii="Arial" w:eastAsiaTheme="minorHAnsi" w:hAnsi="Arial" w:cs="Arial"/>
        </w:rPr>
        <w:t>due, with 17% of these being in the more than 30 days past due category.</w:t>
      </w:r>
    </w:p>
    <w:p w14:paraId="138E9AA3" w14:textId="77777777" w:rsidR="00795BE0" w:rsidRPr="00235431" w:rsidRDefault="00795BE0" w:rsidP="00795BE0">
      <w:pPr>
        <w:rPr>
          <w:rFonts w:ascii="Arial" w:eastAsiaTheme="minorHAnsi" w:hAnsi="Arial" w:cs="Arial"/>
          <w:highlight w:val="yellow"/>
        </w:rPr>
      </w:pPr>
    </w:p>
    <w:p w14:paraId="60CF20ED" w14:textId="77777777" w:rsidR="00795BE0" w:rsidRPr="000162E7" w:rsidRDefault="00795BE0" w:rsidP="00795BE0">
      <w:pPr>
        <w:spacing w:after="160"/>
        <w:rPr>
          <w:rFonts w:ascii="Arial" w:eastAsiaTheme="minorHAnsi" w:hAnsi="Arial" w:cs="Arial"/>
        </w:rPr>
      </w:pPr>
      <w:r w:rsidRPr="000162E7">
        <w:rPr>
          <w:rFonts w:ascii="Arial" w:eastAsiaTheme="minorHAnsi" w:hAnsi="Arial" w:cs="Arial"/>
        </w:rPr>
        <w:t>A prudent view is taken in respect of impairment of trade debtors.</w:t>
      </w:r>
    </w:p>
    <w:p w14:paraId="052F0968" w14:textId="77777777" w:rsidR="00795BE0" w:rsidRPr="000162E7" w:rsidRDefault="00795BE0" w:rsidP="00795BE0">
      <w:pPr>
        <w:spacing w:after="160"/>
        <w:rPr>
          <w:rFonts w:ascii="Arial" w:eastAsiaTheme="minorHAnsi" w:hAnsi="Arial" w:cs="Arial"/>
        </w:rPr>
      </w:pPr>
      <w:r w:rsidRPr="000162E7">
        <w:rPr>
          <w:rFonts w:ascii="Arial" w:eastAsiaTheme="minorHAnsi" w:hAnsi="Arial" w:cs="Arial"/>
        </w:rPr>
        <w:t>TfGM bears no interest rate risk in relation to loans and borrowings, as all existing loans are at a fixed rate. Where required, short term funding for working capital is provided by GMCA at zero interest.</w:t>
      </w:r>
    </w:p>
    <w:p w14:paraId="78887E12" w14:textId="77777777" w:rsidR="00795BE0" w:rsidRPr="000162E7" w:rsidRDefault="00795BE0" w:rsidP="00795BE0">
      <w:pPr>
        <w:spacing w:after="160"/>
        <w:rPr>
          <w:rFonts w:ascii="Arial" w:eastAsiaTheme="minorHAnsi" w:hAnsi="Arial" w:cs="Arial"/>
        </w:rPr>
      </w:pPr>
      <w:r w:rsidRPr="000162E7">
        <w:rPr>
          <w:rFonts w:ascii="Arial" w:eastAsiaTheme="minorHAnsi" w:hAnsi="Arial" w:cs="Arial"/>
        </w:rPr>
        <w:t>Currency risk is not a significant factor for TfGM, as it ensures that substantially all financial assets and liabilities are contracted for in sterling. The value of contracts denominated in Euros is not material.</w:t>
      </w:r>
    </w:p>
    <w:p w14:paraId="27596796" w14:textId="77777777" w:rsidR="00795BE0" w:rsidRPr="000162E7" w:rsidRDefault="00795BE0" w:rsidP="00795BE0">
      <w:pPr>
        <w:spacing w:after="160"/>
        <w:rPr>
          <w:rFonts w:ascii="Arial" w:eastAsiaTheme="minorHAnsi" w:hAnsi="Arial" w:cs="Arial"/>
        </w:rPr>
      </w:pPr>
      <w:r w:rsidRPr="000162E7">
        <w:rPr>
          <w:rFonts w:ascii="Arial" w:eastAsiaTheme="minorHAnsi" w:hAnsi="Arial" w:cs="Arial"/>
        </w:rPr>
        <w:t>Equity price risk is not a factor for TfGM since it holds no tradable investments.</w:t>
      </w:r>
    </w:p>
    <w:p w14:paraId="2BE7A076" w14:textId="77777777" w:rsidR="00795BE0" w:rsidRPr="0007572B" w:rsidRDefault="00795BE0" w:rsidP="00795BE0">
      <w:pPr>
        <w:spacing w:after="160"/>
        <w:rPr>
          <w:rFonts w:ascii="Arial" w:eastAsiaTheme="minorHAnsi" w:hAnsi="Arial" w:cs="Arial"/>
        </w:rPr>
      </w:pPr>
      <w:r w:rsidRPr="002E200A">
        <w:rPr>
          <w:rFonts w:ascii="Arial" w:eastAsiaTheme="minorHAnsi" w:hAnsi="Arial" w:cs="Arial"/>
        </w:rPr>
        <w:t>Risks are managed in accordance with the Annual Governance Statement. Management of TfGM’s cash balances and funding requirements is undertaken by the daily assessment of available funds for short-term deposits; and the regular preparation of detailed treasury and cash flow forecasts which are reviewed by the Head of Finance and the Director of Finance and Corporate Services. Where necessary, mitigating actions are taken and agreement is sought from GMCA officers if further funding is required to cover, for example, short term cash flow requirements arising from the timing difference between expenditure and grant monies being applied for and received.</w:t>
      </w:r>
    </w:p>
    <w:p w14:paraId="7003A6D5" w14:textId="77777777" w:rsidR="00795BE0" w:rsidRDefault="00795BE0" w:rsidP="00795BE0">
      <w:pPr>
        <w:pStyle w:val="Heading5underline"/>
      </w:pPr>
      <w:r w:rsidRPr="0007572B">
        <w:t>NWEH and FoFLP (LPs)</w:t>
      </w:r>
    </w:p>
    <w:p w14:paraId="57241CA8" w14:textId="77777777" w:rsidR="00795BE0" w:rsidRPr="0007572B" w:rsidRDefault="00795BE0" w:rsidP="00795BE0">
      <w:pPr>
        <w:spacing w:after="160"/>
        <w:rPr>
          <w:rFonts w:ascii="Arial" w:eastAsiaTheme="minorHAnsi" w:hAnsi="Arial" w:cs="Arial"/>
        </w:rPr>
      </w:pPr>
      <w:r w:rsidRPr="0007572B">
        <w:rPr>
          <w:rFonts w:ascii="Arial" w:eastAsiaTheme="minorHAnsi" w:hAnsi="Arial" w:cs="Arial"/>
        </w:rPr>
        <w:t>The LPs’ principal risks are liquidity, credit and capital management, for which risk management programmes are in place to limit the adverse effect of such risks in their financial position.</w:t>
      </w:r>
    </w:p>
    <w:p w14:paraId="1F6C4CCC" w14:textId="77777777" w:rsidR="00795BE0" w:rsidRPr="00716403" w:rsidRDefault="00795BE0" w:rsidP="00795BE0">
      <w:pPr>
        <w:pStyle w:val="Heading5underline"/>
        <w:rPr>
          <w:w w:val="100"/>
        </w:rPr>
      </w:pPr>
      <w:r w:rsidRPr="00716403">
        <w:rPr>
          <w:w w:val="100"/>
        </w:rPr>
        <w:t>Liquidity risk</w:t>
      </w:r>
    </w:p>
    <w:p w14:paraId="18CAF9F1" w14:textId="77777777" w:rsidR="00795BE0" w:rsidRPr="0007572B" w:rsidRDefault="00795BE0" w:rsidP="00795BE0">
      <w:pPr>
        <w:spacing w:after="160"/>
        <w:rPr>
          <w:rFonts w:ascii="Arial" w:eastAsiaTheme="minorHAnsi" w:hAnsi="Arial" w:cs="Arial"/>
        </w:rPr>
      </w:pPr>
      <w:r w:rsidRPr="0007572B">
        <w:rPr>
          <w:rFonts w:ascii="Arial" w:eastAsiaTheme="minorHAnsi" w:hAnsi="Arial" w:cs="Arial"/>
        </w:rPr>
        <w:t xml:space="preserve">Liquidity risk is the risk that the LPs will have difficulty in meeting their obligations as and when they fall due. The LPs’ approach to liquidity is to utilise cash flow forecasting to ensure that they will always have sufficient liquidity to meet liabilities as and when they fall due without incurring unacceptable credit risk or risking damage to the LPs’ reputations. </w:t>
      </w:r>
    </w:p>
    <w:p w14:paraId="3DE33F22" w14:textId="77777777" w:rsidR="00795BE0" w:rsidRPr="0007572B" w:rsidRDefault="00795BE0" w:rsidP="00795BE0">
      <w:pPr>
        <w:pStyle w:val="Heading5underline"/>
      </w:pPr>
      <w:r w:rsidRPr="0007572B">
        <w:t>Credit risk</w:t>
      </w:r>
    </w:p>
    <w:p w14:paraId="51F9D81D" w14:textId="77777777" w:rsidR="00795BE0" w:rsidRPr="0007572B" w:rsidRDefault="00795BE0" w:rsidP="00795BE0">
      <w:pPr>
        <w:spacing w:after="160"/>
        <w:rPr>
          <w:rFonts w:ascii="Arial" w:eastAsiaTheme="minorHAnsi" w:hAnsi="Arial" w:cs="Arial"/>
        </w:rPr>
      </w:pPr>
      <w:r w:rsidRPr="0007572B">
        <w:rPr>
          <w:rFonts w:ascii="Arial" w:eastAsiaTheme="minorHAnsi" w:hAnsi="Arial" w:cs="Arial"/>
        </w:rPr>
        <w:t>Credit risk arises for the funds from both deposits with banks and credit exposures to borrowers.</w:t>
      </w:r>
    </w:p>
    <w:p w14:paraId="78E4A56D" w14:textId="77777777" w:rsidR="00795BE0" w:rsidRPr="00882716" w:rsidRDefault="00795BE0" w:rsidP="00795BE0">
      <w:pPr>
        <w:rPr>
          <w:rFonts w:ascii="Arial" w:eastAsiaTheme="minorHAnsi" w:hAnsi="Arial" w:cs="Arial"/>
        </w:rPr>
      </w:pPr>
      <w:r w:rsidRPr="0007572B">
        <w:rPr>
          <w:rFonts w:ascii="Arial" w:eastAsiaTheme="minorHAnsi" w:hAnsi="Arial" w:cs="Arial"/>
        </w:rPr>
        <w:t xml:space="preserve">The LPs’ credit risk in relation to bank deposits is minimised by following the GMCA’s Annual Investment Strategy, which requires that deposits are not made with financial institutions unless they meet identified minimum credit criteria, in accordance with the Fitch and Moody’s Ratings Services. The Annual Investment Strategy also imposes a maximum sum to be invested with a financial institution located within each category. Deposits are not made with banks and financial institutions unless they meet the </w:t>
      </w:r>
      <w:r w:rsidRPr="00ED0268">
        <w:rPr>
          <w:rFonts w:ascii="Arial" w:eastAsiaTheme="minorHAnsi" w:hAnsi="Arial" w:cs="Arial"/>
        </w:rPr>
        <w:t xml:space="preserve">minimum requirements of the investment criteria outlined in Note </w:t>
      </w:r>
      <w:r>
        <w:rPr>
          <w:rFonts w:ascii="Arial" w:eastAsiaTheme="minorHAnsi" w:hAnsi="Arial" w:cs="Arial"/>
        </w:rPr>
        <w:t>30</w:t>
      </w:r>
      <w:r w:rsidRPr="004A32D4">
        <w:rPr>
          <w:rFonts w:ascii="Arial" w:eastAsiaTheme="minorHAnsi" w:hAnsi="Arial" w:cs="Arial"/>
        </w:rPr>
        <w:t xml:space="preserve">. All investments held as at 31 March </w:t>
      </w:r>
      <w:r>
        <w:rPr>
          <w:rFonts w:ascii="Arial" w:eastAsiaTheme="minorHAnsi" w:hAnsi="Arial" w:cs="Arial"/>
        </w:rPr>
        <w:t>2022</w:t>
      </w:r>
      <w:r w:rsidRPr="004A32D4">
        <w:rPr>
          <w:rFonts w:ascii="Arial" w:eastAsiaTheme="minorHAnsi" w:hAnsi="Arial" w:cs="Arial"/>
        </w:rPr>
        <w:t xml:space="preserve"> were with the HM </w:t>
      </w:r>
      <w:r w:rsidRPr="00882716">
        <w:rPr>
          <w:rFonts w:ascii="Arial" w:eastAsiaTheme="minorHAnsi" w:hAnsi="Arial" w:cs="Arial"/>
        </w:rPr>
        <w:t xml:space="preserve">Treasury Debt Management Office, other local authorities or UK banks and building societies. </w:t>
      </w:r>
    </w:p>
    <w:p w14:paraId="76AB3F14" w14:textId="77777777" w:rsidR="00795BE0" w:rsidRPr="00882716" w:rsidRDefault="00795BE0" w:rsidP="00795BE0">
      <w:pPr>
        <w:rPr>
          <w:rFonts w:ascii="Arial" w:eastAsiaTheme="minorHAnsi" w:hAnsi="Arial" w:cs="Arial"/>
        </w:rPr>
      </w:pPr>
    </w:p>
    <w:p w14:paraId="229FE578" w14:textId="77777777" w:rsidR="00795BE0" w:rsidRPr="0007572B" w:rsidRDefault="00795BE0" w:rsidP="00795BE0">
      <w:pPr>
        <w:spacing w:after="160"/>
        <w:rPr>
          <w:rFonts w:ascii="Arial" w:eastAsiaTheme="minorHAnsi" w:hAnsi="Arial" w:cs="Arial"/>
        </w:rPr>
      </w:pPr>
      <w:r w:rsidRPr="00882716">
        <w:rPr>
          <w:rFonts w:ascii="Arial" w:eastAsiaTheme="minorHAnsi" w:hAnsi="Arial" w:cs="Arial"/>
        </w:rPr>
        <w:t xml:space="preserve">The Authority has not used any non-credit rated institutions </w:t>
      </w:r>
      <w:r w:rsidRPr="0007572B">
        <w:rPr>
          <w:rFonts w:ascii="Arial" w:eastAsiaTheme="minorHAnsi" w:hAnsi="Arial" w:cs="Arial"/>
        </w:rPr>
        <w:t>(for instance smaller building societies or bank subsidiaries where the parent has a satisfactory rating).</w:t>
      </w:r>
    </w:p>
    <w:p w14:paraId="6B32E22A" w14:textId="77777777" w:rsidR="00795BE0" w:rsidRPr="0007572B" w:rsidRDefault="00795BE0" w:rsidP="00795BE0">
      <w:pPr>
        <w:spacing w:after="160"/>
        <w:rPr>
          <w:rFonts w:ascii="Arial" w:eastAsiaTheme="minorHAnsi" w:hAnsi="Arial" w:cs="Arial"/>
        </w:rPr>
      </w:pPr>
      <w:r w:rsidRPr="0007572B">
        <w:rPr>
          <w:rFonts w:ascii="Arial" w:eastAsiaTheme="minorHAnsi" w:hAnsi="Arial" w:cs="Arial"/>
        </w:rPr>
        <w:t>The purpose of the LPs is to provide short term funding into urban development projects in the North-West via their sub-funds. This provides credit risk in relation to each borrower and project. The LPs manage this risk by setting agreed investment parameters under the Contingent Loan Agreements and the Investment Adviser and Operator Agreements in place, with detailed due diligence undertaken for all borrowers and projects.</w:t>
      </w:r>
    </w:p>
    <w:p w14:paraId="1A1B6098" w14:textId="77777777" w:rsidR="00795BE0" w:rsidRPr="0007572B" w:rsidRDefault="00795BE0" w:rsidP="00795BE0">
      <w:pPr>
        <w:spacing w:after="160"/>
        <w:rPr>
          <w:rFonts w:ascii="Arial" w:eastAsiaTheme="minorHAnsi" w:hAnsi="Arial" w:cs="Arial"/>
        </w:rPr>
      </w:pPr>
      <w:r w:rsidRPr="0007572B">
        <w:rPr>
          <w:rFonts w:ascii="Arial" w:eastAsiaTheme="minorHAnsi" w:hAnsi="Arial" w:cs="Arial"/>
        </w:rPr>
        <w:t xml:space="preserve">Each investment is subject to approval by the investment funds’ board, in addition to CBRE’s investment board as Investment Adviser to the funds. These are predominantly senior loans and as such carry prudent loan to values secured on tangible real estate assets. CBRE, in its capacity as Investment Adviser and Operator, monitor the projects throughout the loan term, reporting progress to the board and providing recommendations as appropriate. No defaults have been suffered by the funds to date, and none of the loans as at 31 March </w:t>
      </w:r>
      <w:r>
        <w:rPr>
          <w:rFonts w:ascii="Arial" w:eastAsiaTheme="minorHAnsi" w:hAnsi="Arial" w:cs="Arial"/>
        </w:rPr>
        <w:t>2022</w:t>
      </w:r>
      <w:r w:rsidRPr="0007572B">
        <w:rPr>
          <w:rFonts w:ascii="Arial" w:eastAsiaTheme="minorHAnsi" w:hAnsi="Arial" w:cs="Arial"/>
        </w:rPr>
        <w:t xml:space="preserve"> were in default.</w:t>
      </w:r>
    </w:p>
    <w:p w14:paraId="27555A19" w14:textId="77777777" w:rsidR="00795BE0" w:rsidRPr="0007572B" w:rsidRDefault="00795BE0" w:rsidP="00795BE0">
      <w:pPr>
        <w:pStyle w:val="Heading5underline"/>
      </w:pPr>
      <w:r w:rsidRPr="0007572B">
        <w:t>Capital management</w:t>
      </w:r>
    </w:p>
    <w:p w14:paraId="106E3160" w14:textId="77777777" w:rsidR="00795BE0" w:rsidRPr="0007572B" w:rsidRDefault="00795BE0" w:rsidP="00795BE0">
      <w:pPr>
        <w:spacing w:after="160"/>
        <w:rPr>
          <w:rFonts w:ascii="Arial" w:eastAsiaTheme="minorHAnsi" w:hAnsi="Arial" w:cs="Arial"/>
        </w:rPr>
      </w:pPr>
      <w:r w:rsidRPr="0007572B">
        <w:rPr>
          <w:rFonts w:ascii="Arial" w:eastAsiaTheme="minorHAnsi" w:hAnsi="Arial" w:cs="Arial"/>
        </w:rPr>
        <w:t>The LPs’ finance their operations through the management of working capital and ultimately from the support of their partners if required.</w:t>
      </w:r>
    </w:p>
    <w:p w14:paraId="6E68DD81" w14:textId="77777777" w:rsidR="00795BE0" w:rsidRDefault="00795BE0" w:rsidP="00795BE0">
      <w:pPr>
        <w:spacing w:after="160"/>
        <w:rPr>
          <w:rFonts w:ascii="Arial" w:eastAsiaTheme="minorHAnsi" w:hAnsi="Arial" w:cs="Arial"/>
          <w:b/>
        </w:rPr>
      </w:pPr>
    </w:p>
    <w:p w14:paraId="48068F74" w14:textId="77777777" w:rsidR="00795BE0" w:rsidRPr="0007572B" w:rsidRDefault="00795BE0" w:rsidP="00795BE0">
      <w:pPr>
        <w:pStyle w:val="Heading4bold"/>
        <w:rPr>
          <w:rFonts w:eastAsiaTheme="minorHAnsi"/>
        </w:rPr>
      </w:pPr>
      <w:r w:rsidRPr="0007572B">
        <w:rPr>
          <w:rFonts w:eastAsiaTheme="minorHAnsi"/>
        </w:rPr>
        <w:t>Hedging Instruments</w:t>
      </w:r>
    </w:p>
    <w:p w14:paraId="3EBA3D11" w14:textId="77777777" w:rsidR="00795BE0" w:rsidRPr="0007572B" w:rsidRDefault="00795BE0" w:rsidP="00795BE0">
      <w:pPr>
        <w:spacing w:after="160"/>
        <w:rPr>
          <w:rFonts w:ascii="Arial" w:eastAsiaTheme="minorHAnsi" w:hAnsi="Arial" w:cs="Arial"/>
        </w:rPr>
      </w:pPr>
      <w:r w:rsidRPr="0007572B">
        <w:rPr>
          <w:rFonts w:ascii="Arial" w:eastAsiaTheme="minorHAnsi" w:hAnsi="Arial" w:cs="Arial"/>
        </w:rPr>
        <w:t>Neither TfGM, NWEH nor FoFLP hold any financial instruments that could be classified as hedging instruments.</w:t>
      </w:r>
    </w:p>
    <w:p w14:paraId="09C58C8C" w14:textId="77777777" w:rsidR="00795BE0" w:rsidRPr="0007572B" w:rsidRDefault="00795BE0" w:rsidP="00795BE0">
      <w:pPr>
        <w:pStyle w:val="Heading3greennumbered"/>
      </w:pPr>
      <w:bookmarkStart w:id="327" w:name="_Toc92894951"/>
      <w:bookmarkStart w:id="328" w:name="_Toc92895255"/>
      <w:bookmarkStart w:id="329" w:name="_Toc109922689"/>
      <w:r w:rsidRPr="0007572B">
        <w:t>5</w:t>
      </w:r>
      <w:r>
        <w:t>7</w:t>
      </w:r>
      <w:r w:rsidRPr="0007572B">
        <w:t xml:space="preserve"> Group Related Party Transactions</w:t>
      </w:r>
      <w:bookmarkEnd w:id="327"/>
      <w:bookmarkEnd w:id="328"/>
      <w:bookmarkEnd w:id="329"/>
    </w:p>
    <w:p w14:paraId="7AAD8264" w14:textId="77777777" w:rsidR="00795BE0" w:rsidRPr="0007572B" w:rsidRDefault="00795BE0" w:rsidP="00795BE0">
      <w:pPr>
        <w:rPr>
          <w:rFonts w:ascii="Arial" w:hAnsi="Arial" w:cs="Arial"/>
        </w:rPr>
      </w:pPr>
    </w:p>
    <w:p w14:paraId="6D70249F" w14:textId="77777777" w:rsidR="00795BE0" w:rsidRPr="0007572B" w:rsidRDefault="00795BE0" w:rsidP="00795BE0">
      <w:pPr>
        <w:rPr>
          <w:rFonts w:ascii="Arial" w:eastAsiaTheme="minorHAnsi" w:hAnsi="Arial" w:cs="Arial"/>
        </w:rPr>
      </w:pPr>
      <w:r w:rsidRPr="0007572B">
        <w:rPr>
          <w:rFonts w:ascii="Arial" w:hAnsi="Arial" w:cs="Arial"/>
        </w:rPr>
        <w:t>The</w:t>
      </w:r>
      <w:r w:rsidRPr="0007572B">
        <w:rPr>
          <w:rFonts w:ascii="Arial" w:eastAsiaTheme="minorHAnsi" w:hAnsi="Arial" w:cs="Arial"/>
        </w:rPr>
        <w:t xml:space="preserve"> Group is required to disclose material transactions with related parties - bodies or individuals that have the potential to control or influence the Group or to be controlled or influenced by the Group. </w:t>
      </w:r>
    </w:p>
    <w:p w14:paraId="0239CFFE" w14:textId="77777777" w:rsidR="00795BE0" w:rsidRPr="0007572B" w:rsidRDefault="00795BE0" w:rsidP="00795BE0">
      <w:pPr>
        <w:rPr>
          <w:rFonts w:ascii="Arial" w:eastAsiaTheme="minorHAnsi" w:hAnsi="Arial" w:cs="Arial"/>
        </w:rPr>
      </w:pPr>
    </w:p>
    <w:p w14:paraId="7EECE9DC" w14:textId="77777777" w:rsidR="00795BE0" w:rsidRPr="0007572B" w:rsidRDefault="00795BE0" w:rsidP="00795BE0">
      <w:pPr>
        <w:rPr>
          <w:rFonts w:ascii="Arial" w:hAnsi="Arial" w:cs="Arial"/>
        </w:rPr>
      </w:pPr>
      <w:r w:rsidRPr="0007572B">
        <w:rPr>
          <w:rFonts w:ascii="Arial" w:hAnsi="Arial" w:cs="Arial"/>
        </w:rPr>
        <w:t>Transactions and balances between the Authority and its related parties are disclosed in note 31.</w:t>
      </w:r>
    </w:p>
    <w:p w14:paraId="61D48BAB" w14:textId="77777777" w:rsidR="00795BE0" w:rsidRPr="0007572B" w:rsidRDefault="00795BE0" w:rsidP="00795BE0">
      <w:pPr>
        <w:rPr>
          <w:rFonts w:ascii="Arial" w:hAnsi="Arial" w:cs="Arial"/>
        </w:rPr>
      </w:pPr>
    </w:p>
    <w:p w14:paraId="31FEFB82" w14:textId="77777777" w:rsidR="00795BE0" w:rsidRPr="0007572B" w:rsidRDefault="00795BE0" w:rsidP="00795BE0">
      <w:pPr>
        <w:rPr>
          <w:rFonts w:ascii="Arial" w:eastAsiaTheme="minorHAnsi" w:hAnsi="Arial" w:cs="Arial"/>
        </w:rPr>
      </w:pPr>
      <w:r w:rsidRPr="0007572B">
        <w:rPr>
          <w:rFonts w:ascii="Arial" w:hAnsi="Arial" w:cs="Arial"/>
        </w:rPr>
        <w:t>All intercompany balances have been removed for TfGM, which leaves none for disclosure in this</w:t>
      </w:r>
      <w:r w:rsidRPr="0007572B">
        <w:rPr>
          <w:rFonts w:ascii="Arial" w:eastAsiaTheme="minorHAnsi" w:hAnsi="Arial" w:cs="Arial"/>
        </w:rPr>
        <w:t xml:space="preserve"> note. All GMP related party balances have been removed on consolidation, the only remaining related party balance is with the Home Office, as disclosed on the CIES.</w:t>
      </w:r>
    </w:p>
    <w:p w14:paraId="1E0382A5" w14:textId="77777777" w:rsidR="00795BE0" w:rsidRPr="0007572B" w:rsidRDefault="00795BE0" w:rsidP="00795BE0">
      <w:pPr>
        <w:jc w:val="both"/>
        <w:rPr>
          <w:rFonts w:ascii="Arial" w:eastAsiaTheme="minorHAnsi" w:hAnsi="Arial" w:cs="Arial"/>
          <w:sz w:val="22"/>
          <w:szCs w:val="22"/>
        </w:rPr>
      </w:pPr>
    </w:p>
    <w:p w14:paraId="07B7B44F" w14:textId="2A6F0B93" w:rsidR="00795BE0" w:rsidRDefault="00795BE0" w:rsidP="00795BE0">
      <w:pPr>
        <w:rPr>
          <w:rFonts w:ascii="Arial" w:eastAsia="Palatino Linotype" w:hAnsi="Arial" w:cs="Arial"/>
          <w:b/>
          <w:bCs/>
          <w:szCs w:val="28"/>
          <w:lang w:val="en-US"/>
        </w:rPr>
      </w:pPr>
      <w:bookmarkStart w:id="330" w:name="_Toc92894952"/>
      <w:bookmarkStart w:id="331" w:name="_Toc92895256"/>
    </w:p>
    <w:p w14:paraId="2D8CEF4D" w14:textId="77777777" w:rsidR="00795BE0" w:rsidRPr="00B11466" w:rsidRDefault="00795BE0" w:rsidP="00795BE0">
      <w:pPr>
        <w:pStyle w:val="Heading3greennumbered"/>
      </w:pPr>
      <w:bookmarkStart w:id="332" w:name="_Toc109922690"/>
      <w:r w:rsidRPr="00B11466">
        <w:t>5</w:t>
      </w:r>
      <w:r>
        <w:t>8</w:t>
      </w:r>
      <w:r w:rsidRPr="00B11466">
        <w:t>a Group Cash Flow Statement - Adjustments to Net Cash Flows from Operating Activities</w:t>
      </w:r>
      <w:bookmarkEnd w:id="330"/>
      <w:bookmarkEnd w:id="331"/>
      <w:bookmarkEnd w:id="332"/>
    </w:p>
    <w:p w14:paraId="12C52415" w14:textId="77777777" w:rsidR="00795BE0" w:rsidRPr="0007572B" w:rsidRDefault="00795BE0" w:rsidP="00795BE0">
      <w:pPr>
        <w:rPr>
          <w:rFonts w:ascii="Arial" w:hAnsi="Arial" w:cs="Arial"/>
        </w:rPr>
      </w:pPr>
    </w:p>
    <w:p w14:paraId="3005FB91" w14:textId="77777777" w:rsidR="00795BE0" w:rsidRPr="0007572B" w:rsidRDefault="00795BE0" w:rsidP="00795BE0">
      <w:pPr>
        <w:rPr>
          <w:rFonts w:ascii="Arial" w:hAnsi="Arial" w:cs="Arial"/>
        </w:rPr>
      </w:pPr>
      <w:r w:rsidRPr="0007572B">
        <w:rPr>
          <w:rFonts w:ascii="Arial" w:hAnsi="Arial" w:cs="Arial"/>
        </w:rPr>
        <w:t>The cash flows for operating activities include the following items:</w:t>
      </w:r>
    </w:p>
    <w:p w14:paraId="7090BD85" w14:textId="77777777" w:rsidR="00795BE0" w:rsidRPr="0007572B" w:rsidRDefault="00795BE0" w:rsidP="00795BE0">
      <w:pPr>
        <w:rPr>
          <w:rFonts w:ascii="Arial" w:hAnsi="Arial" w:cs="Arial"/>
          <w:b/>
          <w:highlight w:val="yellow"/>
        </w:rPr>
      </w:pPr>
    </w:p>
    <w:p w14:paraId="7BC37AF8" w14:textId="73BE4BD4" w:rsidR="00795BE0" w:rsidRPr="0007572B" w:rsidRDefault="0080212E" w:rsidP="00795BE0">
      <w:pPr>
        <w:rPr>
          <w:rFonts w:ascii="Arial" w:hAnsi="Arial" w:cs="Arial"/>
          <w:b/>
        </w:rPr>
      </w:pPr>
      <w:r w:rsidRPr="0080212E">
        <w:rPr>
          <w:rFonts w:ascii="Arial" w:hAnsi="Arial" w:cs="Arial"/>
          <w:b/>
        </w:rPr>
        <w:t xml:space="preserve"> </w:t>
      </w:r>
      <w:r w:rsidRPr="0080212E">
        <w:rPr>
          <w:noProof/>
        </w:rPr>
        <w:drawing>
          <wp:inline distT="0" distB="0" distL="0" distR="0" wp14:anchorId="3303AADA" wp14:editId="3A629A18">
            <wp:extent cx="5497830" cy="3263900"/>
            <wp:effectExtent l="0" t="0" r="762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5497830" cy="3263900"/>
                    </a:xfrm>
                    <a:prstGeom prst="rect">
                      <a:avLst/>
                    </a:prstGeom>
                    <a:noFill/>
                    <a:ln>
                      <a:noFill/>
                    </a:ln>
                  </pic:spPr>
                </pic:pic>
              </a:graphicData>
            </a:graphic>
          </wp:inline>
        </w:drawing>
      </w:r>
    </w:p>
    <w:p w14:paraId="15516C6A" w14:textId="77777777" w:rsidR="00795BE0" w:rsidRDefault="00795BE0" w:rsidP="00795BE0">
      <w:pPr>
        <w:rPr>
          <w:rFonts w:ascii="Arial" w:hAnsi="Arial" w:cs="Arial"/>
          <w:b/>
          <w:bCs/>
          <w:color w:val="000000" w:themeColor="text1"/>
          <w:sz w:val="26"/>
          <w:szCs w:val="26"/>
        </w:rPr>
      </w:pPr>
    </w:p>
    <w:p w14:paraId="6FB8DCC5" w14:textId="77777777" w:rsidR="00795BE0" w:rsidRPr="0007572B" w:rsidRDefault="00795BE0" w:rsidP="00795BE0">
      <w:pPr>
        <w:pStyle w:val="Heading3greennumbered"/>
      </w:pPr>
      <w:bookmarkStart w:id="333" w:name="_Toc92894953"/>
      <w:bookmarkStart w:id="334" w:name="_Toc92895257"/>
      <w:bookmarkStart w:id="335" w:name="_Toc109922691"/>
      <w:r w:rsidRPr="0007572B">
        <w:t>5</w:t>
      </w:r>
      <w:r>
        <w:t>8</w:t>
      </w:r>
      <w:r w:rsidRPr="0007572B">
        <w:t>b Group Cash Flow Statement - Investing Activities</w:t>
      </w:r>
      <w:bookmarkEnd w:id="333"/>
      <w:bookmarkEnd w:id="334"/>
      <w:bookmarkEnd w:id="335"/>
    </w:p>
    <w:p w14:paraId="21FA6F99" w14:textId="77777777" w:rsidR="00795BE0" w:rsidRPr="0007572B" w:rsidRDefault="00795BE0" w:rsidP="00795BE0">
      <w:pPr>
        <w:rPr>
          <w:rFonts w:ascii="Arial" w:hAnsi="Arial" w:cs="Arial"/>
          <w:b/>
          <w:highlight w:val="yellow"/>
        </w:rPr>
      </w:pPr>
    </w:p>
    <w:p w14:paraId="1F980824" w14:textId="17A941A8" w:rsidR="00795BE0" w:rsidRPr="0007572B" w:rsidRDefault="0080212E" w:rsidP="00795BE0">
      <w:pPr>
        <w:rPr>
          <w:rFonts w:ascii="Arial" w:hAnsi="Arial" w:cs="Arial"/>
          <w:b/>
        </w:rPr>
      </w:pPr>
      <w:r w:rsidRPr="0080212E">
        <w:rPr>
          <w:noProof/>
        </w:rPr>
        <w:drawing>
          <wp:inline distT="0" distB="0" distL="0" distR="0" wp14:anchorId="303EE7D6" wp14:editId="468FD9F4">
            <wp:extent cx="5497830" cy="1232535"/>
            <wp:effectExtent l="0" t="0" r="7620" b="5715"/>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5497830" cy="1232535"/>
                    </a:xfrm>
                    <a:prstGeom prst="rect">
                      <a:avLst/>
                    </a:prstGeom>
                    <a:noFill/>
                    <a:ln>
                      <a:noFill/>
                    </a:ln>
                  </pic:spPr>
                </pic:pic>
              </a:graphicData>
            </a:graphic>
          </wp:inline>
        </w:drawing>
      </w:r>
    </w:p>
    <w:p w14:paraId="267D1277" w14:textId="77777777" w:rsidR="00795BE0" w:rsidRPr="0007572B" w:rsidRDefault="00795BE0" w:rsidP="00795BE0">
      <w:pPr>
        <w:rPr>
          <w:rFonts w:ascii="Arial" w:hAnsi="Arial" w:cs="Arial"/>
          <w:b/>
        </w:rPr>
      </w:pPr>
    </w:p>
    <w:p w14:paraId="273A1A5A" w14:textId="77777777" w:rsidR="00795BE0" w:rsidRPr="0007572B" w:rsidRDefault="00795BE0" w:rsidP="00795BE0">
      <w:pPr>
        <w:pStyle w:val="Heading3greennumbered"/>
      </w:pPr>
      <w:bookmarkStart w:id="336" w:name="_Toc92894954"/>
      <w:bookmarkStart w:id="337" w:name="_Toc92895258"/>
      <w:bookmarkStart w:id="338" w:name="_Toc109922692"/>
      <w:r w:rsidRPr="0007572B">
        <w:t>5</w:t>
      </w:r>
      <w:r>
        <w:t>8</w:t>
      </w:r>
      <w:r w:rsidRPr="0007572B">
        <w:t>c Group Cash Flow Statement - Financing Activities</w:t>
      </w:r>
      <w:bookmarkEnd w:id="336"/>
      <w:bookmarkEnd w:id="337"/>
      <w:bookmarkEnd w:id="338"/>
    </w:p>
    <w:p w14:paraId="7B11AE3B" w14:textId="77777777" w:rsidR="00795BE0" w:rsidRPr="0007572B" w:rsidRDefault="00795BE0" w:rsidP="00795BE0">
      <w:pPr>
        <w:rPr>
          <w:rFonts w:ascii="Arial" w:hAnsi="Arial" w:cs="Arial"/>
          <w:b/>
        </w:rPr>
      </w:pPr>
    </w:p>
    <w:p w14:paraId="70560ED5" w14:textId="3767E4E7" w:rsidR="00795BE0" w:rsidRPr="0007572B" w:rsidRDefault="0080212E" w:rsidP="00795BE0">
      <w:pPr>
        <w:rPr>
          <w:rFonts w:ascii="Arial" w:hAnsi="Arial" w:cs="Arial"/>
          <w:b/>
        </w:rPr>
      </w:pPr>
      <w:r w:rsidRPr="0080212E">
        <w:rPr>
          <w:noProof/>
        </w:rPr>
        <w:drawing>
          <wp:inline distT="0" distB="0" distL="0" distR="0" wp14:anchorId="0634958B" wp14:editId="0D0FEF9C">
            <wp:extent cx="5497830" cy="1099820"/>
            <wp:effectExtent l="0" t="0" r="7620" b="508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5497830" cy="1099820"/>
                    </a:xfrm>
                    <a:prstGeom prst="rect">
                      <a:avLst/>
                    </a:prstGeom>
                    <a:noFill/>
                    <a:ln>
                      <a:noFill/>
                    </a:ln>
                  </pic:spPr>
                </pic:pic>
              </a:graphicData>
            </a:graphic>
          </wp:inline>
        </w:drawing>
      </w:r>
    </w:p>
    <w:p w14:paraId="3083F5E5" w14:textId="77777777" w:rsidR="00795BE0" w:rsidRPr="0007572B" w:rsidRDefault="00795BE0" w:rsidP="00795BE0">
      <w:pPr>
        <w:rPr>
          <w:rFonts w:ascii="Arial" w:hAnsi="Arial" w:cs="Arial"/>
          <w:noProof/>
          <w:sz w:val="28"/>
          <w:szCs w:val="28"/>
          <w:lang w:eastAsia="en-GB"/>
        </w:rPr>
      </w:pPr>
    </w:p>
    <w:p w14:paraId="517D170D" w14:textId="77777777" w:rsidR="00795BE0" w:rsidRDefault="00795BE0" w:rsidP="00795BE0">
      <w:pPr>
        <w:rPr>
          <w:rFonts w:ascii="Arial" w:eastAsia="Palatino Linotype" w:hAnsi="Arial" w:cs="Arial"/>
          <w:b/>
          <w:bCs/>
          <w:szCs w:val="28"/>
          <w:lang w:val="en-US"/>
        </w:rPr>
      </w:pPr>
      <w:bookmarkStart w:id="339" w:name="_Toc92894955"/>
      <w:bookmarkStart w:id="340" w:name="_Toc92895259"/>
      <w:r>
        <w:br w:type="page"/>
      </w:r>
    </w:p>
    <w:p w14:paraId="46EA24CA" w14:textId="77777777" w:rsidR="00795BE0" w:rsidRPr="00B11466" w:rsidRDefault="00795BE0" w:rsidP="00795BE0">
      <w:pPr>
        <w:pStyle w:val="Heading3greennumbered"/>
      </w:pPr>
      <w:bookmarkStart w:id="341" w:name="_Toc109922693"/>
      <w:r w:rsidRPr="00B11466">
        <w:t>5</w:t>
      </w:r>
      <w:r>
        <w:t>8</w:t>
      </w:r>
      <w:r w:rsidRPr="00B11466">
        <w:t>d Group Cash Flow Statement – Reconciliation of Liabilities Arising from Financing Activities</w:t>
      </w:r>
      <w:bookmarkEnd w:id="339"/>
      <w:bookmarkEnd w:id="340"/>
      <w:bookmarkEnd w:id="341"/>
    </w:p>
    <w:p w14:paraId="1F9235C6" w14:textId="77777777" w:rsidR="00795BE0" w:rsidRDefault="00795BE0" w:rsidP="00795BE0">
      <w:pPr>
        <w:rPr>
          <w:rFonts w:ascii="Arial" w:hAnsi="Arial" w:cs="Arial"/>
          <w:b/>
        </w:rPr>
      </w:pPr>
    </w:p>
    <w:p w14:paraId="47259EFB" w14:textId="4D38EC1C" w:rsidR="00795BE0" w:rsidRDefault="0080212E" w:rsidP="00795BE0">
      <w:pPr>
        <w:rPr>
          <w:rFonts w:ascii="Arial" w:hAnsi="Arial" w:cs="Arial"/>
          <w:b/>
        </w:rPr>
      </w:pPr>
      <w:r w:rsidRPr="0080212E">
        <w:rPr>
          <w:noProof/>
        </w:rPr>
        <w:drawing>
          <wp:inline distT="0" distB="0" distL="0" distR="0" wp14:anchorId="76610B31" wp14:editId="690792E6">
            <wp:extent cx="5975350" cy="1021715"/>
            <wp:effectExtent l="0" t="0" r="6350" b="6985"/>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5975350" cy="1021715"/>
                    </a:xfrm>
                    <a:prstGeom prst="rect">
                      <a:avLst/>
                    </a:prstGeom>
                    <a:noFill/>
                    <a:ln>
                      <a:noFill/>
                    </a:ln>
                  </pic:spPr>
                </pic:pic>
              </a:graphicData>
            </a:graphic>
          </wp:inline>
        </w:drawing>
      </w:r>
    </w:p>
    <w:p w14:paraId="0950E9EA" w14:textId="77777777" w:rsidR="00795BE0" w:rsidRPr="0007572B" w:rsidRDefault="00795BE0" w:rsidP="00795BE0">
      <w:pPr>
        <w:rPr>
          <w:rFonts w:ascii="Arial" w:hAnsi="Arial" w:cs="Arial"/>
          <w:b/>
        </w:rPr>
      </w:pPr>
    </w:p>
    <w:p w14:paraId="002A6A9D" w14:textId="102500B2" w:rsidR="00795BE0" w:rsidRPr="0007572B" w:rsidRDefault="0080212E"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Arial" w:hAnsi="Arial" w:cs="Arial"/>
          <w:b/>
          <w:color w:val="000000"/>
        </w:rPr>
      </w:pPr>
      <w:r w:rsidRPr="0080212E">
        <w:rPr>
          <w:noProof/>
        </w:rPr>
        <w:drawing>
          <wp:inline distT="0" distB="0" distL="0" distR="0" wp14:anchorId="433E6757" wp14:editId="41C8563B">
            <wp:extent cx="5975350" cy="1013460"/>
            <wp:effectExtent l="0" t="0" r="635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5975350" cy="1013460"/>
                    </a:xfrm>
                    <a:prstGeom prst="rect">
                      <a:avLst/>
                    </a:prstGeom>
                    <a:noFill/>
                    <a:ln>
                      <a:noFill/>
                    </a:ln>
                  </pic:spPr>
                </pic:pic>
              </a:graphicData>
            </a:graphic>
          </wp:inline>
        </w:drawing>
      </w:r>
    </w:p>
    <w:p w14:paraId="7648A9C7"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Arial" w:hAnsi="Arial" w:cs="Arial"/>
          <w:b/>
          <w:color w:val="000000"/>
        </w:rPr>
      </w:pPr>
    </w:p>
    <w:p w14:paraId="5CA61F98"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Arial" w:hAnsi="Arial" w:cs="Arial"/>
          <w:b/>
          <w:color w:val="000000"/>
          <w:sz w:val="22"/>
          <w:szCs w:val="22"/>
        </w:rPr>
        <w:sectPr w:rsidR="00795BE0" w:rsidRPr="0007572B" w:rsidSect="00322755">
          <w:pgSz w:w="11906" w:h="16838"/>
          <w:pgMar w:top="946" w:right="1416" w:bottom="1440" w:left="1080" w:header="283" w:footer="567" w:gutter="0"/>
          <w:cols w:space="708"/>
          <w:docGrid w:linePitch="360"/>
        </w:sectPr>
      </w:pPr>
    </w:p>
    <w:p w14:paraId="6C16EC73" w14:textId="77777777" w:rsidR="00795BE0" w:rsidRPr="0007572B" w:rsidRDefault="00795BE0" w:rsidP="00795BE0">
      <w:pPr>
        <w:pStyle w:val="Heading3greennumbered"/>
      </w:pPr>
      <w:bookmarkStart w:id="342" w:name="_Toc92894956"/>
      <w:bookmarkStart w:id="343" w:name="_Toc92895260"/>
      <w:bookmarkStart w:id="344" w:name="_Toc109922694"/>
      <w:r>
        <w:t>59</w:t>
      </w:r>
      <w:r w:rsidRPr="0007572B">
        <w:t xml:space="preserve"> Group Defined Benefit Pension Schemes</w:t>
      </w:r>
      <w:bookmarkEnd w:id="342"/>
      <w:bookmarkEnd w:id="343"/>
      <w:bookmarkEnd w:id="344"/>
    </w:p>
    <w:p w14:paraId="4679D6A3" w14:textId="77777777" w:rsidR="00795BE0" w:rsidRDefault="00795BE0" w:rsidP="00795BE0">
      <w:pPr>
        <w:rPr>
          <w:rFonts w:ascii="Arial" w:hAnsi="Arial" w:cs="Arial"/>
        </w:rPr>
      </w:pPr>
    </w:p>
    <w:p w14:paraId="4B2C038E" w14:textId="77777777" w:rsidR="00795BE0" w:rsidRPr="0007572B" w:rsidRDefault="00795BE0" w:rsidP="00795BE0">
      <w:pPr>
        <w:rPr>
          <w:rFonts w:ascii="Arial" w:hAnsi="Arial" w:cs="Arial"/>
        </w:rPr>
      </w:pPr>
      <w:r w:rsidRPr="0007572B">
        <w:rPr>
          <w:rFonts w:ascii="Arial" w:hAnsi="Arial" w:cs="Arial"/>
        </w:rPr>
        <w:t>Employees of the Group are divided between two separate defined benefit pension schemes:</w:t>
      </w:r>
    </w:p>
    <w:p w14:paraId="72913E57" w14:textId="77777777" w:rsidR="00795BE0" w:rsidRPr="0007572B" w:rsidRDefault="00795BE0" w:rsidP="00795BE0">
      <w:pPr>
        <w:rPr>
          <w:rFonts w:ascii="Arial" w:hAnsi="Arial" w:cs="Arial"/>
        </w:rPr>
      </w:pPr>
    </w:p>
    <w:p w14:paraId="4911950D" w14:textId="77777777" w:rsidR="00795BE0" w:rsidRPr="0007572B" w:rsidRDefault="00795BE0" w:rsidP="00795BE0">
      <w:pPr>
        <w:rPr>
          <w:rFonts w:ascii="Arial" w:hAnsi="Arial" w:cs="Arial"/>
        </w:rPr>
      </w:pPr>
      <w:r w:rsidRPr="0007572B">
        <w:rPr>
          <w:rFonts w:ascii="Arial" w:hAnsi="Arial" w:cs="Arial"/>
          <w:b/>
        </w:rPr>
        <w:t xml:space="preserve">The </w:t>
      </w:r>
      <w:r>
        <w:rPr>
          <w:rFonts w:ascii="Arial" w:hAnsi="Arial" w:cs="Arial"/>
          <w:b/>
        </w:rPr>
        <w:t xml:space="preserve">Fire Service Pension Scheme and the </w:t>
      </w:r>
      <w:r w:rsidRPr="0007572B">
        <w:rPr>
          <w:rFonts w:ascii="Arial" w:hAnsi="Arial" w:cs="Arial"/>
          <w:b/>
        </w:rPr>
        <w:t>Police Service Pension Scheme</w:t>
      </w:r>
      <w:r w:rsidRPr="0007572B">
        <w:rPr>
          <w:rFonts w:ascii="Arial" w:hAnsi="Arial" w:cs="Arial"/>
        </w:rPr>
        <w:t xml:space="preserve"> for its uniformed </w:t>
      </w:r>
      <w:r>
        <w:rPr>
          <w:rFonts w:ascii="Arial" w:hAnsi="Arial" w:cs="Arial"/>
        </w:rPr>
        <w:t xml:space="preserve">firefighters and </w:t>
      </w:r>
      <w:r w:rsidRPr="0007572B">
        <w:rPr>
          <w:rFonts w:ascii="Arial" w:hAnsi="Arial" w:cs="Arial"/>
        </w:rPr>
        <w:t xml:space="preserve">police officers </w:t>
      </w:r>
      <w:r>
        <w:rPr>
          <w:rFonts w:ascii="Arial" w:hAnsi="Arial" w:cs="Arial"/>
        </w:rPr>
        <w:t>–</w:t>
      </w:r>
      <w:r w:rsidRPr="0007572B">
        <w:rPr>
          <w:rFonts w:ascii="Arial" w:hAnsi="Arial" w:cs="Arial"/>
        </w:rPr>
        <w:t xml:space="preserve"> </w:t>
      </w:r>
      <w:r>
        <w:rPr>
          <w:rFonts w:ascii="Arial" w:hAnsi="Arial" w:cs="Arial"/>
        </w:rPr>
        <w:t xml:space="preserve">these are separate but similar unfunded schemes, </w:t>
      </w:r>
      <w:r w:rsidRPr="0007572B">
        <w:rPr>
          <w:rFonts w:ascii="Arial" w:hAnsi="Arial" w:cs="Arial"/>
        </w:rPr>
        <w:t>meaning that there are no investment assets built up to meet the pensions liabilities, and cash has to be generated to meet actual pensions payments as they eventually fall due.</w:t>
      </w:r>
    </w:p>
    <w:p w14:paraId="429000E5" w14:textId="77777777" w:rsidR="00795BE0" w:rsidRPr="0007572B" w:rsidRDefault="00795BE0" w:rsidP="00795BE0">
      <w:pPr>
        <w:rPr>
          <w:rFonts w:ascii="Arial" w:hAnsi="Arial" w:cs="Arial"/>
        </w:rPr>
      </w:pPr>
    </w:p>
    <w:p w14:paraId="297F1D9F" w14:textId="77777777" w:rsidR="00795BE0" w:rsidRDefault="00795BE0" w:rsidP="00795BE0">
      <w:pPr>
        <w:rPr>
          <w:rFonts w:ascii="Arial" w:hAnsi="Arial" w:cs="Arial"/>
        </w:rPr>
      </w:pPr>
      <w:r w:rsidRPr="0007572B">
        <w:rPr>
          <w:rFonts w:ascii="Arial" w:hAnsi="Arial" w:cs="Arial"/>
          <w:b/>
        </w:rPr>
        <w:t>The Local Government Pension Scheme</w:t>
      </w:r>
      <w:r w:rsidRPr="0007572B">
        <w:rPr>
          <w:rFonts w:ascii="Arial" w:hAnsi="Arial" w:cs="Arial"/>
        </w:rPr>
        <w:t xml:space="preserve"> for its other employees - this is a funded scheme, meaning that the Authority and employees pay its contributions into a fund, calculated at a level intended to balance the pensions liabilities with investment assets. The cost of retirement benefits is recognised in the Net Cost of Services when they are earned by employees, rather than when the benefits are eventually paid as pensions. However, the charge we are required to make against grant and precept income is based on the cash payable in the year, so the real cost of retirement benefits is reversed out of the Comprehensive Income and Expenditure Account in the Movement in Reserves Statement.</w:t>
      </w:r>
    </w:p>
    <w:p w14:paraId="0CA01ABB" w14:textId="77777777" w:rsidR="00795BE0" w:rsidRPr="0007572B" w:rsidRDefault="00795BE0" w:rsidP="00795BE0">
      <w:pPr>
        <w:rPr>
          <w:rFonts w:ascii="Arial" w:hAnsi="Arial" w:cs="Arial"/>
        </w:rPr>
      </w:pPr>
    </w:p>
    <w:p w14:paraId="752E33B9" w14:textId="77777777" w:rsidR="00795BE0" w:rsidRPr="003378D4" w:rsidRDefault="00795BE0" w:rsidP="00795BE0">
      <w:pPr>
        <w:pStyle w:val="Heading4bold"/>
      </w:pPr>
      <w:r w:rsidRPr="003378D4">
        <w:t>McCloud / Sargeant Judgement</w:t>
      </w:r>
    </w:p>
    <w:p w14:paraId="08833E77" w14:textId="77777777" w:rsidR="00795BE0" w:rsidRPr="003378D4" w:rsidRDefault="00795BE0" w:rsidP="00795BE0">
      <w:pPr>
        <w:rPr>
          <w:rFonts w:ascii="Arial" w:hAnsi="Arial" w:cs="Arial"/>
          <w:b/>
        </w:rPr>
      </w:pPr>
    </w:p>
    <w:p w14:paraId="2E001141" w14:textId="77777777" w:rsidR="00795BE0" w:rsidRPr="003378D4" w:rsidRDefault="00795BE0" w:rsidP="00795BE0">
      <w:pPr>
        <w:pStyle w:val="Heading5"/>
      </w:pPr>
      <w:r w:rsidRPr="003378D4">
        <w:t>Firefighters and Police Officers schemes</w:t>
      </w:r>
    </w:p>
    <w:p w14:paraId="53A2C307" w14:textId="77777777" w:rsidR="00795BE0" w:rsidRPr="003378D4" w:rsidRDefault="00795BE0" w:rsidP="00795BE0">
      <w:pPr>
        <w:pStyle w:val="Default"/>
        <w:rPr>
          <w:b/>
          <w:color w:val="auto"/>
          <w:szCs w:val="18"/>
        </w:rPr>
      </w:pPr>
    </w:p>
    <w:p w14:paraId="2620CA46" w14:textId="369D41B7" w:rsidR="00795BE0" w:rsidRPr="003378D4" w:rsidRDefault="00795BE0" w:rsidP="00795BE0">
      <w:pPr>
        <w:pStyle w:val="Default"/>
        <w:rPr>
          <w:bCs/>
          <w:color w:val="auto"/>
          <w:szCs w:val="18"/>
        </w:rPr>
      </w:pPr>
      <w:r w:rsidRPr="003378D4">
        <w:rPr>
          <w:bCs/>
          <w:color w:val="auto"/>
          <w:szCs w:val="18"/>
        </w:rPr>
        <w:t>Claims of age discrimination were brought in relation to the terms of transitional protection by groups of firefighters and members of the Judiciary in the McCloud/Sargeant legal case (referred to as "McCloud") and the Court of Appeal handed down its judgement on this claim on 20 December 2018, ruling that the transitional protection arrangements were discriminatory on the basis of age. As a result, the cost control element of the 2016 valuation was paused whilst the Government addressed the need to remedy this discrimination across all public service pension schemes.</w:t>
      </w:r>
      <w:r w:rsidR="003378D4">
        <w:rPr>
          <w:bCs/>
          <w:color w:val="auto"/>
          <w:szCs w:val="18"/>
        </w:rPr>
        <w:t xml:space="preserve"> </w:t>
      </w:r>
      <w:r w:rsidR="003378D4">
        <w:t>The cost cap mechanism for the 2016 valuation has since been un-paused and the calculations complete, with the outcome being no changes to benefits or contributions</w:t>
      </w:r>
    </w:p>
    <w:p w14:paraId="52FC9407" w14:textId="77777777" w:rsidR="00795BE0" w:rsidRPr="0080212E" w:rsidRDefault="00795BE0" w:rsidP="00795BE0">
      <w:pPr>
        <w:pStyle w:val="Default"/>
        <w:rPr>
          <w:bCs/>
          <w:color w:val="auto"/>
          <w:szCs w:val="18"/>
          <w:highlight w:val="yellow"/>
        </w:rPr>
      </w:pPr>
    </w:p>
    <w:p w14:paraId="3EC7BE03" w14:textId="77777777" w:rsidR="00795BE0" w:rsidRPr="003378D4" w:rsidRDefault="00795BE0" w:rsidP="00795BE0">
      <w:pPr>
        <w:pStyle w:val="Default"/>
        <w:rPr>
          <w:bCs/>
          <w:color w:val="auto"/>
          <w:szCs w:val="18"/>
        </w:rPr>
      </w:pPr>
      <w:r w:rsidRPr="003378D4">
        <w:rPr>
          <w:bCs/>
          <w:color w:val="auto"/>
          <w:szCs w:val="18"/>
        </w:rPr>
        <w:t>Past service costs were included in the 2018/19 and 2019/20 accounts and the 2020/21 service cost allows for the higher expected cost of accrual under McCloud.</w:t>
      </w:r>
    </w:p>
    <w:p w14:paraId="0FD16165" w14:textId="77777777" w:rsidR="00795BE0" w:rsidRPr="0080212E" w:rsidRDefault="00795BE0" w:rsidP="00795BE0">
      <w:pPr>
        <w:pStyle w:val="Default"/>
        <w:rPr>
          <w:bCs/>
          <w:color w:val="auto"/>
          <w:szCs w:val="18"/>
          <w:highlight w:val="yellow"/>
        </w:rPr>
      </w:pPr>
    </w:p>
    <w:p w14:paraId="741034A3" w14:textId="67C0CDE5" w:rsidR="00795BE0" w:rsidRDefault="00795BE0" w:rsidP="00795BE0">
      <w:pPr>
        <w:pStyle w:val="Default"/>
        <w:rPr>
          <w:bCs/>
          <w:color w:val="auto"/>
          <w:szCs w:val="18"/>
        </w:rPr>
      </w:pPr>
    </w:p>
    <w:p w14:paraId="6AA7B244" w14:textId="3E6EC002" w:rsidR="00465E32" w:rsidRDefault="00465E32" w:rsidP="00795BE0">
      <w:pPr>
        <w:pStyle w:val="Default"/>
        <w:rPr>
          <w:bCs/>
          <w:color w:val="auto"/>
          <w:szCs w:val="18"/>
        </w:rPr>
      </w:pPr>
    </w:p>
    <w:p w14:paraId="39C8D662" w14:textId="77777777" w:rsidR="00465E32" w:rsidRDefault="00465E32" w:rsidP="00795BE0">
      <w:pPr>
        <w:pStyle w:val="Default"/>
        <w:rPr>
          <w:bCs/>
          <w:color w:val="auto"/>
          <w:szCs w:val="18"/>
        </w:rPr>
      </w:pPr>
    </w:p>
    <w:p w14:paraId="2CC04189" w14:textId="77777777" w:rsidR="00795BE0" w:rsidRPr="0007572B" w:rsidRDefault="00795BE0" w:rsidP="00795BE0">
      <w:pPr>
        <w:pStyle w:val="Heading5"/>
      </w:pPr>
      <w:r w:rsidRPr="0007572B">
        <w:t>Local Government Scheme</w:t>
      </w:r>
    </w:p>
    <w:p w14:paraId="669EE308" w14:textId="77777777" w:rsidR="00795BE0" w:rsidRPr="0007572B" w:rsidRDefault="00795BE0" w:rsidP="00795BE0">
      <w:pPr>
        <w:pStyle w:val="Default"/>
        <w:rPr>
          <w:b/>
          <w:color w:val="auto"/>
          <w:szCs w:val="18"/>
        </w:rPr>
      </w:pPr>
    </w:p>
    <w:p w14:paraId="7878A7EF" w14:textId="67D620AA" w:rsidR="00795BE0" w:rsidRPr="00795E11" w:rsidRDefault="00795BE0" w:rsidP="00795BE0">
      <w:pPr>
        <w:rPr>
          <w:rFonts w:ascii="Arial" w:hAnsi="Arial" w:cs="Arial"/>
          <w:color w:val="000000"/>
        </w:rPr>
      </w:pPr>
      <w:r w:rsidRPr="00465E32">
        <w:rPr>
          <w:rFonts w:ascii="Arial" w:hAnsi="Arial" w:cs="Arial"/>
          <w:color w:val="000000"/>
        </w:rPr>
        <w:t>As the Authority made an allowance for McCloud in 2019/20, no further adjustments have been made in 2020/21</w:t>
      </w:r>
      <w:r w:rsidR="0080212E" w:rsidRPr="00465E32">
        <w:rPr>
          <w:rFonts w:ascii="Arial" w:hAnsi="Arial" w:cs="Arial"/>
          <w:color w:val="000000"/>
        </w:rPr>
        <w:t xml:space="preserve"> or 2021/22</w:t>
      </w:r>
      <w:r w:rsidRPr="00465E32">
        <w:rPr>
          <w:rFonts w:ascii="Arial" w:hAnsi="Arial" w:cs="Arial"/>
          <w:color w:val="000000"/>
        </w:rPr>
        <w:t>. The previous allowance within the balance sheet has been rolled forward and included in the balance sheet. No additional adjustment for McCloud has been added to the current service cost for 202</w:t>
      </w:r>
      <w:r w:rsidR="0080212E" w:rsidRPr="00465E32">
        <w:rPr>
          <w:rFonts w:ascii="Arial" w:hAnsi="Arial" w:cs="Arial"/>
          <w:color w:val="000000"/>
        </w:rPr>
        <w:t>1</w:t>
      </w:r>
      <w:r w:rsidRPr="00465E32">
        <w:rPr>
          <w:rFonts w:ascii="Arial" w:hAnsi="Arial" w:cs="Arial"/>
          <w:color w:val="000000"/>
        </w:rPr>
        <w:t>/2</w:t>
      </w:r>
      <w:r w:rsidR="0080212E" w:rsidRPr="00465E32">
        <w:rPr>
          <w:rFonts w:ascii="Arial" w:hAnsi="Arial" w:cs="Arial"/>
          <w:color w:val="000000"/>
        </w:rPr>
        <w:t>2</w:t>
      </w:r>
      <w:r w:rsidRPr="00465E32">
        <w:rPr>
          <w:rFonts w:ascii="Arial" w:hAnsi="Arial" w:cs="Arial"/>
          <w:color w:val="000000"/>
        </w:rPr>
        <w:t>.</w:t>
      </w:r>
    </w:p>
    <w:p w14:paraId="47CF6998" w14:textId="77777777" w:rsidR="00795BE0" w:rsidRPr="0007572B" w:rsidRDefault="00795BE0" w:rsidP="00795BE0">
      <w:pPr>
        <w:rPr>
          <w:rFonts w:ascii="Arial" w:hAnsi="Arial" w:cs="Arial"/>
          <w:b/>
          <w:bCs/>
          <w:color w:val="000000"/>
        </w:rPr>
      </w:pPr>
    </w:p>
    <w:p w14:paraId="7B12CA1A" w14:textId="77777777" w:rsidR="00795BE0" w:rsidRDefault="00795BE0" w:rsidP="00795BE0">
      <w:pPr>
        <w:rPr>
          <w:rFonts w:ascii="Arial" w:hAnsi="Arial" w:cs="Arial"/>
          <w:b/>
          <w:bCs/>
          <w:sz w:val="26"/>
          <w:szCs w:val="26"/>
        </w:rPr>
      </w:pPr>
      <w:r>
        <w:br w:type="page"/>
      </w:r>
    </w:p>
    <w:p w14:paraId="1AE03824" w14:textId="77777777" w:rsidR="00795BE0" w:rsidRPr="0007572B" w:rsidRDefault="00795BE0" w:rsidP="00795BE0">
      <w:pPr>
        <w:pStyle w:val="Heading4bold"/>
        <w:rPr>
          <w:lang w:eastAsia="en-GB"/>
        </w:rPr>
      </w:pPr>
      <w:r w:rsidRPr="0007572B">
        <w:t>Group Comprehensive Income and Expenditure Statement</w:t>
      </w:r>
    </w:p>
    <w:p w14:paraId="26D677C0" w14:textId="2C3043D2" w:rsidR="00795BE0" w:rsidRPr="0007572B" w:rsidRDefault="0080212E" w:rsidP="00795BE0">
      <w:pPr>
        <w:ind w:firstLine="720"/>
        <w:rPr>
          <w:rFonts w:ascii="Arial" w:hAnsi="Arial" w:cs="Arial"/>
          <w:b/>
        </w:rPr>
      </w:pPr>
      <w:r w:rsidRPr="0080212E">
        <w:rPr>
          <w:rFonts w:ascii="Arial" w:hAnsi="Arial" w:cs="Arial"/>
          <w:b/>
        </w:rPr>
        <w:t xml:space="preserve"> </w:t>
      </w:r>
      <w:r w:rsidRPr="0080212E">
        <w:rPr>
          <w:noProof/>
        </w:rPr>
        <w:drawing>
          <wp:inline distT="0" distB="0" distL="0" distR="0" wp14:anchorId="1C950A20" wp14:editId="46527738">
            <wp:extent cx="9177020" cy="2709545"/>
            <wp:effectExtent l="0" t="0" r="508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9177020" cy="2709545"/>
                    </a:xfrm>
                    <a:prstGeom prst="rect">
                      <a:avLst/>
                    </a:prstGeom>
                    <a:noFill/>
                    <a:ln>
                      <a:noFill/>
                    </a:ln>
                  </pic:spPr>
                </pic:pic>
              </a:graphicData>
            </a:graphic>
          </wp:inline>
        </w:drawing>
      </w:r>
    </w:p>
    <w:p w14:paraId="0CBCBCD9" w14:textId="77777777" w:rsidR="00795BE0" w:rsidRPr="0007572B" w:rsidRDefault="00795BE0" w:rsidP="00795BE0">
      <w:pPr>
        <w:rPr>
          <w:rFonts w:ascii="Arial" w:hAnsi="Arial" w:cs="Arial"/>
          <w:b/>
        </w:rPr>
      </w:pPr>
    </w:p>
    <w:p w14:paraId="3FA577DF" w14:textId="77777777" w:rsidR="00795BE0" w:rsidRPr="0007572B" w:rsidRDefault="00795BE0" w:rsidP="00795BE0">
      <w:pPr>
        <w:pStyle w:val="Heading4bold"/>
      </w:pPr>
      <w:r w:rsidRPr="0007572B">
        <w:t>Group Movement in Reserves Statement</w:t>
      </w:r>
    </w:p>
    <w:p w14:paraId="49F471D7" w14:textId="2AEAB788" w:rsidR="00795BE0" w:rsidRPr="0007572B" w:rsidRDefault="0080212E" w:rsidP="00795BE0">
      <w:pPr>
        <w:rPr>
          <w:rFonts w:ascii="Arial" w:hAnsi="Arial" w:cs="Arial"/>
          <w:noProof/>
          <w:sz w:val="28"/>
          <w:szCs w:val="28"/>
          <w:lang w:eastAsia="en-GB"/>
        </w:rPr>
      </w:pPr>
      <w:r w:rsidRPr="0080212E">
        <w:rPr>
          <w:noProof/>
        </w:rPr>
        <w:drawing>
          <wp:inline distT="0" distB="0" distL="0" distR="0" wp14:anchorId="397A737A" wp14:editId="083455F5">
            <wp:extent cx="9177020" cy="1014730"/>
            <wp:effectExtent l="0" t="0" r="508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9177020" cy="1014730"/>
                    </a:xfrm>
                    <a:prstGeom prst="rect">
                      <a:avLst/>
                    </a:prstGeom>
                    <a:noFill/>
                    <a:ln>
                      <a:noFill/>
                    </a:ln>
                  </pic:spPr>
                </pic:pic>
              </a:graphicData>
            </a:graphic>
          </wp:inline>
        </w:drawing>
      </w:r>
    </w:p>
    <w:p w14:paraId="41C0180D" w14:textId="77777777" w:rsidR="00795BE0" w:rsidRPr="0007572B" w:rsidRDefault="00795BE0" w:rsidP="00795BE0">
      <w:pPr>
        <w:rPr>
          <w:rFonts w:ascii="Arial" w:hAnsi="Arial" w:cs="Arial"/>
          <w:b/>
          <w:bCs/>
          <w:color w:val="000000"/>
        </w:rPr>
      </w:pPr>
    </w:p>
    <w:p w14:paraId="0167877D" w14:textId="77777777" w:rsidR="00795BE0" w:rsidRPr="0007572B" w:rsidRDefault="00795BE0" w:rsidP="00795BE0">
      <w:pPr>
        <w:pStyle w:val="Heading4bold"/>
        <w:rPr>
          <w:lang w:eastAsia="en-GB"/>
        </w:rPr>
      </w:pPr>
      <w:r w:rsidRPr="0007572B">
        <w:t>Group Pensions Assets and Liabilities Recognised in the Balance Sheet</w:t>
      </w:r>
    </w:p>
    <w:p w14:paraId="6A64B299" w14:textId="77777777" w:rsidR="0080212E" w:rsidRDefault="0080212E" w:rsidP="00795BE0">
      <w:r w:rsidRPr="0080212E">
        <w:rPr>
          <w:noProof/>
        </w:rPr>
        <w:drawing>
          <wp:inline distT="0" distB="0" distL="0" distR="0" wp14:anchorId="567ACE24" wp14:editId="0BDB899C">
            <wp:extent cx="9177020" cy="896620"/>
            <wp:effectExtent l="0" t="0" r="508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9177020" cy="896620"/>
                    </a:xfrm>
                    <a:prstGeom prst="rect">
                      <a:avLst/>
                    </a:prstGeom>
                    <a:noFill/>
                    <a:ln>
                      <a:noFill/>
                    </a:ln>
                  </pic:spPr>
                </pic:pic>
              </a:graphicData>
            </a:graphic>
          </wp:inline>
        </w:drawing>
      </w:r>
    </w:p>
    <w:p w14:paraId="7BC574F0" w14:textId="34248BCC" w:rsidR="00795BE0" w:rsidRDefault="00795BE0" w:rsidP="00795BE0">
      <w:pPr>
        <w:rPr>
          <w:rFonts w:ascii="Arial" w:hAnsi="Arial" w:cs="Arial"/>
          <w:b/>
          <w:bCs/>
          <w:sz w:val="26"/>
          <w:szCs w:val="26"/>
        </w:rPr>
      </w:pPr>
    </w:p>
    <w:p w14:paraId="612413AC" w14:textId="77777777" w:rsidR="00795BE0" w:rsidRPr="0007572B" w:rsidRDefault="00795BE0" w:rsidP="00795BE0">
      <w:pPr>
        <w:pStyle w:val="Heading4bold"/>
      </w:pPr>
      <w:r w:rsidRPr="0007572B">
        <w:t>Group Reconciliation of the present value of the scheme liabilities (Defined Benefit Obligations)</w:t>
      </w:r>
    </w:p>
    <w:p w14:paraId="401395DC" w14:textId="77777777" w:rsidR="00795BE0" w:rsidRPr="0007572B" w:rsidRDefault="00795BE0" w:rsidP="00795BE0">
      <w:pPr>
        <w:rPr>
          <w:rFonts w:ascii="Arial" w:hAnsi="Arial" w:cs="Arial"/>
          <w:b/>
          <w:bCs/>
          <w:color w:val="000000"/>
          <w:lang w:eastAsia="en-GB"/>
        </w:rPr>
      </w:pPr>
    </w:p>
    <w:p w14:paraId="4A68F3BC" w14:textId="409FB6E0" w:rsidR="00795BE0" w:rsidRPr="0007572B" w:rsidRDefault="0080212E" w:rsidP="00795BE0">
      <w:pPr>
        <w:rPr>
          <w:rFonts w:ascii="Arial" w:hAnsi="Arial" w:cs="Arial"/>
          <w:b/>
        </w:rPr>
      </w:pPr>
      <w:r w:rsidRPr="0080212E">
        <w:rPr>
          <w:noProof/>
        </w:rPr>
        <w:drawing>
          <wp:inline distT="0" distB="0" distL="0" distR="0" wp14:anchorId="562C675E" wp14:editId="1E797900">
            <wp:extent cx="9177020" cy="2384425"/>
            <wp:effectExtent l="0" t="0" r="508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9177020" cy="2384425"/>
                    </a:xfrm>
                    <a:prstGeom prst="rect">
                      <a:avLst/>
                    </a:prstGeom>
                    <a:noFill/>
                    <a:ln>
                      <a:noFill/>
                    </a:ln>
                  </pic:spPr>
                </pic:pic>
              </a:graphicData>
            </a:graphic>
          </wp:inline>
        </w:drawing>
      </w:r>
    </w:p>
    <w:p w14:paraId="375B52D5" w14:textId="77777777" w:rsidR="00795BE0" w:rsidRPr="0007572B" w:rsidRDefault="00795BE0" w:rsidP="00795BE0">
      <w:pPr>
        <w:rPr>
          <w:rFonts w:ascii="Arial" w:hAnsi="Arial" w:cs="Arial"/>
          <w:b/>
        </w:rPr>
      </w:pPr>
    </w:p>
    <w:p w14:paraId="45857F8F" w14:textId="77777777" w:rsidR="00795BE0" w:rsidRPr="0007572B" w:rsidRDefault="00795BE0" w:rsidP="00795BE0">
      <w:pPr>
        <w:jc w:val="center"/>
        <w:rPr>
          <w:rFonts w:ascii="Arial" w:hAnsi="Arial" w:cs="Arial"/>
          <w:b/>
          <w:sz w:val="36"/>
          <w:szCs w:val="36"/>
        </w:rPr>
        <w:sectPr w:rsidR="00795BE0" w:rsidRPr="0007572B" w:rsidSect="00B86BE8">
          <w:pgSz w:w="16838" w:h="11906" w:orient="landscape"/>
          <w:pgMar w:top="1080" w:right="946" w:bottom="1416" w:left="1440" w:header="283" w:footer="567" w:gutter="0"/>
          <w:cols w:space="708"/>
          <w:docGrid w:linePitch="360"/>
        </w:sectPr>
      </w:pPr>
    </w:p>
    <w:p w14:paraId="2D7B640C" w14:textId="77777777" w:rsidR="00795BE0" w:rsidRPr="0007572B" w:rsidRDefault="00795BE0" w:rsidP="00795BE0">
      <w:pPr>
        <w:pStyle w:val="Heading4bold"/>
        <w:rPr>
          <w:lang w:eastAsia="en-GB"/>
        </w:rPr>
      </w:pPr>
      <w:r w:rsidRPr="0007572B">
        <w:t>Reconciliation of movements in the fair value of the scheme assets</w:t>
      </w:r>
    </w:p>
    <w:p w14:paraId="71B9E4B1" w14:textId="77777777" w:rsidR="00795BE0" w:rsidRPr="0007572B" w:rsidRDefault="00795BE0" w:rsidP="00795BE0">
      <w:pPr>
        <w:rPr>
          <w:rFonts w:ascii="Arial" w:hAnsi="Arial" w:cs="Arial"/>
          <w:b/>
          <w:sz w:val="22"/>
          <w:szCs w:val="22"/>
        </w:rPr>
      </w:pPr>
    </w:p>
    <w:p w14:paraId="03874D52" w14:textId="138F4753" w:rsidR="00795BE0" w:rsidRPr="0007572B" w:rsidRDefault="0080212E" w:rsidP="00795BE0">
      <w:pPr>
        <w:rPr>
          <w:rFonts w:ascii="Arial" w:hAnsi="Arial" w:cs="Arial"/>
          <w:b/>
          <w:bCs/>
          <w:color w:val="000000"/>
          <w:sz w:val="22"/>
          <w:szCs w:val="22"/>
        </w:rPr>
      </w:pPr>
      <w:r w:rsidRPr="0080212E">
        <w:rPr>
          <w:noProof/>
        </w:rPr>
        <w:drawing>
          <wp:inline distT="0" distB="0" distL="0" distR="0" wp14:anchorId="14DAB93F" wp14:editId="5BC79AEC">
            <wp:extent cx="5561330" cy="1910080"/>
            <wp:effectExtent l="0" t="0" r="127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5561330" cy="1910080"/>
                    </a:xfrm>
                    <a:prstGeom prst="rect">
                      <a:avLst/>
                    </a:prstGeom>
                    <a:noFill/>
                    <a:ln>
                      <a:noFill/>
                    </a:ln>
                  </pic:spPr>
                </pic:pic>
              </a:graphicData>
            </a:graphic>
          </wp:inline>
        </w:drawing>
      </w:r>
    </w:p>
    <w:p w14:paraId="78ADEF5E" w14:textId="77777777" w:rsidR="00795BE0" w:rsidRDefault="00795BE0" w:rsidP="00795BE0">
      <w:pPr>
        <w:rPr>
          <w:rFonts w:ascii="Arial" w:hAnsi="Arial" w:cs="Arial"/>
          <w:b/>
          <w:bCs/>
        </w:rPr>
      </w:pPr>
      <w:r>
        <w:br w:type="page"/>
      </w:r>
    </w:p>
    <w:p w14:paraId="43C4EC46" w14:textId="77777777" w:rsidR="00795BE0" w:rsidRPr="0007572B" w:rsidRDefault="00795BE0" w:rsidP="00795BE0">
      <w:pPr>
        <w:pStyle w:val="Heading4bold"/>
        <w:rPr>
          <w:lang w:eastAsia="en-GB"/>
        </w:rPr>
      </w:pPr>
      <w:r w:rsidRPr="0007572B">
        <w:t>Local Government Pension Scheme assets comprised:</w:t>
      </w:r>
    </w:p>
    <w:p w14:paraId="49CCEEE3" w14:textId="77777777" w:rsidR="00795BE0" w:rsidRDefault="00795BE0" w:rsidP="00795BE0">
      <w:pPr>
        <w:rPr>
          <w:rFonts w:ascii="Arial" w:hAnsi="Arial" w:cs="Arial"/>
          <w:b/>
          <w:sz w:val="22"/>
          <w:szCs w:val="22"/>
        </w:rPr>
      </w:pPr>
    </w:p>
    <w:p w14:paraId="74A90E78" w14:textId="7004FC48" w:rsidR="0080212E" w:rsidRPr="0007572B" w:rsidRDefault="00A04862" w:rsidP="00795BE0">
      <w:pPr>
        <w:rPr>
          <w:rFonts w:ascii="Arial" w:hAnsi="Arial" w:cs="Arial"/>
          <w:b/>
          <w:sz w:val="22"/>
          <w:szCs w:val="22"/>
        </w:rPr>
        <w:sectPr w:rsidR="0080212E" w:rsidRPr="0007572B" w:rsidSect="00B86BE8">
          <w:pgSz w:w="16838" w:h="11906" w:orient="landscape"/>
          <w:pgMar w:top="1080" w:right="946" w:bottom="1416" w:left="1440" w:header="283" w:footer="567" w:gutter="0"/>
          <w:cols w:space="708"/>
          <w:docGrid w:linePitch="360"/>
        </w:sectPr>
      </w:pPr>
      <w:r w:rsidRPr="00A04862">
        <w:rPr>
          <w:noProof/>
        </w:rPr>
        <w:drawing>
          <wp:inline distT="0" distB="0" distL="0" distR="0" wp14:anchorId="2EE84CC4" wp14:editId="4D449CF5">
            <wp:extent cx="9177020" cy="4074160"/>
            <wp:effectExtent l="0" t="0" r="508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9177020" cy="4074160"/>
                    </a:xfrm>
                    <a:prstGeom prst="rect">
                      <a:avLst/>
                    </a:prstGeom>
                    <a:noFill/>
                    <a:ln>
                      <a:noFill/>
                    </a:ln>
                  </pic:spPr>
                </pic:pic>
              </a:graphicData>
            </a:graphic>
          </wp:inline>
        </w:drawing>
      </w:r>
    </w:p>
    <w:p w14:paraId="149D1805" w14:textId="77777777" w:rsidR="00795BE0" w:rsidRPr="0007572B" w:rsidRDefault="00795BE0" w:rsidP="00795BE0">
      <w:pPr>
        <w:pStyle w:val="Heading4bold"/>
        <w:rPr>
          <w:lang w:eastAsia="en-GB"/>
        </w:rPr>
      </w:pPr>
      <w:r w:rsidRPr="0007572B">
        <w:t>Assumptions</w:t>
      </w:r>
    </w:p>
    <w:p w14:paraId="69AF2632" w14:textId="63A52FC4" w:rsidR="00795BE0" w:rsidRDefault="0080212E" w:rsidP="00795BE0">
      <w:pPr>
        <w:rPr>
          <w:rFonts w:ascii="Arial" w:hAnsi="Arial" w:cs="Arial"/>
          <w:b/>
          <w:sz w:val="22"/>
          <w:szCs w:val="22"/>
        </w:rPr>
      </w:pPr>
      <w:r w:rsidRPr="0080212E">
        <w:rPr>
          <w:noProof/>
        </w:rPr>
        <w:drawing>
          <wp:inline distT="0" distB="0" distL="0" distR="0" wp14:anchorId="746E1CCA" wp14:editId="472EA60E">
            <wp:extent cx="9010650" cy="1655445"/>
            <wp:effectExtent l="0" t="0" r="0" b="1905"/>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9010650" cy="1655445"/>
                    </a:xfrm>
                    <a:prstGeom prst="rect">
                      <a:avLst/>
                    </a:prstGeom>
                    <a:noFill/>
                    <a:ln>
                      <a:noFill/>
                    </a:ln>
                  </pic:spPr>
                </pic:pic>
              </a:graphicData>
            </a:graphic>
          </wp:inline>
        </w:drawing>
      </w:r>
    </w:p>
    <w:p w14:paraId="7F5936B5" w14:textId="77777777" w:rsidR="00795BE0" w:rsidRPr="0007572B" w:rsidRDefault="00795BE0" w:rsidP="00795BE0">
      <w:pPr>
        <w:rPr>
          <w:rFonts w:ascii="Arial" w:hAnsi="Arial" w:cs="Arial"/>
          <w:b/>
          <w:sz w:val="22"/>
          <w:szCs w:val="22"/>
        </w:rPr>
      </w:pPr>
    </w:p>
    <w:p w14:paraId="42BF05FD" w14:textId="77777777" w:rsidR="00A32B6E" w:rsidRDefault="00A32B6E">
      <w:pPr>
        <w:rPr>
          <w:rFonts w:ascii="Arial" w:hAnsi="Arial" w:cs="Arial"/>
          <w:b/>
          <w:bCs/>
        </w:rPr>
      </w:pPr>
      <w:r>
        <w:br w:type="page"/>
      </w:r>
    </w:p>
    <w:p w14:paraId="1C94C933" w14:textId="3D3559B3" w:rsidR="00795BE0" w:rsidRPr="0007572B" w:rsidRDefault="00795BE0" w:rsidP="00795BE0">
      <w:pPr>
        <w:pStyle w:val="Heading4bold"/>
      </w:pPr>
      <w:r w:rsidRPr="0007572B">
        <w:t>Sensitivity Analysis</w:t>
      </w:r>
    </w:p>
    <w:p w14:paraId="36EB7EB5" w14:textId="77777777" w:rsidR="00795BE0" w:rsidRDefault="00795BE0" w:rsidP="00795BE0">
      <w:pPr>
        <w:rPr>
          <w:rFonts w:ascii="Arial" w:hAnsi="Arial" w:cs="Arial"/>
          <w:b/>
          <w:sz w:val="22"/>
          <w:szCs w:val="22"/>
        </w:rPr>
      </w:pPr>
    </w:p>
    <w:p w14:paraId="0368C1B2" w14:textId="625DA2A4" w:rsidR="00795BE0" w:rsidRPr="0007572B" w:rsidRDefault="00A32B6E" w:rsidP="00795BE0">
      <w:pPr>
        <w:rPr>
          <w:rFonts w:ascii="Arial" w:hAnsi="Arial" w:cs="Arial"/>
          <w:b/>
          <w:sz w:val="22"/>
          <w:szCs w:val="22"/>
        </w:rPr>
        <w:sectPr w:rsidR="00795BE0" w:rsidRPr="0007572B" w:rsidSect="00B86BE8">
          <w:pgSz w:w="16838" w:h="11906" w:orient="landscape"/>
          <w:pgMar w:top="1080" w:right="946" w:bottom="1416" w:left="1440" w:header="283" w:footer="567" w:gutter="0"/>
          <w:cols w:space="708"/>
          <w:docGrid w:linePitch="360"/>
        </w:sectPr>
      </w:pPr>
      <w:r w:rsidRPr="00A32B6E">
        <w:rPr>
          <w:noProof/>
        </w:rPr>
        <w:drawing>
          <wp:inline distT="0" distB="0" distL="0" distR="0" wp14:anchorId="7885D0BF" wp14:editId="6DAB5EB8">
            <wp:extent cx="5561330" cy="4450715"/>
            <wp:effectExtent l="0" t="0" r="1270" b="6985"/>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5561330" cy="4450715"/>
                    </a:xfrm>
                    <a:prstGeom prst="rect">
                      <a:avLst/>
                    </a:prstGeom>
                    <a:noFill/>
                    <a:ln>
                      <a:noFill/>
                    </a:ln>
                  </pic:spPr>
                </pic:pic>
              </a:graphicData>
            </a:graphic>
          </wp:inline>
        </w:drawing>
      </w:r>
    </w:p>
    <w:p w14:paraId="64DB7844" w14:textId="77777777" w:rsidR="00795BE0" w:rsidRPr="0007572B" w:rsidRDefault="00795BE0" w:rsidP="00795BE0">
      <w:pPr>
        <w:pStyle w:val="Heading2green"/>
      </w:pPr>
      <w:bookmarkStart w:id="345" w:name="_Toc92895261"/>
      <w:bookmarkStart w:id="346" w:name="_Toc109922695"/>
      <w:r w:rsidRPr="0007572B">
        <w:t>Police Pension Fund</w:t>
      </w:r>
      <w:bookmarkEnd w:id="345"/>
      <w:bookmarkEnd w:id="346"/>
    </w:p>
    <w:p w14:paraId="52A1C828" w14:textId="77777777" w:rsidR="00795BE0" w:rsidRDefault="00795BE0" w:rsidP="00795BE0">
      <w:pPr>
        <w:rPr>
          <w:rFonts w:ascii="Arial" w:hAnsi="Arial" w:cs="Arial"/>
        </w:rPr>
      </w:pPr>
    </w:p>
    <w:p w14:paraId="23887F40" w14:textId="77777777" w:rsidR="00795BE0" w:rsidRPr="0007572B" w:rsidRDefault="00795BE0" w:rsidP="00795BE0">
      <w:pPr>
        <w:rPr>
          <w:rFonts w:ascii="Arial" w:hAnsi="Arial" w:cs="Arial"/>
        </w:rPr>
      </w:pPr>
      <w:r w:rsidRPr="0007572B">
        <w:rPr>
          <w:rFonts w:ascii="Arial" w:hAnsi="Arial" w:cs="Arial"/>
        </w:rPr>
        <w:t>The Police Pension Scheme is unfunded. Both employer and employee pension contributions are based on a percentage of pay, which is paid into the Pension Fund. The amounts that must be paid into and out of the Pension Fund are specified by the Police Pension Fund Regulations 2007 and do not include injury awards.</w:t>
      </w:r>
    </w:p>
    <w:p w14:paraId="46867020" w14:textId="77777777" w:rsidR="00795BE0" w:rsidRPr="0007572B" w:rsidRDefault="00795BE0" w:rsidP="00795BE0">
      <w:pPr>
        <w:pStyle w:val="Heading3"/>
      </w:pPr>
      <w:bookmarkStart w:id="347" w:name="_Toc92894958"/>
      <w:bookmarkStart w:id="348" w:name="_Toc92895262"/>
      <w:bookmarkStart w:id="349" w:name="_Toc109922696"/>
      <w:r w:rsidRPr="0007572B">
        <w:t>Police Pension Fund Account</w:t>
      </w:r>
      <w:bookmarkEnd w:id="347"/>
      <w:bookmarkEnd w:id="348"/>
      <w:bookmarkEnd w:id="349"/>
    </w:p>
    <w:p w14:paraId="2E88461B" w14:textId="77777777" w:rsidR="00795BE0" w:rsidRPr="0007572B" w:rsidRDefault="00795BE0" w:rsidP="00795BE0">
      <w:pPr>
        <w:rPr>
          <w:rFonts w:ascii="Arial" w:hAnsi="Arial" w:cs="Arial"/>
          <w:sz w:val="28"/>
          <w:szCs w:val="28"/>
        </w:rPr>
      </w:pPr>
    </w:p>
    <w:p w14:paraId="3CF6426A" w14:textId="436A7400" w:rsidR="00795BE0" w:rsidRPr="0007572B" w:rsidRDefault="00A32B6E" w:rsidP="00795BE0">
      <w:pPr>
        <w:rPr>
          <w:rFonts w:ascii="Arial" w:hAnsi="Arial" w:cs="Arial"/>
          <w:sz w:val="28"/>
          <w:szCs w:val="28"/>
        </w:rPr>
      </w:pPr>
      <w:r w:rsidRPr="00A32B6E">
        <w:rPr>
          <w:noProof/>
        </w:rPr>
        <w:drawing>
          <wp:inline distT="0" distB="0" distL="0" distR="0" wp14:anchorId="4BC0FC39" wp14:editId="429488EA">
            <wp:extent cx="5892800" cy="3837305"/>
            <wp:effectExtent l="0" t="0" r="0"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5892800" cy="3837305"/>
                    </a:xfrm>
                    <a:prstGeom prst="rect">
                      <a:avLst/>
                    </a:prstGeom>
                    <a:noFill/>
                    <a:ln>
                      <a:noFill/>
                    </a:ln>
                  </pic:spPr>
                </pic:pic>
              </a:graphicData>
            </a:graphic>
          </wp:inline>
        </w:drawing>
      </w:r>
    </w:p>
    <w:p w14:paraId="4E5EB6B9" w14:textId="77777777" w:rsidR="00795BE0" w:rsidRPr="0007572B" w:rsidRDefault="00795BE0" w:rsidP="00795BE0">
      <w:pPr>
        <w:rPr>
          <w:rFonts w:ascii="Arial" w:hAnsi="Arial" w:cs="Arial"/>
          <w:sz w:val="18"/>
          <w:szCs w:val="18"/>
        </w:rPr>
      </w:pPr>
    </w:p>
    <w:p w14:paraId="2294A55C" w14:textId="77777777" w:rsidR="00795BE0" w:rsidRPr="0007572B" w:rsidRDefault="00795BE0" w:rsidP="00795BE0">
      <w:pPr>
        <w:pStyle w:val="Heading3"/>
      </w:pPr>
      <w:bookmarkStart w:id="350" w:name="_Toc92894959"/>
      <w:bookmarkStart w:id="351" w:name="_Toc92895263"/>
      <w:bookmarkStart w:id="352" w:name="_Toc109922697"/>
      <w:r w:rsidRPr="0007572B">
        <w:t>Net asset statement</w:t>
      </w:r>
      <w:bookmarkEnd w:id="350"/>
      <w:bookmarkEnd w:id="351"/>
      <w:bookmarkEnd w:id="352"/>
    </w:p>
    <w:p w14:paraId="3B987F35" w14:textId="77777777" w:rsidR="00795BE0" w:rsidRPr="0007572B" w:rsidRDefault="00795BE0" w:rsidP="00795BE0">
      <w:pPr>
        <w:rPr>
          <w:rFonts w:ascii="Arial" w:hAnsi="Arial" w:cs="Arial"/>
          <w:sz w:val="18"/>
          <w:szCs w:val="18"/>
        </w:rPr>
      </w:pPr>
    </w:p>
    <w:p w14:paraId="6454E45A" w14:textId="3CE523C4" w:rsidR="00795BE0" w:rsidRPr="0007572B" w:rsidRDefault="00A32B6E" w:rsidP="00795BE0">
      <w:pPr>
        <w:rPr>
          <w:rFonts w:ascii="Arial" w:hAnsi="Arial" w:cs="Arial"/>
          <w:sz w:val="18"/>
          <w:szCs w:val="18"/>
        </w:rPr>
      </w:pPr>
      <w:r w:rsidRPr="00A32B6E">
        <w:rPr>
          <w:noProof/>
        </w:rPr>
        <w:drawing>
          <wp:inline distT="0" distB="0" distL="0" distR="0" wp14:anchorId="09BA05D6" wp14:editId="7D74D680">
            <wp:extent cx="5892800" cy="632460"/>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5892800" cy="632460"/>
                    </a:xfrm>
                    <a:prstGeom prst="rect">
                      <a:avLst/>
                    </a:prstGeom>
                    <a:noFill/>
                    <a:ln>
                      <a:noFill/>
                    </a:ln>
                  </pic:spPr>
                </pic:pic>
              </a:graphicData>
            </a:graphic>
          </wp:inline>
        </w:drawing>
      </w:r>
    </w:p>
    <w:p w14:paraId="27C93134" w14:textId="77777777" w:rsidR="00795BE0" w:rsidRDefault="00795BE0" w:rsidP="00795BE0">
      <w:pPr>
        <w:rPr>
          <w:rFonts w:ascii="Arial" w:hAnsi="Arial" w:cs="Arial"/>
          <w:b/>
          <w:bCs/>
          <w:sz w:val="26"/>
          <w:szCs w:val="26"/>
        </w:rPr>
      </w:pPr>
      <w:bookmarkStart w:id="353" w:name="_Toc92894960"/>
      <w:bookmarkStart w:id="354" w:name="_Toc92895264"/>
      <w:r>
        <w:br w:type="page"/>
      </w:r>
    </w:p>
    <w:p w14:paraId="6C716FEE" w14:textId="77777777" w:rsidR="00795BE0" w:rsidRPr="0007572B" w:rsidRDefault="00795BE0" w:rsidP="00795BE0">
      <w:pPr>
        <w:pStyle w:val="Heading3"/>
      </w:pPr>
      <w:bookmarkStart w:id="355" w:name="_Toc109922698"/>
      <w:r w:rsidRPr="0007572B">
        <w:t>Contribution rates</w:t>
      </w:r>
      <w:bookmarkEnd w:id="353"/>
      <w:bookmarkEnd w:id="354"/>
      <w:bookmarkEnd w:id="355"/>
    </w:p>
    <w:p w14:paraId="56DFE7B5" w14:textId="77777777" w:rsidR="00795BE0" w:rsidRPr="0007572B" w:rsidRDefault="00795BE0" w:rsidP="00795BE0">
      <w:pPr>
        <w:rPr>
          <w:rFonts w:ascii="Arial" w:hAnsi="Arial" w:cs="Arial"/>
          <w:b/>
        </w:rPr>
      </w:pPr>
    </w:p>
    <w:p w14:paraId="66C8FA78" w14:textId="55D78628" w:rsidR="00795BE0" w:rsidRPr="0007572B" w:rsidRDefault="00A32B6E" w:rsidP="00795BE0">
      <w:pPr>
        <w:rPr>
          <w:rFonts w:ascii="Arial" w:hAnsi="Arial" w:cs="Arial"/>
          <w:b/>
          <w:u w:val="single"/>
        </w:rPr>
      </w:pPr>
      <w:r w:rsidRPr="00A32B6E">
        <w:rPr>
          <w:noProof/>
        </w:rPr>
        <w:drawing>
          <wp:inline distT="0" distB="0" distL="0" distR="0" wp14:anchorId="2BA333ED" wp14:editId="6A8C5A57">
            <wp:extent cx="5892800" cy="1133475"/>
            <wp:effectExtent l="0" t="0" r="0" b="9525"/>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5892800" cy="1133475"/>
                    </a:xfrm>
                    <a:prstGeom prst="rect">
                      <a:avLst/>
                    </a:prstGeom>
                    <a:noFill/>
                    <a:ln>
                      <a:noFill/>
                    </a:ln>
                  </pic:spPr>
                </pic:pic>
              </a:graphicData>
            </a:graphic>
          </wp:inline>
        </w:drawing>
      </w:r>
    </w:p>
    <w:p w14:paraId="473DC721" w14:textId="77777777" w:rsidR="00795BE0" w:rsidRPr="0007572B" w:rsidRDefault="00795BE0" w:rsidP="00795BE0">
      <w:pPr>
        <w:rPr>
          <w:rFonts w:ascii="Arial" w:hAnsi="Arial" w:cs="Arial"/>
          <w:b/>
          <w:u w:val="single"/>
        </w:rPr>
      </w:pPr>
    </w:p>
    <w:p w14:paraId="280D084B" w14:textId="77777777" w:rsidR="00795BE0" w:rsidRPr="0007572B" w:rsidRDefault="00795BE0" w:rsidP="00795BE0">
      <w:pPr>
        <w:pStyle w:val="Heading3"/>
      </w:pPr>
      <w:bookmarkStart w:id="356" w:name="_Toc92894961"/>
      <w:bookmarkStart w:id="357" w:name="_Toc92895265"/>
      <w:bookmarkStart w:id="358" w:name="_Toc109922699"/>
      <w:r w:rsidRPr="0007572B">
        <w:t>Notes to the Police Pension Fund Account and Net Assets Statement</w:t>
      </w:r>
      <w:bookmarkEnd w:id="356"/>
      <w:bookmarkEnd w:id="357"/>
      <w:bookmarkEnd w:id="358"/>
    </w:p>
    <w:p w14:paraId="1703EDC8" w14:textId="77777777" w:rsidR="00795BE0" w:rsidRPr="0007572B" w:rsidRDefault="00795BE0" w:rsidP="00795BE0">
      <w:pPr>
        <w:ind w:left="142" w:hanging="142"/>
        <w:rPr>
          <w:rFonts w:ascii="Arial" w:hAnsi="Arial" w:cs="Arial"/>
        </w:rPr>
      </w:pPr>
    </w:p>
    <w:p w14:paraId="0CC5BE8B" w14:textId="77777777" w:rsidR="00795BE0" w:rsidRPr="0007572B" w:rsidRDefault="00795BE0" w:rsidP="00795BE0">
      <w:pPr>
        <w:pStyle w:val="AGS-Bullets"/>
        <w:numPr>
          <w:ilvl w:val="0"/>
          <w:numId w:val="0"/>
        </w:numPr>
        <w:rPr>
          <w:sz w:val="24"/>
          <w:szCs w:val="24"/>
        </w:rPr>
      </w:pPr>
      <w:r w:rsidRPr="0007572B">
        <w:rPr>
          <w:sz w:val="24"/>
          <w:szCs w:val="24"/>
        </w:rPr>
        <w:t>The Fund was established under the Police Pension Fund Regulations 2007 (SI 2007 no. 1932) and is administered and managed by the Chief Constable.</w:t>
      </w:r>
    </w:p>
    <w:p w14:paraId="192B8668" w14:textId="77777777" w:rsidR="00795BE0" w:rsidRPr="0007572B" w:rsidRDefault="00795BE0" w:rsidP="00795BE0">
      <w:pPr>
        <w:pStyle w:val="AGS-Bullets"/>
        <w:numPr>
          <w:ilvl w:val="0"/>
          <w:numId w:val="0"/>
        </w:numPr>
        <w:ind w:left="360"/>
        <w:rPr>
          <w:sz w:val="24"/>
          <w:szCs w:val="24"/>
        </w:rPr>
      </w:pPr>
    </w:p>
    <w:p w14:paraId="35D00831" w14:textId="77777777" w:rsidR="00795BE0" w:rsidRPr="0007572B" w:rsidRDefault="00795BE0" w:rsidP="00795BE0">
      <w:pPr>
        <w:pStyle w:val="AGS-Bullets"/>
        <w:numPr>
          <w:ilvl w:val="0"/>
          <w:numId w:val="0"/>
        </w:numPr>
        <w:rPr>
          <w:sz w:val="24"/>
          <w:szCs w:val="24"/>
        </w:rPr>
      </w:pPr>
      <w:r w:rsidRPr="0007572B">
        <w:rPr>
          <w:sz w:val="24"/>
          <w:szCs w:val="24"/>
        </w:rPr>
        <w:t>The Police Pension Scheme is an unfunded, defined benefit scheme. There are no investment assets. The fund is balanced to nil each year by a transfer from Greater Manchester Combined Authority, which is reclaimed from Central Government.</w:t>
      </w:r>
    </w:p>
    <w:p w14:paraId="08D7136D" w14:textId="77777777" w:rsidR="00795BE0" w:rsidRPr="0007572B" w:rsidRDefault="00795BE0" w:rsidP="00795BE0">
      <w:pPr>
        <w:pStyle w:val="AGS-Bullets"/>
        <w:numPr>
          <w:ilvl w:val="0"/>
          <w:numId w:val="0"/>
        </w:numPr>
        <w:rPr>
          <w:sz w:val="24"/>
          <w:szCs w:val="24"/>
        </w:rPr>
      </w:pPr>
    </w:p>
    <w:p w14:paraId="3E10E4FC" w14:textId="77777777" w:rsidR="00795BE0" w:rsidRPr="0007572B" w:rsidRDefault="00795BE0" w:rsidP="00795BE0">
      <w:pPr>
        <w:rPr>
          <w:rFonts w:ascii="Arial" w:hAnsi="Arial" w:cs="Arial"/>
        </w:rPr>
      </w:pPr>
      <w:r w:rsidRPr="0007572B">
        <w:rPr>
          <w:rFonts w:ascii="Arial" w:hAnsi="Arial" w:cs="Arial"/>
        </w:rPr>
        <w:t>Employer and employee contributions are paid into the Fund based on a percentage of pensionable pay set nationally by the Home Office and subject to triennial revaluation by the Government Actuary Department. (See the contribution rates table above).</w:t>
      </w:r>
    </w:p>
    <w:p w14:paraId="292D6DB7" w14:textId="77777777" w:rsidR="00795BE0" w:rsidRPr="0007572B" w:rsidRDefault="00795BE0" w:rsidP="00795BE0">
      <w:pPr>
        <w:pStyle w:val="AGS-Bullets"/>
        <w:numPr>
          <w:ilvl w:val="0"/>
          <w:numId w:val="0"/>
        </w:numPr>
        <w:rPr>
          <w:sz w:val="24"/>
          <w:szCs w:val="24"/>
        </w:rPr>
      </w:pPr>
    </w:p>
    <w:p w14:paraId="4ED6DAF9" w14:textId="77777777" w:rsidR="00795BE0" w:rsidRPr="0007572B" w:rsidRDefault="00795BE0" w:rsidP="00795BE0">
      <w:pPr>
        <w:pStyle w:val="AGS-Bullets"/>
        <w:numPr>
          <w:ilvl w:val="0"/>
          <w:numId w:val="0"/>
        </w:numPr>
        <w:rPr>
          <w:sz w:val="24"/>
          <w:szCs w:val="24"/>
        </w:rPr>
      </w:pPr>
      <w:r w:rsidRPr="0007572B">
        <w:rPr>
          <w:sz w:val="24"/>
          <w:szCs w:val="24"/>
        </w:rPr>
        <w:t>Benefits payable to scheme members are made from the Fund with the exception of injury awards, which are payable from revenue funds, as are administrative costs. Inward transfer values are paid into the Fund and outward transfer values are paid from the Fund.</w:t>
      </w:r>
    </w:p>
    <w:p w14:paraId="239B65F7" w14:textId="77777777" w:rsidR="00795BE0" w:rsidRPr="0007572B" w:rsidRDefault="00795BE0" w:rsidP="00795BE0">
      <w:pPr>
        <w:pStyle w:val="AGS-Bullets"/>
        <w:numPr>
          <w:ilvl w:val="0"/>
          <w:numId w:val="0"/>
        </w:numPr>
        <w:rPr>
          <w:sz w:val="24"/>
          <w:szCs w:val="24"/>
        </w:rPr>
      </w:pPr>
    </w:p>
    <w:p w14:paraId="1BA3709A" w14:textId="77777777" w:rsidR="00795BE0" w:rsidRPr="0007572B" w:rsidRDefault="00795BE0" w:rsidP="00795BE0">
      <w:pPr>
        <w:pStyle w:val="AGS-Bullets"/>
        <w:numPr>
          <w:ilvl w:val="0"/>
          <w:numId w:val="0"/>
        </w:numPr>
        <w:rPr>
          <w:sz w:val="24"/>
          <w:szCs w:val="24"/>
        </w:rPr>
      </w:pPr>
      <w:r w:rsidRPr="0007572B">
        <w:rPr>
          <w:sz w:val="24"/>
          <w:szCs w:val="24"/>
        </w:rPr>
        <w:t>The fund is balanced to zero each year. If income to the fund exceeds expenditure then the excess is paid to Greater Manchester Combined Authority. If expenditure exceeds income then Greater Manchester Combined Authority must fund the deficit. Greater Manchester Combined Authority pays any excess income to the Home Office and receives Police Pension Fund top up grant from the Home Office to fund any deficit.</w:t>
      </w:r>
    </w:p>
    <w:p w14:paraId="68237C70" w14:textId="77777777" w:rsidR="00795BE0" w:rsidRPr="0007572B" w:rsidRDefault="00795BE0" w:rsidP="00795BE0">
      <w:pPr>
        <w:pStyle w:val="AGS-Bullets"/>
        <w:numPr>
          <w:ilvl w:val="0"/>
          <w:numId w:val="0"/>
        </w:numPr>
        <w:rPr>
          <w:sz w:val="24"/>
          <w:szCs w:val="24"/>
        </w:rPr>
      </w:pPr>
    </w:p>
    <w:p w14:paraId="3469D33E" w14:textId="77777777" w:rsidR="00795BE0" w:rsidRPr="0007572B" w:rsidRDefault="00795BE0" w:rsidP="00795BE0">
      <w:pPr>
        <w:pStyle w:val="AGS-Bullets"/>
        <w:numPr>
          <w:ilvl w:val="0"/>
          <w:numId w:val="0"/>
        </w:numPr>
        <w:rPr>
          <w:sz w:val="24"/>
          <w:szCs w:val="24"/>
        </w:rPr>
      </w:pPr>
      <w:r w:rsidRPr="0007572B">
        <w:rPr>
          <w:sz w:val="24"/>
          <w:szCs w:val="24"/>
        </w:rPr>
        <w:t>The contributions receivable from the employer shown in the account are debited to the Chief Constable’s Comprehensive Income and Expenditure Statement. The additional contribution from Greater Manchester Combined Authority is debited in its accounts together with a matching grant from the Home Office.</w:t>
      </w:r>
    </w:p>
    <w:p w14:paraId="5AD9C358" w14:textId="77777777" w:rsidR="00795BE0" w:rsidRPr="0007572B" w:rsidRDefault="00795BE0" w:rsidP="00795BE0">
      <w:pPr>
        <w:pStyle w:val="AGS-Bullets"/>
        <w:numPr>
          <w:ilvl w:val="0"/>
          <w:numId w:val="0"/>
        </w:numPr>
        <w:rPr>
          <w:sz w:val="24"/>
          <w:szCs w:val="24"/>
        </w:rPr>
      </w:pPr>
    </w:p>
    <w:p w14:paraId="6F27EE4B" w14:textId="77777777" w:rsidR="00795BE0" w:rsidRPr="0007572B" w:rsidRDefault="00795BE0" w:rsidP="00795BE0">
      <w:pPr>
        <w:pStyle w:val="AGS-Bullets"/>
        <w:numPr>
          <w:ilvl w:val="0"/>
          <w:numId w:val="0"/>
        </w:numPr>
        <w:rPr>
          <w:sz w:val="24"/>
          <w:szCs w:val="24"/>
        </w:rPr>
      </w:pPr>
      <w:r w:rsidRPr="0007572B">
        <w:rPr>
          <w:sz w:val="24"/>
          <w:szCs w:val="24"/>
        </w:rPr>
        <w:t xml:space="preserve">The amount of Home Office grant outstanding at 31 March </w:t>
      </w:r>
      <w:r>
        <w:rPr>
          <w:sz w:val="24"/>
          <w:szCs w:val="24"/>
        </w:rPr>
        <w:t>2022</w:t>
      </w:r>
      <w:r w:rsidRPr="0007572B">
        <w:rPr>
          <w:sz w:val="24"/>
          <w:szCs w:val="24"/>
        </w:rPr>
        <w:t xml:space="preserve"> has been accrued and is shown in Greater Manchester Combined Authority’s Consolidated Balance Sheet.</w:t>
      </w:r>
    </w:p>
    <w:p w14:paraId="69ED9F97" w14:textId="77777777" w:rsidR="00795BE0" w:rsidRPr="0007572B" w:rsidRDefault="00795BE0" w:rsidP="00795BE0">
      <w:pPr>
        <w:pStyle w:val="AGS-Bullets"/>
        <w:numPr>
          <w:ilvl w:val="0"/>
          <w:numId w:val="0"/>
        </w:numPr>
        <w:rPr>
          <w:sz w:val="24"/>
          <w:szCs w:val="24"/>
        </w:rPr>
      </w:pPr>
    </w:p>
    <w:p w14:paraId="5C1056DE" w14:textId="77777777" w:rsidR="00795BE0" w:rsidRPr="0007572B" w:rsidRDefault="00795BE0" w:rsidP="00795BE0">
      <w:pPr>
        <w:pStyle w:val="AGS-Bullets"/>
        <w:numPr>
          <w:ilvl w:val="0"/>
          <w:numId w:val="0"/>
        </w:numPr>
        <w:rPr>
          <w:sz w:val="24"/>
          <w:szCs w:val="24"/>
        </w:rPr>
      </w:pPr>
      <w:r w:rsidRPr="0007572B">
        <w:rPr>
          <w:sz w:val="24"/>
          <w:szCs w:val="24"/>
        </w:rPr>
        <w:t xml:space="preserve">The Fund’s financial statements do not take into account liabilities to pay pensions after 31 March </w:t>
      </w:r>
      <w:r>
        <w:rPr>
          <w:sz w:val="24"/>
          <w:szCs w:val="24"/>
        </w:rPr>
        <w:t>2022</w:t>
      </w:r>
      <w:r w:rsidRPr="0007572B">
        <w:rPr>
          <w:sz w:val="24"/>
          <w:szCs w:val="24"/>
        </w:rPr>
        <w:t>. Liabilities to pay future payments are included in the IAS19 charges and notes to the Financial Statements.</w:t>
      </w:r>
    </w:p>
    <w:p w14:paraId="79E17BE1" w14:textId="77777777" w:rsidR="00795BE0" w:rsidRPr="0007572B" w:rsidRDefault="00795BE0" w:rsidP="00795BE0">
      <w:pPr>
        <w:pStyle w:val="AGS-Bullets"/>
        <w:numPr>
          <w:ilvl w:val="0"/>
          <w:numId w:val="0"/>
        </w:numPr>
        <w:rPr>
          <w:sz w:val="24"/>
          <w:szCs w:val="24"/>
        </w:rPr>
      </w:pPr>
    </w:p>
    <w:p w14:paraId="5A5A62E5" w14:textId="77777777" w:rsidR="00795BE0" w:rsidRPr="0007572B" w:rsidRDefault="00795BE0" w:rsidP="00795BE0">
      <w:pPr>
        <w:rPr>
          <w:rFonts w:ascii="Arial" w:hAnsi="Arial" w:cs="Arial"/>
        </w:rPr>
      </w:pPr>
      <w:r w:rsidRPr="0007572B">
        <w:rPr>
          <w:rFonts w:ascii="Arial" w:hAnsi="Arial" w:cs="Arial"/>
        </w:rPr>
        <w:t>The Fund’s Accounting Policies are set out in the notes to the Financial Statements.</w:t>
      </w:r>
    </w:p>
    <w:p w14:paraId="5890C448" w14:textId="77777777" w:rsidR="00795BE0" w:rsidRPr="0007572B" w:rsidRDefault="00795BE0" w:rsidP="00795BE0">
      <w:pPr>
        <w:rPr>
          <w:rFonts w:ascii="Arial" w:hAnsi="Arial" w:cs="Arial"/>
        </w:rPr>
      </w:pPr>
      <w:r w:rsidRPr="0007572B">
        <w:rPr>
          <w:rFonts w:ascii="Arial" w:hAnsi="Arial" w:cs="Arial"/>
        </w:rPr>
        <w:br w:type="page"/>
      </w:r>
    </w:p>
    <w:p w14:paraId="44C6D6DF" w14:textId="77777777" w:rsidR="00795BE0" w:rsidRPr="0007572B" w:rsidRDefault="00795BE0" w:rsidP="00795BE0">
      <w:pPr>
        <w:pStyle w:val="Heading2green"/>
      </w:pPr>
      <w:bookmarkStart w:id="359" w:name="_Toc92895266"/>
      <w:bookmarkStart w:id="360" w:name="_Toc109922700"/>
      <w:r w:rsidRPr="0007572B">
        <w:t>Glossary of Financial Terms</w:t>
      </w:r>
      <w:bookmarkEnd w:id="359"/>
      <w:bookmarkEnd w:id="360"/>
    </w:p>
    <w:p w14:paraId="1B2E0540" w14:textId="77777777" w:rsidR="00795BE0" w:rsidRPr="0007572B" w:rsidRDefault="00795BE0" w:rsidP="00795BE0">
      <w:pPr>
        <w:pStyle w:val="Heading3"/>
      </w:pPr>
      <w:bookmarkStart w:id="361" w:name="_Toc92894963"/>
      <w:bookmarkStart w:id="362" w:name="_Toc92895267"/>
      <w:bookmarkStart w:id="363" w:name="_Toc109922701"/>
      <w:r w:rsidRPr="0007572B">
        <w:t>Accounting Policies</w:t>
      </w:r>
      <w:bookmarkEnd w:id="361"/>
      <w:bookmarkEnd w:id="362"/>
      <w:bookmarkEnd w:id="363"/>
    </w:p>
    <w:p w14:paraId="4F8C32BA"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Arial" w:eastAsiaTheme="minorHAnsi" w:hAnsi="Arial" w:cs="Arial"/>
        </w:rPr>
      </w:pPr>
      <w:r w:rsidRPr="0007572B">
        <w:rPr>
          <w:rFonts w:ascii="Arial" w:hAnsi="Arial" w:cs="Arial"/>
          <w:color w:val="000000"/>
        </w:rPr>
        <w:t>Within</w:t>
      </w:r>
      <w:r w:rsidRPr="0007572B">
        <w:rPr>
          <w:rFonts w:ascii="Arial" w:eastAsiaTheme="minorHAnsi" w:hAnsi="Arial" w:cs="Arial"/>
        </w:rPr>
        <w:t xml:space="preserve"> the range of possible methods of accounting, a policy is a statement of the actual methods chosen locally and used to prepare these accounts.</w:t>
      </w:r>
    </w:p>
    <w:p w14:paraId="5082F88A" w14:textId="77777777" w:rsidR="00795BE0" w:rsidRPr="0007572B" w:rsidRDefault="00795BE0" w:rsidP="00795BE0">
      <w:pPr>
        <w:pStyle w:val="Heading3"/>
      </w:pPr>
      <w:bookmarkStart w:id="364" w:name="_Toc92894964"/>
      <w:bookmarkStart w:id="365" w:name="_Toc92895268"/>
      <w:bookmarkStart w:id="366" w:name="_Toc109922702"/>
      <w:r w:rsidRPr="0007572B">
        <w:t>Accruals</w:t>
      </w:r>
      <w:bookmarkEnd w:id="364"/>
      <w:bookmarkEnd w:id="365"/>
      <w:bookmarkEnd w:id="366"/>
    </w:p>
    <w:p w14:paraId="4B85A059"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Arial" w:eastAsiaTheme="minorHAnsi" w:hAnsi="Arial" w:cs="Arial"/>
        </w:rPr>
      </w:pPr>
      <w:r w:rsidRPr="0007572B">
        <w:rPr>
          <w:rFonts w:ascii="Arial" w:hAnsi="Arial" w:cs="Arial"/>
          <w:color w:val="000000"/>
        </w:rPr>
        <w:t>The concept that income and expenditure are recognised as they are earned or incurred, not</w:t>
      </w:r>
      <w:r w:rsidRPr="0007572B">
        <w:rPr>
          <w:rFonts w:ascii="Arial" w:eastAsiaTheme="minorHAnsi" w:hAnsi="Arial" w:cs="Arial"/>
        </w:rPr>
        <w:t xml:space="preserve"> as money is received or paid.</w:t>
      </w:r>
    </w:p>
    <w:p w14:paraId="6065447B" w14:textId="77777777" w:rsidR="00795BE0" w:rsidRPr="0007572B" w:rsidRDefault="00795BE0" w:rsidP="00795BE0">
      <w:pPr>
        <w:pStyle w:val="Heading3"/>
      </w:pPr>
      <w:bookmarkStart w:id="367" w:name="_Toc92894965"/>
      <w:bookmarkStart w:id="368" w:name="_Toc92895269"/>
      <w:bookmarkStart w:id="369" w:name="_Toc109922703"/>
      <w:r w:rsidRPr="0007572B">
        <w:t>Actuarial Gains and Losses</w:t>
      </w:r>
      <w:bookmarkEnd w:id="367"/>
      <w:bookmarkEnd w:id="368"/>
      <w:bookmarkEnd w:id="369"/>
    </w:p>
    <w:p w14:paraId="28010DD5"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Arial" w:hAnsi="Arial" w:cs="Arial"/>
        </w:rPr>
      </w:pPr>
      <w:r w:rsidRPr="0007572B">
        <w:rPr>
          <w:rFonts w:ascii="Arial" w:hAnsi="Arial" w:cs="Arial"/>
        </w:rPr>
        <w:t>This Re-measurement of the net defined benefit liability comprises actuarial gains and losses, the return on plan assets and any change in the effect of the asset ceiling. Actuarial gains and losses are changes in the present value of the defined benefit obligation arising from the effects of differences between the previous actuarial assumptions and what has occurred and the effects of changes in the actuarial assumptions</w:t>
      </w:r>
    </w:p>
    <w:p w14:paraId="4B7C747A" w14:textId="77777777" w:rsidR="00795BE0" w:rsidRPr="0007572B" w:rsidRDefault="00795BE0" w:rsidP="00795BE0">
      <w:pPr>
        <w:pStyle w:val="Heading3"/>
      </w:pPr>
      <w:bookmarkStart w:id="370" w:name="_Toc92894966"/>
      <w:bookmarkStart w:id="371" w:name="_Toc92895270"/>
      <w:bookmarkStart w:id="372" w:name="_Toc109922704"/>
      <w:r w:rsidRPr="0007572B">
        <w:t>Agency Services</w:t>
      </w:r>
      <w:bookmarkEnd w:id="370"/>
      <w:bookmarkEnd w:id="371"/>
      <w:bookmarkEnd w:id="372"/>
    </w:p>
    <w:p w14:paraId="008D4CD5"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jc w:val="both"/>
        <w:textAlignment w:val="baseline"/>
        <w:rPr>
          <w:rFonts w:ascii="Arial" w:hAnsi="Arial" w:cs="Arial"/>
          <w:color w:val="000000"/>
        </w:rPr>
      </w:pPr>
      <w:r w:rsidRPr="0007572B">
        <w:rPr>
          <w:rFonts w:ascii="Arial" w:hAnsi="Arial" w:cs="Arial"/>
          <w:color w:val="000000"/>
        </w:rPr>
        <w:t>Services that are performed by or for another authority or public body, where the authority responsible for the service reimburses the authority carrying out the work for the cost of that work.</w:t>
      </w:r>
    </w:p>
    <w:p w14:paraId="47C9390E" w14:textId="77777777" w:rsidR="00795BE0" w:rsidRPr="0007572B" w:rsidRDefault="00795BE0" w:rsidP="00795BE0">
      <w:pPr>
        <w:pStyle w:val="Heading3"/>
      </w:pPr>
      <w:bookmarkStart w:id="373" w:name="_Toc92894967"/>
      <w:bookmarkStart w:id="374" w:name="_Toc92895271"/>
      <w:bookmarkStart w:id="375" w:name="_Toc109922705"/>
      <w:r w:rsidRPr="0007572B">
        <w:t>Amortisation</w:t>
      </w:r>
      <w:bookmarkEnd w:id="373"/>
      <w:bookmarkEnd w:id="374"/>
      <w:bookmarkEnd w:id="375"/>
    </w:p>
    <w:p w14:paraId="0D9EB857"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jc w:val="both"/>
        <w:textAlignment w:val="baseline"/>
        <w:rPr>
          <w:rFonts w:ascii="Arial" w:hAnsi="Arial" w:cs="Arial"/>
          <w:color w:val="000000"/>
        </w:rPr>
      </w:pPr>
      <w:r w:rsidRPr="0007572B">
        <w:rPr>
          <w:rFonts w:ascii="Arial" w:hAnsi="Arial" w:cs="Arial"/>
          <w:color w:val="000000"/>
        </w:rPr>
        <w:t>A charge to the comprehensive income and expenditure statement spread over a number of years.</w:t>
      </w:r>
    </w:p>
    <w:p w14:paraId="1D128FEA" w14:textId="77777777" w:rsidR="00795BE0" w:rsidRPr="0007572B" w:rsidRDefault="00795BE0" w:rsidP="00795BE0">
      <w:pPr>
        <w:pStyle w:val="Heading3"/>
      </w:pPr>
      <w:bookmarkStart w:id="376" w:name="_Toc92894968"/>
      <w:bookmarkStart w:id="377" w:name="_Toc92895272"/>
      <w:bookmarkStart w:id="378" w:name="_Toc109922706"/>
      <w:r w:rsidRPr="0007572B">
        <w:t>Assets</w:t>
      </w:r>
      <w:bookmarkEnd w:id="376"/>
      <w:bookmarkEnd w:id="377"/>
      <w:bookmarkEnd w:id="378"/>
    </w:p>
    <w:p w14:paraId="6C27C139"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jc w:val="both"/>
        <w:textAlignment w:val="baseline"/>
        <w:rPr>
          <w:rFonts w:ascii="Arial" w:hAnsi="Arial" w:cs="Arial"/>
          <w:color w:val="000000"/>
        </w:rPr>
      </w:pPr>
      <w:r w:rsidRPr="0007572B">
        <w:rPr>
          <w:rFonts w:ascii="Arial" w:hAnsi="Arial" w:cs="Arial"/>
          <w:color w:val="000000"/>
        </w:rPr>
        <w:t>Items of worth that are measurable in terms of value. Current assets are ones that may change in value on a day-to-day basis (i.e. inventory). Non-current assets are assets that yield benefit to the Authority and Group for a period of more than one year (i.e. Metrolink trams).</w:t>
      </w:r>
    </w:p>
    <w:p w14:paraId="4C2C90E8" w14:textId="77777777" w:rsidR="00795BE0" w:rsidRPr="0007572B" w:rsidRDefault="00795BE0" w:rsidP="00795BE0">
      <w:pPr>
        <w:pStyle w:val="Heading3"/>
      </w:pPr>
      <w:bookmarkStart w:id="379" w:name="_Toc92894969"/>
      <w:bookmarkStart w:id="380" w:name="_Toc92895273"/>
      <w:bookmarkStart w:id="381" w:name="_Toc109922707"/>
      <w:r w:rsidRPr="0007572B">
        <w:t>Assets Held for Sale</w:t>
      </w:r>
      <w:bookmarkEnd w:id="379"/>
      <w:bookmarkEnd w:id="380"/>
      <w:bookmarkEnd w:id="381"/>
    </w:p>
    <w:p w14:paraId="64BFEF04"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Arial" w:hAnsi="Arial" w:cs="Arial"/>
          <w:color w:val="000000"/>
        </w:rPr>
      </w:pPr>
      <w:r w:rsidRPr="0007572B">
        <w:rPr>
          <w:rFonts w:ascii="Arial" w:hAnsi="Arial" w:cs="Arial"/>
          <w:color w:val="000000"/>
        </w:rPr>
        <w:t xml:space="preserve">Assets which are being actively marketed and expected to sell within the next 12 months. </w:t>
      </w:r>
    </w:p>
    <w:p w14:paraId="32416B62" w14:textId="77777777" w:rsidR="00795BE0" w:rsidRPr="0007572B" w:rsidRDefault="00795BE0" w:rsidP="00795BE0">
      <w:pPr>
        <w:pStyle w:val="Heading3"/>
      </w:pPr>
      <w:bookmarkStart w:id="382" w:name="_Toc92894970"/>
      <w:bookmarkStart w:id="383" w:name="_Toc92895274"/>
      <w:bookmarkStart w:id="384" w:name="_Toc109922708"/>
      <w:r w:rsidRPr="0007572B">
        <w:t>Bad (and doubtful) debts</w:t>
      </w:r>
      <w:bookmarkEnd w:id="382"/>
      <w:bookmarkEnd w:id="383"/>
      <w:bookmarkEnd w:id="384"/>
    </w:p>
    <w:p w14:paraId="12C15CE8"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Arial" w:hAnsi="Arial" w:cs="Arial"/>
          <w:color w:val="000000"/>
        </w:rPr>
      </w:pPr>
      <w:r w:rsidRPr="0007572B">
        <w:rPr>
          <w:rFonts w:ascii="Arial" w:hAnsi="Arial" w:cs="Arial"/>
          <w:color w:val="000000"/>
        </w:rPr>
        <w:t>Debts/income which may be uneconomic to collect or un-enforceable.</w:t>
      </w:r>
    </w:p>
    <w:p w14:paraId="1F15DCA4" w14:textId="77777777" w:rsidR="00795BE0" w:rsidRPr="0007572B" w:rsidRDefault="00795BE0" w:rsidP="00795BE0">
      <w:pPr>
        <w:pStyle w:val="Heading3"/>
      </w:pPr>
      <w:bookmarkStart w:id="385" w:name="_Toc92894971"/>
      <w:bookmarkStart w:id="386" w:name="_Toc92895275"/>
      <w:bookmarkStart w:id="387" w:name="_Toc109922709"/>
      <w:r w:rsidRPr="0007572B">
        <w:t>Balances</w:t>
      </w:r>
      <w:bookmarkEnd w:id="385"/>
      <w:bookmarkEnd w:id="386"/>
      <w:bookmarkEnd w:id="387"/>
    </w:p>
    <w:p w14:paraId="24BE4770"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Arial" w:hAnsi="Arial" w:cs="Arial"/>
          <w:color w:val="000000"/>
        </w:rPr>
      </w:pPr>
      <w:r w:rsidRPr="0007572B">
        <w:rPr>
          <w:rFonts w:ascii="Arial" w:hAnsi="Arial" w:cs="Arial"/>
          <w:color w:val="000000"/>
        </w:rPr>
        <w:t>The reserves of the Authority and Group, which include the accumulated surplus of income over expenditure.</w:t>
      </w:r>
    </w:p>
    <w:p w14:paraId="32C74E95" w14:textId="77777777" w:rsidR="00795BE0" w:rsidRPr="0007572B" w:rsidRDefault="00795BE0" w:rsidP="00795BE0">
      <w:pPr>
        <w:pStyle w:val="Heading3"/>
      </w:pPr>
      <w:bookmarkStart w:id="388" w:name="_Toc92894972"/>
      <w:bookmarkStart w:id="389" w:name="_Toc92895276"/>
      <w:bookmarkStart w:id="390" w:name="_Toc109922710"/>
      <w:r w:rsidRPr="0007572B">
        <w:t>Balance sheet</w:t>
      </w:r>
      <w:bookmarkEnd w:id="388"/>
      <w:bookmarkEnd w:id="389"/>
      <w:bookmarkEnd w:id="390"/>
    </w:p>
    <w:p w14:paraId="231E7B21"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Arial" w:hAnsi="Arial" w:cs="Arial"/>
          <w:color w:val="000000"/>
        </w:rPr>
      </w:pPr>
      <w:r w:rsidRPr="0007572B">
        <w:rPr>
          <w:rFonts w:ascii="Arial" w:hAnsi="Arial" w:cs="Arial"/>
          <w:color w:val="000000"/>
        </w:rPr>
        <w:t>A statement of the recorded assets, liabilities and other balances at the end of an accounting period.</w:t>
      </w:r>
    </w:p>
    <w:p w14:paraId="63666206" w14:textId="77777777" w:rsidR="00795BE0" w:rsidRPr="0007572B" w:rsidRDefault="00795BE0" w:rsidP="00795BE0">
      <w:pPr>
        <w:pStyle w:val="Heading3"/>
      </w:pPr>
      <w:bookmarkStart w:id="391" w:name="_Toc92894973"/>
      <w:bookmarkStart w:id="392" w:name="_Toc92895277"/>
      <w:bookmarkStart w:id="393" w:name="_Toc109922711"/>
      <w:r w:rsidRPr="0007572B">
        <w:t>Budget</w:t>
      </w:r>
      <w:bookmarkEnd w:id="391"/>
      <w:bookmarkEnd w:id="392"/>
      <w:bookmarkEnd w:id="393"/>
    </w:p>
    <w:p w14:paraId="69CB737E" w14:textId="77777777" w:rsidR="00795BE0" w:rsidRPr="0007572B" w:rsidRDefault="00795BE0" w:rsidP="00795BE0">
      <w:pPr>
        <w:tabs>
          <w:tab w:val="left" w:pos="180"/>
        </w:tabs>
        <w:spacing w:after="160"/>
        <w:jc w:val="both"/>
        <w:rPr>
          <w:rFonts w:ascii="Arial" w:eastAsiaTheme="minorHAnsi" w:hAnsi="Arial" w:cs="Arial"/>
        </w:rPr>
      </w:pPr>
      <w:r w:rsidRPr="0007572B">
        <w:rPr>
          <w:rFonts w:ascii="Arial" w:eastAsiaTheme="minorHAnsi" w:hAnsi="Arial" w:cs="Arial"/>
        </w:rPr>
        <w:t>A statement defining in financial terms the Authority's plans over a specified period. The budget is prepared as part of the process of setting the precept.</w:t>
      </w:r>
    </w:p>
    <w:p w14:paraId="3D1A9785" w14:textId="77777777" w:rsidR="00795BE0" w:rsidRPr="0007572B" w:rsidRDefault="00795BE0" w:rsidP="00795BE0">
      <w:pPr>
        <w:pStyle w:val="Heading3"/>
      </w:pPr>
      <w:bookmarkStart w:id="394" w:name="_Toc92894974"/>
      <w:bookmarkStart w:id="395" w:name="_Toc92895278"/>
      <w:bookmarkStart w:id="396" w:name="_Toc109922712"/>
      <w:r w:rsidRPr="0007572B">
        <w:t>Capital Adjustment Account</w:t>
      </w:r>
      <w:bookmarkEnd w:id="394"/>
      <w:bookmarkEnd w:id="395"/>
      <w:bookmarkEnd w:id="396"/>
    </w:p>
    <w:p w14:paraId="40338EA0" w14:textId="77777777" w:rsidR="00795BE0" w:rsidRPr="0007572B" w:rsidRDefault="00795BE0" w:rsidP="00795BE0">
      <w:pPr>
        <w:tabs>
          <w:tab w:val="left" w:pos="180"/>
        </w:tabs>
        <w:jc w:val="both"/>
        <w:rPr>
          <w:rFonts w:ascii="Arial" w:hAnsi="Arial" w:cs="Arial"/>
        </w:rPr>
      </w:pPr>
      <w:r w:rsidRPr="0007572B">
        <w:rPr>
          <w:rFonts w:ascii="Arial" w:hAnsi="Arial" w:cs="Arial"/>
        </w:rPr>
        <w:t>This provides a balancing mechanism between the different rates at which assets are depreciated under the Code and are financed through the capital control system.</w:t>
      </w:r>
    </w:p>
    <w:p w14:paraId="14F36AA4" w14:textId="77777777" w:rsidR="00795BE0" w:rsidRPr="0007572B" w:rsidRDefault="00795BE0" w:rsidP="00795BE0">
      <w:pPr>
        <w:pStyle w:val="Heading3"/>
      </w:pPr>
      <w:bookmarkStart w:id="397" w:name="_Toc92894975"/>
      <w:bookmarkStart w:id="398" w:name="_Toc92895279"/>
      <w:bookmarkStart w:id="399" w:name="_Toc109922713"/>
      <w:r w:rsidRPr="0007572B">
        <w:t>Capital Expenditure</w:t>
      </w:r>
      <w:bookmarkEnd w:id="397"/>
      <w:bookmarkEnd w:id="398"/>
      <w:bookmarkEnd w:id="399"/>
    </w:p>
    <w:p w14:paraId="594ED93D"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jc w:val="both"/>
        <w:textAlignment w:val="baseline"/>
        <w:rPr>
          <w:rFonts w:ascii="Arial" w:hAnsi="Arial" w:cs="Arial"/>
          <w:color w:val="000000"/>
        </w:rPr>
      </w:pPr>
      <w:r w:rsidRPr="0007572B">
        <w:rPr>
          <w:rFonts w:ascii="Arial" w:hAnsi="Arial" w:cs="Arial"/>
          <w:color w:val="000000"/>
        </w:rPr>
        <w:t>Expenditure on the acquisition or enhancement of property, plant and equipment that have a long-term value to the Authority and Group. This includes grants or advances paid to third parties to assist them in acquiring or enhancing their own property, plant and equipment.</w:t>
      </w:r>
    </w:p>
    <w:p w14:paraId="40F0D3D3" w14:textId="77777777" w:rsidR="00795BE0" w:rsidRPr="0007572B" w:rsidRDefault="00795BE0" w:rsidP="00795BE0">
      <w:pPr>
        <w:pStyle w:val="Heading3"/>
      </w:pPr>
      <w:bookmarkStart w:id="400" w:name="_Toc92894976"/>
      <w:bookmarkStart w:id="401" w:name="_Toc92895280"/>
      <w:bookmarkStart w:id="402" w:name="_Toc109922714"/>
      <w:r w:rsidRPr="0007572B">
        <w:t>Capital Financing Costs</w:t>
      </w:r>
      <w:bookmarkEnd w:id="400"/>
      <w:bookmarkEnd w:id="401"/>
      <w:bookmarkEnd w:id="402"/>
    </w:p>
    <w:p w14:paraId="71FB173F"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Arial" w:hAnsi="Arial" w:cs="Arial"/>
          <w:color w:val="000000"/>
        </w:rPr>
      </w:pPr>
      <w:r w:rsidRPr="0007572B">
        <w:rPr>
          <w:rFonts w:ascii="Arial" w:hAnsi="Arial" w:cs="Arial"/>
          <w:color w:val="000000"/>
        </w:rPr>
        <w:t>Each service is charged with an annual capital charge to reflect the cost of non-current assets used in the provision of services.</w:t>
      </w:r>
    </w:p>
    <w:p w14:paraId="48B7C4AC" w14:textId="77777777" w:rsidR="00795BE0" w:rsidRPr="0007572B" w:rsidRDefault="00795BE0" w:rsidP="00795BE0">
      <w:pPr>
        <w:pStyle w:val="Heading3"/>
      </w:pPr>
      <w:bookmarkStart w:id="403" w:name="_Toc92894977"/>
      <w:bookmarkStart w:id="404" w:name="_Toc92895281"/>
      <w:bookmarkStart w:id="405" w:name="_Toc109922715"/>
      <w:r w:rsidRPr="0007572B">
        <w:t>Capital Financing Requirements</w:t>
      </w:r>
      <w:bookmarkEnd w:id="403"/>
      <w:bookmarkEnd w:id="404"/>
      <w:bookmarkEnd w:id="405"/>
    </w:p>
    <w:p w14:paraId="4D00CCD5"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Arial" w:hAnsi="Arial" w:cs="Arial"/>
          <w:color w:val="000000"/>
        </w:rPr>
      </w:pPr>
      <w:r w:rsidRPr="0007572B">
        <w:rPr>
          <w:rFonts w:ascii="Arial" w:hAnsi="Arial" w:cs="Arial"/>
          <w:color w:val="000000"/>
        </w:rPr>
        <w:t>This measures the underlying need to borrow to finance capital expenditure.</w:t>
      </w:r>
    </w:p>
    <w:p w14:paraId="32BED2C2" w14:textId="77777777" w:rsidR="00795BE0" w:rsidRPr="0007572B" w:rsidRDefault="00795BE0" w:rsidP="00795BE0">
      <w:pPr>
        <w:pStyle w:val="Heading3"/>
      </w:pPr>
      <w:bookmarkStart w:id="406" w:name="_Toc92894978"/>
      <w:bookmarkStart w:id="407" w:name="_Toc92895282"/>
      <w:bookmarkStart w:id="408" w:name="_Toc109922716"/>
      <w:r w:rsidRPr="0007572B">
        <w:t>Capital Grants</w:t>
      </w:r>
      <w:bookmarkEnd w:id="406"/>
      <w:bookmarkEnd w:id="407"/>
      <w:bookmarkEnd w:id="408"/>
    </w:p>
    <w:p w14:paraId="5DA82BF9"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Arial" w:hAnsi="Arial" w:cs="Arial"/>
          <w:color w:val="000000"/>
        </w:rPr>
      </w:pPr>
      <w:r w:rsidRPr="0007572B">
        <w:rPr>
          <w:rFonts w:ascii="Arial" w:hAnsi="Arial" w:cs="Arial"/>
          <w:color w:val="000000"/>
        </w:rPr>
        <w:t>Grants received towards capital expenditure either generally or for a particular project.</w:t>
      </w:r>
    </w:p>
    <w:p w14:paraId="17ABE4F3" w14:textId="77777777" w:rsidR="00795BE0" w:rsidRPr="0007572B" w:rsidRDefault="00795BE0" w:rsidP="00795BE0">
      <w:pPr>
        <w:pStyle w:val="Heading3"/>
      </w:pPr>
      <w:bookmarkStart w:id="409" w:name="_Toc92894979"/>
      <w:bookmarkStart w:id="410" w:name="_Toc92895283"/>
      <w:bookmarkStart w:id="411" w:name="_Toc109922717"/>
      <w:r w:rsidRPr="0007572B">
        <w:t>Capital Grants Unapplied</w:t>
      </w:r>
      <w:bookmarkEnd w:id="409"/>
      <w:bookmarkEnd w:id="410"/>
      <w:bookmarkEnd w:id="411"/>
    </w:p>
    <w:p w14:paraId="387AEA90"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Arial" w:hAnsi="Arial" w:cs="Arial"/>
          <w:color w:val="000000"/>
        </w:rPr>
      </w:pPr>
      <w:r w:rsidRPr="0007572B">
        <w:rPr>
          <w:rFonts w:ascii="Arial" w:hAnsi="Arial" w:cs="Arial"/>
          <w:color w:val="000000"/>
        </w:rPr>
        <w:t>Proceeds received from Government Grants, Other Grants and Contributions, which have not yet been used to finance capital expenditure.</w:t>
      </w:r>
    </w:p>
    <w:p w14:paraId="5E855733" w14:textId="77777777" w:rsidR="00795BE0" w:rsidRPr="0007572B" w:rsidRDefault="00795BE0" w:rsidP="00795BE0">
      <w:pPr>
        <w:pStyle w:val="Heading3"/>
      </w:pPr>
      <w:bookmarkStart w:id="412" w:name="_Toc92894980"/>
      <w:bookmarkStart w:id="413" w:name="_Toc92895284"/>
      <w:bookmarkStart w:id="414" w:name="_Toc109922718"/>
      <w:r w:rsidRPr="0007572B">
        <w:t>Capital Receipts</w:t>
      </w:r>
      <w:bookmarkEnd w:id="412"/>
      <w:bookmarkEnd w:id="413"/>
      <w:bookmarkEnd w:id="414"/>
    </w:p>
    <w:p w14:paraId="3C6F24E8"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Arial" w:hAnsi="Arial" w:cs="Arial"/>
          <w:color w:val="000000"/>
        </w:rPr>
      </w:pPr>
      <w:r w:rsidRPr="0007572B">
        <w:rPr>
          <w:rFonts w:ascii="Arial" w:hAnsi="Arial" w:cs="Arial"/>
          <w:color w:val="000000"/>
        </w:rPr>
        <w:t>Money received from the sale of property, plant and equipment or repayment of a capital advance.</w:t>
      </w:r>
    </w:p>
    <w:p w14:paraId="0EE7A8E8" w14:textId="77777777" w:rsidR="00795BE0" w:rsidRPr="0007572B" w:rsidRDefault="00795BE0" w:rsidP="00795BE0">
      <w:pPr>
        <w:pStyle w:val="Heading3"/>
      </w:pPr>
      <w:bookmarkStart w:id="415" w:name="_Toc92894981"/>
      <w:bookmarkStart w:id="416" w:name="_Toc92895285"/>
      <w:bookmarkStart w:id="417" w:name="_Toc109922719"/>
      <w:r w:rsidRPr="0007572B">
        <w:t>Carrying Amount</w:t>
      </w:r>
      <w:bookmarkEnd w:id="415"/>
      <w:bookmarkEnd w:id="416"/>
      <w:bookmarkEnd w:id="417"/>
    </w:p>
    <w:p w14:paraId="684790D7"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jc w:val="both"/>
        <w:textAlignment w:val="baseline"/>
        <w:rPr>
          <w:rFonts w:ascii="Arial" w:hAnsi="Arial" w:cs="Arial"/>
          <w:color w:val="000000"/>
        </w:rPr>
      </w:pPr>
      <w:r w:rsidRPr="0007572B">
        <w:rPr>
          <w:rFonts w:ascii="Arial" w:hAnsi="Arial" w:cs="Arial"/>
          <w:color w:val="000000"/>
        </w:rPr>
        <w:t>The balance sheet value recorded of an asset or a liability.</w:t>
      </w:r>
    </w:p>
    <w:p w14:paraId="1C8C69AA" w14:textId="77777777" w:rsidR="00795BE0" w:rsidRPr="0007572B" w:rsidRDefault="00795BE0" w:rsidP="00795BE0">
      <w:pPr>
        <w:pStyle w:val="Heading3"/>
      </w:pPr>
      <w:bookmarkStart w:id="418" w:name="_Toc92894982"/>
      <w:bookmarkStart w:id="419" w:name="_Toc92895286"/>
      <w:bookmarkStart w:id="420" w:name="_Toc109922720"/>
      <w:r w:rsidRPr="0007572B">
        <w:t>Cash and Cash Equivalents</w:t>
      </w:r>
      <w:bookmarkEnd w:id="418"/>
      <w:bookmarkEnd w:id="419"/>
      <w:bookmarkEnd w:id="420"/>
    </w:p>
    <w:p w14:paraId="51BE6544"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jc w:val="both"/>
        <w:textAlignment w:val="baseline"/>
        <w:rPr>
          <w:rFonts w:ascii="Arial" w:hAnsi="Arial" w:cs="Arial"/>
          <w:color w:val="000000"/>
        </w:rPr>
      </w:pPr>
      <w:r w:rsidRPr="0007572B">
        <w:rPr>
          <w:rFonts w:ascii="Arial" w:hAnsi="Arial" w:cs="Arial"/>
          <w:color w:val="000000"/>
        </w:rPr>
        <w:t>This comprises cash in hand, cash overdrawn and short-term investments, which are readily convertible into known amounts of cash.</w:t>
      </w:r>
    </w:p>
    <w:p w14:paraId="103FB8A0" w14:textId="77777777" w:rsidR="00795BE0" w:rsidRPr="0007572B" w:rsidRDefault="00795BE0" w:rsidP="00795BE0">
      <w:pPr>
        <w:pStyle w:val="Heading3"/>
      </w:pPr>
      <w:bookmarkStart w:id="421" w:name="_Toc92894983"/>
      <w:bookmarkStart w:id="422" w:name="_Toc92895287"/>
      <w:bookmarkStart w:id="423" w:name="_Toc109922721"/>
      <w:r w:rsidRPr="0007572B">
        <w:t>CIPFA (The Chartered Institute of Public Finance and Accountancy)</w:t>
      </w:r>
      <w:bookmarkEnd w:id="421"/>
      <w:bookmarkEnd w:id="422"/>
      <w:bookmarkEnd w:id="423"/>
    </w:p>
    <w:p w14:paraId="779A7A35"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jc w:val="both"/>
        <w:textAlignment w:val="baseline"/>
        <w:rPr>
          <w:rFonts w:ascii="Arial" w:hAnsi="Arial" w:cs="Arial"/>
          <w:color w:val="000000"/>
        </w:rPr>
      </w:pPr>
      <w:r w:rsidRPr="0007572B">
        <w:rPr>
          <w:rFonts w:ascii="Arial" w:hAnsi="Arial" w:cs="Arial"/>
          <w:color w:val="000000"/>
        </w:rPr>
        <w:t>CIPFA is the leading professional accountancy body for public services.</w:t>
      </w:r>
    </w:p>
    <w:p w14:paraId="7C4F4A45" w14:textId="77777777" w:rsidR="00795BE0" w:rsidRPr="0007572B" w:rsidRDefault="00795BE0" w:rsidP="00795BE0">
      <w:pPr>
        <w:pStyle w:val="Heading3"/>
      </w:pPr>
      <w:bookmarkStart w:id="424" w:name="_Toc92894984"/>
      <w:bookmarkStart w:id="425" w:name="_Toc92895288"/>
      <w:bookmarkStart w:id="426" w:name="_Toc109922722"/>
      <w:r w:rsidRPr="0007572B">
        <w:t>Consolidated</w:t>
      </w:r>
      <w:bookmarkEnd w:id="424"/>
      <w:bookmarkEnd w:id="425"/>
      <w:bookmarkEnd w:id="426"/>
    </w:p>
    <w:p w14:paraId="08E14590"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jc w:val="both"/>
        <w:textAlignment w:val="baseline"/>
        <w:rPr>
          <w:rFonts w:ascii="Arial" w:hAnsi="Arial" w:cs="Arial"/>
          <w:color w:val="000000"/>
        </w:rPr>
      </w:pPr>
      <w:r w:rsidRPr="0007572B">
        <w:rPr>
          <w:rFonts w:ascii="Arial" w:hAnsi="Arial" w:cs="Arial"/>
          <w:color w:val="000000"/>
        </w:rPr>
        <w:t>Added together with adjustments to avoid double counting of income, expenditure or to avoid exaggeration.</w:t>
      </w:r>
    </w:p>
    <w:p w14:paraId="4536489B" w14:textId="77777777" w:rsidR="00795BE0" w:rsidRPr="0007572B" w:rsidRDefault="00795BE0" w:rsidP="00795BE0">
      <w:pPr>
        <w:pStyle w:val="Heading3"/>
      </w:pPr>
      <w:bookmarkStart w:id="427" w:name="_Toc92894985"/>
      <w:bookmarkStart w:id="428" w:name="_Toc92895289"/>
      <w:bookmarkStart w:id="429" w:name="_Toc109922723"/>
      <w:r w:rsidRPr="0007572B">
        <w:t>Contingent Assets</w:t>
      </w:r>
      <w:bookmarkEnd w:id="427"/>
      <w:bookmarkEnd w:id="428"/>
      <w:bookmarkEnd w:id="429"/>
    </w:p>
    <w:p w14:paraId="4E8C2AFD"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Arial" w:hAnsi="Arial" w:cs="Arial"/>
          <w:color w:val="000000"/>
        </w:rPr>
      </w:pPr>
      <w:r w:rsidRPr="0007572B">
        <w:rPr>
          <w:rFonts w:ascii="Arial" w:hAnsi="Arial" w:cs="Arial"/>
          <w:color w:val="000000"/>
        </w:rPr>
        <w:t>Sums due from individuals or organisations that may arise in the future but which cannot be determined in advance.</w:t>
      </w:r>
    </w:p>
    <w:p w14:paraId="725A0D17" w14:textId="77777777" w:rsidR="00795BE0" w:rsidRPr="0007572B" w:rsidRDefault="00795BE0" w:rsidP="00795BE0">
      <w:pPr>
        <w:pStyle w:val="Heading3"/>
      </w:pPr>
      <w:bookmarkStart w:id="430" w:name="_Toc92894986"/>
      <w:bookmarkStart w:id="431" w:name="_Toc92895290"/>
      <w:bookmarkStart w:id="432" w:name="_Toc109922724"/>
      <w:r w:rsidRPr="0007572B">
        <w:t>Contingent Liabilities</w:t>
      </w:r>
      <w:bookmarkEnd w:id="430"/>
      <w:bookmarkEnd w:id="431"/>
      <w:bookmarkEnd w:id="432"/>
    </w:p>
    <w:p w14:paraId="03B51BC0"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Arial" w:hAnsi="Arial" w:cs="Arial"/>
          <w:color w:val="000000"/>
        </w:rPr>
      </w:pPr>
      <w:r w:rsidRPr="0007572B">
        <w:rPr>
          <w:rFonts w:ascii="Arial" w:hAnsi="Arial" w:cs="Arial"/>
          <w:color w:val="000000"/>
        </w:rPr>
        <w:t>Sums due to individuals or organisations that may arise in the future but which cannot be determined in advance.</w:t>
      </w:r>
    </w:p>
    <w:p w14:paraId="55F659E8" w14:textId="77777777" w:rsidR="00795BE0" w:rsidRPr="0007572B" w:rsidRDefault="00795BE0" w:rsidP="00795BE0">
      <w:pPr>
        <w:pStyle w:val="Heading3"/>
      </w:pPr>
      <w:bookmarkStart w:id="433" w:name="_Toc92894987"/>
      <w:bookmarkStart w:id="434" w:name="_Toc92895291"/>
      <w:bookmarkStart w:id="435" w:name="_Toc109922725"/>
      <w:r w:rsidRPr="0007572B">
        <w:t>Creditors</w:t>
      </w:r>
      <w:bookmarkEnd w:id="433"/>
      <w:bookmarkEnd w:id="434"/>
      <w:bookmarkEnd w:id="435"/>
    </w:p>
    <w:p w14:paraId="66E40C38"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Arial" w:hAnsi="Arial" w:cs="Arial"/>
          <w:color w:val="000000"/>
        </w:rPr>
      </w:pPr>
      <w:r w:rsidRPr="0007572B">
        <w:rPr>
          <w:rFonts w:ascii="Arial" w:hAnsi="Arial" w:cs="Arial"/>
          <w:color w:val="000000"/>
        </w:rPr>
        <w:t>Amounts owed by the Authority and Group for goods and services provided by the balance sheet date, where payment has not been made at that date.</w:t>
      </w:r>
    </w:p>
    <w:p w14:paraId="55B5B29C" w14:textId="77777777" w:rsidR="00795BE0" w:rsidRPr="0007572B" w:rsidRDefault="00795BE0" w:rsidP="00795BE0">
      <w:pPr>
        <w:pStyle w:val="Heading3"/>
      </w:pPr>
      <w:bookmarkStart w:id="436" w:name="_Toc92894988"/>
      <w:bookmarkStart w:id="437" w:name="_Toc92895292"/>
      <w:bookmarkStart w:id="438" w:name="_Toc109922726"/>
      <w:r w:rsidRPr="0007572B">
        <w:t>Current Assets</w:t>
      </w:r>
      <w:bookmarkEnd w:id="436"/>
      <w:bookmarkEnd w:id="437"/>
      <w:bookmarkEnd w:id="438"/>
    </w:p>
    <w:p w14:paraId="3691E496"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Arial" w:hAnsi="Arial" w:cs="Arial"/>
          <w:color w:val="000000"/>
        </w:rPr>
      </w:pPr>
      <w:r w:rsidRPr="0007572B">
        <w:rPr>
          <w:rFonts w:ascii="Arial" w:hAnsi="Arial" w:cs="Arial"/>
          <w:color w:val="000000"/>
        </w:rPr>
        <w:t>An asset where the value changes because the volume held varies from day to day, for example, stock. It is reasonable to expect that these assets will either be consumed or realised during the next accounting period.</w:t>
      </w:r>
    </w:p>
    <w:p w14:paraId="15FB2723" w14:textId="77777777" w:rsidR="00795BE0" w:rsidRPr="0007572B" w:rsidRDefault="00795BE0" w:rsidP="00795BE0">
      <w:pPr>
        <w:pStyle w:val="Heading3"/>
      </w:pPr>
      <w:bookmarkStart w:id="439" w:name="_Toc92894989"/>
      <w:bookmarkStart w:id="440" w:name="_Toc92895293"/>
      <w:bookmarkStart w:id="441" w:name="_Toc109922727"/>
      <w:r w:rsidRPr="0007572B">
        <w:t>Current Liabilities</w:t>
      </w:r>
      <w:bookmarkEnd w:id="439"/>
      <w:bookmarkEnd w:id="440"/>
      <w:bookmarkEnd w:id="441"/>
    </w:p>
    <w:p w14:paraId="5F19189E"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Arial" w:hAnsi="Arial" w:cs="Arial"/>
          <w:color w:val="000000"/>
        </w:rPr>
      </w:pPr>
      <w:r w:rsidRPr="0007572B">
        <w:rPr>
          <w:rFonts w:ascii="Arial" w:hAnsi="Arial" w:cs="Arial"/>
          <w:color w:val="000000"/>
        </w:rPr>
        <w:t>An amount which will become payable or could be called in within the next accounting period.</w:t>
      </w:r>
    </w:p>
    <w:p w14:paraId="60D25A5C" w14:textId="77777777" w:rsidR="00795BE0" w:rsidRPr="0007572B" w:rsidRDefault="00795BE0" w:rsidP="00795BE0">
      <w:pPr>
        <w:pStyle w:val="Heading3"/>
      </w:pPr>
      <w:bookmarkStart w:id="442" w:name="_Toc92894990"/>
      <w:bookmarkStart w:id="443" w:name="_Toc92895294"/>
      <w:bookmarkStart w:id="444" w:name="_Toc109922728"/>
      <w:r w:rsidRPr="0007572B">
        <w:t>Current Service Cost</w:t>
      </w:r>
      <w:bookmarkEnd w:id="442"/>
      <w:bookmarkEnd w:id="443"/>
      <w:bookmarkEnd w:id="444"/>
      <w:r w:rsidRPr="0007572B">
        <w:t xml:space="preserve"> </w:t>
      </w:r>
    </w:p>
    <w:p w14:paraId="00E16A05"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jc w:val="both"/>
        <w:textAlignment w:val="baseline"/>
        <w:rPr>
          <w:rFonts w:ascii="Arial" w:hAnsi="Arial" w:cs="Arial"/>
          <w:bCs/>
          <w:color w:val="000000"/>
        </w:rPr>
      </w:pPr>
      <w:r w:rsidRPr="0007572B">
        <w:rPr>
          <w:rFonts w:ascii="Arial" w:hAnsi="Arial" w:cs="Arial"/>
          <w:bCs/>
          <w:color w:val="000000"/>
        </w:rPr>
        <w:t>The increase in present value of a defined benefit pension scheme’s liabilities expected to arise from employee service in the current financial year.</w:t>
      </w:r>
    </w:p>
    <w:p w14:paraId="62ACF930" w14:textId="77777777" w:rsidR="00795BE0" w:rsidRPr="0007572B" w:rsidRDefault="00795BE0" w:rsidP="00795BE0">
      <w:pPr>
        <w:pStyle w:val="Heading3"/>
      </w:pPr>
      <w:bookmarkStart w:id="445" w:name="_Toc92894991"/>
      <w:bookmarkStart w:id="446" w:name="_Toc92895295"/>
      <w:bookmarkStart w:id="447" w:name="_Toc109922729"/>
      <w:r w:rsidRPr="0007572B">
        <w:t>Curtailments</w:t>
      </w:r>
      <w:bookmarkEnd w:id="445"/>
      <w:bookmarkEnd w:id="446"/>
      <w:bookmarkEnd w:id="447"/>
    </w:p>
    <w:p w14:paraId="20E08932"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Arial" w:hAnsi="Arial" w:cs="Arial"/>
          <w:bCs/>
          <w:color w:val="000000"/>
        </w:rPr>
      </w:pPr>
      <w:r w:rsidRPr="0007572B">
        <w:rPr>
          <w:rFonts w:ascii="Arial" w:hAnsi="Arial" w:cs="Arial"/>
          <w:bCs/>
          <w:color w:val="000000"/>
        </w:rPr>
        <w:t>For a defined benefit pension scheme, an event that reduces the expected years of future service of present employees or reduces the accrual of defined benefits for a number of employees for some or all of their future service.</w:t>
      </w:r>
    </w:p>
    <w:p w14:paraId="60FC118A" w14:textId="77777777" w:rsidR="00795BE0" w:rsidRPr="0007572B" w:rsidRDefault="00795BE0" w:rsidP="00795BE0">
      <w:pPr>
        <w:pStyle w:val="Heading3"/>
      </w:pPr>
      <w:bookmarkStart w:id="448" w:name="_Toc92894992"/>
      <w:bookmarkStart w:id="449" w:name="_Toc92895296"/>
      <w:bookmarkStart w:id="450" w:name="_Toc109922730"/>
      <w:r w:rsidRPr="0007572B">
        <w:t>Debtors</w:t>
      </w:r>
      <w:bookmarkEnd w:id="448"/>
      <w:bookmarkEnd w:id="449"/>
      <w:bookmarkEnd w:id="450"/>
    </w:p>
    <w:p w14:paraId="4139B4D2"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Arial" w:hAnsi="Arial" w:cs="Arial"/>
          <w:color w:val="000000"/>
        </w:rPr>
      </w:pPr>
      <w:r w:rsidRPr="0007572B">
        <w:rPr>
          <w:rFonts w:ascii="Arial" w:hAnsi="Arial" w:cs="Arial"/>
          <w:color w:val="000000"/>
        </w:rPr>
        <w:t>Sums of money owed to the Authority and Group at the balance sheet date but not received at that date.</w:t>
      </w:r>
    </w:p>
    <w:p w14:paraId="5DDAC663" w14:textId="77777777" w:rsidR="00795BE0" w:rsidRPr="0007572B" w:rsidRDefault="00795BE0" w:rsidP="00795BE0">
      <w:pPr>
        <w:pStyle w:val="Heading3"/>
      </w:pPr>
      <w:bookmarkStart w:id="451" w:name="_Toc92894993"/>
      <w:bookmarkStart w:id="452" w:name="_Toc92895297"/>
      <w:bookmarkStart w:id="453" w:name="_Toc109922731"/>
      <w:r w:rsidRPr="0007572B">
        <w:t>Deferred Capital Receipts</w:t>
      </w:r>
      <w:bookmarkEnd w:id="451"/>
      <w:bookmarkEnd w:id="452"/>
      <w:bookmarkEnd w:id="453"/>
    </w:p>
    <w:p w14:paraId="2CF9A599"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Arial" w:hAnsi="Arial" w:cs="Arial"/>
          <w:color w:val="000000"/>
        </w:rPr>
      </w:pPr>
      <w:r w:rsidRPr="0007572B">
        <w:rPr>
          <w:rFonts w:ascii="Arial" w:hAnsi="Arial" w:cs="Arial"/>
          <w:color w:val="000000"/>
        </w:rPr>
        <w:t>Amounts derived from asset sales, which will be received in instalments over a period of years.</w:t>
      </w:r>
    </w:p>
    <w:p w14:paraId="0052AC10" w14:textId="77777777" w:rsidR="00795BE0" w:rsidRPr="0007572B" w:rsidRDefault="00795BE0" w:rsidP="00795BE0">
      <w:pPr>
        <w:pStyle w:val="Heading3"/>
      </w:pPr>
      <w:bookmarkStart w:id="454" w:name="_Toc92894994"/>
      <w:bookmarkStart w:id="455" w:name="_Toc92895298"/>
      <w:bookmarkStart w:id="456" w:name="_Toc109922732"/>
      <w:r w:rsidRPr="0007572B">
        <w:t>Defined Benefit Pension Scheme</w:t>
      </w:r>
      <w:bookmarkEnd w:id="454"/>
      <w:bookmarkEnd w:id="455"/>
      <w:bookmarkEnd w:id="456"/>
    </w:p>
    <w:p w14:paraId="7E9F8E3E"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jc w:val="both"/>
        <w:textAlignment w:val="baseline"/>
        <w:rPr>
          <w:rFonts w:ascii="Arial" w:hAnsi="Arial" w:cs="Arial"/>
          <w:bCs/>
          <w:color w:val="000000"/>
        </w:rPr>
      </w:pPr>
      <w:r w:rsidRPr="0007572B">
        <w:rPr>
          <w:rFonts w:ascii="Arial" w:hAnsi="Arial" w:cs="Arial"/>
          <w:bCs/>
          <w:color w:val="000000"/>
        </w:rPr>
        <w:t>A pension or other retirement benefit scheme other than a defined contribution scheme. Usually, the scheme rules define the benefits independently of the contributions payable, and the benefits are not directly related to the investments of the scheme. The scheme may be funded or unfunded.</w:t>
      </w:r>
    </w:p>
    <w:p w14:paraId="4A20D5B6" w14:textId="77777777" w:rsidR="00795BE0" w:rsidRPr="0007572B" w:rsidRDefault="00795BE0" w:rsidP="00795BE0">
      <w:pPr>
        <w:pStyle w:val="Heading3"/>
      </w:pPr>
      <w:bookmarkStart w:id="457" w:name="_Toc92894995"/>
      <w:bookmarkStart w:id="458" w:name="_Toc92895299"/>
      <w:bookmarkStart w:id="459" w:name="_Toc109922733"/>
      <w:r w:rsidRPr="0007572B">
        <w:t>Defined Benefit Contribution Scheme</w:t>
      </w:r>
      <w:bookmarkEnd w:id="457"/>
      <w:bookmarkEnd w:id="458"/>
      <w:bookmarkEnd w:id="459"/>
    </w:p>
    <w:p w14:paraId="68B392A3"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jc w:val="both"/>
        <w:textAlignment w:val="baseline"/>
        <w:rPr>
          <w:rFonts w:ascii="Arial" w:hAnsi="Arial" w:cs="Arial"/>
          <w:bCs/>
          <w:color w:val="000000"/>
        </w:rPr>
      </w:pPr>
      <w:r w:rsidRPr="0007572B">
        <w:rPr>
          <w:rFonts w:ascii="Arial" w:hAnsi="Arial" w:cs="Arial"/>
          <w:bCs/>
          <w:color w:val="000000"/>
        </w:rPr>
        <w:t>A pension or other retirement benefit scheme into which an employer pays regular contributions fixed as an amount or percentage of pay and will have no legal or constructive obligation to pay further contributions if the scheme does not have sufficient assets to pay all employee benefits relating to employee service in the current and prior periods.</w:t>
      </w:r>
    </w:p>
    <w:p w14:paraId="4C0D6A28" w14:textId="77777777" w:rsidR="00795BE0" w:rsidRPr="0007572B" w:rsidRDefault="00795BE0" w:rsidP="00795BE0">
      <w:pPr>
        <w:pStyle w:val="Heading3"/>
      </w:pPr>
      <w:bookmarkStart w:id="460" w:name="_Toc92894996"/>
      <w:bookmarkStart w:id="461" w:name="_Toc92895300"/>
      <w:bookmarkStart w:id="462" w:name="_Toc109922734"/>
      <w:r w:rsidRPr="0007572B">
        <w:t>Depreciation</w:t>
      </w:r>
      <w:bookmarkEnd w:id="460"/>
      <w:bookmarkEnd w:id="461"/>
      <w:bookmarkEnd w:id="462"/>
    </w:p>
    <w:p w14:paraId="39AE4C6F"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jc w:val="both"/>
        <w:textAlignment w:val="baseline"/>
        <w:rPr>
          <w:rFonts w:ascii="Arial" w:hAnsi="Arial" w:cs="Arial"/>
          <w:color w:val="000000"/>
        </w:rPr>
      </w:pPr>
      <w:r w:rsidRPr="0007572B">
        <w:rPr>
          <w:rFonts w:ascii="Arial" w:hAnsi="Arial" w:cs="Arial"/>
          <w:color w:val="000000"/>
        </w:rPr>
        <w:t>The measure of the wearing out, consumption or other reduction in the useful economic life of property, plant and equipment.</w:t>
      </w:r>
    </w:p>
    <w:p w14:paraId="6EB7183C" w14:textId="77777777" w:rsidR="00795BE0" w:rsidRPr="0007572B" w:rsidRDefault="00795BE0" w:rsidP="00795BE0">
      <w:pPr>
        <w:pStyle w:val="Heading3"/>
      </w:pPr>
      <w:bookmarkStart w:id="463" w:name="_Toc92894997"/>
      <w:bookmarkStart w:id="464" w:name="_Toc92895301"/>
      <w:bookmarkStart w:id="465" w:name="_Toc109922735"/>
      <w:r w:rsidRPr="0007572B">
        <w:t>Remeasurement of the Net Defined Benefit Liability</w:t>
      </w:r>
      <w:bookmarkEnd w:id="463"/>
      <w:bookmarkEnd w:id="464"/>
      <w:bookmarkEnd w:id="465"/>
    </w:p>
    <w:p w14:paraId="0129B4CE" w14:textId="77777777" w:rsidR="00795BE0" w:rsidRPr="0007572B" w:rsidRDefault="00795BE0" w:rsidP="00795BE0">
      <w:pPr>
        <w:rPr>
          <w:rFonts w:ascii="Arial" w:hAnsi="Arial" w:cs="Arial"/>
          <w:color w:val="000000"/>
        </w:rPr>
      </w:pPr>
      <w:r w:rsidRPr="0007572B">
        <w:rPr>
          <w:rFonts w:ascii="Arial" w:hAnsi="Arial" w:cs="Arial"/>
          <w:color w:val="000000"/>
        </w:rPr>
        <w:t>Remeasurement of the Net Defined Benefit Liability (asset) comprises:</w:t>
      </w:r>
    </w:p>
    <w:p w14:paraId="3809F1D1" w14:textId="77777777" w:rsidR="00795BE0" w:rsidRPr="0007572B" w:rsidRDefault="00795BE0" w:rsidP="00795BE0">
      <w:pPr>
        <w:rPr>
          <w:rFonts w:ascii="Arial" w:hAnsi="Arial" w:cs="Arial"/>
          <w:color w:val="000000"/>
        </w:rPr>
      </w:pPr>
      <w:r w:rsidRPr="0007572B">
        <w:rPr>
          <w:rFonts w:ascii="Arial" w:hAnsi="Arial" w:cs="Arial"/>
          <w:color w:val="000000"/>
        </w:rPr>
        <w:t>a) actuarial gains and losses</w:t>
      </w:r>
    </w:p>
    <w:p w14:paraId="708EB47E" w14:textId="77777777" w:rsidR="00795BE0" w:rsidRPr="0007572B" w:rsidRDefault="00795BE0" w:rsidP="00795BE0">
      <w:pPr>
        <w:rPr>
          <w:rFonts w:ascii="Arial" w:hAnsi="Arial" w:cs="Arial"/>
          <w:color w:val="000000"/>
        </w:rPr>
      </w:pPr>
      <w:r w:rsidRPr="0007572B">
        <w:rPr>
          <w:rFonts w:ascii="Arial" w:hAnsi="Arial" w:cs="Arial"/>
          <w:color w:val="000000"/>
        </w:rPr>
        <w:t>b) the return on plan assets, excluding amounts included in net interest on the net defined benefit liability (asset), and</w:t>
      </w:r>
    </w:p>
    <w:p w14:paraId="2DAF3BB6" w14:textId="77777777" w:rsidR="00795BE0" w:rsidRPr="0007572B" w:rsidRDefault="00795BE0" w:rsidP="00795BE0">
      <w:pPr>
        <w:rPr>
          <w:rFonts w:ascii="Arial" w:hAnsi="Arial" w:cs="Arial"/>
          <w:color w:val="000000"/>
        </w:rPr>
      </w:pPr>
      <w:r w:rsidRPr="0007572B">
        <w:rPr>
          <w:rFonts w:ascii="Arial" w:hAnsi="Arial" w:cs="Arial"/>
          <w:color w:val="000000"/>
        </w:rPr>
        <w:t>c) any change in the effect of the asset ceiling, excluding amounts included in net interest on the net defined benefit liability (asset).</w:t>
      </w:r>
    </w:p>
    <w:p w14:paraId="36928B5C" w14:textId="77777777" w:rsidR="00795BE0" w:rsidRPr="0007572B" w:rsidRDefault="00795BE0" w:rsidP="00795BE0">
      <w:pPr>
        <w:pStyle w:val="Heading3"/>
      </w:pPr>
      <w:bookmarkStart w:id="466" w:name="_Toc92894998"/>
      <w:bookmarkStart w:id="467" w:name="_Toc92895302"/>
      <w:bookmarkStart w:id="468" w:name="_Toc109922736"/>
      <w:r w:rsidRPr="0007572B">
        <w:t>Expenditure</w:t>
      </w:r>
      <w:bookmarkEnd w:id="466"/>
      <w:bookmarkEnd w:id="467"/>
      <w:bookmarkEnd w:id="468"/>
    </w:p>
    <w:p w14:paraId="2EF924E2"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jc w:val="both"/>
        <w:textAlignment w:val="baseline"/>
        <w:rPr>
          <w:rFonts w:ascii="Arial" w:hAnsi="Arial" w:cs="Arial"/>
          <w:color w:val="000000"/>
        </w:rPr>
      </w:pPr>
      <w:r w:rsidRPr="0007572B">
        <w:rPr>
          <w:rFonts w:ascii="Arial" w:hAnsi="Arial" w:cs="Arial"/>
          <w:color w:val="000000"/>
        </w:rPr>
        <w:t>Amounts paid by the Authority and Group for goods received or services rendered of either a capital or revenue nature. This does not necessarily involve a cash payment - expenditure is deemed to have been incurred once the goods or services have been received even if they have not been paid for.</w:t>
      </w:r>
    </w:p>
    <w:p w14:paraId="2708D17D" w14:textId="77777777" w:rsidR="00795BE0" w:rsidRPr="0007572B" w:rsidRDefault="00795BE0" w:rsidP="00795BE0">
      <w:pPr>
        <w:pStyle w:val="Heading3"/>
      </w:pPr>
      <w:bookmarkStart w:id="469" w:name="_Toc92894999"/>
      <w:bookmarkStart w:id="470" w:name="_Toc92895303"/>
      <w:bookmarkStart w:id="471" w:name="_Toc109922737"/>
      <w:r w:rsidRPr="0007572B">
        <w:t>External Audit</w:t>
      </w:r>
      <w:bookmarkEnd w:id="469"/>
      <w:bookmarkEnd w:id="470"/>
      <w:bookmarkEnd w:id="471"/>
    </w:p>
    <w:p w14:paraId="185964A8"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Arial" w:hAnsi="Arial" w:cs="Arial"/>
          <w:color w:val="000000"/>
        </w:rPr>
      </w:pPr>
      <w:r w:rsidRPr="0007572B">
        <w:rPr>
          <w:rFonts w:ascii="Arial" w:hAnsi="Arial" w:cs="Arial"/>
          <w:color w:val="000000"/>
        </w:rPr>
        <w:t>The independent examination of the activities and accounts of local authorities to ensure the accounts have been prepared in accordance with legislative requirements and proper practices and to ensure the Authority has made proper arrangements to secure value for money in its use of resources.</w:t>
      </w:r>
    </w:p>
    <w:p w14:paraId="38773602" w14:textId="77777777" w:rsidR="00795BE0" w:rsidRPr="0007572B" w:rsidRDefault="00795BE0" w:rsidP="00795BE0">
      <w:pPr>
        <w:pStyle w:val="Heading3"/>
      </w:pPr>
      <w:bookmarkStart w:id="472" w:name="_Toc92895000"/>
      <w:bookmarkStart w:id="473" w:name="_Toc92895304"/>
      <w:bookmarkStart w:id="474" w:name="_Toc109922738"/>
      <w:r w:rsidRPr="0007572B">
        <w:t>Fair Value</w:t>
      </w:r>
      <w:bookmarkEnd w:id="472"/>
      <w:bookmarkEnd w:id="473"/>
      <w:bookmarkEnd w:id="474"/>
    </w:p>
    <w:p w14:paraId="505FAE50"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Arial" w:hAnsi="Arial" w:cs="Arial"/>
          <w:bCs/>
          <w:color w:val="000000"/>
        </w:rPr>
      </w:pPr>
      <w:r w:rsidRPr="0007572B">
        <w:rPr>
          <w:rFonts w:ascii="Arial" w:hAnsi="Arial" w:cs="Arial"/>
          <w:bCs/>
          <w:color w:val="000000"/>
        </w:rPr>
        <w:t>The fair value of an asset is the price at which it could be exchanged in an arm’s length transaction.</w:t>
      </w:r>
    </w:p>
    <w:p w14:paraId="01AF06C3" w14:textId="77777777" w:rsidR="00795BE0" w:rsidRPr="0007572B" w:rsidRDefault="00795BE0" w:rsidP="00795BE0">
      <w:pPr>
        <w:pStyle w:val="Heading3"/>
      </w:pPr>
      <w:bookmarkStart w:id="475" w:name="_Toc92895001"/>
      <w:bookmarkStart w:id="476" w:name="_Toc92895305"/>
      <w:bookmarkStart w:id="477" w:name="_Toc109922739"/>
      <w:r w:rsidRPr="0007572B">
        <w:t>Fees and Charges</w:t>
      </w:r>
      <w:bookmarkEnd w:id="475"/>
      <w:bookmarkEnd w:id="476"/>
      <w:bookmarkEnd w:id="477"/>
    </w:p>
    <w:p w14:paraId="32A31632"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Arial" w:hAnsi="Arial" w:cs="Arial"/>
          <w:color w:val="000000"/>
        </w:rPr>
      </w:pPr>
      <w:r w:rsidRPr="0007572B">
        <w:rPr>
          <w:rFonts w:ascii="Arial" w:hAnsi="Arial" w:cs="Arial"/>
          <w:color w:val="000000"/>
        </w:rPr>
        <w:t>Income arising from the provision of services, e.g. the use of premises.</w:t>
      </w:r>
    </w:p>
    <w:p w14:paraId="35974E37" w14:textId="77777777" w:rsidR="00795BE0" w:rsidRPr="0007572B" w:rsidRDefault="00795BE0" w:rsidP="00795BE0">
      <w:pPr>
        <w:pStyle w:val="Heading3"/>
      </w:pPr>
      <w:bookmarkStart w:id="478" w:name="_Toc92895002"/>
      <w:bookmarkStart w:id="479" w:name="_Toc92895306"/>
      <w:bookmarkStart w:id="480" w:name="_Toc109922740"/>
      <w:r w:rsidRPr="0007572B">
        <w:t>Finance Lease</w:t>
      </w:r>
      <w:bookmarkEnd w:id="478"/>
      <w:bookmarkEnd w:id="479"/>
      <w:bookmarkEnd w:id="480"/>
    </w:p>
    <w:p w14:paraId="08A05A7E"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jc w:val="both"/>
        <w:textAlignment w:val="baseline"/>
        <w:rPr>
          <w:rFonts w:ascii="Arial" w:hAnsi="Arial" w:cs="Arial"/>
          <w:bCs/>
          <w:color w:val="000000"/>
        </w:rPr>
      </w:pPr>
      <w:r w:rsidRPr="0007572B">
        <w:rPr>
          <w:rFonts w:ascii="Arial" w:hAnsi="Arial" w:cs="Arial"/>
          <w:bCs/>
          <w:color w:val="000000"/>
        </w:rPr>
        <w:t xml:space="preserve">A finance lease is one that transfers substantially all the risks and rewards of ownership of items of property, plant and equipment to a lessee. </w:t>
      </w:r>
    </w:p>
    <w:p w14:paraId="0ABC4455" w14:textId="77777777" w:rsidR="00795BE0" w:rsidRPr="0007572B" w:rsidRDefault="00795BE0" w:rsidP="00795BE0">
      <w:pPr>
        <w:pStyle w:val="Heading3"/>
      </w:pPr>
      <w:bookmarkStart w:id="481" w:name="_Toc92895003"/>
      <w:bookmarkStart w:id="482" w:name="_Toc92895307"/>
      <w:bookmarkStart w:id="483" w:name="_Toc109922741"/>
      <w:r w:rsidRPr="0007572B">
        <w:t>Financial Instruments</w:t>
      </w:r>
      <w:bookmarkEnd w:id="481"/>
      <w:bookmarkEnd w:id="482"/>
      <w:bookmarkEnd w:id="483"/>
    </w:p>
    <w:p w14:paraId="739618F6"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jc w:val="both"/>
        <w:textAlignment w:val="baseline"/>
        <w:rPr>
          <w:rFonts w:ascii="Arial" w:hAnsi="Arial" w:cs="Arial"/>
          <w:bCs/>
          <w:color w:val="000000"/>
        </w:rPr>
      </w:pPr>
      <w:r w:rsidRPr="0007572B">
        <w:rPr>
          <w:rFonts w:ascii="Arial" w:hAnsi="Arial" w:cs="Arial"/>
          <w:bCs/>
          <w:color w:val="000000"/>
        </w:rPr>
        <w:t>This is any contract that gives rise to a financial asset of one entity and a financial liability or equity of another. The term covers both financial assets (e.g. loans receivable) and financial liabilities (e.g. borrowings).</w:t>
      </w:r>
    </w:p>
    <w:p w14:paraId="60489C63" w14:textId="77777777" w:rsidR="00795BE0" w:rsidRPr="0007572B" w:rsidRDefault="00795BE0" w:rsidP="00795BE0">
      <w:pPr>
        <w:pStyle w:val="Heading3"/>
      </w:pPr>
      <w:bookmarkStart w:id="484" w:name="_Toc92895004"/>
      <w:bookmarkStart w:id="485" w:name="_Toc92895308"/>
      <w:bookmarkStart w:id="486" w:name="_Toc109922742"/>
      <w:r w:rsidRPr="0007572B">
        <w:t>Historical Cost</w:t>
      </w:r>
      <w:bookmarkEnd w:id="484"/>
      <w:bookmarkEnd w:id="485"/>
      <w:bookmarkEnd w:id="486"/>
    </w:p>
    <w:p w14:paraId="5CA46817"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Arial" w:hAnsi="Arial" w:cs="Arial"/>
          <w:bCs/>
          <w:color w:val="000000"/>
        </w:rPr>
      </w:pPr>
      <w:r w:rsidRPr="0007572B">
        <w:rPr>
          <w:rFonts w:ascii="Arial" w:hAnsi="Arial" w:cs="Arial"/>
          <w:bCs/>
          <w:color w:val="000000"/>
        </w:rPr>
        <w:t>The actual cost of assets, goods or services, at the time of their acquisition.</w:t>
      </w:r>
    </w:p>
    <w:p w14:paraId="2A3A2A4D" w14:textId="77777777" w:rsidR="00795BE0" w:rsidRPr="0007572B" w:rsidRDefault="00795BE0" w:rsidP="00795BE0">
      <w:pPr>
        <w:pStyle w:val="Heading3"/>
      </w:pPr>
      <w:bookmarkStart w:id="487" w:name="_Toc92895005"/>
      <w:bookmarkStart w:id="488" w:name="_Toc92895309"/>
      <w:bookmarkStart w:id="489" w:name="_Toc109922743"/>
      <w:r w:rsidRPr="0007572B">
        <w:t>Impairment</w:t>
      </w:r>
      <w:bookmarkEnd w:id="487"/>
      <w:bookmarkEnd w:id="488"/>
      <w:bookmarkEnd w:id="489"/>
    </w:p>
    <w:p w14:paraId="14758DB0"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Arial" w:hAnsi="Arial" w:cs="Arial"/>
          <w:color w:val="000000"/>
        </w:rPr>
      </w:pPr>
      <w:r w:rsidRPr="0007572B">
        <w:rPr>
          <w:rFonts w:ascii="Arial" w:hAnsi="Arial" w:cs="Arial"/>
          <w:color w:val="000000"/>
        </w:rPr>
        <w:t>A reduction in the value of a property, plant and equipment below its carrying amount in the balance sheet.</w:t>
      </w:r>
    </w:p>
    <w:p w14:paraId="7CC957E0" w14:textId="77777777" w:rsidR="00795BE0" w:rsidRPr="0007572B" w:rsidRDefault="00795BE0" w:rsidP="00795BE0">
      <w:pPr>
        <w:pStyle w:val="Heading3"/>
      </w:pPr>
      <w:bookmarkStart w:id="490" w:name="_Toc92895006"/>
      <w:bookmarkStart w:id="491" w:name="_Toc92895310"/>
      <w:bookmarkStart w:id="492" w:name="_Toc109922744"/>
      <w:r w:rsidRPr="0007572B">
        <w:t>Income</w:t>
      </w:r>
      <w:bookmarkEnd w:id="490"/>
      <w:bookmarkEnd w:id="491"/>
      <w:bookmarkEnd w:id="492"/>
    </w:p>
    <w:p w14:paraId="533D1C64"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jc w:val="both"/>
        <w:textAlignment w:val="baseline"/>
        <w:rPr>
          <w:rFonts w:ascii="Arial" w:hAnsi="Arial" w:cs="Arial"/>
          <w:color w:val="000000"/>
        </w:rPr>
      </w:pPr>
      <w:r w:rsidRPr="0007572B">
        <w:rPr>
          <w:rFonts w:ascii="Arial" w:hAnsi="Arial" w:cs="Arial"/>
          <w:color w:val="000000"/>
        </w:rPr>
        <w:t>Amounts due to the Authority and Group for goods supplied or services rendered of either a capital or revenue nature. This does not necessarily involve cash being received - income is deemed to have been earned once the goods or services have been supplied even if the cash has not been received.</w:t>
      </w:r>
    </w:p>
    <w:p w14:paraId="6A771772" w14:textId="77777777" w:rsidR="00795BE0" w:rsidRPr="0007572B" w:rsidRDefault="00795BE0" w:rsidP="00795BE0">
      <w:pPr>
        <w:pStyle w:val="Heading3"/>
      </w:pPr>
      <w:bookmarkStart w:id="493" w:name="_Toc92895007"/>
      <w:bookmarkStart w:id="494" w:name="_Toc92895311"/>
      <w:bookmarkStart w:id="495" w:name="_Toc109922745"/>
      <w:r w:rsidRPr="0007572B">
        <w:t>Infrastructure Assets</w:t>
      </w:r>
      <w:bookmarkEnd w:id="493"/>
      <w:bookmarkEnd w:id="494"/>
      <w:bookmarkEnd w:id="495"/>
      <w:r w:rsidRPr="0007572B">
        <w:t xml:space="preserve"> </w:t>
      </w:r>
    </w:p>
    <w:p w14:paraId="75CB5890"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Arial" w:hAnsi="Arial" w:cs="Arial"/>
          <w:color w:val="000000"/>
        </w:rPr>
      </w:pPr>
      <w:r w:rsidRPr="0007572B">
        <w:rPr>
          <w:rFonts w:ascii="Arial" w:hAnsi="Arial" w:cs="Arial"/>
          <w:color w:val="000000"/>
        </w:rPr>
        <w:t>These are inalienable assets, expenditure on which is recoverable only by continued use of the asset created. Examples of such assets are traffic signals.</w:t>
      </w:r>
    </w:p>
    <w:p w14:paraId="15117896" w14:textId="77777777" w:rsidR="00795BE0" w:rsidRPr="0007572B" w:rsidRDefault="00795BE0" w:rsidP="00795BE0">
      <w:pPr>
        <w:pStyle w:val="Heading3"/>
      </w:pPr>
      <w:bookmarkStart w:id="496" w:name="_Toc92895008"/>
      <w:bookmarkStart w:id="497" w:name="_Toc92895312"/>
      <w:bookmarkStart w:id="498" w:name="_Toc109922746"/>
      <w:r w:rsidRPr="0007572B">
        <w:t>Intangible Assets</w:t>
      </w:r>
      <w:bookmarkEnd w:id="496"/>
      <w:bookmarkEnd w:id="497"/>
      <w:bookmarkEnd w:id="498"/>
    </w:p>
    <w:p w14:paraId="5A4BD819"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Arial" w:hAnsi="Arial" w:cs="Arial"/>
          <w:color w:val="000000"/>
        </w:rPr>
      </w:pPr>
      <w:r w:rsidRPr="0007572B">
        <w:rPr>
          <w:rFonts w:ascii="Arial" w:hAnsi="Arial" w:cs="Arial"/>
          <w:color w:val="000000"/>
        </w:rPr>
        <w:t>These are assets that have no physical substance, for example, the purchase of computer software licences.</w:t>
      </w:r>
    </w:p>
    <w:p w14:paraId="2AAE2D78" w14:textId="77777777" w:rsidR="00795BE0" w:rsidRPr="0007572B" w:rsidRDefault="00795BE0" w:rsidP="00795BE0">
      <w:pPr>
        <w:pStyle w:val="Heading3"/>
      </w:pPr>
      <w:bookmarkStart w:id="499" w:name="_Toc92895009"/>
      <w:bookmarkStart w:id="500" w:name="_Toc92895313"/>
      <w:bookmarkStart w:id="501" w:name="_Toc109922747"/>
      <w:r w:rsidRPr="0007572B">
        <w:t>Interest Cost (Pensions)</w:t>
      </w:r>
      <w:bookmarkEnd w:id="499"/>
      <w:bookmarkEnd w:id="500"/>
      <w:bookmarkEnd w:id="501"/>
    </w:p>
    <w:p w14:paraId="77132E21"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jc w:val="both"/>
        <w:textAlignment w:val="baseline"/>
        <w:rPr>
          <w:rFonts w:ascii="Arial" w:hAnsi="Arial" w:cs="Arial"/>
          <w:color w:val="000000"/>
        </w:rPr>
      </w:pPr>
      <w:r w:rsidRPr="0007572B">
        <w:rPr>
          <w:rFonts w:ascii="Arial" w:hAnsi="Arial" w:cs="Arial"/>
          <w:color w:val="000000"/>
        </w:rPr>
        <w:t>For a defined benefit scheme, the expected increase during the period in the present value of the scheme liabilities because the benefits are one period closer to settlement.</w:t>
      </w:r>
    </w:p>
    <w:p w14:paraId="35DDAA84" w14:textId="77777777" w:rsidR="00795BE0" w:rsidRPr="0007572B" w:rsidRDefault="00795BE0" w:rsidP="00795BE0">
      <w:pPr>
        <w:pStyle w:val="Heading3"/>
      </w:pPr>
      <w:bookmarkStart w:id="502" w:name="_Toc92895010"/>
      <w:bookmarkStart w:id="503" w:name="_Toc92895314"/>
      <w:bookmarkStart w:id="504" w:name="_Toc109922748"/>
      <w:r w:rsidRPr="0007572B">
        <w:t>International Financial Reporting Standards (IFRS)</w:t>
      </w:r>
      <w:bookmarkEnd w:id="502"/>
      <w:bookmarkEnd w:id="503"/>
      <w:bookmarkEnd w:id="504"/>
    </w:p>
    <w:p w14:paraId="13E34D9E"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jc w:val="both"/>
        <w:textAlignment w:val="baseline"/>
        <w:rPr>
          <w:rFonts w:ascii="Arial" w:hAnsi="Arial" w:cs="Arial"/>
          <w:bCs/>
          <w:color w:val="000000"/>
        </w:rPr>
      </w:pPr>
      <w:r w:rsidRPr="0007572B">
        <w:rPr>
          <w:rFonts w:ascii="Arial" w:hAnsi="Arial" w:cs="Arial"/>
          <w:bCs/>
          <w:color w:val="000000"/>
        </w:rPr>
        <w:t>These are statements prepared by the International Accounting Standards Board to ensure consistency in accountancy matters. Many of these standards now apply to local authorities and any departure from these must be disclosed in the published accounts.</w:t>
      </w:r>
    </w:p>
    <w:p w14:paraId="12255AB4" w14:textId="77777777" w:rsidR="00795BE0" w:rsidRPr="0007572B" w:rsidRDefault="00795BE0" w:rsidP="00795BE0">
      <w:pPr>
        <w:pStyle w:val="Heading3"/>
      </w:pPr>
      <w:bookmarkStart w:id="505" w:name="_Toc92895011"/>
      <w:bookmarkStart w:id="506" w:name="_Toc92895315"/>
      <w:bookmarkStart w:id="507" w:name="_Toc109922749"/>
      <w:r w:rsidRPr="0007572B">
        <w:t>Inventory</w:t>
      </w:r>
      <w:bookmarkEnd w:id="505"/>
      <w:bookmarkEnd w:id="506"/>
      <w:bookmarkEnd w:id="507"/>
    </w:p>
    <w:p w14:paraId="3E1556A0"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jc w:val="both"/>
        <w:textAlignment w:val="baseline"/>
        <w:rPr>
          <w:rFonts w:ascii="Arial" w:hAnsi="Arial" w:cs="Arial"/>
          <w:color w:val="000000"/>
        </w:rPr>
      </w:pPr>
      <w:r w:rsidRPr="0007572B">
        <w:rPr>
          <w:rFonts w:ascii="Arial" w:hAnsi="Arial" w:cs="Arial"/>
          <w:color w:val="000000"/>
        </w:rPr>
        <w:t>Raw materials and consumable items the Authority’s Group has purchased to use on a continuing basis and has not used by the end of the financial year.</w:t>
      </w:r>
    </w:p>
    <w:p w14:paraId="53A90A8C" w14:textId="77777777" w:rsidR="00795BE0" w:rsidRPr="0007572B" w:rsidRDefault="00795BE0" w:rsidP="00795BE0">
      <w:pPr>
        <w:pStyle w:val="Heading3"/>
      </w:pPr>
      <w:bookmarkStart w:id="508" w:name="_Toc92895012"/>
      <w:bookmarkStart w:id="509" w:name="_Toc92895316"/>
      <w:bookmarkStart w:id="510" w:name="_Toc109922750"/>
      <w:r w:rsidRPr="0007572B">
        <w:t>Investment Properties</w:t>
      </w:r>
      <w:bookmarkEnd w:id="508"/>
      <w:bookmarkEnd w:id="509"/>
      <w:bookmarkEnd w:id="510"/>
    </w:p>
    <w:p w14:paraId="17066F35"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Arial" w:hAnsi="Arial" w:cs="Arial"/>
          <w:color w:val="000000"/>
        </w:rPr>
      </w:pPr>
      <w:r w:rsidRPr="0007572B">
        <w:rPr>
          <w:rFonts w:ascii="Arial" w:hAnsi="Arial" w:cs="Arial"/>
          <w:color w:val="000000"/>
        </w:rPr>
        <w:t>These are property or land that is held solely to earn rentals or for capital appreciation or both.</w:t>
      </w:r>
    </w:p>
    <w:p w14:paraId="6CE50FA1" w14:textId="77777777" w:rsidR="00795BE0" w:rsidRPr="0007572B" w:rsidRDefault="00795BE0" w:rsidP="00795BE0">
      <w:pPr>
        <w:pStyle w:val="Heading3"/>
      </w:pPr>
      <w:bookmarkStart w:id="511" w:name="_Toc92895013"/>
      <w:bookmarkStart w:id="512" w:name="_Toc92895317"/>
      <w:bookmarkStart w:id="513" w:name="_Toc109922751"/>
      <w:r w:rsidRPr="0007572B">
        <w:t>Investments</w:t>
      </w:r>
      <w:bookmarkEnd w:id="511"/>
      <w:bookmarkEnd w:id="512"/>
      <w:bookmarkEnd w:id="513"/>
    </w:p>
    <w:p w14:paraId="2A95895A"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Arial" w:hAnsi="Arial" w:cs="Arial"/>
          <w:color w:val="000000"/>
        </w:rPr>
      </w:pPr>
      <w:r w:rsidRPr="0007572B">
        <w:rPr>
          <w:rFonts w:ascii="Arial" w:hAnsi="Arial" w:cs="Arial"/>
          <w:color w:val="000000"/>
        </w:rPr>
        <w:t>Items such as company shares, other securities and money deposited with financial institutions (other than bank current accounts).</w:t>
      </w:r>
    </w:p>
    <w:p w14:paraId="45C310E5" w14:textId="77777777" w:rsidR="00795BE0" w:rsidRPr="0007572B" w:rsidRDefault="00795BE0" w:rsidP="00795BE0">
      <w:pPr>
        <w:pStyle w:val="Heading3"/>
      </w:pPr>
      <w:bookmarkStart w:id="514" w:name="_Toc92895014"/>
      <w:bookmarkStart w:id="515" w:name="_Toc92895318"/>
      <w:bookmarkStart w:id="516" w:name="_Toc109922752"/>
      <w:r w:rsidRPr="0007572B">
        <w:t>Liabilities</w:t>
      </w:r>
      <w:bookmarkEnd w:id="514"/>
      <w:bookmarkEnd w:id="515"/>
      <w:bookmarkEnd w:id="516"/>
    </w:p>
    <w:p w14:paraId="676BFACE"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Arial" w:hAnsi="Arial" w:cs="Arial"/>
          <w:color w:val="000000"/>
        </w:rPr>
      </w:pPr>
      <w:r w:rsidRPr="0007572B">
        <w:rPr>
          <w:rFonts w:ascii="Arial" w:hAnsi="Arial" w:cs="Arial"/>
          <w:color w:val="000000"/>
        </w:rPr>
        <w:t>Amounts due to individuals or organisations that will have to be paid at some time in the future. Current liabilities are usually payable within one year of the balance sheet date.</w:t>
      </w:r>
    </w:p>
    <w:p w14:paraId="348193F8" w14:textId="77777777" w:rsidR="00795BE0" w:rsidRPr="0007572B" w:rsidRDefault="00795BE0" w:rsidP="00795BE0">
      <w:pPr>
        <w:pStyle w:val="Heading3"/>
      </w:pPr>
      <w:bookmarkStart w:id="517" w:name="_Toc92895015"/>
      <w:bookmarkStart w:id="518" w:name="_Toc92895319"/>
      <w:bookmarkStart w:id="519" w:name="_Toc109922753"/>
      <w:r w:rsidRPr="0007572B">
        <w:t>Long-term Contracts</w:t>
      </w:r>
      <w:bookmarkEnd w:id="517"/>
      <w:bookmarkEnd w:id="518"/>
      <w:bookmarkEnd w:id="519"/>
    </w:p>
    <w:p w14:paraId="6A16507B"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jc w:val="both"/>
        <w:textAlignment w:val="baseline"/>
        <w:rPr>
          <w:rFonts w:ascii="Arial" w:hAnsi="Arial" w:cs="Arial"/>
          <w:color w:val="000000"/>
        </w:rPr>
      </w:pPr>
      <w:r w:rsidRPr="0007572B">
        <w:rPr>
          <w:rFonts w:ascii="Arial" w:hAnsi="Arial" w:cs="Arial"/>
          <w:color w:val="000000"/>
        </w:rPr>
        <w:t>A contract entered into for the design, manufacture or construction of a single substantial asset or service where the time taken to complete the contract is such that the contract activity falls into different accounting periods.</w:t>
      </w:r>
    </w:p>
    <w:p w14:paraId="751A7225" w14:textId="77777777" w:rsidR="00795BE0" w:rsidRPr="0007572B" w:rsidRDefault="00795BE0" w:rsidP="00795BE0">
      <w:pPr>
        <w:pStyle w:val="Heading3"/>
      </w:pPr>
      <w:bookmarkStart w:id="520" w:name="_Toc92895016"/>
      <w:bookmarkStart w:id="521" w:name="_Toc92895320"/>
      <w:bookmarkStart w:id="522" w:name="_Toc109922754"/>
      <w:r w:rsidRPr="0007572B">
        <w:t>Material</w:t>
      </w:r>
      <w:bookmarkEnd w:id="520"/>
      <w:bookmarkEnd w:id="521"/>
      <w:bookmarkEnd w:id="522"/>
    </w:p>
    <w:p w14:paraId="1299F220"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Arial" w:hAnsi="Arial" w:cs="Arial"/>
          <w:color w:val="000000"/>
        </w:rPr>
      </w:pPr>
      <w:r w:rsidRPr="0007572B">
        <w:rPr>
          <w:rFonts w:ascii="Arial" w:hAnsi="Arial" w:cs="Arial"/>
          <w:color w:val="000000"/>
        </w:rPr>
        <w:t>The concept that any omission from or inaccuracy in the statements of account should not be large enough to affect the understanding of those statements by a reader.</w:t>
      </w:r>
    </w:p>
    <w:p w14:paraId="36EA72B1" w14:textId="77777777" w:rsidR="00795BE0" w:rsidRPr="0007572B" w:rsidRDefault="00795BE0" w:rsidP="00795BE0">
      <w:pPr>
        <w:pStyle w:val="Heading3"/>
      </w:pPr>
      <w:bookmarkStart w:id="523" w:name="_Toc92895017"/>
      <w:bookmarkStart w:id="524" w:name="_Toc92895321"/>
      <w:bookmarkStart w:id="525" w:name="_Toc109922755"/>
      <w:r w:rsidRPr="0007572B">
        <w:t>Minimum Revenue Provision (MRP)</w:t>
      </w:r>
      <w:bookmarkEnd w:id="523"/>
      <w:bookmarkEnd w:id="524"/>
      <w:bookmarkEnd w:id="525"/>
    </w:p>
    <w:p w14:paraId="5B3ECB90"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jc w:val="both"/>
        <w:textAlignment w:val="baseline"/>
        <w:rPr>
          <w:rFonts w:ascii="Arial" w:hAnsi="Arial" w:cs="Arial"/>
          <w:color w:val="000000"/>
        </w:rPr>
      </w:pPr>
      <w:r w:rsidRPr="0007572B">
        <w:rPr>
          <w:rFonts w:ascii="Arial" w:hAnsi="Arial" w:cs="Arial"/>
          <w:color w:val="000000"/>
        </w:rPr>
        <w:t>This is the amount that is charged to the Authority's Movement in Reserves Statement each year and set aside as a provision for credit liabilities.</w:t>
      </w:r>
    </w:p>
    <w:p w14:paraId="1314364C" w14:textId="77777777" w:rsidR="00795BE0" w:rsidRPr="0007572B" w:rsidRDefault="00795BE0" w:rsidP="00795BE0">
      <w:pPr>
        <w:pStyle w:val="Heading3"/>
      </w:pPr>
      <w:bookmarkStart w:id="526" w:name="_Toc92895018"/>
      <w:bookmarkStart w:id="527" w:name="_Toc92895322"/>
      <w:bookmarkStart w:id="528" w:name="_Toc109922756"/>
      <w:r w:rsidRPr="0007572B">
        <w:t>Net Book Value</w:t>
      </w:r>
      <w:bookmarkEnd w:id="526"/>
      <w:bookmarkEnd w:id="527"/>
      <w:bookmarkEnd w:id="528"/>
    </w:p>
    <w:p w14:paraId="0973B311"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Arial" w:hAnsi="Arial" w:cs="Arial"/>
          <w:color w:val="000000"/>
        </w:rPr>
      </w:pPr>
      <w:r w:rsidRPr="0007572B">
        <w:rPr>
          <w:rFonts w:ascii="Arial" w:hAnsi="Arial" w:cs="Arial"/>
          <w:color w:val="000000"/>
        </w:rPr>
        <w:t>The amount at which non-current assets are included in the balance sheet, i.e. their historical cost or current cost less the cumulative depreciation.</w:t>
      </w:r>
    </w:p>
    <w:p w14:paraId="36A94228" w14:textId="77777777" w:rsidR="00795BE0" w:rsidRPr="0007572B" w:rsidRDefault="00795BE0" w:rsidP="00795BE0">
      <w:pPr>
        <w:pStyle w:val="Heading3"/>
      </w:pPr>
      <w:bookmarkStart w:id="529" w:name="_Toc92895019"/>
      <w:bookmarkStart w:id="530" w:name="_Toc92895323"/>
      <w:bookmarkStart w:id="531" w:name="_Toc109922757"/>
      <w:r w:rsidRPr="0007572B">
        <w:t>Net Realisable Value</w:t>
      </w:r>
      <w:bookmarkEnd w:id="529"/>
      <w:bookmarkEnd w:id="530"/>
      <w:bookmarkEnd w:id="531"/>
    </w:p>
    <w:p w14:paraId="165BCE1A"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Arial" w:hAnsi="Arial" w:cs="Arial"/>
          <w:color w:val="000000"/>
        </w:rPr>
      </w:pPr>
      <w:r w:rsidRPr="0007572B">
        <w:rPr>
          <w:rFonts w:ascii="Arial" w:hAnsi="Arial" w:cs="Arial"/>
          <w:color w:val="000000"/>
        </w:rPr>
        <w:t>The open market value of the asset in its existing use (or open market value in the case of non-operational assets), less the expenses to be incurred in realising the asset.</w:t>
      </w:r>
    </w:p>
    <w:p w14:paraId="5AFE7F8E" w14:textId="77777777" w:rsidR="00795BE0" w:rsidRPr="0007572B" w:rsidRDefault="00795BE0" w:rsidP="00795BE0">
      <w:pPr>
        <w:pStyle w:val="Heading3"/>
      </w:pPr>
      <w:bookmarkStart w:id="532" w:name="_Toc92895020"/>
      <w:bookmarkStart w:id="533" w:name="_Toc92895324"/>
      <w:bookmarkStart w:id="534" w:name="_Toc109922758"/>
      <w:r w:rsidRPr="0007572B">
        <w:t>Non-Current Assets</w:t>
      </w:r>
      <w:bookmarkEnd w:id="532"/>
      <w:bookmarkEnd w:id="533"/>
      <w:bookmarkEnd w:id="534"/>
    </w:p>
    <w:p w14:paraId="707048B1"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Arial" w:hAnsi="Arial" w:cs="Arial"/>
          <w:color w:val="000000"/>
        </w:rPr>
      </w:pPr>
      <w:r w:rsidRPr="0007572B">
        <w:rPr>
          <w:rFonts w:ascii="Arial" w:hAnsi="Arial" w:cs="Arial"/>
          <w:color w:val="000000"/>
        </w:rPr>
        <w:t>Assets which have value to the Authority for more than one year. These can be tangible (e.g. land, buildings, equipment) or intangible (e.g. Software or licences) assets.</w:t>
      </w:r>
    </w:p>
    <w:p w14:paraId="1EA1B3E6" w14:textId="77777777" w:rsidR="00795BE0" w:rsidRPr="0007572B" w:rsidRDefault="00795BE0" w:rsidP="00795BE0">
      <w:pPr>
        <w:pStyle w:val="Heading3"/>
      </w:pPr>
      <w:bookmarkStart w:id="535" w:name="_Toc92895021"/>
      <w:bookmarkStart w:id="536" w:name="_Toc92895325"/>
      <w:bookmarkStart w:id="537" w:name="_Toc109922759"/>
      <w:r w:rsidRPr="0007572B">
        <w:t>Non-Operational Assets</w:t>
      </w:r>
      <w:bookmarkEnd w:id="535"/>
      <w:bookmarkEnd w:id="536"/>
      <w:bookmarkEnd w:id="537"/>
    </w:p>
    <w:p w14:paraId="3C7F534D"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Arial" w:hAnsi="Arial" w:cs="Arial"/>
          <w:color w:val="000000"/>
        </w:rPr>
      </w:pPr>
      <w:r w:rsidRPr="0007572B">
        <w:rPr>
          <w:rFonts w:ascii="Arial" w:hAnsi="Arial" w:cs="Arial"/>
          <w:color w:val="000000"/>
        </w:rPr>
        <w:t>Non-current assets held by the Authority but not directly occupied, used or consumed in the delivery of services. Examples of non-operational assets are investment properties and assets that are surplus to requirements pending sale or redevelopment.</w:t>
      </w:r>
    </w:p>
    <w:p w14:paraId="7BAB7527" w14:textId="77777777" w:rsidR="00795BE0" w:rsidRPr="0007572B" w:rsidRDefault="00795BE0" w:rsidP="00795BE0">
      <w:pPr>
        <w:pStyle w:val="Heading3"/>
      </w:pPr>
      <w:bookmarkStart w:id="538" w:name="_Toc92895022"/>
      <w:bookmarkStart w:id="539" w:name="_Toc92895326"/>
      <w:bookmarkStart w:id="540" w:name="_Toc109922760"/>
      <w:r>
        <w:t>Business Rates</w:t>
      </w:r>
      <w:bookmarkEnd w:id="538"/>
      <w:bookmarkEnd w:id="539"/>
      <w:bookmarkEnd w:id="540"/>
    </w:p>
    <w:p w14:paraId="7BBA649B"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Arial" w:hAnsi="Arial" w:cs="Arial"/>
          <w:color w:val="000000"/>
        </w:rPr>
      </w:pPr>
      <w:r w:rsidRPr="0007572B">
        <w:rPr>
          <w:rFonts w:ascii="Arial" w:hAnsi="Arial" w:cs="Arial"/>
          <w:color w:val="000000"/>
        </w:rPr>
        <w:t xml:space="preserve">These are a levy on business properties based on a national rate in the pound applied to the ‘rateable value’ of the property. The Government determines that national rate poundage, local authorities collect the sums due, with distribution made in accordance with rules governing the </w:t>
      </w:r>
      <w:r>
        <w:rPr>
          <w:rFonts w:ascii="Arial" w:hAnsi="Arial" w:cs="Arial"/>
          <w:color w:val="000000"/>
        </w:rPr>
        <w:t>b</w:t>
      </w:r>
      <w:r w:rsidRPr="0007572B">
        <w:rPr>
          <w:rFonts w:ascii="Arial" w:hAnsi="Arial" w:cs="Arial"/>
          <w:color w:val="000000"/>
        </w:rPr>
        <w:t xml:space="preserve">usiness </w:t>
      </w:r>
      <w:r>
        <w:rPr>
          <w:rFonts w:ascii="Arial" w:hAnsi="Arial" w:cs="Arial"/>
          <w:color w:val="000000"/>
        </w:rPr>
        <w:t>r</w:t>
      </w:r>
      <w:r w:rsidRPr="0007572B">
        <w:rPr>
          <w:rFonts w:ascii="Arial" w:hAnsi="Arial" w:cs="Arial"/>
          <w:color w:val="000000"/>
        </w:rPr>
        <w:t>ates retention scheme.</w:t>
      </w:r>
    </w:p>
    <w:p w14:paraId="38B28FDC" w14:textId="77777777" w:rsidR="00795BE0" w:rsidRPr="0007572B" w:rsidRDefault="00795BE0" w:rsidP="00795BE0">
      <w:pPr>
        <w:pStyle w:val="Heading3"/>
      </w:pPr>
      <w:bookmarkStart w:id="541" w:name="_Toc92895023"/>
      <w:bookmarkStart w:id="542" w:name="_Toc92895327"/>
      <w:bookmarkStart w:id="543" w:name="_Toc109922761"/>
      <w:r w:rsidRPr="0007572B">
        <w:t>Operating Lease</w:t>
      </w:r>
      <w:bookmarkEnd w:id="541"/>
      <w:bookmarkEnd w:id="542"/>
      <w:bookmarkEnd w:id="543"/>
    </w:p>
    <w:p w14:paraId="3545C702"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Arial" w:hAnsi="Arial" w:cs="Arial"/>
          <w:bCs/>
          <w:color w:val="000000"/>
        </w:rPr>
      </w:pPr>
      <w:r w:rsidRPr="0007572B">
        <w:rPr>
          <w:rFonts w:ascii="Arial" w:hAnsi="Arial" w:cs="Arial"/>
          <w:bCs/>
          <w:color w:val="000000"/>
        </w:rPr>
        <w:t>A lease other than a finance lease.</w:t>
      </w:r>
    </w:p>
    <w:p w14:paraId="50F07AA2" w14:textId="77777777" w:rsidR="00795BE0" w:rsidRPr="0007572B" w:rsidRDefault="00795BE0" w:rsidP="00795BE0">
      <w:pPr>
        <w:pStyle w:val="Heading3"/>
      </w:pPr>
      <w:bookmarkStart w:id="544" w:name="_Toc92895024"/>
      <w:bookmarkStart w:id="545" w:name="_Toc92895328"/>
      <w:bookmarkStart w:id="546" w:name="_Toc109922762"/>
      <w:r w:rsidRPr="0007572B">
        <w:t>Past Service Cost</w:t>
      </w:r>
      <w:bookmarkEnd w:id="544"/>
      <w:bookmarkEnd w:id="545"/>
      <w:bookmarkEnd w:id="546"/>
    </w:p>
    <w:p w14:paraId="349D69B3"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jc w:val="both"/>
        <w:textAlignment w:val="baseline"/>
        <w:rPr>
          <w:rFonts w:ascii="Arial" w:hAnsi="Arial" w:cs="Arial"/>
          <w:bCs/>
          <w:color w:val="000000"/>
        </w:rPr>
      </w:pPr>
      <w:r w:rsidRPr="0007572B">
        <w:rPr>
          <w:rFonts w:ascii="Arial" w:hAnsi="Arial" w:cs="Arial"/>
          <w:bCs/>
          <w:color w:val="000000"/>
        </w:rPr>
        <w:t>For a defined benefit pension scheme, the increase in present value of the scheme liabilities related to employee service in prior periods arising in the current period as a result of the introduction of, or improvement to, retirement benefits.</w:t>
      </w:r>
    </w:p>
    <w:p w14:paraId="15ECD17F" w14:textId="77777777" w:rsidR="00795BE0" w:rsidRPr="0007572B" w:rsidRDefault="00795BE0" w:rsidP="00795BE0">
      <w:pPr>
        <w:pStyle w:val="Heading3"/>
      </w:pPr>
      <w:bookmarkStart w:id="547" w:name="_Toc92895025"/>
      <w:bookmarkStart w:id="548" w:name="_Toc92895329"/>
      <w:bookmarkStart w:id="549" w:name="_Toc109922763"/>
      <w:r w:rsidRPr="0007572B">
        <w:t>Payments in Advance</w:t>
      </w:r>
      <w:bookmarkEnd w:id="547"/>
      <w:bookmarkEnd w:id="548"/>
      <w:bookmarkEnd w:id="549"/>
    </w:p>
    <w:p w14:paraId="392DA3F8"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Arial" w:hAnsi="Arial" w:cs="Arial"/>
          <w:color w:val="000000"/>
        </w:rPr>
      </w:pPr>
      <w:r w:rsidRPr="0007572B">
        <w:rPr>
          <w:rFonts w:ascii="Arial" w:hAnsi="Arial" w:cs="Arial"/>
          <w:color w:val="000000"/>
        </w:rPr>
        <w:t>Amounts actually paid in an accounting period prior to the period in which they are due</w:t>
      </w:r>
    </w:p>
    <w:p w14:paraId="26F828BA" w14:textId="77777777" w:rsidR="00795BE0" w:rsidRPr="0007572B" w:rsidRDefault="00795BE0" w:rsidP="00795BE0">
      <w:pPr>
        <w:pStyle w:val="Heading3"/>
      </w:pPr>
      <w:bookmarkStart w:id="550" w:name="_Toc92895026"/>
      <w:bookmarkStart w:id="551" w:name="_Toc92895330"/>
      <w:bookmarkStart w:id="552" w:name="_Toc109922764"/>
      <w:r w:rsidRPr="0007572B">
        <w:t>Pension Funds</w:t>
      </w:r>
      <w:bookmarkEnd w:id="550"/>
      <w:bookmarkEnd w:id="551"/>
      <w:bookmarkEnd w:id="552"/>
    </w:p>
    <w:p w14:paraId="193F33ED"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Arial" w:hAnsi="Arial" w:cs="Arial"/>
          <w:color w:val="000000"/>
        </w:rPr>
      </w:pPr>
      <w:r w:rsidRPr="0007572B">
        <w:rPr>
          <w:rFonts w:ascii="Arial" w:hAnsi="Arial" w:cs="Arial"/>
          <w:color w:val="000000"/>
        </w:rPr>
        <w:t>The Authority is required to set up a separate fund from the rest of its operation for transactions relating to firefighters’ and police pension arrangements. The funds are balanced to nil each year by the receipt of a pensions top-up grant from the Department for Communities and Local Government.</w:t>
      </w:r>
    </w:p>
    <w:p w14:paraId="28B7C219" w14:textId="77777777" w:rsidR="00795BE0" w:rsidRPr="0007572B" w:rsidRDefault="00795BE0" w:rsidP="00795BE0">
      <w:pPr>
        <w:pStyle w:val="Heading3"/>
      </w:pPr>
      <w:bookmarkStart w:id="553" w:name="_Toc92895027"/>
      <w:bookmarkStart w:id="554" w:name="_Toc92895331"/>
      <w:bookmarkStart w:id="555" w:name="_Toc109922765"/>
      <w:r w:rsidRPr="0007572B">
        <w:t>Precept</w:t>
      </w:r>
      <w:bookmarkEnd w:id="553"/>
      <w:bookmarkEnd w:id="554"/>
      <w:bookmarkEnd w:id="555"/>
    </w:p>
    <w:p w14:paraId="2C9DF8FF"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Arial" w:hAnsi="Arial" w:cs="Arial"/>
          <w:color w:val="000000"/>
        </w:rPr>
      </w:pPr>
      <w:r w:rsidRPr="0007572B">
        <w:rPr>
          <w:rFonts w:ascii="Arial" w:hAnsi="Arial" w:cs="Arial"/>
          <w:color w:val="000000"/>
        </w:rPr>
        <w:t>An amount of money levied by one authority (the precepting authority) which is collected by another authority (the collecting authority) as part of the council tax. The Authority is the precepting authority and the GM Authorities are the collecting authorities.</w:t>
      </w:r>
    </w:p>
    <w:p w14:paraId="43662627" w14:textId="77777777" w:rsidR="00795BE0" w:rsidRPr="0007572B" w:rsidRDefault="00795BE0" w:rsidP="00795BE0">
      <w:pPr>
        <w:pStyle w:val="Heading3"/>
      </w:pPr>
      <w:bookmarkStart w:id="556" w:name="_Toc92895028"/>
      <w:bookmarkStart w:id="557" w:name="_Toc92895332"/>
      <w:bookmarkStart w:id="558" w:name="_Toc109922766"/>
      <w:r w:rsidRPr="0007572B">
        <w:t>Prior Year Adjustments</w:t>
      </w:r>
      <w:bookmarkEnd w:id="556"/>
      <w:bookmarkEnd w:id="557"/>
      <w:bookmarkEnd w:id="558"/>
    </w:p>
    <w:p w14:paraId="40D28600"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Arial" w:hAnsi="Arial" w:cs="Arial"/>
          <w:color w:val="000000"/>
        </w:rPr>
      </w:pPr>
      <w:r w:rsidRPr="0007572B">
        <w:rPr>
          <w:rFonts w:ascii="Arial" w:hAnsi="Arial" w:cs="Arial"/>
          <w:color w:val="000000"/>
        </w:rPr>
        <w:t>Material adjustments to the accounts of earlier years arising from changes in accounting policies or from the correction of fundamental errors. They do not include normal recurring corrections or adjustments of accounting estimates made in prior years.</w:t>
      </w:r>
    </w:p>
    <w:p w14:paraId="676B940D" w14:textId="77777777" w:rsidR="00795BE0" w:rsidRPr="0007572B" w:rsidRDefault="00795BE0" w:rsidP="00795BE0">
      <w:pPr>
        <w:pStyle w:val="Heading3"/>
      </w:pPr>
      <w:bookmarkStart w:id="559" w:name="_Toc92895029"/>
      <w:bookmarkStart w:id="560" w:name="_Toc92895333"/>
      <w:bookmarkStart w:id="561" w:name="_Toc109922767"/>
      <w:r w:rsidRPr="0007572B">
        <w:t>Private Finance Initiative (PFI)</w:t>
      </w:r>
      <w:bookmarkEnd w:id="559"/>
      <w:bookmarkEnd w:id="560"/>
      <w:bookmarkEnd w:id="561"/>
    </w:p>
    <w:p w14:paraId="251B9FB3"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Arial" w:hAnsi="Arial" w:cs="Arial"/>
          <w:color w:val="000000"/>
        </w:rPr>
      </w:pPr>
      <w:r w:rsidRPr="0007572B">
        <w:rPr>
          <w:rFonts w:ascii="Arial" w:hAnsi="Arial" w:cs="Arial"/>
          <w:color w:val="000000"/>
        </w:rPr>
        <w:t>A partnership between the private and public sectors that uses private sector financing to provide public sector assets. The partnership has to meet certain criteria to qualify for Central Government subsidy.</w:t>
      </w:r>
    </w:p>
    <w:p w14:paraId="2FCA5BDD" w14:textId="77777777" w:rsidR="00795BE0" w:rsidRPr="0007572B" w:rsidRDefault="00795BE0" w:rsidP="00795BE0">
      <w:pPr>
        <w:pStyle w:val="Heading3"/>
      </w:pPr>
      <w:bookmarkStart w:id="562" w:name="_Toc92895030"/>
      <w:bookmarkStart w:id="563" w:name="_Toc92895334"/>
      <w:bookmarkStart w:id="564" w:name="_Toc109922768"/>
      <w:r w:rsidRPr="0007572B">
        <w:t>Provisions</w:t>
      </w:r>
      <w:bookmarkEnd w:id="562"/>
      <w:bookmarkEnd w:id="563"/>
      <w:bookmarkEnd w:id="564"/>
    </w:p>
    <w:p w14:paraId="0132EBDB"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Arial" w:hAnsi="Arial" w:cs="Arial"/>
          <w:color w:val="000000"/>
        </w:rPr>
      </w:pPr>
      <w:r w:rsidRPr="0007572B">
        <w:rPr>
          <w:rFonts w:ascii="Arial" w:hAnsi="Arial" w:cs="Arial"/>
          <w:color w:val="000000"/>
        </w:rPr>
        <w:t>These are sums set aside to meet liabilities or losses that have been incurred but where the amount and/or timing of such costs are uncertain.</w:t>
      </w:r>
    </w:p>
    <w:p w14:paraId="198ED760" w14:textId="77777777" w:rsidR="00795BE0" w:rsidRPr="0007572B" w:rsidRDefault="00795BE0" w:rsidP="00795BE0">
      <w:pPr>
        <w:pStyle w:val="Heading3"/>
      </w:pPr>
      <w:bookmarkStart w:id="565" w:name="_Toc92895031"/>
      <w:bookmarkStart w:id="566" w:name="_Toc92895335"/>
      <w:bookmarkStart w:id="567" w:name="_Toc109922769"/>
      <w:r w:rsidRPr="0007572B">
        <w:t>Public Works Loan Board (PWLB)</w:t>
      </w:r>
      <w:bookmarkEnd w:id="565"/>
      <w:bookmarkEnd w:id="566"/>
      <w:bookmarkEnd w:id="567"/>
    </w:p>
    <w:p w14:paraId="17E934CD"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Arial" w:hAnsi="Arial" w:cs="Arial"/>
          <w:color w:val="000000"/>
        </w:rPr>
      </w:pPr>
      <w:r w:rsidRPr="0007572B">
        <w:rPr>
          <w:rFonts w:ascii="Arial" w:hAnsi="Arial" w:cs="Arial"/>
          <w:color w:val="000000"/>
        </w:rPr>
        <w:t>A Government agency that lends money to local authorities. Local authorities are able to borrow some or all of their requirements to finance capital expenditure from this source.</w:t>
      </w:r>
    </w:p>
    <w:p w14:paraId="689B60EB" w14:textId="77777777" w:rsidR="00795BE0" w:rsidRPr="0007572B" w:rsidRDefault="00795BE0" w:rsidP="00795BE0">
      <w:pPr>
        <w:pStyle w:val="Heading3"/>
      </w:pPr>
      <w:bookmarkStart w:id="568" w:name="_Toc92895032"/>
      <w:bookmarkStart w:id="569" w:name="_Toc92895336"/>
      <w:bookmarkStart w:id="570" w:name="_Toc109922770"/>
      <w:r w:rsidRPr="0007572B">
        <w:t>Receipts in Advance</w:t>
      </w:r>
      <w:bookmarkEnd w:id="568"/>
      <w:bookmarkEnd w:id="569"/>
      <w:bookmarkEnd w:id="570"/>
    </w:p>
    <w:p w14:paraId="2BE201A9"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Arial" w:hAnsi="Arial" w:cs="Arial"/>
          <w:bCs/>
          <w:color w:val="000000"/>
        </w:rPr>
      </w:pPr>
      <w:r w:rsidRPr="0007572B">
        <w:rPr>
          <w:rFonts w:ascii="Arial" w:hAnsi="Arial" w:cs="Arial"/>
          <w:bCs/>
          <w:color w:val="000000"/>
        </w:rPr>
        <w:t>Amounts actually received in an accounting period prior to the period in which they are due.</w:t>
      </w:r>
    </w:p>
    <w:p w14:paraId="186669F1" w14:textId="77777777" w:rsidR="00795BE0" w:rsidRPr="0007572B" w:rsidRDefault="00795BE0" w:rsidP="00795BE0">
      <w:pPr>
        <w:pStyle w:val="Heading3"/>
      </w:pPr>
      <w:bookmarkStart w:id="571" w:name="_Toc92895033"/>
      <w:bookmarkStart w:id="572" w:name="_Toc92895337"/>
      <w:bookmarkStart w:id="573" w:name="_Toc109922771"/>
      <w:r w:rsidRPr="0007572B">
        <w:t>Residual Value</w:t>
      </w:r>
      <w:bookmarkEnd w:id="571"/>
      <w:bookmarkEnd w:id="572"/>
      <w:bookmarkEnd w:id="573"/>
    </w:p>
    <w:p w14:paraId="2BFB0936"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Arial" w:hAnsi="Arial" w:cs="Arial"/>
          <w:color w:val="000000"/>
        </w:rPr>
      </w:pPr>
      <w:r w:rsidRPr="0007572B">
        <w:rPr>
          <w:rFonts w:ascii="Arial" w:hAnsi="Arial" w:cs="Arial"/>
          <w:color w:val="000000"/>
        </w:rPr>
        <w:t xml:space="preserve">The net realisable value of property, plant or equipment at the end of its useful life. </w:t>
      </w:r>
    </w:p>
    <w:p w14:paraId="589D1B1B" w14:textId="77777777" w:rsidR="00795BE0" w:rsidRPr="0007572B" w:rsidRDefault="00795BE0" w:rsidP="00795BE0">
      <w:pPr>
        <w:pStyle w:val="Heading3"/>
      </w:pPr>
      <w:bookmarkStart w:id="574" w:name="_Toc92895034"/>
      <w:bookmarkStart w:id="575" w:name="_Toc92895338"/>
      <w:bookmarkStart w:id="576" w:name="_Toc109922772"/>
      <w:r w:rsidRPr="0007572B">
        <w:t>Reserves</w:t>
      </w:r>
      <w:bookmarkEnd w:id="574"/>
      <w:bookmarkEnd w:id="575"/>
      <w:bookmarkEnd w:id="576"/>
    </w:p>
    <w:p w14:paraId="1E25C762"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Arial" w:hAnsi="Arial" w:cs="Arial"/>
          <w:color w:val="000000"/>
        </w:rPr>
      </w:pPr>
      <w:r w:rsidRPr="0007572B">
        <w:rPr>
          <w:rFonts w:ascii="Arial" w:hAnsi="Arial" w:cs="Arial"/>
          <w:color w:val="000000"/>
        </w:rPr>
        <w:t>These are sums set aside to meet possible future costs where there is no certainty about whether or not these costs will be incurred.</w:t>
      </w:r>
    </w:p>
    <w:p w14:paraId="2A5EB5A6" w14:textId="77777777" w:rsidR="00795BE0" w:rsidRPr="0007572B" w:rsidRDefault="00795BE0" w:rsidP="00795BE0">
      <w:pPr>
        <w:pStyle w:val="Heading3"/>
      </w:pPr>
      <w:bookmarkStart w:id="577" w:name="_Toc92895035"/>
      <w:bookmarkStart w:id="578" w:name="_Toc92895339"/>
      <w:bookmarkStart w:id="579" w:name="_Toc109922773"/>
      <w:r w:rsidRPr="0007572B">
        <w:t>Revenue Contributions</w:t>
      </w:r>
      <w:bookmarkEnd w:id="577"/>
      <w:bookmarkEnd w:id="578"/>
      <w:bookmarkEnd w:id="579"/>
    </w:p>
    <w:p w14:paraId="0E6B59E1"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Arial" w:hAnsi="Arial" w:cs="Arial"/>
          <w:color w:val="000000"/>
        </w:rPr>
      </w:pPr>
      <w:r w:rsidRPr="0007572B">
        <w:rPr>
          <w:rFonts w:ascii="Arial" w:hAnsi="Arial" w:cs="Arial"/>
          <w:color w:val="000000"/>
        </w:rPr>
        <w:t xml:space="preserve">The method of financing capital expenditure directly from revenue. </w:t>
      </w:r>
    </w:p>
    <w:p w14:paraId="4763C589" w14:textId="77777777" w:rsidR="00795BE0" w:rsidRPr="0007572B" w:rsidRDefault="00795BE0" w:rsidP="00795BE0">
      <w:pPr>
        <w:pStyle w:val="Heading3"/>
      </w:pPr>
      <w:bookmarkStart w:id="580" w:name="_Toc92895036"/>
      <w:bookmarkStart w:id="581" w:name="_Toc92895340"/>
      <w:bookmarkStart w:id="582" w:name="_Toc109922774"/>
      <w:r w:rsidRPr="0007572B">
        <w:t>Revenue Expenditure</w:t>
      </w:r>
      <w:bookmarkEnd w:id="580"/>
      <w:bookmarkEnd w:id="581"/>
      <w:bookmarkEnd w:id="582"/>
    </w:p>
    <w:p w14:paraId="599DE678"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Arial" w:hAnsi="Arial" w:cs="Arial"/>
          <w:color w:val="000000"/>
        </w:rPr>
      </w:pPr>
      <w:r w:rsidRPr="0007572B">
        <w:rPr>
          <w:rFonts w:ascii="Arial" w:hAnsi="Arial" w:cs="Arial"/>
          <w:color w:val="000000"/>
        </w:rPr>
        <w:t>Expenditure incurred on the day-to-day running of the Authority and Group. This mainly includes staff recharge costs, general running expenses and capital financing costs.</w:t>
      </w:r>
    </w:p>
    <w:p w14:paraId="199F714C" w14:textId="77777777" w:rsidR="00795BE0" w:rsidRPr="0007572B" w:rsidRDefault="00795BE0" w:rsidP="00795BE0">
      <w:pPr>
        <w:pStyle w:val="Heading3"/>
      </w:pPr>
      <w:bookmarkStart w:id="583" w:name="_Toc92895037"/>
      <w:bookmarkStart w:id="584" w:name="_Toc92895341"/>
      <w:bookmarkStart w:id="585" w:name="_Toc109922775"/>
      <w:r w:rsidRPr="0007572B">
        <w:t>Revenue Expenditure Funded from Capital Under Statute (REFCUS)</w:t>
      </w:r>
      <w:bookmarkEnd w:id="583"/>
      <w:bookmarkEnd w:id="584"/>
      <w:bookmarkEnd w:id="585"/>
    </w:p>
    <w:p w14:paraId="14CA3313"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Arial" w:hAnsi="Arial" w:cs="Arial"/>
          <w:color w:val="000000"/>
        </w:rPr>
      </w:pPr>
      <w:r w:rsidRPr="0007572B">
        <w:rPr>
          <w:rFonts w:ascii="Arial" w:hAnsi="Arial" w:cs="Arial"/>
          <w:color w:val="000000"/>
        </w:rPr>
        <w:t xml:space="preserve">These are items of capital expenditure that do not result in, or remain matched by, the Authority’s property, plant and equipment. </w:t>
      </w:r>
    </w:p>
    <w:p w14:paraId="2C1617CD" w14:textId="77777777" w:rsidR="00795BE0" w:rsidRPr="0007572B" w:rsidRDefault="00795BE0" w:rsidP="00795BE0">
      <w:pPr>
        <w:pStyle w:val="Heading3"/>
      </w:pPr>
      <w:bookmarkStart w:id="586" w:name="_Toc92895038"/>
      <w:bookmarkStart w:id="587" w:name="_Toc92895342"/>
      <w:bookmarkStart w:id="588" w:name="_Toc109922776"/>
      <w:r w:rsidRPr="0007572B">
        <w:t>Settlement</w:t>
      </w:r>
      <w:bookmarkEnd w:id="586"/>
      <w:bookmarkEnd w:id="587"/>
      <w:bookmarkEnd w:id="588"/>
    </w:p>
    <w:p w14:paraId="669BDA47"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jc w:val="both"/>
        <w:textAlignment w:val="baseline"/>
        <w:rPr>
          <w:rFonts w:ascii="Arial" w:hAnsi="Arial" w:cs="Arial"/>
          <w:color w:val="000000"/>
        </w:rPr>
      </w:pPr>
      <w:r w:rsidRPr="0007572B">
        <w:rPr>
          <w:rFonts w:ascii="Arial" w:hAnsi="Arial" w:cs="Arial"/>
          <w:color w:val="000000"/>
        </w:rPr>
        <w:t>An irrevocable action that relieves the employer of the primary responsibility for a pension obligation and eliminates significant risks relating to the obligations and the assets used to effect the settlement</w:t>
      </w:r>
    </w:p>
    <w:p w14:paraId="0411C896" w14:textId="77777777" w:rsidR="00795BE0" w:rsidRPr="0007572B" w:rsidRDefault="00795BE0" w:rsidP="00795BE0">
      <w:pPr>
        <w:pStyle w:val="Heading3"/>
      </w:pPr>
      <w:bookmarkStart w:id="589" w:name="_Toc92895039"/>
      <w:bookmarkStart w:id="590" w:name="_Toc92895343"/>
      <w:bookmarkStart w:id="591" w:name="_Toc109922777"/>
      <w:r w:rsidRPr="0007572B">
        <w:t>Unfunded Pension Scheme</w:t>
      </w:r>
      <w:bookmarkEnd w:id="589"/>
      <w:bookmarkEnd w:id="590"/>
      <w:bookmarkEnd w:id="591"/>
    </w:p>
    <w:p w14:paraId="3948E075" w14:textId="77777777" w:rsidR="00795BE0" w:rsidRPr="0007572B" w:rsidRDefault="00795BE0" w:rsidP="00795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jc w:val="both"/>
        <w:textAlignment w:val="baseline"/>
        <w:rPr>
          <w:rFonts w:ascii="Arial" w:hAnsi="Arial" w:cs="Arial"/>
          <w:color w:val="000000"/>
        </w:rPr>
      </w:pPr>
      <w:r w:rsidRPr="0007572B">
        <w:rPr>
          <w:rFonts w:ascii="Arial" w:hAnsi="Arial" w:cs="Arial"/>
          <w:color w:val="000000"/>
        </w:rPr>
        <w:t>This is one in which liabilities for pension benefits are charged to the employer's revenue account in the year in which they arise and are not financed from investments held. The Authority operates such a scheme for its firefighters.</w:t>
      </w:r>
    </w:p>
    <w:p w14:paraId="3BD7CAA9" w14:textId="77777777" w:rsidR="00795BE0" w:rsidRPr="0007572B" w:rsidRDefault="00795BE0" w:rsidP="00795BE0">
      <w:pPr>
        <w:rPr>
          <w:rFonts w:ascii="Arial" w:hAnsi="Arial" w:cs="Arial"/>
          <w:color w:val="000000"/>
        </w:rPr>
      </w:pPr>
    </w:p>
    <w:p w14:paraId="4CEF8465" w14:textId="60868D49" w:rsidR="00293CC5" w:rsidRPr="0007572B" w:rsidRDefault="00293CC5" w:rsidP="0038082E">
      <w:pPr>
        <w:rPr>
          <w:rFonts w:ascii="Arial" w:hAnsi="Arial" w:cs="Arial"/>
          <w:b/>
          <w:sz w:val="40"/>
          <w:szCs w:val="40"/>
        </w:rPr>
      </w:pPr>
    </w:p>
    <w:sectPr w:rsidR="00293CC5" w:rsidRPr="0007572B" w:rsidSect="00F351C8">
      <w:pgSz w:w="11940" w:h="16860"/>
      <w:pgMar w:top="920" w:right="1540" w:bottom="280" w:left="11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4C477" w14:textId="77777777" w:rsidR="008B7DA1" w:rsidRDefault="008B7DA1">
      <w:r>
        <w:separator/>
      </w:r>
    </w:p>
  </w:endnote>
  <w:endnote w:type="continuationSeparator" w:id="0">
    <w:p w14:paraId="12473315" w14:textId="77777777" w:rsidR="008B7DA1" w:rsidRDefault="008B7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S Lola">
    <w:altName w:val="Cambria"/>
    <w:panose1 w:val="00000000000000000000"/>
    <w:charset w:val="00"/>
    <w:family w:val="roman"/>
    <w:notTrueType/>
    <w:pitch w:val="default"/>
    <w:sig w:usb0="00000003" w:usb1="00000000" w:usb2="00000000" w:usb3="00000000" w:csb0="00000001" w:csb1="00000000"/>
  </w:font>
  <w:font w:name="FS Lola Medium">
    <w:altName w:val="Cambria"/>
    <w:panose1 w:val="00000000000000000000"/>
    <w:charset w:val="00"/>
    <w:family w:val="roman"/>
    <w:notTrueType/>
    <w:pitch w:val="default"/>
    <w:sig w:usb0="00000003" w:usb1="00000000" w:usb2="00000000" w:usb3="00000000" w:csb0="00000001" w:csb1="00000000"/>
  </w:font>
  <w:font w:name="Colfax-Medium">
    <w:altName w:val="Cambria"/>
    <w:panose1 w:val="00000000000000000000"/>
    <w:charset w:val="00"/>
    <w:family w:val="roman"/>
    <w:notTrueType/>
    <w:pitch w:val="default"/>
  </w:font>
  <w:font w:name="ヒラギノ角ゴ Pro W3">
    <w:charset w:val="80"/>
    <w:family w:val="auto"/>
    <w:pitch w:val="variable"/>
    <w:sig w:usb0="E00002FF" w:usb1="7AC7FFFF" w:usb2="00000012" w:usb3="00000000" w:csb0="0002000D" w:csb1="00000000"/>
  </w:font>
  <w:font w:name="inherit">
    <w:altName w:val="Cambria"/>
    <w:panose1 w:val="00000000000000000000"/>
    <w:charset w:val="00"/>
    <w:family w:val="roman"/>
    <w:notTrueType/>
    <w:pitch w:val="default"/>
  </w:font>
  <w:font w:name="Poppins Light">
    <w:charset w:val="00"/>
    <w:family w:val="auto"/>
    <w:pitch w:val="variable"/>
    <w:sig w:usb0="00008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6F70C" w14:textId="30F7DEC4" w:rsidR="00E83847" w:rsidRDefault="00E838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C37CC">
      <w:rPr>
        <w:rStyle w:val="PageNumber"/>
        <w:noProof/>
      </w:rPr>
      <w:t>1</w:t>
    </w:r>
    <w:r>
      <w:rPr>
        <w:rStyle w:val="PageNumber"/>
      </w:rPr>
      <w:fldChar w:fldCharType="end"/>
    </w:r>
  </w:p>
  <w:p w14:paraId="1CE040FB" w14:textId="77777777" w:rsidR="00E83847" w:rsidRDefault="00E838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AA7EE" w14:textId="77777777" w:rsidR="00E83847" w:rsidRDefault="00E83847" w:rsidP="00DD5B4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3319908"/>
      <w:docPartObj>
        <w:docPartGallery w:val="Page Numbers (Bottom of Page)"/>
        <w:docPartUnique/>
      </w:docPartObj>
    </w:sdtPr>
    <w:sdtEndPr>
      <w:rPr>
        <w:noProof/>
      </w:rPr>
    </w:sdtEndPr>
    <w:sdtContent>
      <w:p w14:paraId="2D1B0F10" w14:textId="0776DF4E" w:rsidR="00E83847" w:rsidRDefault="00E83847" w:rsidP="007C2B58">
        <w:pPr>
          <w:pStyle w:val="Footer"/>
          <w:jc w:val="center"/>
        </w:pPr>
        <w:r>
          <w:fldChar w:fldCharType="begin"/>
        </w:r>
        <w:r>
          <w:instrText xml:space="preserve"> PAGE   \* MERGEFORMAT </w:instrText>
        </w:r>
        <w:r>
          <w:fldChar w:fldCharType="separate"/>
        </w:r>
        <w:r>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874D8" w14:textId="77777777" w:rsidR="008B7DA1" w:rsidRDefault="008B7DA1">
      <w:r>
        <w:separator/>
      </w:r>
    </w:p>
  </w:footnote>
  <w:footnote w:type="continuationSeparator" w:id="0">
    <w:p w14:paraId="3E27696F" w14:textId="77777777" w:rsidR="008B7DA1" w:rsidRDefault="008B7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56DD1" w14:textId="77777777" w:rsidR="00E83847" w:rsidRPr="00DA344C" w:rsidRDefault="00E83847" w:rsidP="00DA34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9C2A9" w14:textId="1375F144" w:rsidR="00E83847" w:rsidRDefault="00E83847" w:rsidP="008064FB">
    <w:pPr>
      <w:pStyle w:val="Header"/>
      <w:jc w:val="center"/>
      <w:rPr>
        <w:rFonts w:ascii="Verdana" w:hAnsi="Verdana"/>
        <w:sz w:val="20"/>
        <w:szCs w:val="20"/>
      </w:rPr>
    </w:pPr>
    <w:r w:rsidRPr="00F556DF">
      <w:rPr>
        <w:rFonts w:ascii="Verdana" w:hAnsi="Verdana"/>
        <w:sz w:val="20"/>
        <w:szCs w:val="20"/>
      </w:rPr>
      <w:t xml:space="preserve">Greater Manchester Combined Authority </w:t>
    </w:r>
    <w:r w:rsidR="000C0ECB">
      <w:rPr>
        <w:rFonts w:ascii="Verdana" w:hAnsi="Verdana"/>
        <w:sz w:val="20"/>
        <w:szCs w:val="20"/>
      </w:rPr>
      <w:t>Draft</w:t>
    </w:r>
    <w:r>
      <w:rPr>
        <w:rFonts w:ascii="Verdana" w:hAnsi="Verdana"/>
        <w:sz w:val="20"/>
        <w:szCs w:val="20"/>
      </w:rPr>
      <w:t xml:space="preserve"> </w:t>
    </w:r>
    <w:r w:rsidRPr="00F556DF">
      <w:rPr>
        <w:rFonts w:ascii="Verdana" w:hAnsi="Verdana"/>
        <w:sz w:val="20"/>
        <w:szCs w:val="20"/>
      </w:rPr>
      <w:t>Statement of Accounts 20</w:t>
    </w:r>
    <w:r>
      <w:rPr>
        <w:rFonts w:ascii="Verdana" w:hAnsi="Verdana"/>
        <w:sz w:val="20"/>
        <w:szCs w:val="20"/>
      </w:rPr>
      <w:t>2</w:t>
    </w:r>
    <w:r w:rsidR="00B53098">
      <w:rPr>
        <w:rFonts w:ascii="Verdana" w:hAnsi="Verdana"/>
        <w:sz w:val="20"/>
        <w:szCs w:val="20"/>
      </w:rPr>
      <w:t>1</w:t>
    </w:r>
    <w:r w:rsidRPr="00F556DF">
      <w:rPr>
        <w:rFonts w:ascii="Verdana" w:hAnsi="Verdana"/>
        <w:sz w:val="20"/>
        <w:szCs w:val="20"/>
      </w:rPr>
      <w:t>/2</w:t>
    </w:r>
    <w:r w:rsidR="00B53098">
      <w:rPr>
        <w:rFonts w:ascii="Verdana" w:hAnsi="Verdana"/>
        <w:sz w:val="20"/>
        <w:szCs w:val="20"/>
      </w:rPr>
      <w:t>2</w:t>
    </w:r>
  </w:p>
  <w:p w14:paraId="289E4CA0" w14:textId="5BEE5883" w:rsidR="00B53098" w:rsidRDefault="00B53098" w:rsidP="00B53098">
    <w:pPr>
      <w:pStyle w:val="Header"/>
      <w:rPr>
        <w:rFonts w:ascii="Verdana" w:hAnsi="Verdana"/>
        <w:sz w:val="20"/>
        <w:szCs w:val="20"/>
      </w:rPr>
    </w:pPr>
    <w:r>
      <w:rPr>
        <w:rFonts w:ascii="Verdana" w:hAnsi="Verdana"/>
        <w:sz w:val="20"/>
        <w:szCs w:val="20"/>
      </w:rPr>
      <w:tab/>
    </w:r>
  </w:p>
  <w:p w14:paraId="087B5458" w14:textId="77777777" w:rsidR="00E83847" w:rsidRPr="00F556DF" w:rsidRDefault="00E83847" w:rsidP="008064FB">
    <w:pPr>
      <w:pStyle w:val="Header"/>
      <w:jc w:val="center"/>
      <w:rPr>
        <w:rFonts w:ascii="Verdana" w:hAnsi="Verdana"/>
        <w:sz w:val="20"/>
        <w:szCs w:val="20"/>
      </w:rPr>
    </w:pPr>
  </w:p>
  <w:p w14:paraId="475DBDB6" w14:textId="77777777" w:rsidR="00E83847" w:rsidRPr="008064FB" w:rsidRDefault="00E83847" w:rsidP="00DA6CEE">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F1E0E" w14:textId="236AF732" w:rsidR="00E83847" w:rsidRPr="008064FB" w:rsidRDefault="00E83847" w:rsidP="008064FB">
    <w:pPr>
      <w:pStyle w:val="Header"/>
      <w:jc w:val="center"/>
      <w:rPr>
        <w:sz w:val="20"/>
        <w:szCs w:val="20"/>
      </w:rPr>
    </w:pPr>
    <w:r w:rsidRPr="008064FB">
      <w:rPr>
        <w:sz w:val="20"/>
        <w:szCs w:val="20"/>
      </w:rPr>
      <w:t xml:space="preserve">Greater Manchester Combined Authority </w:t>
    </w:r>
    <w:r w:rsidR="009D2D1A">
      <w:rPr>
        <w:sz w:val="20"/>
        <w:szCs w:val="20"/>
      </w:rPr>
      <w:t>Draft</w:t>
    </w:r>
    <w:r>
      <w:rPr>
        <w:sz w:val="20"/>
        <w:szCs w:val="20"/>
      </w:rPr>
      <w:t xml:space="preserve"> </w:t>
    </w:r>
    <w:r w:rsidRPr="008064FB">
      <w:rPr>
        <w:sz w:val="20"/>
        <w:szCs w:val="20"/>
      </w:rPr>
      <w:t>Statement of Accounts 20</w:t>
    </w:r>
    <w:r>
      <w:rPr>
        <w:sz w:val="20"/>
        <w:szCs w:val="20"/>
      </w:rPr>
      <w:t>2</w:t>
    </w:r>
    <w:r w:rsidR="009D2D1A">
      <w:rPr>
        <w:sz w:val="20"/>
        <w:szCs w:val="20"/>
      </w:rPr>
      <w:t>1</w:t>
    </w:r>
    <w:r>
      <w:rPr>
        <w:sz w:val="20"/>
        <w:szCs w:val="20"/>
      </w:rPr>
      <w:t>/2</w:t>
    </w:r>
    <w:r w:rsidR="009D2D1A">
      <w:rPr>
        <w:sz w:val="20"/>
        <w:szCs w:val="20"/>
      </w:rPr>
      <w:t>2</w:t>
    </w:r>
  </w:p>
  <w:p w14:paraId="57D0C6A4" w14:textId="77777777" w:rsidR="00E83847" w:rsidRPr="008064FB" w:rsidRDefault="00E83847" w:rsidP="00DA6CEE">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F81A5" w14:textId="77777777" w:rsidR="00795BE0" w:rsidRPr="008064FB" w:rsidRDefault="00795BE0" w:rsidP="008064FB">
    <w:pPr>
      <w:pStyle w:val="Header"/>
      <w:jc w:val="center"/>
      <w:rPr>
        <w:sz w:val="20"/>
        <w:szCs w:val="20"/>
      </w:rPr>
    </w:pPr>
    <w:r w:rsidRPr="008064FB">
      <w:rPr>
        <w:sz w:val="20"/>
        <w:szCs w:val="20"/>
      </w:rPr>
      <w:t xml:space="preserve">Greater Manchester Combined Authority </w:t>
    </w:r>
    <w:r>
      <w:rPr>
        <w:sz w:val="20"/>
        <w:szCs w:val="20"/>
      </w:rPr>
      <w:t xml:space="preserve">Draft </w:t>
    </w:r>
    <w:r w:rsidRPr="008064FB">
      <w:rPr>
        <w:sz w:val="20"/>
        <w:szCs w:val="20"/>
      </w:rPr>
      <w:t>Statement of Accounts 20</w:t>
    </w:r>
    <w:r>
      <w:rPr>
        <w:sz w:val="20"/>
        <w:szCs w:val="20"/>
      </w:rPr>
      <w:t>21/22</w:t>
    </w:r>
  </w:p>
  <w:p w14:paraId="460D9EB6" w14:textId="77777777" w:rsidR="00795BE0" w:rsidRPr="008064FB" w:rsidRDefault="00795BE0" w:rsidP="00DA6CEE">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C9A505A"/>
    <w:lvl w:ilvl="0">
      <w:start w:val="1"/>
      <w:numFmt w:val="decimal"/>
      <w:pStyle w:val="ListNumber"/>
      <w:lvlText w:val="%1."/>
      <w:lvlJc w:val="left"/>
      <w:pPr>
        <w:tabs>
          <w:tab w:val="num" w:pos="360"/>
        </w:tabs>
        <w:ind w:left="360" w:hanging="360"/>
      </w:pPr>
    </w:lvl>
  </w:abstractNum>
  <w:abstractNum w:abstractNumId="1" w15:restartNumberingAfterBreak="0">
    <w:nsid w:val="0000000B"/>
    <w:multiLevelType w:val="hybridMultilevel"/>
    <w:tmpl w:val="CB66AAC8"/>
    <w:lvl w:ilvl="0" w:tplc="9FF4E77A">
      <w:start w:val="1"/>
      <w:numFmt w:val="bullet"/>
      <w:lvlText w:val=""/>
      <w:lvlJc w:val="left"/>
      <w:pPr>
        <w:ind w:left="1110" w:hanging="360"/>
      </w:pPr>
      <w:rPr>
        <w:rFonts w:ascii="Symbol" w:hAnsi="Symbol" w:hint="default"/>
      </w:rPr>
    </w:lvl>
    <w:lvl w:ilvl="1" w:tplc="FA308570">
      <w:start w:val="1"/>
      <w:numFmt w:val="bullet"/>
      <w:lvlText w:val="o"/>
      <w:lvlJc w:val="left"/>
      <w:pPr>
        <w:ind w:left="1830" w:hanging="360"/>
      </w:pPr>
      <w:rPr>
        <w:rFonts w:ascii="Courier New" w:hAnsi="Courier New" w:cs="Courier New" w:hint="default"/>
      </w:rPr>
    </w:lvl>
    <w:lvl w:ilvl="2" w:tplc="BFFC999C">
      <w:start w:val="1"/>
      <w:numFmt w:val="bullet"/>
      <w:lvlText w:val=""/>
      <w:lvlJc w:val="left"/>
      <w:pPr>
        <w:ind w:left="2550" w:hanging="360"/>
      </w:pPr>
      <w:rPr>
        <w:rFonts w:ascii="Wingdings" w:hAnsi="Wingdings" w:hint="default"/>
      </w:rPr>
    </w:lvl>
    <w:lvl w:ilvl="3" w:tplc="9CC0F4F0">
      <w:start w:val="1"/>
      <w:numFmt w:val="bullet"/>
      <w:lvlText w:val=""/>
      <w:lvlJc w:val="left"/>
      <w:pPr>
        <w:ind w:left="3270" w:hanging="360"/>
      </w:pPr>
      <w:rPr>
        <w:rFonts w:ascii="Symbol" w:hAnsi="Symbol" w:hint="default"/>
      </w:rPr>
    </w:lvl>
    <w:lvl w:ilvl="4" w:tplc="31FCF9CC">
      <w:start w:val="1"/>
      <w:numFmt w:val="bullet"/>
      <w:lvlText w:val="o"/>
      <w:lvlJc w:val="left"/>
      <w:pPr>
        <w:ind w:left="3990" w:hanging="360"/>
      </w:pPr>
      <w:rPr>
        <w:rFonts w:ascii="Courier New" w:hAnsi="Courier New" w:cs="Courier New" w:hint="default"/>
      </w:rPr>
    </w:lvl>
    <w:lvl w:ilvl="5" w:tplc="B588AA30">
      <w:start w:val="1"/>
      <w:numFmt w:val="bullet"/>
      <w:lvlText w:val=""/>
      <w:lvlJc w:val="left"/>
      <w:pPr>
        <w:ind w:left="4710" w:hanging="360"/>
      </w:pPr>
      <w:rPr>
        <w:rFonts w:ascii="Wingdings" w:hAnsi="Wingdings" w:hint="default"/>
      </w:rPr>
    </w:lvl>
    <w:lvl w:ilvl="6" w:tplc="A4028FCA">
      <w:start w:val="1"/>
      <w:numFmt w:val="bullet"/>
      <w:lvlText w:val=""/>
      <w:lvlJc w:val="left"/>
      <w:pPr>
        <w:ind w:left="5430" w:hanging="360"/>
      </w:pPr>
      <w:rPr>
        <w:rFonts w:ascii="Symbol" w:hAnsi="Symbol" w:hint="default"/>
      </w:rPr>
    </w:lvl>
    <w:lvl w:ilvl="7" w:tplc="ACF01292">
      <w:start w:val="1"/>
      <w:numFmt w:val="bullet"/>
      <w:lvlText w:val="o"/>
      <w:lvlJc w:val="left"/>
      <w:pPr>
        <w:ind w:left="6150" w:hanging="360"/>
      </w:pPr>
      <w:rPr>
        <w:rFonts w:ascii="Courier New" w:hAnsi="Courier New" w:cs="Courier New" w:hint="default"/>
      </w:rPr>
    </w:lvl>
    <w:lvl w:ilvl="8" w:tplc="EED64BEE">
      <w:start w:val="1"/>
      <w:numFmt w:val="bullet"/>
      <w:lvlText w:val=""/>
      <w:lvlJc w:val="left"/>
      <w:pPr>
        <w:ind w:left="6870" w:hanging="360"/>
      </w:pPr>
      <w:rPr>
        <w:rFonts w:ascii="Wingdings" w:hAnsi="Wingdings" w:hint="default"/>
      </w:rPr>
    </w:lvl>
  </w:abstractNum>
  <w:abstractNum w:abstractNumId="2" w15:restartNumberingAfterBreak="0">
    <w:nsid w:val="0000000C"/>
    <w:multiLevelType w:val="hybridMultilevel"/>
    <w:tmpl w:val="15FCA580"/>
    <w:lvl w:ilvl="0" w:tplc="A770FF78">
      <w:start w:val="1"/>
      <w:numFmt w:val="bullet"/>
      <w:lvlText w:val=""/>
      <w:lvlJc w:val="left"/>
      <w:pPr>
        <w:ind w:left="1080" w:hanging="360"/>
      </w:pPr>
      <w:rPr>
        <w:rFonts w:ascii="Symbol" w:hAnsi="Symbol" w:hint="default"/>
      </w:rPr>
    </w:lvl>
    <w:lvl w:ilvl="1" w:tplc="2A3E01BE">
      <w:numFmt w:val="bullet"/>
      <w:lvlText w:val="·"/>
      <w:lvlJc w:val="left"/>
      <w:pPr>
        <w:ind w:left="1800" w:hanging="360"/>
      </w:pPr>
      <w:rPr>
        <w:rFonts w:ascii="Arial" w:eastAsia="Times New Roman" w:hAnsi="Arial" w:cs="Arial" w:hint="default"/>
      </w:rPr>
    </w:lvl>
    <w:lvl w:ilvl="2" w:tplc="4914EE2E">
      <w:start w:val="1"/>
      <w:numFmt w:val="bullet"/>
      <w:lvlText w:val=""/>
      <w:lvlJc w:val="left"/>
      <w:pPr>
        <w:ind w:left="2520" w:hanging="360"/>
      </w:pPr>
      <w:rPr>
        <w:rFonts w:ascii="Wingdings" w:hAnsi="Wingdings" w:hint="default"/>
      </w:rPr>
    </w:lvl>
    <w:lvl w:ilvl="3" w:tplc="0C14BE28">
      <w:start w:val="1"/>
      <w:numFmt w:val="bullet"/>
      <w:lvlText w:val=""/>
      <w:lvlJc w:val="left"/>
      <w:pPr>
        <w:ind w:left="3240" w:hanging="360"/>
      </w:pPr>
      <w:rPr>
        <w:rFonts w:ascii="Symbol" w:hAnsi="Symbol" w:hint="default"/>
      </w:rPr>
    </w:lvl>
    <w:lvl w:ilvl="4" w:tplc="9D80BAE6">
      <w:start w:val="1"/>
      <w:numFmt w:val="bullet"/>
      <w:lvlText w:val="o"/>
      <w:lvlJc w:val="left"/>
      <w:pPr>
        <w:ind w:left="3960" w:hanging="360"/>
      </w:pPr>
      <w:rPr>
        <w:rFonts w:ascii="Courier New" w:hAnsi="Courier New" w:cs="Courier New" w:hint="default"/>
      </w:rPr>
    </w:lvl>
    <w:lvl w:ilvl="5" w:tplc="7B5CE9C0">
      <w:start w:val="1"/>
      <w:numFmt w:val="bullet"/>
      <w:lvlText w:val=""/>
      <w:lvlJc w:val="left"/>
      <w:pPr>
        <w:ind w:left="4680" w:hanging="360"/>
      </w:pPr>
      <w:rPr>
        <w:rFonts w:ascii="Wingdings" w:hAnsi="Wingdings" w:hint="default"/>
      </w:rPr>
    </w:lvl>
    <w:lvl w:ilvl="6" w:tplc="085C2220">
      <w:start w:val="1"/>
      <w:numFmt w:val="bullet"/>
      <w:lvlText w:val=""/>
      <w:lvlJc w:val="left"/>
      <w:pPr>
        <w:ind w:left="5400" w:hanging="360"/>
      </w:pPr>
      <w:rPr>
        <w:rFonts w:ascii="Symbol" w:hAnsi="Symbol" w:hint="default"/>
      </w:rPr>
    </w:lvl>
    <w:lvl w:ilvl="7" w:tplc="7ED417FC">
      <w:start w:val="1"/>
      <w:numFmt w:val="bullet"/>
      <w:lvlText w:val="o"/>
      <w:lvlJc w:val="left"/>
      <w:pPr>
        <w:ind w:left="6120" w:hanging="360"/>
      </w:pPr>
      <w:rPr>
        <w:rFonts w:ascii="Courier New" w:hAnsi="Courier New" w:cs="Courier New" w:hint="default"/>
      </w:rPr>
    </w:lvl>
    <w:lvl w:ilvl="8" w:tplc="72500502">
      <w:start w:val="1"/>
      <w:numFmt w:val="bullet"/>
      <w:lvlText w:val=""/>
      <w:lvlJc w:val="left"/>
      <w:pPr>
        <w:ind w:left="6840" w:hanging="360"/>
      </w:pPr>
      <w:rPr>
        <w:rFonts w:ascii="Wingdings" w:hAnsi="Wingdings" w:hint="default"/>
      </w:rPr>
    </w:lvl>
  </w:abstractNum>
  <w:abstractNum w:abstractNumId="3" w15:restartNumberingAfterBreak="0">
    <w:nsid w:val="0000000E"/>
    <w:multiLevelType w:val="hybridMultilevel"/>
    <w:tmpl w:val="5C081DB6"/>
    <w:lvl w:ilvl="0" w:tplc="E77E77DC">
      <w:start w:val="1"/>
      <w:numFmt w:val="bullet"/>
      <w:lvlText w:val=""/>
      <w:lvlJc w:val="left"/>
      <w:pPr>
        <w:ind w:left="945" w:hanging="585"/>
      </w:pPr>
      <w:rPr>
        <w:rFonts w:ascii="Symbol" w:hAnsi="Symbol" w:hint="default"/>
      </w:rPr>
    </w:lvl>
    <w:lvl w:ilvl="1" w:tplc="C340E9B8">
      <w:start w:val="1"/>
      <w:numFmt w:val="bullet"/>
      <w:lvlText w:val=""/>
      <w:lvlJc w:val="left"/>
      <w:pPr>
        <w:ind w:left="1710" w:hanging="630"/>
      </w:pPr>
      <w:rPr>
        <w:rFonts w:ascii="Symbol" w:hAnsi="Symbol" w:hint="default"/>
      </w:rPr>
    </w:lvl>
    <w:lvl w:ilvl="2" w:tplc="BD26D1A0">
      <w:start w:val="1"/>
      <w:numFmt w:val="bullet"/>
      <w:lvlText w:val=""/>
      <w:lvlJc w:val="left"/>
      <w:pPr>
        <w:ind w:left="2160" w:hanging="360"/>
      </w:pPr>
      <w:rPr>
        <w:rFonts w:ascii="Wingdings" w:hAnsi="Wingdings" w:hint="default"/>
      </w:rPr>
    </w:lvl>
    <w:lvl w:ilvl="3" w:tplc="7E66944C">
      <w:start w:val="1"/>
      <w:numFmt w:val="bullet"/>
      <w:lvlText w:val=""/>
      <w:lvlJc w:val="left"/>
      <w:pPr>
        <w:ind w:left="2880" w:hanging="360"/>
      </w:pPr>
      <w:rPr>
        <w:rFonts w:ascii="Symbol" w:hAnsi="Symbol" w:hint="default"/>
      </w:rPr>
    </w:lvl>
    <w:lvl w:ilvl="4" w:tplc="BFBAF184">
      <w:start w:val="1"/>
      <w:numFmt w:val="bullet"/>
      <w:lvlText w:val="o"/>
      <w:lvlJc w:val="left"/>
      <w:pPr>
        <w:ind w:left="3600" w:hanging="360"/>
      </w:pPr>
      <w:rPr>
        <w:rFonts w:ascii="Courier New" w:hAnsi="Courier New" w:cs="Courier New" w:hint="default"/>
      </w:rPr>
    </w:lvl>
    <w:lvl w:ilvl="5" w:tplc="0C1A8BD2">
      <w:start w:val="1"/>
      <w:numFmt w:val="bullet"/>
      <w:lvlText w:val=""/>
      <w:lvlJc w:val="left"/>
      <w:pPr>
        <w:ind w:left="4320" w:hanging="360"/>
      </w:pPr>
      <w:rPr>
        <w:rFonts w:ascii="Wingdings" w:hAnsi="Wingdings" w:hint="default"/>
      </w:rPr>
    </w:lvl>
    <w:lvl w:ilvl="6" w:tplc="7D42C4EC">
      <w:start w:val="1"/>
      <w:numFmt w:val="bullet"/>
      <w:lvlText w:val=""/>
      <w:lvlJc w:val="left"/>
      <w:pPr>
        <w:ind w:left="5040" w:hanging="360"/>
      </w:pPr>
      <w:rPr>
        <w:rFonts w:ascii="Symbol" w:hAnsi="Symbol" w:hint="default"/>
      </w:rPr>
    </w:lvl>
    <w:lvl w:ilvl="7" w:tplc="0D62A720">
      <w:start w:val="1"/>
      <w:numFmt w:val="bullet"/>
      <w:lvlText w:val="o"/>
      <w:lvlJc w:val="left"/>
      <w:pPr>
        <w:ind w:left="5760" w:hanging="360"/>
      </w:pPr>
      <w:rPr>
        <w:rFonts w:ascii="Courier New" w:hAnsi="Courier New" w:cs="Courier New" w:hint="default"/>
      </w:rPr>
    </w:lvl>
    <w:lvl w:ilvl="8" w:tplc="F8849EFC">
      <w:start w:val="1"/>
      <w:numFmt w:val="bullet"/>
      <w:lvlText w:val=""/>
      <w:lvlJc w:val="left"/>
      <w:pPr>
        <w:ind w:left="6480" w:hanging="360"/>
      </w:pPr>
      <w:rPr>
        <w:rFonts w:ascii="Wingdings" w:hAnsi="Wingdings" w:hint="default"/>
      </w:rPr>
    </w:lvl>
  </w:abstractNum>
  <w:abstractNum w:abstractNumId="4" w15:restartNumberingAfterBreak="0">
    <w:nsid w:val="0000000F"/>
    <w:multiLevelType w:val="hybridMultilevel"/>
    <w:tmpl w:val="D5AA9470"/>
    <w:lvl w:ilvl="0" w:tplc="40320894">
      <w:start w:val="1"/>
      <w:numFmt w:val="bullet"/>
      <w:lvlText w:val=""/>
      <w:lvlJc w:val="left"/>
      <w:pPr>
        <w:ind w:left="720" w:hanging="360"/>
      </w:pPr>
      <w:rPr>
        <w:rFonts w:ascii="Symbol" w:hAnsi="Symbol" w:hint="default"/>
      </w:rPr>
    </w:lvl>
    <w:lvl w:ilvl="1" w:tplc="8C32C630">
      <w:start w:val="1"/>
      <w:numFmt w:val="bullet"/>
      <w:lvlText w:val="o"/>
      <w:lvlJc w:val="left"/>
      <w:pPr>
        <w:ind w:left="1440" w:hanging="360"/>
      </w:pPr>
      <w:rPr>
        <w:rFonts w:ascii="Courier New" w:hAnsi="Courier New" w:cs="Courier New" w:hint="default"/>
      </w:rPr>
    </w:lvl>
    <w:lvl w:ilvl="2" w:tplc="933E49D4">
      <w:start w:val="1"/>
      <w:numFmt w:val="bullet"/>
      <w:lvlText w:val=""/>
      <w:lvlJc w:val="left"/>
      <w:pPr>
        <w:ind w:left="2160" w:hanging="360"/>
      </w:pPr>
      <w:rPr>
        <w:rFonts w:ascii="Wingdings" w:hAnsi="Wingdings" w:hint="default"/>
      </w:rPr>
    </w:lvl>
    <w:lvl w:ilvl="3" w:tplc="A5E8682A">
      <w:start w:val="1"/>
      <w:numFmt w:val="bullet"/>
      <w:lvlText w:val=""/>
      <w:lvlJc w:val="left"/>
      <w:pPr>
        <w:ind w:left="2880" w:hanging="360"/>
      </w:pPr>
      <w:rPr>
        <w:rFonts w:ascii="Symbol" w:hAnsi="Symbol" w:hint="default"/>
      </w:rPr>
    </w:lvl>
    <w:lvl w:ilvl="4" w:tplc="8FAAE0EC">
      <w:start w:val="1"/>
      <w:numFmt w:val="bullet"/>
      <w:lvlText w:val="o"/>
      <w:lvlJc w:val="left"/>
      <w:pPr>
        <w:ind w:left="3600" w:hanging="360"/>
      </w:pPr>
      <w:rPr>
        <w:rFonts w:ascii="Courier New" w:hAnsi="Courier New" w:cs="Courier New" w:hint="default"/>
      </w:rPr>
    </w:lvl>
    <w:lvl w:ilvl="5" w:tplc="65BEA2C2">
      <w:start w:val="1"/>
      <w:numFmt w:val="bullet"/>
      <w:lvlText w:val=""/>
      <w:lvlJc w:val="left"/>
      <w:pPr>
        <w:ind w:left="4320" w:hanging="360"/>
      </w:pPr>
      <w:rPr>
        <w:rFonts w:ascii="Wingdings" w:hAnsi="Wingdings" w:hint="default"/>
      </w:rPr>
    </w:lvl>
    <w:lvl w:ilvl="6" w:tplc="8A543C78">
      <w:start w:val="1"/>
      <w:numFmt w:val="bullet"/>
      <w:lvlText w:val=""/>
      <w:lvlJc w:val="left"/>
      <w:pPr>
        <w:ind w:left="5040" w:hanging="360"/>
      </w:pPr>
      <w:rPr>
        <w:rFonts w:ascii="Symbol" w:hAnsi="Symbol" w:hint="default"/>
      </w:rPr>
    </w:lvl>
    <w:lvl w:ilvl="7" w:tplc="4BD811D4">
      <w:start w:val="1"/>
      <w:numFmt w:val="bullet"/>
      <w:lvlText w:val="o"/>
      <w:lvlJc w:val="left"/>
      <w:pPr>
        <w:ind w:left="5760" w:hanging="360"/>
      </w:pPr>
      <w:rPr>
        <w:rFonts w:ascii="Courier New" w:hAnsi="Courier New" w:cs="Courier New" w:hint="default"/>
      </w:rPr>
    </w:lvl>
    <w:lvl w:ilvl="8" w:tplc="37EE2C26">
      <w:start w:val="1"/>
      <w:numFmt w:val="bullet"/>
      <w:lvlText w:val=""/>
      <w:lvlJc w:val="left"/>
      <w:pPr>
        <w:ind w:left="6480" w:hanging="360"/>
      </w:pPr>
      <w:rPr>
        <w:rFonts w:ascii="Wingdings" w:hAnsi="Wingdings" w:hint="default"/>
      </w:rPr>
    </w:lvl>
  </w:abstractNum>
  <w:abstractNum w:abstractNumId="5" w15:restartNumberingAfterBreak="0">
    <w:nsid w:val="00000010"/>
    <w:multiLevelType w:val="hybridMultilevel"/>
    <w:tmpl w:val="82A8CE96"/>
    <w:lvl w:ilvl="0" w:tplc="E38C133A">
      <w:start w:val="1"/>
      <w:numFmt w:val="bullet"/>
      <w:lvlText w:val=""/>
      <w:lvlJc w:val="left"/>
      <w:pPr>
        <w:ind w:left="720" w:hanging="360"/>
      </w:pPr>
      <w:rPr>
        <w:rFonts w:ascii="Symbol" w:hAnsi="Symbol" w:hint="default"/>
      </w:rPr>
    </w:lvl>
    <w:lvl w:ilvl="1" w:tplc="EC0083F0">
      <w:start w:val="1"/>
      <w:numFmt w:val="bullet"/>
      <w:lvlText w:val="o"/>
      <w:lvlJc w:val="left"/>
      <w:pPr>
        <w:ind w:left="1440" w:hanging="360"/>
      </w:pPr>
      <w:rPr>
        <w:rFonts w:ascii="Courier New" w:hAnsi="Courier New" w:cs="Courier New" w:hint="default"/>
      </w:rPr>
    </w:lvl>
    <w:lvl w:ilvl="2" w:tplc="35FC6304">
      <w:start w:val="1"/>
      <w:numFmt w:val="bullet"/>
      <w:lvlText w:val=""/>
      <w:lvlJc w:val="left"/>
      <w:pPr>
        <w:ind w:left="2160" w:hanging="360"/>
      </w:pPr>
      <w:rPr>
        <w:rFonts w:ascii="Wingdings" w:hAnsi="Wingdings" w:hint="default"/>
      </w:rPr>
    </w:lvl>
    <w:lvl w:ilvl="3" w:tplc="038A069A">
      <w:start w:val="1"/>
      <w:numFmt w:val="bullet"/>
      <w:lvlText w:val=""/>
      <w:lvlJc w:val="left"/>
      <w:pPr>
        <w:ind w:left="2880" w:hanging="360"/>
      </w:pPr>
      <w:rPr>
        <w:rFonts w:ascii="Symbol" w:hAnsi="Symbol" w:hint="default"/>
      </w:rPr>
    </w:lvl>
    <w:lvl w:ilvl="4" w:tplc="9D7406C0">
      <w:start w:val="1"/>
      <w:numFmt w:val="bullet"/>
      <w:lvlText w:val="o"/>
      <w:lvlJc w:val="left"/>
      <w:pPr>
        <w:ind w:left="3600" w:hanging="360"/>
      </w:pPr>
      <w:rPr>
        <w:rFonts w:ascii="Courier New" w:hAnsi="Courier New" w:cs="Courier New" w:hint="default"/>
      </w:rPr>
    </w:lvl>
    <w:lvl w:ilvl="5" w:tplc="44FABE2E">
      <w:start w:val="1"/>
      <w:numFmt w:val="bullet"/>
      <w:lvlText w:val=""/>
      <w:lvlJc w:val="left"/>
      <w:pPr>
        <w:ind w:left="4320" w:hanging="360"/>
      </w:pPr>
      <w:rPr>
        <w:rFonts w:ascii="Wingdings" w:hAnsi="Wingdings" w:hint="default"/>
      </w:rPr>
    </w:lvl>
    <w:lvl w:ilvl="6" w:tplc="92AC3444">
      <w:start w:val="1"/>
      <w:numFmt w:val="bullet"/>
      <w:lvlText w:val=""/>
      <w:lvlJc w:val="left"/>
      <w:pPr>
        <w:ind w:left="5040" w:hanging="360"/>
      </w:pPr>
      <w:rPr>
        <w:rFonts w:ascii="Symbol" w:hAnsi="Symbol" w:hint="default"/>
      </w:rPr>
    </w:lvl>
    <w:lvl w:ilvl="7" w:tplc="622A5080">
      <w:start w:val="1"/>
      <w:numFmt w:val="bullet"/>
      <w:lvlText w:val="o"/>
      <w:lvlJc w:val="left"/>
      <w:pPr>
        <w:ind w:left="5760" w:hanging="360"/>
      </w:pPr>
      <w:rPr>
        <w:rFonts w:ascii="Courier New" w:hAnsi="Courier New" w:cs="Courier New" w:hint="default"/>
      </w:rPr>
    </w:lvl>
    <w:lvl w:ilvl="8" w:tplc="B33A4CD4">
      <w:start w:val="1"/>
      <w:numFmt w:val="bullet"/>
      <w:lvlText w:val=""/>
      <w:lvlJc w:val="left"/>
      <w:pPr>
        <w:ind w:left="6480" w:hanging="360"/>
      </w:pPr>
      <w:rPr>
        <w:rFonts w:ascii="Wingdings" w:hAnsi="Wingdings" w:hint="default"/>
      </w:rPr>
    </w:lvl>
  </w:abstractNum>
  <w:abstractNum w:abstractNumId="6" w15:restartNumberingAfterBreak="0">
    <w:nsid w:val="00000011"/>
    <w:multiLevelType w:val="hybridMultilevel"/>
    <w:tmpl w:val="53FC8216"/>
    <w:lvl w:ilvl="0" w:tplc="27B81F04">
      <w:start w:val="1"/>
      <w:numFmt w:val="bullet"/>
      <w:lvlText w:val=""/>
      <w:lvlJc w:val="left"/>
      <w:pPr>
        <w:ind w:left="780" w:hanging="360"/>
      </w:pPr>
      <w:rPr>
        <w:rFonts w:ascii="Symbol" w:hAnsi="Symbol" w:hint="default"/>
      </w:rPr>
    </w:lvl>
    <w:lvl w:ilvl="1" w:tplc="68724E78">
      <w:start w:val="1"/>
      <w:numFmt w:val="bullet"/>
      <w:lvlText w:val="o"/>
      <w:lvlJc w:val="left"/>
      <w:pPr>
        <w:ind w:left="1500" w:hanging="360"/>
      </w:pPr>
      <w:rPr>
        <w:rFonts w:ascii="Courier New" w:hAnsi="Courier New" w:cs="Courier New" w:hint="default"/>
      </w:rPr>
    </w:lvl>
    <w:lvl w:ilvl="2" w:tplc="C688D904">
      <w:start w:val="1"/>
      <w:numFmt w:val="bullet"/>
      <w:lvlText w:val=""/>
      <w:lvlJc w:val="left"/>
      <w:pPr>
        <w:ind w:left="2220" w:hanging="360"/>
      </w:pPr>
      <w:rPr>
        <w:rFonts w:ascii="Wingdings" w:hAnsi="Wingdings" w:hint="default"/>
      </w:rPr>
    </w:lvl>
    <w:lvl w:ilvl="3" w:tplc="122CA37E">
      <w:start w:val="1"/>
      <w:numFmt w:val="bullet"/>
      <w:lvlText w:val=""/>
      <w:lvlJc w:val="left"/>
      <w:pPr>
        <w:ind w:left="2940" w:hanging="360"/>
      </w:pPr>
      <w:rPr>
        <w:rFonts w:ascii="Symbol" w:hAnsi="Symbol" w:hint="default"/>
      </w:rPr>
    </w:lvl>
    <w:lvl w:ilvl="4" w:tplc="A366FB8C">
      <w:start w:val="1"/>
      <w:numFmt w:val="bullet"/>
      <w:lvlText w:val="o"/>
      <w:lvlJc w:val="left"/>
      <w:pPr>
        <w:ind w:left="3660" w:hanging="360"/>
      </w:pPr>
      <w:rPr>
        <w:rFonts w:ascii="Courier New" w:hAnsi="Courier New" w:cs="Courier New" w:hint="default"/>
      </w:rPr>
    </w:lvl>
    <w:lvl w:ilvl="5" w:tplc="DD443656">
      <w:start w:val="1"/>
      <w:numFmt w:val="bullet"/>
      <w:lvlText w:val=""/>
      <w:lvlJc w:val="left"/>
      <w:pPr>
        <w:ind w:left="4380" w:hanging="360"/>
      </w:pPr>
      <w:rPr>
        <w:rFonts w:ascii="Wingdings" w:hAnsi="Wingdings" w:hint="default"/>
      </w:rPr>
    </w:lvl>
    <w:lvl w:ilvl="6" w:tplc="C86A3A90">
      <w:start w:val="1"/>
      <w:numFmt w:val="bullet"/>
      <w:lvlText w:val=""/>
      <w:lvlJc w:val="left"/>
      <w:pPr>
        <w:ind w:left="5100" w:hanging="360"/>
      </w:pPr>
      <w:rPr>
        <w:rFonts w:ascii="Symbol" w:hAnsi="Symbol" w:hint="default"/>
      </w:rPr>
    </w:lvl>
    <w:lvl w:ilvl="7" w:tplc="2E783C78">
      <w:start w:val="1"/>
      <w:numFmt w:val="bullet"/>
      <w:lvlText w:val="o"/>
      <w:lvlJc w:val="left"/>
      <w:pPr>
        <w:ind w:left="5820" w:hanging="360"/>
      </w:pPr>
      <w:rPr>
        <w:rFonts w:ascii="Courier New" w:hAnsi="Courier New" w:cs="Courier New" w:hint="default"/>
      </w:rPr>
    </w:lvl>
    <w:lvl w:ilvl="8" w:tplc="3D24DA12">
      <w:start w:val="1"/>
      <w:numFmt w:val="bullet"/>
      <w:lvlText w:val=""/>
      <w:lvlJc w:val="left"/>
      <w:pPr>
        <w:ind w:left="6540" w:hanging="360"/>
      </w:pPr>
      <w:rPr>
        <w:rFonts w:ascii="Wingdings" w:hAnsi="Wingdings" w:hint="default"/>
      </w:rPr>
    </w:lvl>
  </w:abstractNum>
  <w:abstractNum w:abstractNumId="7" w15:restartNumberingAfterBreak="0">
    <w:nsid w:val="00000012"/>
    <w:multiLevelType w:val="hybridMultilevel"/>
    <w:tmpl w:val="9CFABFF0"/>
    <w:lvl w:ilvl="0" w:tplc="EBA2681E">
      <w:start w:val="1"/>
      <w:numFmt w:val="bullet"/>
      <w:lvlText w:val=""/>
      <w:lvlJc w:val="left"/>
      <w:pPr>
        <w:ind w:left="855" w:hanging="360"/>
      </w:pPr>
      <w:rPr>
        <w:rFonts w:ascii="Symbol" w:hAnsi="Symbol" w:hint="default"/>
      </w:rPr>
    </w:lvl>
    <w:lvl w:ilvl="1" w:tplc="9C6E9D48">
      <w:start w:val="1"/>
      <w:numFmt w:val="bullet"/>
      <w:lvlText w:val="o"/>
      <w:lvlJc w:val="left"/>
      <w:pPr>
        <w:ind w:left="1575" w:hanging="360"/>
      </w:pPr>
      <w:rPr>
        <w:rFonts w:ascii="Courier New" w:hAnsi="Courier New" w:cs="Courier New" w:hint="default"/>
      </w:rPr>
    </w:lvl>
    <w:lvl w:ilvl="2" w:tplc="56DA7E48">
      <w:start w:val="1"/>
      <w:numFmt w:val="bullet"/>
      <w:lvlText w:val=""/>
      <w:lvlJc w:val="left"/>
      <w:pPr>
        <w:ind w:left="2295" w:hanging="360"/>
      </w:pPr>
      <w:rPr>
        <w:rFonts w:ascii="Wingdings" w:hAnsi="Wingdings" w:hint="default"/>
      </w:rPr>
    </w:lvl>
    <w:lvl w:ilvl="3" w:tplc="1DC21432">
      <w:start w:val="1"/>
      <w:numFmt w:val="bullet"/>
      <w:lvlText w:val=""/>
      <w:lvlJc w:val="left"/>
      <w:pPr>
        <w:ind w:left="3015" w:hanging="360"/>
      </w:pPr>
      <w:rPr>
        <w:rFonts w:ascii="Symbol" w:hAnsi="Symbol" w:hint="default"/>
      </w:rPr>
    </w:lvl>
    <w:lvl w:ilvl="4" w:tplc="426CACA0">
      <w:start w:val="1"/>
      <w:numFmt w:val="bullet"/>
      <w:lvlText w:val="o"/>
      <w:lvlJc w:val="left"/>
      <w:pPr>
        <w:ind w:left="3735" w:hanging="360"/>
      </w:pPr>
      <w:rPr>
        <w:rFonts w:ascii="Courier New" w:hAnsi="Courier New" w:cs="Courier New" w:hint="default"/>
      </w:rPr>
    </w:lvl>
    <w:lvl w:ilvl="5" w:tplc="1D824734">
      <w:start w:val="1"/>
      <w:numFmt w:val="bullet"/>
      <w:lvlText w:val=""/>
      <w:lvlJc w:val="left"/>
      <w:pPr>
        <w:ind w:left="4455" w:hanging="360"/>
      </w:pPr>
      <w:rPr>
        <w:rFonts w:ascii="Wingdings" w:hAnsi="Wingdings" w:hint="default"/>
      </w:rPr>
    </w:lvl>
    <w:lvl w:ilvl="6" w:tplc="105ABD14">
      <w:start w:val="1"/>
      <w:numFmt w:val="bullet"/>
      <w:lvlText w:val=""/>
      <w:lvlJc w:val="left"/>
      <w:pPr>
        <w:ind w:left="5175" w:hanging="360"/>
      </w:pPr>
      <w:rPr>
        <w:rFonts w:ascii="Symbol" w:hAnsi="Symbol" w:hint="default"/>
      </w:rPr>
    </w:lvl>
    <w:lvl w:ilvl="7" w:tplc="32321234">
      <w:start w:val="1"/>
      <w:numFmt w:val="bullet"/>
      <w:lvlText w:val="o"/>
      <w:lvlJc w:val="left"/>
      <w:pPr>
        <w:ind w:left="5895" w:hanging="360"/>
      </w:pPr>
      <w:rPr>
        <w:rFonts w:ascii="Courier New" w:hAnsi="Courier New" w:cs="Courier New" w:hint="default"/>
      </w:rPr>
    </w:lvl>
    <w:lvl w:ilvl="8" w:tplc="B27A6FFA">
      <w:start w:val="1"/>
      <w:numFmt w:val="bullet"/>
      <w:lvlText w:val=""/>
      <w:lvlJc w:val="left"/>
      <w:pPr>
        <w:ind w:left="6615" w:hanging="360"/>
      </w:pPr>
      <w:rPr>
        <w:rFonts w:ascii="Wingdings" w:hAnsi="Wingdings" w:hint="default"/>
      </w:rPr>
    </w:lvl>
  </w:abstractNum>
  <w:abstractNum w:abstractNumId="8" w15:restartNumberingAfterBreak="0">
    <w:nsid w:val="00000013"/>
    <w:multiLevelType w:val="hybridMultilevel"/>
    <w:tmpl w:val="4308ED98"/>
    <w:lvl w:ilvl="0" w:tplc="0DF00D3C">
      <w:start w:val="1"/>
      <w:numFmt w:val="bullet"/>
      <w:lvlText w:val=""/>
      <w:lvlJc w:val="left"/>
      <w:pPr>
        <w:ind w:left="1440" w:hanging="360"/>
      </w:pPr>
      <w:rPr>
        <w:rFonts w:ascii="Symbol" w:hAnsi="Symbol" w:hint="default"/>
      </w:rPr>
    </w:lvl>
    <w:lvl w:ilvl="1" w:tplc="29AE7DA0">
      <w:start w:val="1"/>
      <w:numFmt w:val="bullet"/>
      <w:lvlText w:val="o"/>
      <w:lvlJc w:val="left"/>
      <w:pPr>
        <w:ind w:left="2160" w:hanging="360"/>
      </w:pPr>
      <w:rPr>
        <w:rFonts w:ascii="Courier New" w:hAnsi="Courier New" w:cs="Courier New" w:hint="default"/>
      </w:rPr>
    </w:lvl>
    <w:lvl w:ilvl="2" w:tplc="C61C9D22">
      <w:start w:val="1"/>
      <w:numFmt w:val="bullet"/>
      <w:lvlText w:val=""/>
      <w:lvlJc w:val="left"/>
      <w:pPr>
        <w:ind w:left="2880" w:hanging="360"/>
      </w:pPr>
      <w:rPr>
        <w:rFonts w:ascii="Wingdings" w:hAnsi="Wingdings" w:hint="default"/>
      </w:rPr>
    </w:lvl>
    <w:lvl w:ilvl="3" w:tplc="9E76C6B2">
      <w:start w:val="1"/>
      <w:numFmt w:val="bullet"/>
      <w:lvlText w:val=""/>
      <w:lvlJc w:val="left"/>
      <w:pPr>
        <w:ind w:left="3600" w:hanging="360"/>
      </w:pPr>
      <w:rPr>
        <w:rFonts w:ascii="Symbol" w:hAnsi="Symbol" w:hint="default"/>
      </w:rPr>
    </w:lvl>
    <w:lvl w:ilvl="4" w:tplc="57A26D92">
      <w:start w:val="1"/>
      <w:numFmt w:val="bullet"/>
      <w:lvlText w:val="o"/>
      <w:lvlJc w:val="left"/>
      <w:pPr>
        <w:ind w:left="4320" w:hanging="360"/>
      </w:pPr>
      <w:rPr>
        <w:rFonts w:ascii="Courier New" w:hAnsi="Courier New" w:cs="Courier New" w:hint="default"/>
      </w:rPr>
    </w:lvl>
    <w:lvl w:ilvl="5" w:tplc="02F83C18">
      <w:start w:val="1"/>
      <w:numFmt w:val="bullet"/>
      <w:lvlText w:val=""/>
      <w:lvlJc w:val="left"/>
      <w:pPr>
        <w:ind w:left="5040" w:hanging="360"/>
      </w:pPr>
      <w:rPr>
        <w:rFonts w:ascii="Wingdings" w:hAnsi="Wingdings" w:hint="default"/>
      </w:rPr>
    </w:lvl>
    <w:lvl w:ilvl="6" w:tplc="DBDC3DFC">
      <w:start w:val="1"/>
      <w:numFmt w:val="bullet"/>
      <w:lvlText w:val=""/>
      <w:lvlJc w:val="left"/>
      <w:pPr>
        <w:ind w:left="5760" w:hanging="360"/>
      </w:pPr>
      <w:rPr>
        <w:rFonts w:ascii="Symbol" w:hAnsi="Symbol" w:hint="default"/>
      </w:rPr>
    </w:lvl>
    <w:lvl w:ilvl="7" w:tplc="5058D754">
      <w:start w:val="1"/>
      <w:numFmt w:val="bullet"/>
      <w:lvlText w:val="o"/>
      <w:lvlJc w:val="left"/>
      <w:pPr>
        <w:ind w:left="6480" w:hanging="360"/>
      </w:pPr>
      <w:rPr>
        <w:rFonts w:ascii="Courier New" w:hAnsi="Courier New" w:cs="Courier New" w:hint="default"/>
      </w:rPr>
    </w:lvl>
    <w:lvl w:ilvl="8" w:tplc="3A589B72">
      <w:start w:val="1"/>
      <w:numFmt w:val="bullet"/>
      <w:lvlText w:val=""/>
      <w:lvlJc w:val="left"/>
      <w:pPr>
        <w:ind w:left="7200" w:hanging="360"/>
      </w:pPr>
      <w:rPr>
        <w:rFonts w:ascii="Wingdings" w:hAnsi="Wingdings" w:hint="default"/>
      </w:rPr>
    </w:lvl>
  </w:abstractNum>
  <w:abstractNum w:abstractNumId="9" w15:restartNumberingAfterBreak="0">
    <w:nsid w:val="00000015"/>
    <w:multiLevelType w:val="hybridMultilevel"/>
    <w:tmpl w:val="CDBC297A"/>
    <w:lvl w:ilvl="0" w:tplc="E59C27FC">
      <w:start w:val="1"/>
      <w:numFmt w:val="bullet"/>
      <w:lvlText w:val=""/>
      <w:lvlJc w:val="left"/>
      <w:pPr>
        <w:ind w:left="720" w:hanging="360"/>
      </w:pPr>
      <w:rPr>
        <w:rFonts w:ascii="Symbol" w:hAnsi="Symbol" w:hint="default"/>
      </w:rPr>
    </w:lvl>
    <w:lvl w:ilvl="1" w:tplc="3B28BE6A">
      <w:start w:val="1"/>
      <w:numFmt w:val="bullet"/>
      <w:lvlText w:val="o"/>
      <w:lvlJc w:val="left"/>
      <w:pPr>
        <w:ind w:left="1440" w:hanging="360"/>
      </w:pPr>
      <w:rPr>
        <w:rFonts w:ascii="Courier New" w:hAnsi="Courier New" w:cs="Courier New" w:hint="default"/>
      </w:rPr>
    </w:lvl>
    <w:lvl w:ilvl="2" w:tplc="8B606AC2">
      <w:start w:val="1"/>
      <w:numFmt w:val="bullet"/>
      <w:lvlText w:val=""/>
      <w:lvlJc w:val="left"/>
      <w:pPr>
        <w:ind w:left="2160" w:hanging="360"/>
      </w:pPr>
      <w:rPr>
        <w:rFonts w:ascii="Wingdings" w:hAnsi="Wingdings" w:hint="default"/>
      </w:rPr>
    </w:lvl>
    <w:lvl w:ilvl="3" w:tplc="262A64EE">
      <w:start w:val="1"/>
      <w:numFmt w:val="bullet"/>
      <w:lvlText w:val=""/>
      <w:lvlJc w:val="left"/>
      <w:pPr>
        <w:ind w:left="2880" w:hanging="360"/>
      </w:pPr>
      <w:rPr>
        <w:rFonts w:ascii="Symbol" w:hAnsi="Symbol" w:hint="default"/>
      </w:rPr>
    </w:lvl>
    <w:lvl w:ilvl="4" w:tplc="70BEA502">
      <w:start w:val="1"/>
      <w:numFmt w:val="bullet"/>
      <w:lvlText w:val="o"/>
      <w:lvlJc w:val="left"/>
      <w:pPr>
        <w:ind w:left="3600" w:hanging="360"/>
      </w:pPr>
      <w:rPr>
        <w:rFonts w:ascii="Courier New" w:hAnsi="Courier New" w:cs="Courier New" w:hint="default"/>
      </w:rPr>
    </w:lvl>
    <w:lvl w:ilvl="5" w:tplc="BC9E6E94">
      <w:start w:val="1"/>
      <w:numFmt w:val="bullet"/>
      <w:lvlText w:val=""/>
      <w:lvlJc w:val="left"/>
      <w:pPr>
        <w:ind w:left="4320" w:hanging="360"/>
      </w:pPr>
      <w:rPr>
        <w:rFonts w:ascii="Wingdings" w:hAnsi="Wingdings" w:hint="default"/>
      </w:rPr>
    </w:lvl>
    <w:lvl w:ilvl="6" w:tplc="ADE6061A">
      <w:start w:val="1"/>
      <w:numFmt w:val="bullet"/>
      <w:lvlText w:val=""/>
      <w:lvlJc w:val="left"/>
      <w:pPr>
        <w:ind w:left="5040" w:hanging="360"/>
      </w:pPr>
      <w:rPr>
        <w:rFonts w:ascii="Symbol" w:hAnsi="Symbol" w:hint="default"/>
      </w:rPr>
    </w:lvl>
    <w:lvl w:ilvl="7" w:tplc="7E805B50">
      <w:start w:val="1"/>
      <w:numFmt w:val="bullet"/>
      <w:lvlText w:val="o"/>
      <w:lvlJc w:val="left"/>
      <w:pPr>
        <w:ind w:left="5760" w:hanging="360"/>
      </w:pPr>
      <w:rPr>
        <w:rFonts w:ascii="Courier New" w:hAnsi="Courier New" w:cs="Courier New" w:hint="default"/>
      </w:rPr>
    </w:lvl>
    <w:lvl w:ilvl="8" w:tplc="9FD07C22">
      <w:start w:val="1"/>
      <w:numFmt w:val="bullet"/>
      <w:lvlText w:val=""/>
      <w:lvlJc w:val="left"/>
      <w:pPr>
        <w:ind w:left="6480" w:hanging="360"/>
      </w:pPr>
      <w:rPr>
        <w:rFonts w:ascii="Wingdings" w:hAnsi="Wingdings" w:hint="default"/>
      </w:rPr>
    </w:lvl>
  </w:abstractNum>
  <w:abstractNum w:abstractNumId="10" w15:restartNumberingAfterBreak="0">
    <w:nsid w:val="00000017"/>
    <w:multiLevelType w:val="hybridMultilevel"/>
    <w:tmpl w:val="B9987896"/>
    <w:lvl w:ilvl="0" w:tplc="62AA9D24">
      <w:start w:val="1"/>
      <w:numFmt w:val="bullet"/>
      <w:lvlText w:val=""/>
      <w:lvlJc w:val="left"/>
      <w:pPr>
        <w:ind w:left="720" w:hanging="360"/>
      </w:pPr>
      <w:rPr>
        <w:rFonts w:ascii="Symbol" w:hAnsi="Symbol" w:hint="default"/>
      </w:rPr>
    </w:lvl>
    <w:lvl w:ilvl="1" w:tplc="1F94B844">
      <w:start w:val="1"/>
      <w:numFmt w:val="bullet"/>
      <w:lvlText w:val="o"/>
      <w:lvlJc w:val="left"/>
      <w:pPr>
        <w:ind w:left="1440" w:hanging="360"/>
      </w:pPr>
      <w:rPr>
        <w:rFonts w:ascii="Courier New" w:hAnsi="Courier New" w:cs="Courier New" w:hint="default"/>
      </w:rPr>
    </w:lvl>
    <w:lvl w:ilvl="2" w:tplc="9EBAC1BE">
      <w:start w:val="1"/>
      <w:numFmt w:val="bullet"/>
      <w:lvlText w:val=""/>
      <w:lvlJc w:val="left"/>
      <w:pPr>
        <w:ind w:left="2160" w:hanging="360"/>
      </w:pPr>
      <w:rPr>
        <w:rFonts w:ascii="Wingdings" w:hAnsi="Wingdings" w:hint="default"/>
      </w:rPr>
    </w:lvl>
    <w:lvl w:ilvl="3" w:tplc="23AA758E">
      <w:start w:val="1"/>
      <w:numFmt w:val="bullet"/>
      <w:lvlText w:val=""/>
      <w:lvlJc w:val="left"/>
      <w:pPr>
        <w:ind w:left="2880" w:hanging="360"/>
      </w:pPr>
      <w:rPr>
        <w:rFonts w:ascii="Symbol" w:hAnsi="Symbol" w:hint="default"/>
      </w:rPr>
    </w:lvl>
    <w:lvl w:ilvl="4" w:tplc="555AD266">
      <w:start w:val="1"/>
      <w:numFmt w:val="bullet"/>
      <w:lvlText w:val="o"/>
      <w:lvlJc w:val="left"/>
      <w:pPr>
        <w:ind w:left="3600" w:hanging="360"/>
      </w:pPr>
      <w:rPr>
        <w:rFonts w:ascii="Courier New" w:hAnsi="Courier New" w:cs="Courier New" w:hint="default"/>
      </w:rPr>
    </w:lvl>
    <w:lvl w:ilvl="5" w:tplc="1E948686">
      <w:start w:val="1"/>
      <w:numFmt w:val="bullet"/>
      <w:lvlText w:val=""/>
      <w:lvlJc w:val="left"/>
      <w:pPr>
        <w:ind w:left="4320" w:hanging="360"/>
      </w:pPr>
      <w:rPr>
        <w:rFonts w:ascii="Wingdings" w:hAnsi="Wingdings" w:hint="default"/>
      </w:rPr>
    </w:lvl>
    <w:lvl w:ilvl="6" w:tplc="5F9EAD36">
      <w:start w:val="1"/>
      <w:numFmt w:val="bullet"/>
      <w:lvlText w:val=""/>
      <w:lvlJc w:val="left"/>
      <w:pPr>
        <w:ind w:left="5040" w:hanging="360"/>
      </w:pPr>
      <w:rPr>
        <w:rFonts w:ascii="Symbol" w:hAnsi="Symbol" w:hint="default"/>
      </w:rPr>
    </w:lvl>
    <w:lvl w:ilvl="7" w:tplc="A30EC606">
      <w:start w:val="1"/>
      <w:numFmt w:val="bullet"/>
      <w:lvlText w:val="o"/>
      <w:lvlJc w:val="left"/>
      <w:pPr>
        <w:ind w:left="5760" w:hanging="360"/>
      </w:pPr>
      <w:rPr>
        <w:rFonts w:ascii="Courier New" w:hAnsi="Courier New" w:cs="Courier New" w:hint="default"/>
      </w:rPr>
    </w:lvl>
    <w:lvl w:ilvl="8" w:tplc="83FA6B9E">
      <w:start w:val="1"/>
      <w:numFmt w:val="bullet"/>
      <w:lvlText w:val=""/>
      <w:lvlJc w:val="left"/>
      <w:pPr>
        <w:ind w:left="6480" w:hanging="360"/>
      </w:pPr>
      <w:rPr>
        <w:rFonts w:ascii="Wingdings" w:hAnsi="Wingdings" w:hint="default"/>
      </w:rPr>
    </w:lvl>
  </w:abstractNum>
  <w:abstractNum w:abstractNumId="11" w15:restartNumberingAfterBreak="0">
    <w:nsid w:val="00000019"/>
    <w:multiLevelType w:val="hybridMultilevel"/>
    <w:tmpl w:val="F88E00EE"/>
    <w:lvl w:ilvl="0" w:tplc="61268A56">
      <w:start w:val="1"/>
      <w:numFmt w:val="bullet"/>
      <w:lvlText w:val=""/>
      <w:lvlJc w:val="left"/>
      <w:pPr>
        <w:ind w:left="720" w:hanging="360"/>
      </w:pPr>
      <w:rPr>
        <w:rFonts w:ascii="Symbol" w:hAnsi="Symbol" w:hint="default"/>
      </w:rPr>
    </w:lvl>
    <w:lvl w:ilvl="1" w:tplc="9BBACC0A">
      <w:start w:val="1"/>
      <w:numFmt w:val="bullet"/>
      <w:lvlText w:val="o"/>
      <w:lvlJc w:val="left"/>
      <w:pPr>
        <w:ind w:left="1440" w:hanging="360"/>
      </w:pPr>
      <w:rPr>
        <w:rFonts w:ascii="Courier New" w:hAnsi="Courier New" w:cs="Courier New" w:hint="default"/>
      </w:rPr>
    </w:lvl>
    <w:lvl w:ilvl="2" w:tplc="0FBE6154">
      <w:start w:val="1"/>
      <w:numFmt w:val="bullet"/>
      <w:lvlText w:val=""/>
      <w:lvlJc w:val="left"/>
      <w:pPr>
        <w:ind w:left="2160" w:hanging="360"/>
      </w:pPr>
      <w:rPr>
        <w:rFonts w:ascii="Wingdings" w:hAnsi="Wingdings" w:hint="default"/>
      </w:rPr>
    </w:lvl>
    <w:lvl w:ilvl="3" w:tplc="4A260BCE">
      <w:start w:val="1"/>
      <w:numFmt w:val="bullet"/>
      <w:lvlText w:val=""/>
      <w:lvlJc w:val="left"/>
      <w:pPr>
        <w:ind w:left="2880" w:hanging="360"/>
      </w:pPr>
      <w:rPr>
        <w:rFonts w:ascii="Symbol" w:hAnsi="Symbol" w:hint="default"/>
      </w:rPr>
    </w:lvl>
    <w:lvl w:ilvl="4" w:tplc="63449BC6">
      <w:start w:val="1"/>
      <w:numFmt w:val="bullet"/>
      <w:lvlText w:val="o"/>
      <w:lvlJc w:val="left"/>
      <w:pPr>
        <w:ind w:left="3600" w:hanging="360"/>
      </w:pPr>
      <w:rPr>
        <w:rFonts w:ascii="Courier New" w:hAnsi="Courier New" w:cs="Courier New" w:hint="default"/>
      </w:rPr>
    </w:lvl>
    <w:lvl w:ilvl="5" w:tplc="7144C61C">
      <w:start w:val="1"/>
      <w:numFmt w:val="bullet"/>
      <w:lvlText w:val=""/>
      <w:lvlJc w:val="left"/>
      <w:pPr>
        <w:ind w:left="4320" w:hanging="360"/>
      </w:pPr>
      <w:rPr>
        <w:rFonts w:ascii="Wingdings" w:hAnsi="Wingdings" w:hint="default"/>
      </w:rPr>
    </w:lvl>
    <w:lvl w:ilvl="6" w:tplc="DCBCBFBC">
      <w:start w:val="1"/>
      <w:numFmt w:val="bullet"/>
      <w:lvlText w:val=""/>
      <w:lvlJc w:val="left"/>
      <w:pPr>
        <w:ind w:left="5040" w:hanging="360"/>
      </w:pPr>
      <w:rPr>
        <w:rFonts w:ascii="Symbol" w:hAnsi="Symbol" w:hint="default"/>
      </w:rPr>
    </w:lvl>
    <w:lvl w:ilvl="7" w:tplc="054C771C">
      <w:start w:val="1"/>
      <w:numFmt w:val="bullet"/>
      <w:lvlText w:val="o"/>
      <w:lvlJc w:val="left"/>
      <w:pPr>
        <w:ind w:left="5760" w:hanging="360"/>
      </w:pPr>
      <w:rPr>
        <w:rFonts w:ascii="Courier New" w:hAnsi="Courier New" w:cs="Courier New" w:hint="default"/>
      </w:rPr>
    </w:lvl>
    <w:lvl w:ilvl="8" w:tplc="E9B66DD6">
      <w:start w:val="1"/>
      <w:numFmt w:val="bullet"/>
      <w:lvlText w:val=""/>
      <w:lvlJc w:val="left"/>
      <w:pPr>
        <w:ind w:left="6480" w:hanging="360"/>
      </w:pPr>
      <w:rPr>
        <w:rFonts w:ascii="Wingdings" w:hAnsi="Wingdings" w:hint="default"/>
      </w:rPr>
    </w:lvl>
  </w:abstractNum>
  <w:abstractNum w:abstractNumId="12" w15:restartNumberingAfterBreak="0">
    <w:nsid w:val="0000001A"/>
    <w:multiLevelType w:val="hybridMultilevel"/>
    <w:tmpl w:val="F266B458"/>
    <w:lvl w:ilvl="0" w:tplc="1C704A4E">
      <w:start w:val="1"/>
      <w:numFmt w:val="bullet"/>
      <w:lvlText w:val=""/>
      <w:lvlJc w:val="left"/>
      <w:pPr>
        <w:ind w:left="720" w:hanging="360"/>
      </w:pPr>
      <w:rPr>
        <w:rFonts w:ascii="Symbol" w:hAnsi="Symbol" w:hint="default"/>
      </w:rPr>
    </w:lvl>
    <w:lvl w:ilvl="1" w:tplc="EC9A703C">
      <w:start w:val="1"/>
      <w:numFmt w:val="bullet"/>
      <w:lvlText w:val="o"/>
      <w:lvlJc w:val="left"/>
      <w:pPr>
        <w:ind w:left="1440" w:hanging="360"/>
      </w:pPr>
      <w:rPr>
        <w:rFonts w:ascii="Courier New" w:hAnsi="Courier New" w:cs="Courier New" w:hint="default"/>
      </w:rPr>
    </w:lvl>
    <w:lvl w:ilvl="2" w:tplc="07B60D4A">
      <w:start w:val="1"/>
      <w:numFmt w:val="bullet"/>
      <w:lvlText w:val=""/>
      <w:lvlJc w:val="left"/>
      <w:pPr>
        <w:ind w:left="2160" w:hanging="360"/>
      </w:pPr>
      <w:rPr>
        <w:rFonts w:ascii="Wingdings" w:hAnsi="Wingdings" w:hint="default"/>
      </w:rPr>
    </w:lvl>
    <w:lvl w:ilvl="3" w:tplc="53C06722">
      <w:start w:val="1"/>
      <w:numFmt w:val="bullet"/>
      <w:lvlText w:val=""/>
      <w:lvlJc w:val="left"/>
      <w:pPr>
        <w:ind w:left="2880" w:hanging="360"/>
      </w:pPr>
      <w:rPr>
        <w:rFonts w:ascii="Symbol" w:hAnsi="Symbol" w:hint="default"/>
      </w:rPr>
    </w:lvl>
    <w:lvl w:ilvl="4" w:tplc="F47A6C24">
      <w:start w:val="1"/>
      <w:numFmt w:val="bullet"/>
      <w:lvlText w:val="o"/>
      <w:lvlJc w:val="left"/>
      <w:pPr>
        <w:ind w:left="3600" w:hanging="360"/>
      </w:pPr>
      <w:rPr>
        <w:rFonts w:ascii="Courier New" w:hAnsi="Courier New" w:cs="Courier New" w:hint="default"/>
      </w:rPr>
    </w:lvl>
    <w:lvl w:ilvl="5" w:tplc="287C998A">
      <w:start w:val="1"/>
      <w:numFmt w:val="bullet"/>
      <w:lvlText w:val=""/>
      <w:lvlJc w:val="left"/>
      <w:pPr>
        <w:ind w:left="4320" w:hanging="360"/>
      </w:pPr>
      <w:rPr>
        <w:rFonts w:ascii="Wingdings" w:hAnsi="Wingdings" w:hint="default"/>
      </w:rPr>
    </w:lvl>
    <w:lvl w:ilvl="6" w:tplc="CD50291A">
      <w:start w:val="1"/>
      <w:numFmt w:val="bullet"/>
      <w:lvlText w:val=""/>
      <w:lvlJc w:val="left"/>
      <w:pPr>
        <w:ind w:left="5040" w:hanging="360"/>
      </w:pPr>
      <w:rPr>
        <w:rFonts w:ascii="Symbol" w:hAnsi="Symbol" w:hint="default"/>
      </w:rPr>
    </w:lvl>
    <w:lvl w:ilvl="7" w:tplc="44E0BB6C">
      <w:start w:val="1"/>
      <w:numFmt w:val="bullet"/>
      <w:lvlText w:val="o"/>
      <w:lvlJc w:val="left"/>
      <w:pPr>
        <w:ind w:left="5760" w:hanging="360"/>
      </w:pPr>
      <w:rPr>
        <w:rFonts w:ascii="Courier New" w:hAnsi="Courier New" w:cs="Courier New" w:hint="default"/>
      </w:rPr>
    </w:lvl>
    <w:lvl w:ilvl="8" w:tplc="D08E6794">
      <w:start w:val="1"/>
      <w:numFmt w:val="bullet"/>
      <w:lvlText w:val=""/>
      <w:lvlJc w:val="left"/>
      <w:pPr>
        <w:ind w:left="6480" w:hanging="360"/>
      </w:pPr>
      <w:rPr>
        <w:rFonts w:ascii="Wingdings" w:hAnsi="Wingdings" w:hint="default"/>
      </w:rPr>
    </w:lvl>
  </w:abstractNum>
  <w:abstractNum w:abstractNumId="13" w15:restartNumberingAfterBreak="0">
    <w:nsid w:val="000D10E5"/>
    <w:multiLevelType w:val="hybridMultilevel"/>
    <w:tmpl w:val="7390E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66F0B6B"/>
    <w:multiLevelType w:val="hybridMultilevel"/>
    <w:tmpl w:val="9F52805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5" w15:restartNumberingAfterBreak="0">
    <w:nsid w:val="069F2C01"/>
    <w:multiLevelType w:val="multilevel"/>
    <w:tmpl w:val="52E0CBCA"/>
    <w:lvl w:ilvl="0">
      <w:start w:val="1"/>
      <w:numFmt w:val="decimal"/>
      <w:pStyle w:val="Body"/>
      <w:lvlText w:val="%1."/>
      <w:lvlJc w:val="left"/>
      <w:pPr>
        <w:ind w:left="360" w:hanging="360"/>
      </w:pPr>
    </w:lvl>
    <w:lvl w:ilvl="1">
      <w:start w:val="1"/>
      <w:numFmt w:val="decimal"/>
      <w:isLgl/>
      <w:lvlText w:val="%1.%2"/>
      <w:lvlJc w:val="left"/>
      <w:pPr>
        <w:ind w:left="473" w:hanging="360"/>
      </w:pPr>
      <w:rPr>
        <w:rFonts w:hint="default"/>
      </w:rPr>
    </w:lvl>
    <w:lvl w:ilvl="2">
      <w:start w:val="1"/>
      <w:numFmt w:val="decimal"/>
      <w:isLgl/>
      <w:lvlText w:val="%1.%2.%3"/>
      <w:lvlJc w:val="left"/>
      <w:pPr>
        <w:ind w:left="946" w:hanging="720"/>
      </w:pPr>
      <w:rPr>
        <w:rFonts w:hint="default"/>
      </w:rPr>
    </w:lvl>
    <w:lvl w:ilvl="3">
      <w:start w:val="1"/>
      <w:numFmt w:val="decimal"/>
      <w:isLgl/>
      <w:lvlText w:val="%1.%2.%3.%4"/>
      <w:lvlJc w:val="left"/>
      <w:pPr>
        <w:ind w:left="1059" w:hanging="720"/>
      </w:pPr>
      <w:rPr>
        <w:rFonts w:hint="default"/>
      </w:rPr>
    </w:lvl>
    <w:lvl w:ilvl="4">
      <w:start w:val="1"/>
      <w:numFmt w:val="decimal"/>
      <w:isLgl/>
      <w:lvlText w:val="%1.%2.%3.%4.%5"/>
      <w:lvlJc w:val="left"/>
      <w:pPr>
        <w:ind w:left="1532" w:hanging="1080"/>
      </w:pPr>
      <w:rPr>
        <w:rFonts w:hint="default"/>
      </w:rPr>
    </w:lvl>
    <w:lvl w:ilvl="5">
      <w:start w:val="1"/>
      <w:numFmt w:val="decimal"/>
      <w:isLgl/>
      <w:lvlText w:val="%1.%2.%3.%4.%5.%6"/>
      <w:lvlJc w:val="left"/>
      <w:pPr>
        <w:ind w:left="1645" w:hanging="1080"/>
      </w:pPr>
      <w:rPr>
        <w:rFonts w:hint="default"/>
      </w:rPr>
    </w:lvl>
    <w:lvl w:ilvl="6">
      <w:start w:val="1"/>
      <w:numFmt w:val="decimal"/>
      <w:isLgl/>
      <w:lvlText w:val="%1.%2.%3.%4.%5.%6.%7"/>
      <w:lvlJc w:val="left"/>
      <w:pPr>
        <w:ind w:left="2118" w:hanging="1440"/>
      </w:pPr>
      <w:rPr>
        <w:rFonts w:hint="default"/>
      </w:rPr>
    </w:lvl>
    <w:lvl w:ilvl="7">
      <w:start w:val="1"/>
      <w:numFmt w:val="decimal"/>
      <w:isLgl/>
      <w:lvlText w:val="%1.%2.%3.%4.%5.%6.%7.%8"/>
      <w:lvlJc w:val="left"/>
      <w:pPr>
        <w:ind w:left="2231" w:hanging="1440"/>
      </w:pPr>
      <w:rPr>
        <w:rFonts w:hint="default"/>
      </w:rPr>
    </w:lvl>
    <w:lvl w:ilvl="8">
      <w:start w:val="1"/>
      <w:numFmt w:val="decimal"/>
      <w:isLgl/>
      <w:lvlText w:val="%1.%2.%3.%4.%5.%6.%7.%8.%9"/>
      <w:lvlJc w:val="left"/>
      <w:pPr>
        <w:ind w:left="2704" w:hanging="1800"/>
      </w:pPr>
      <w:rPr>
        <w:rFonts w:hint="default"/>
      </w:rPr>
    </w:lvl>
  </w:abstractNum>
  <w:abstractNum w:abstractNumId="16" w15:restartNumberingAfterBreak="0">
    <w:nsid w:val="0827686B"/>
    <w:multiLevelType w:val="hybridMultilevel"/>
    <w:tmpl w:val="5074FF6C"/>
    <w:lvl w:ilvl="0" w:tplc="EDE65A78">
      <w:numFmt w:val="bullet"/>
      <w:lvlText w:val="­"/>
      <w:lvlJc w:val="left"/>
      <w:pPr>
        <w:ind w:left="1080" w:hanging="360"/>
      </w:pPr>
      <w:rPr>
        <w:rFonts w:ascii="Arial" w:eastAsia="Times New Roman"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08392F05"/>
    <w:multiLevelType w:val="hybridMultilevel"/>
    <w:tmpl w:val="C55CFF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0C955DBA"/>
    <w:multiLevelType w:val="hybridMultilevel"/>
    <w:tmpl w:val="28466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CBD6473"/>
    <w:multiLevelType w:val="hybridMultilevel"/>
    <w:tmpl w:val="D4DA2D4C"/>
    <w:lvl w:ilvl="0" w:tplc="EDE65A78">
      <w:numFmt w:val="bullet"/>
      <w:lvlText w:val="­"/>
      <w:lvlJc w:val="left"/>
      <w:pPr>
        <w:ind w:left="1080" w:hanging="360"/>
      </w:pPr>
      <w:rPr>
        <w:rFonts w:ascii="Arial" w:eastAsia="Times New Roman"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0F4C1562"/>
    <w:multiLevelType w:val="hybridMultilevel"/>
    <w:tmpl w:val="2CCE3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07F00E7"/>
    <w:multiLevelType w:val="hybridMultilevel"/>
    <w:tmpl w:val="59044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4053EF4"/>
    <w:multiLevelType w:val="multilevel"/>
    <w:tmpl w:val="81D092B6"/>
    <w:lvl w:ilvl="0">
      <w:start w:val="1"/>
      <w:numFmt w:val="decimal"/>
      <w:lvlText w:val="%1."/>
      <w:lvlJc w:val="left"/>
      <w:pPr>
        <w:ind w:left="360" w:hanging="360"/>
      </w:pPr>
      <w:rPr>
        <w:rFonts w:hint="default"/>
      </w:rPr>
    </w:lvl>
    <w:lvl w:ilvl="1">
      <w:start w:val="1"/>
      <w:numFmt w:val="decimal"/>
      <w:pStyle w:val="AGS-Bullets"/>
      <w:lvlText w:val="%1.%2"/>
      <w:lvlJc w:val="left"/>
      <w:pPr>
        <w:ind w:left="360" w:hanging="360"/>
      </w:pPr>
      <w:rPr>
        <w:rFonts w:ascii="Calibri" w:hAnsi="Calibri" w:hint="default"/>
        <w:b w:val="0"/>
        <w:i w:val="0"/>
        <w:strike w:val="0"/>
        <w:color w:val="auto"/>
      </w:rPr>
    </w:lvl>
    <w:lvl w:ilvl="2">
      <w:start w:val="1"/>
      <w:numFmt w:val="lowerRoman"/>
      <w:lvlText w:val="(%3)"/>
      <w:lvlJc w:val="left"/>
      <w:pPr>
        <w:ind w:left="1287" w:hanging="720"/>
      </w:pPr>
      <w:rPr>
        <w:rFonts w:asciiTheme="majorHAnsi" w:eastAsia="Times New Roman" w:hAnsiTheme="majorHAnsi" w:cs="Calibri"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14D97022"/>
    <w:multiLevelType w:val="hybridMultilevel"/>
    <w:tmpl w:val="39665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5B0333C"/>
    <w:multiLevelType w:val="hybridMultilevel"/>
    <w:tmpl w:val="97DA1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6514374"/>
    <w:multiLevelType w:val="hybridMultilevel"/>
    <w:tmpl w:val="BC78F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8121FAA"/>
    <w:multiLevelType w:val="hybridMultilevel"/>
    <w:tmpl w:val="EF983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90221DE"/>
    <w:multiLevelType w:val="hybridMultilevel"/>
    <w:tmpl w:val="E7EE1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9407300"/>
    <w:multiLevelType w:val="hybridMultilevel"/>
    <w:tmpl w:val="D9C85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98F48F5"/>
    <w:multiLevelType w:val="hybridMultilevel"/>
    <w:tmpl w:val="5D7CD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DAC01DE"/>
    <w:multiLevelType w:val="hybridMultilevel"/>
    <w:tmpl w:val="8DE4D5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3604C11"/>
    <w:multiLevelType w:val="hybridMultilevel"/>
    <w:tmpl w:val="599E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59E69AA"/>
    <w:multiLevelType w:val="multilevel"/>
    <w:tmpl w:val="3118C848"/>
    <w:numStyleLink w:val="TfGMList"/>
  </w:abstractNum>
  <w:abstractNum w:abstractNumId="33" w15:restartNumberingAfterBreak="0">
    <w:nsid w:val="259F0CF6"/>
    <w:multiLevelType w:val="hybridMultilevel"/>
    <w:tmpl w:val="B9AC6AB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5BC48F1"/>
    <w:multiLevelType w:val="hybridMultilevel"/>
    <w:tmpl w:val="0A7C9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A6E02A9"/>
    <w:multiLevelType w:val="hybridMultilevel"/>
    <w:tmpl w:val="A3F6A534"/>
    <w:lvl w:ilvl="0" w:tplc="BBD0AFB8">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2AE55663"/>
    <w:multiLevelType w:val="hybridMultilevel"/>
    <w:tmpl w:val="C0728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BA50502"/>
    <w:multiLevelType w:val="hybridMultilevel"/>
    <w:tmpl w:val="4EDCC50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2C1D1C60"/>
    <w:multiLevelType w:val="hybridMultilevel"/>
    <w:tmpl w:val="9DE28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2EB1A20"/>
    <w:multiLevelType w:val="hybridMultilevel"/>
    <w:tmpl w:val="D17E866A"/>
    <w:lvl w:ilvl="0" w:tplc="C14E8280">
      <w:start w:val="1"/>
      <w:numFmt w:val="bullet"/>
      <w:lvlText w:val=""/>
      <w:lvlJc w:val="left"/>
      <w:pPr>
        <w:tabs>
          <w:tab w:val="num" w:pos="1512"/>
        </w:tabs>
        <w:ind w:left="1512" w:hanging="360"/>
      </w:pPr>
      <w:rPr>
        <w:rFonts w:ascii="Symbol" w:hAnsi="Symbol" w:hint="default"/>
        <w:color w:val="000000"/>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7416C9C"/>
    <w:multiLevelType w:val="hybridMultilevel"/>
    <w:tmpl w:val="D416D42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39844F89"/>
    <w:multiLevelType w:val="hybridMultilevel"/>
    <w:tmpl w:val="D3CA7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B125D58"/>
    <w:multiLevelType w:val="hybridMultilevel"/>
    <w:tmpl w:val="C95C4182"/>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3B9C0D52"/>
    <w:multiLevelType w:val="hybridMultilevel"/>
    <w:tmpl w:val="38708D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BB72294"/>
    <w:multiLevelType w:val="hybridMultilevel"/>
    <w:tmpl w:val="4EDCC50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3EC001B3"/>
    <w:multiLevelType w:val="hybridMultilevel"/>
    <w:tmpl w:val="B6648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0FC4ACC"/>
    <w:multiLevelType w:val="hybridMultilevel"/>
    <w:tmpl w:val="65E0D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2E8028D"/>
    <w:multiLevelType w:val="multilevel"/>
    <w:tmpl w:val="1952E0AA"/>
    <w:styleLink w:val="AGMAList"/>
    <w:lvl w:ilvl="0">
      <w:start w:val="1"/>
      <w:numFmt w:val="decimal"/>
      <w:pStyle w:val="1AGMAHeading1"/>
      <w:lvlText w:val="%1."/>
      <w:lvlJc w:val="left"/>
      <w:pPr>
        <w:ind w:left="851" w:hanging="851"/>
      </w:pPr>
      <w:rPr>
        <w:rFonts w:ascii="Arial" w:hAnsi="Arial" w:cs="Times New Roman" w:hint="default"/>
        <w:b/>
        <w:i w:val="0"/>
        <w:sz w:val="24"/>
      </w:rPr>
    </w:lvl>
    <w:lvl w:ilvl="1">
      <w:start w:val="1"/>
      <w:numFmt w:val="decimal"/>
      <w:pStyle w:val="2AGMAHeading2"/>
      <w:lvlText w:val="%1.%2"/>
      <w:lvlJc w:val="left"/>
      <w:pPr>
        <w:ind w:left="851" w:hanging="851"/>
      </w:pPr>
      <w:rPr>
        <w:rFonts w:ascii="Arial" w:hAnsi="Arial" w:cs="Times New Roman" w:hint="default"/>
        <w:b w:val="0"/>
        <w:i w:val="0"/>
        <w:sz w:val="24"/>
      </w:rPr>
    </w:lvl>
    <w:lvl w:ilvl="2">
      <w:start w:val="1"/>
      <w:numFmt w:val="decimal"/>
      <w:pStyle w:val="3AGMAHeading3"/>
      <w:lvlText w:val="%1.%2.%3"/>
      <w:lvlJc w:val="left"/>
      <w:pPr>
        <w:ind w:left="851" w:hanging="851"/>
      </w:pPr>
      <w:rPr>
        <w:rFonts w:ascii="Arial" w:hAnsi="Arial" w:cs="Times New Roman" w:hint="default"/>
        <w:b w:val="0"/>
        <w:i w:val="0"/>
        <w:sz w:val="24"/>
      </w:rPr>
    </w:lvl>
    <w:lvl w:ilvl="3">
      <w:start w:val="1"/>
      <w:numFmt w:val="bullet"/>
      <w:pStyle w:val="4AGMABullet1"/>
      <w:lvlText w:val=""/>
      <w:lvlJc w:val="left"/>
      <w:pPr>
        <w:ind w:left="1134" w:hanging="283"/>
      </w:pPr>
      <w:rPr>
        <w:rFonts w:ascii="Symbol" w:hAnsi="Symbol" w:hint="default"/>
        <w:color w:val="auto"/>
      </w:rPr>
    </w:lvl>
    <w:lvl w:ilvl="4">
      <w:start w:val="1"/>
      <w:numFmt w:val="bullet"/>
      <w:pStyle w:val="5AGMABullet2"/>
      <w:lvlText w:val=""/>
      <w:lvlJc w:val="left"/>
      <w:pPr>
        <w:ind w:left="1418" w:hanging="284"/>
      </w:pPr>
      <w:rPr>
        <w:rFonts w:ascii="Symbol" w:hAnsi="Symbol" w:hint="default"/>
      </w:rPr>
    </w:lvl>
    <w:lvl w:ilvl="5">
      <w:start w:val="1"/>
      <w:numFmt w:val="lowerRoman"/>
      <w:pStyle w:val="6AGMARecommendations"/>
      <w:lvlText w:val="(%6)"/>
      <w:lvlJc w:val="left"/>
      <w:pPr>
        <w:ind w:left="1077" w:hanging="226"/>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8" w15:restartNumberingAfterBreak="0">
    <w:nsid w:val="448C6BF4"/>
    <w:multiLevelType w:val="hybridMultilevel"/>
    <w:tmpl w:val="B9FA3780"/>
    <w:lvl w:ilvl="0" w:tplc="2FCE7DCA">
      <w:numFmt w:val="bullet"/>
      <w:lvlText w:val="•"/>
      <w:lvlJc w:val="left"/>
      <w:pPr>
        <w:ind w:left="720" w:hanging="360"/>
      </w:pPr>
      <w:rPr>
        <w:rFonts w:ascii="Verdana" w:eastAsia="Verdana" w:hAnsi="Verdana" w:cs="Verdan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4D14545"/>
    <w:multiLevelType w:val="hybridMultilevel"/>
    <w:tmpl w:val="0AFA9B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58532CC"/>
    <w:multiLevelType w:val="hybridMultilevel"/>
    <w:tmpl w:val="E6FE4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92C6A90"/>
    <w:multiLevelType w:val="hybridMultilevel"/>
    <w:tmpl w:val="CB145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D0A3EE4"/>
    <w:multiLevelType w:val="hybridMultilevel"/>
    <w:tmpl w:val="AFCCC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F9B2F52"/>
    <w:multiLevelType w:val="hybridMultilevel"/>
    <w:tmpl w:val="42C86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FFA7B49"/>
    <w:multiLevelType w:val="hybridMultilevel"/>
    <w:tmpl w:val="EA5A1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0615F29"/>
    <w:multiLevelType w:val="hybridMultilevel"/>
    <w:tmpl w:val="1E5291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15:restartNumberingAfterBreak="0">
    <w:nsid w:val="510B4CC8"/>
    <w:multiLevelType w:val="hybridMultilevel"/>
    <w:tmpl w:val="DC2641A4"/>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7" w15:restartNumberingAfterBreak="0">
    <w:nsid w:val="523C177A"/>
    <w:multiLevelType w:val="multilevel"/>
    <w:tmpl w:val="3118C848"/>
    <w:styleLink w:val="TfGMList"/>
    <w:lvl w:ilvl="0">
      <w:start w:val="1"/>
      <w:numFmt w:val="decimal"/>
      <w:pStyle w:val="1TfGMHeading1"/>
      <w:lvlText w:val="%1"/>
      <w:lvlJc w:val="left"/>
      <w:pPr>
        <w:ind w:left="851" w:hanging="851"/>
      </w:pPr>
      <w:rPr>
        <w:rFonts w:ascii="Calibri" w:hAnsi="Calibri" w:hint="default"/>
        <w:b/>
        <w:sz w:val="26"/>
      </w:rPr>
    </w:lvl>
    <w:lvl w:ilvl="1">
      <w:start w:val="1"/>
      <w:numFmt w:val="decimal"/>
      <w:pStyle w:val="2TfGMHeading2"/>
      <w:lvlText w:val="%1.%2"/>
      <w:lvlJc w:val="left"/>
      <w:pPr>
        <w:ind w:left="851" w:hanging="851"/>
      </w:pPr>
      <w:rPr>
        <w:rFonts w:ascii="Calibri" w:hAnsi="Calibri" w:hint="default"/>
        <w:sz w:val="26"/>
      </w:rPr>
    </w:lvl>
    <w:lvl w:ilvl="2">
      <w:start w:val="1"/>
      <w:numFmt w:val="decimal"/>
      <w:pStyle w:val="3TfGMHeading3"/>
      <w:lvlText w:val="%1.%2.%3"/>
      <w:lvlJc w:val="left"/>
      <w:pPr>
        <w:ind w:left="851" w:hanging="851"/>
      </w:pPr>
      <w:rPr>
        <w:rFonts w:ascii="Calibri" w:hAnsi="Calibri" w:hint="default"/>
        <w:sz w:val="26"/>
      </w:rPr>
    </w:lvl>
    <w:lvl w:ilvl="3">
      <w:start w:val="1"/>
      <w:numFmt w:val="bullet"/>
      <w:pStyle w:val="4TfGMBullet1"/>
      <w:lvlText w:val=""/>
      <w:lvlJc w:val="left"/>
      <w:pPr>
        <w:ind w:left="567" w:firstLine="510"/>
      </w:pPr>
      <w:rPr>
        <w:rFonts w:ascii="Symbol" w:hAnsi="Symbol" w:hint="default"/>
        <w:color w:val="auto"/>
        <w:sz w:val="26"/>
      </w:rPr>
    </w:lvl>
    <w:lvl w:ilvl="4">
      <w:start w:val="1"/>
      <w:numFmt w:val="bullet"/>
      <w:pStyle w:val="5TfGMBullet2"/>
      <w:lvlText w:val=""/>
      <w:lvlJc w:val="left"/>
      <w:pPr>
        <w:ind w:left="567" w:firstLine="851"/>
      </w:pPr>
      <w:rPr>
        <w:rFonts w:ascii="Symbol" w:hAnsi="Symbol" w:hint="default"/>
        <w:sz w:val="26"/>
      </w:rPr>
    </w:lvl>
    <w:lvl w:ilvl="5">
      <w:start w:val="1"/>
      <w:numFmt w:val="lowerRoman"/>
      <w:pStyle w:val="6TfGMRecommendations"/>
      <w:lvlText w:val="%6)"/>
      <w:lvlJc w:val="left"/>
      <w:pPr>
        <w:ind w:left="567" w:firstLine="510"/>
      </w:pPr>
      <w:rPr>
        <w:rFonts w:ascii="Calibri" w:hAnsi="Calibri" w:hint="default"/>
        <w:sz w:val="26"/>
      </w:rPr>
    </w:lvl>
    <w:lvl w:ilvl="6">
      <w:start w:val="1"/>
      <w:numFmt w:val="none"/>
      <w:lvlText w:val=""/>
      <w:lvlJc w:val="left"/>
      <w:pPr>
        <w:ind w:left="851" w:firstLine="31918"/>
      </w:pPr>
      <w:rPr>
        <w:rFonts w:ascii="Calibri" w:hAnsi="Calibri" w:hint="default"/>
        <w:sz w:val="26"/>
      </w:rPr>
    </w:lvl>
    <w:lvl w:ilvl="7">
      <w:start w:val="1"/>
      <w:numFmt w:val="lowerLetter"/>
      <w:lvlText w:val="%8."/>
      <w:lvlJc w:val="left"/>
      <w:pPr>
        <w:ind w:left="12960" w:hanging="360"/>
      </w:pPr>
      <w:rPr>
        <w:rFonts w:hint="default"/>
      </w:rPr>
    </w:lvl>
    <w:lvl w:ilvl="8">
      <w:start w:val="1"/>
      <w:numFmt w:val="lowerRoman"/>
      <w:lvlText w:val="%9."/>
      <w:lvlJc w:val="left"/>
      <w:pPr>
        <w:ind w:left="13320" w:hanging="360"/>
      </w:pPr>
      <w:rPr>
        <w:rFonts w:hint="default"/>
      </w:rPr>
    </w:lvl>
  </w:abstractNum>
  <w:abstractNum w:abstractNumId="58" w15:restartNumberingAfterBreak="0">
    <w:nsid w:val="52BF1FA8"/>
    <w:multiLevelType w:val="hybridMultilevel"/>
    <w:tmpl w:val="70C81F1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9" w15:restartNumberingAfterBreak="0">
    <w:nsid w:val="541A233A"/>
    <w:multiLevelType w:val="hybridMultilevel"/>
    <w:tmpl w:val="29C83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4561D49"/>
    <w:multiLevelType w:val="hybridMultilevel"/>
    <w:tmpl w:val="3384C0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48E1566"/>
    <w:multiLevelType w:val="hybridMultilevel"/>
    <w:tmpl w:val="3F04F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6734E93"/>
    <w:multiLevelType w:val="hybridMultilevel"/>
    <w:tmpl w:val="E5220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70E73FA"/>
    <w:multiLevelType w:val="hybridMultilevel"/>
    <w:tmpl w:val="3536E8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7231BD1"/>
    <w:multiLevelType w:val="hybridMultilevel"/>
    <w:tmpl w:val="9C866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8255EE8"/>
    <w:multiLevelType w:val="hybridMultilevel"/>
    <w:tmpl w:val="5964C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97067DE"/>
    <w:multiLevelType w:val="hybridMultilevel"/>
    <w:tmpl w:val="E28A5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C590D02"/>
    <w:multiLevelType w:val="hybridMultilevel"/>
    <w:tmpl w:val="D20A75F4"/>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8" w15:restartNumberingAfterBreak="0">
    <w:nsid w:val="60100F3E"/>
    <w:multiLevelType w:val="hybridMultilevel"/>
    <w:tmpl w:val="09CEA76E"/>
    <w:lvl w:ilvl="0" w:tplc="53F2F22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23F4963"/>
    <w:multiLevelType w:val="hybridMultilevel"/>
    <w:tmpl w:val="FFFFFFFF"/>
    <w:styleLink w:val="ImportedStyle16"/>
    <w:lvl w:ilvl="0" w:tplc="2FECF79E">
      <w:start w:val="1"/>
      <w:numFmt w:val="bullet"/>
      <w:lvlText w:val="•"/>
      <w:lvlJc w:val="left"/>
      <w:pPr>
        <w:ind w:left="360"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99E51AA">
      <w:start w:val="1"/>
      <w:numFmt w:val="bullet"/>
      <w:lvlText w:val="o"/>
      <w:lvlJc w:val="left"/>
      <w:pPr>
        <w:ind w:left="1080" w:hanging="108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5B680F8C">
      <w:start w:val="1"/>
      <w:numFmt w:val="bullet"/>
      <w:lvlText w:val="▪"/>
      <w:lvlJc w:val="left"/>
      <w:pPr>
        <w:ind w:left="1800" w:hanging="108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C922BA6A">
      <w:start w:val="1"/>
      <w:numFmt w:val="bullet"/>
      <w:lvlText w:val="▪"/>
      <w:lvlJc w:val="left"/>
      <w:pPr>
        <w:ind w:left="2520" w:hanging="108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01C2A65A">
      <w:start w:val="1"/>
      <w:numFmt w:val="bullet"/>
      <w:lvlText w:val="▪"/>
      <w:lvlJc w:val="left"/>
      <w:pPr>
        <w:ind w:left="3240" w:hanging="108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4CF264BE">
      <w:start w:val="1"/>
      <w:numFmt w:val="bullet"/>
      <w:lvlText w:val="▪"/>
      <w:lvlJc w:val="left"/>
      <w:pPr>
        <w:ind w:left="3960" w:hanging="108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61E2B132">
      <w:start w:val="1"/>
      <w:numFmt w:val="bullet"/>
      <w:lvlText w:val="▪"/>
      <w:lvlJc w:val="left"/>
      <w:pPr>
        <w:ind w:left="4680" w:hanging="108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7C7C1D14">
      <w:start w:val="1"/>
      <w:numFmt w:val="bullet"/>
      <w:lvlText w:val="▪"/>
      <w:lvlJc w:val="left"/>
      <w:pPr>
        <w:ind w:left="5400" w:hanging="108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C93A4148">
      <w:start w:val="1"/>
      <w:numFmt w:val="bullet"/>
      <w:lvlText w:val="▪"/>
      <w:lvlJc w:val="left"/>
      <w:pPr>
        <w:ind w:left="6120" w:hanging="108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62983619"/>
    <w:multiLevelType w:val="hybridMultilevel"/>
    <w:tmpl w:val="4AA65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3823C14"/>
    <w:multiLevelType w:val="hybridMultilevel"/>
    <w:tmpl w:val="574A2A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7B97FF5"/>
    <w:multiLevelType w:val="hybridMultilevel"/>
    <w:tmpl w:val="CC04319E"/>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3" w15:restartNumberingAfterBreak="0">
    <w:nsid w:val="6B915FF6"/>
    <w:multiLevelType w:val="hybridMultilevel"/>
    <w:tmpl w:val="4EDCC50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C92631F"/>
    <w:multiLevelType w:val="hybridMultilevel"/>
    <w:tmpl w:val="CAC46C68"/>
    <w:lvl w:ilvl="0" w:tplc="5FB417A4">
      <w:start w:val="1"/>
      <w:numFmt w:val="decimal"/>
      <w:pStyle w:val="Heading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CC80F1E"/>
    <w:multiLevelType w:val="hybridMultilevel"/>
    <w:tmpl w:val="5956C30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6" w15:restartNumberingAfterBreak="0">
    <w:nsid w:val="6E25510F"/>
    <w:multiLevelType w:val="hybridMultilevel"/>
    <w:tmpl w:val="B0C61706"/>
    <w:lvl w:ilvl="0" w:tplc="84C84F1E">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7" w15:restartNumberingAfterBreak="0">
    <w:nsid w:val="72922033"/>
    <w:multiLevelType w:val="hybridMultilevel"/>
    <w:tmpl w:val="DFAED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4873666"/>
    <w:multiLevelType w:val="hybridMultilevel"/>
    <w:tmpl w:val="3BB02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5187C34"/>
    <w:multiLevelType w:val="hybridMultilevel"/>
    <w:tmpl w:val="A782BF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7A1A0960"/>
    <w:multiLevelType w:val="multilevel"/>
    <w:tmpl w:val="8CA0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DAC7436"/>
    <w:multiLevelType w:val="hybridMultilevel"/>
    <w:tmpl w:val="282EF5B0"/>
    <w:lvl w:ilvl="0" w:tplc="08090001">
      <w:start w:val="1"/>
      <w:numFmt w:val="bullet"/>
      <w:lvlText w:val=""/>
      <w:lvlJc w:val="left"/>
      <w:pPr>
        <w:ind w:left="1211" w:hanging="360"/>
      </w:pPr>
      <w:rPr>
        <w:rFonts w:ascii="Symbol" w:hAnsi="Symbol" w:hint="default"/>
      </w:rPr>
    </w:lvl>
    <w:lvl w:ilvl="1" w:tplc="08090001">
      <w:start w:val="1"/>
      <w:numFmt w:val="bullet"/>
      <w:lvlText w:val=""/>
      <w:lvlJc w:val="left"/>
      <w:pPr>
        <w:ind w:left="2171" w:hanging="600"/>
      </w:pPr>
      <w:rPr>
        <w:rFonts w:ascii="Symbol" w:hAnsi="Symbol"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2" w15:restartNumberingAfterBreak="0">
    <w:nsid w:val="7DC005E7"/>
    <w:multiLevelType w:val="hybridMultilevel"/>
    <w:tmpl w:val="5B5E959C"/>
    <w:lvl w:ilvl="0" w:tplc="D3CAA47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9712071">
    <w:abstractNumId w:val="60"/>
  </w:num>
  <w:num w:numId="2" w16cid:durableId="377053215">
    <w:abstractNumId w:val="30"/>
  </w:num>
  <w:num w:numId="3" w16cid:durableId="2139570541">
    <w:abstractNumId w:val="49"/>
  </w:num>
  <w:num w:numId="4" w16cid:durableId="451483274">
    <w:abstractNumId w:val="71"/>
  </w:num>
  <w:num w:numId="5" w16cid:durableId="1142890935">
    <w:abstractNumId w:val="47"/>
  </w:num>
  <w:num w:numId="6" w16cid:durableId="820853645">
    <w:abstractNumId w:val="69"/>
  </w:num>
  <w:num w:numId="7" w16cid:durableId="53237741">
    <w:abstractNumId w:val="23"/>
  </w:num>
  <w:num w:numId="8" w16cid:durableId="198472768">
    <w:abstractNumId w:val="14"/>
  </w:num>
  <w:num w:numId="9" w16cid:durableId="87502297">
    <w:abstractNumId w:val="72"/>
  </w:num>
  <w:num w:numId="10" w16cid:durableId="701590638">
    <w:abstractNumId w:val="36"/>
  </w:num>
  <w:num w:numId="11" w16cid:durableId="1414552142">
    <w:abstractNumId w:val="66"/>
  </w:num>
  <w:num w:numId="12" w16cid:durableId="1159879896">
    <w:abstractNumId w:val="52"/>
  </w:num>
  <w:num w:numId="13" w16cid:durableId="965618357">
    <w:abstractNumId w:val="61"/>
  </w:num>
  <w:num w:numId="14" w16cid:durableId="940796510">
    <w:abstractNumId w:val="33"/>
  </w:num>
  <w:num w:numId="15" w16cid:durableId="1749495192">
    <w:abstractNumId w:val="38"/>
  </w:num>
  <w:num w:numId="16" w16cid:durableId="370034002">
    <w:abstractNumId w:val="65"/>
  </w:num>
  <w:num w:numId="17" w16cid:durableId="118501280">
    <w:abstractNumId w:val="20"/>
  </w:num>
  <w:num w:numId="18" w16cid:durableId="122969418">
    <w:abstractNumId w:val="1"/>
  </w:num>
  <w:num w:numId="19" w16cid:durableId="633098913">
    <w:abstractNumId w:val="2"/>
  </w:num>
  <w:num w:numId="20" w16cid:durableId="2076973928">
    <w:abstractNumId w:val="3"/>
  </w:num>
  <w:num w:numId="21" w16cid:durableId="1490948680">
    <w:abstractNumId w:val="4"/>
  </w:num>
  <w:num w:numId="22" w16cid:durableId="1480611947">
    <w:abstractNumId w:val="5"/>
  </w:num>
  <w:num w:numId="23" w16cid:durableId="124588706">
    <w:abstractNumId w:val="6"/>
  </w:num>
  <w:num w:numId="24" w16cid:durableId="1657996993">
    <w:abstractNumId w:val="7"/>
  </w:num>
  <w:num w:numId="25" w16cid:durableId="764619599">
    <w:abstractNumId w:val="8"/>
  </w:num>
  <w:num w:numId="26" w16cid:durableId="1128860632">
    <w:abstractNumId w:val="9"/>
  </w:num>
  <w:num w:numId="27" w16cid:durableId="157310983">
    <w:abstractNumId w:val="10"/>
  </w:num>
  <w:num w:numId="28" w16cid:durableId="54359645">
    <w:abstractNumId w:val="22"/>
  </w:num>
  <w:num w:numId="29" w16cid:durableId="1753354439">
    <w:abstractNumId w:val="17"/>
  </w:num>
  <w:num w:numId="30" w16cid:durableId="1060832575">
    <w:abstractNumId w:val="59"/>
  </w:num>
  <w:num w:numId="31" w16cid:durableId="2091003600">
    <w:abstractNumId w:val="18"/>
  </w:num>
  <w:num w:numId="32" w16cid:durableId="1349914591">
    <w:abstractNumId w:val="64"/>
  </w:num>
  <w:num w:numId="33" w16cid:durableId="875384531">
    <w:abstractNumId w:val="19"/>
  </w:num>
  <w:num w:numId="34" w16cid:durableId="1225069312">
    <w:abstractNumId w:val="73"/>
  </w:num>
  <w:num w:numId="35" w16cid:durableId="2062631676">
    <w:abstractNumId w:val="31"/>
  </w:num>
  <w:num w:numId="36" w16cid:durableId="775829382">
    <w:abstractNumId w:val="28"/>
  </w:num>
  <w:num w:numId="37" w16cid:durableId="318461927">
    <w:abstractNumId w:val="48"/>
  </w:num>
  <w:num w:numId="38" w16cid:durableId="364914551">
    <w:abstractNumId w:val="25"/>
  </w:num>
  <w:num w:numId="39" w16cid:durableId="1959406298">
    <w:abstractNumId w:val="16"/>
  </w:num>
  <w:num w:numId="40" w16cid:durableId="2083331569">
    <w:abstractNumId w:val="39"/>
  </w:num>
  <w:num w:numId="41" w16cid:durableId="229001940">
    <w:abstractNumId w:val="0"/>
  </w:num>
  <w:num w:numId="42" w16cid:durableId="216598392">
    <w:abstractNumId w:val="62"/>
  </w:num>
  <w:num w:numId="43" w16cid:durableId="340813562">
    <w:abstractNumId w:val="79"/>
  </w:num>
  <w:num w:numId="44" w16cid:durableId="1053039127">
    <w:abstractNumId w:val="81"/>
  </w:num>
  <w:num w:numId="45" w16cid:durableId="624852635">
    <w:abstractNumId w:val="43"/>
  </w:num>
  <w:num w:numId="46" w16cid:durableId="453064024">
    <w:abstractNumId w:val="35"/>
  </w:num>
  <w:num w:numId="47" w16cid:durableId="682167400">
    <w:abstractNumId w:val="74"/>
  </w:num>
  <w:num w:numId="48" w16cid:durableId="2095323221">
    <w:abstractNumId w:val="40"/>
  </w:num>
  <w:num w:numId="49" w16cid:durableId="1642464541">
    <w:abstractNumId w:val="34"/>
  </w:num>
  <w:num w:numId="50" w16cid:durableId="963804502">
    <w:abstractNumId w:val="57"/>
  </w:num>
  <w:num w:numId="51" w16cid:durableId="226190706">
    <w:abstractNumId w:val="32"/>
    <w:lvlOverride w:ilvl="0">
      <w:lvl w:ilvl="0">
        <w:start w:val="1"/>
        <w:numFmt w:val="decimal"/>
        <w:pStyle w:val="1TfGMHeading1"/>
        <w:lvlText w:val="%1"/>
        <w:lvlJc w:val="left"/>
        <w:pPr>
          <w:ind w:left="851" w:hanging="851"/>
        </w:pPr>
        <w:rPr>
          <w:rFonts w:ascii="Calibri" w:hAnsi="Calibri" w:hint="default"/>
          <w:b/>
          <w:sz w:val="20"/>
        </w:rPr>
      </w:lvl>
    </w:lvlOverride>
    <w:lvlOverride w:ilvl="1">
      <w:lvl w:ilvl="1">
        <w:start w:val="1"/>
        <w:numFmt w:val="decimal"/>
        <w:pStyle w:val="2TfGMHeading2"/>
        <w:lvlText w:val="%1.%2"/>
        <w:lvlJc w:val="left"/>
        <w:pPr>
          <w:ind w:left="851" w:hanging="851"/>
        </w:pPr>
        <w:rPr>
          <w:rFonts w:ascii="Calibri" w:hAnsi="Calibri" w:hint="default"/>
          <w:sz w:val="20"/>
        </w:rPr>
      </w:lvl>
    </w:lvlOverride>
    <w:lvlOverride w:ilvl="2">
      <w:lvl w:ilvl="2">
        <w:start w:val="1"/>
        <w:numFmt w:val="decimal"/>
        <w:pStyle w:val="3TfGMHeading3"/>
        <w:lvlText w:val="%1.%2.%3"/>
        <w:lvlJc w:val="left"/>
        <w:pPr>
          <w:ind w:left="851" w:hanging="851"/>
        </w:pPr>
        <w:rPr>
          <w:rFonts w:ascii="Calibri" w:hAnsi="Calibri" w:hint="default"/>
          <w:sz w:val="26"/>
        </w:rPr>
      </w:lvl>
    </w:lvlOverride>
    <w:lvlOverride w:ilvl="3">
      <w:lvl w:ilvl="3">
        <w:start w:val="1"/>
        <w:numFmt w:val="bullet"/>
        <w:pStyle w:val="4TfGMBullet1"/>
        <w:lvlText w:val=""/>
        <w:lvlJc w:val="left"/>
        <w:pPr>
          <w:ind w:left="567" w:firstLine="510"/>
        </w:pPr>
        <w:rPr>
          <w:rFonts w:ascii="Symbol" w:hAnsi="Symbol" w:hint="default"/>
          <w:color w:val="auto"/>
          <w:sz w:val="26"/>
        </w:rPr>
      </w:lvl>
    </w:lvlOverride>
    <w:lvlOverride w:ilvl="4">
      <w:lvl w:ilvl="4">
        <w:start w:val="1"/>
        <w:numFmt w:val="bullet"/>
        <w:pStyle w:val="5TfGMBullet2"/>
        <w:lvlText w:val=""/>
        <w:lvlJc w:val="left"/>
        <w:pPr>
          <w:ind w:left="567" w:firstLine="851"/>
        </w:pPr>
        <w:rPr>
          <w:rFonts w:ascii="Symbol" w:hAnsi="Symbol" w:hint="default"/>
          <w:sz w:val="26"/>
        </w:rPr>
      </w:lvl>
    </w:lvlOverride>
    <w:lvlOverride w:ilvl="5">
      <w:lvl w:ilvl="5">
        <w:start w:val="1"/>
        <w:numFmt w:val="lowerRoman"/>
        <w:pStyle w:val="6TfGMRecommendations"/>
        <w:lvlText w:val="%6)"/>
        <w:lvlJc w:val="left"/>
        <w:pPr>
          <w:ind w:left="567" w:firstLine="510"/>
        </w:pPr>
        <w:rPr>
          <w:rFonts w:ascii="Calibri" w:hAnsi="Calibri" w:hint="default"/>
          <w:sz w:val="26"/>
        </w:rPr>
      </w:lvl>
    </w:lvlOverride>
    <w:lvlOverride w:ilvl="6">
      <w:lvl w:ilvl="6">
        <w:start w:val="1"/>
        <w:numFmt w:val="none"/>
        <w:lvlText w:val=""/>
        <w:lvlJc w:val="left"/>
        <w:pPr>
          <w:ind w:left="851" w:firstLine="31918"/>
        </w:pPr>
        <w:rPr>
          <w:rFonts w:ascii="Calibri" w:hAnsi="Calibri" w:hint="default"/>
          <w:sz w:val="26"/>
        </w:rPr>
      </w:lvl>
    </w:lvlOverride>
    <w:lvlOverride w:ilvl="7">
      <w:lvl w:ilvl="7">
        <w:start w:val="1"/>
        <w:numFmt w:val="lowerLetter"/>
        <w:lvlText w:val="%8."/>
        <w:lvlJc w:val="left"/>
        <w:pPr>
          <w:ind w:left="12960" w:hanging="360"/>
        </w:pPr>
        <w:rPr>
          <w:rFonts w:hint="default"/>
        </w:rPr>
      </w:lvl>
    </w:lvlOverride>
    <w:lvlOverride w:ilvl="8">
      <w:lvl w:ilvl="8">
        <w:start w:val="1"/>
        <w:numFmt w:val="lowerRoman"/>
        <w:lvlText w:val="%9."/>
        <w:lvlJc w:val="left"/>
        <w:pPr>
          <w:ind w:left="13320" w:hanging="360"/>
        </w:pPr>
        <w:rPr>
          <w:rFonts w:hint="default"/>
        </w:rPr>
      </w:lvl>
    </w:lvlOverride>
  </w:num>
  <w:num w:numId="52" w16cid:durableId="956452335">
    <w:abstractNumId w:val="15"/>
  </w:num>
  <w:num w:numId="53" w16cid:durableId="788398735">
    <w:abstractNumId w:val="55"/>
  </w:num>
  <w:num w:numId="54" w16cid:durableId="1082994181">
    <w:abstractNumId w:val="68"/>
  </w:num>
  <w:num w:numId="55" w16cid:durableId="1215432743">
    <w:abstractNumId w:val="67"/>
  </w:num>
  <w:num w:numId="56" w16cid:durableId="1001395988">
    <w:abstractNumId w:val="11"/>
  </w:num>
  <w:num w:numId="57" w16cid:durableId="112136868">
    <w:abstractNumId w:val="12"/>
  </w:num>
  <w:num w:numId="58" w16cid:durableId="1089813714">
    <w:abstractNumId w:val="46"/>
  </w:num>
  <w:num w:numId="59" w16cid:durableId="393552062">
    <w:abstractNumId w:val="75"/>
  </w:num>
  <w:num w:numId="60" w16cid:durableId="1549956477">
    <w:abstractNumId w:val="26"/>
  </w:num>
  <w:num w:numId="61" w16cid:durableId="359210294">
    <w:abstractNumId w:val="80"/>
  </w:num>
  <w:num w:numId="62" w16cid:durableId="1331371766">
    <w:abstractNumId w:val="53"/>
  </w:num>
  <w:num w:numId="63" w16cid:durableId="52514033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51344582">
    <w:abstractNumId w:val="50"/>
  </w:num>
  <w:num w:numId="65" w16cid:durableId="901401982">
    <w:abstractNumId w:val="76"/>
  </w:num>
  <w:num w:numId="66" w16cid:durableId="321541756">
    <w:abstractNumId w:val="82"/>
  </w:num>
  <w:num w:numId="67" w16cid:durableId="181752302">
    <w:abstractNumId w:val="56"/>
  </w:num>
  <w:num w:numId="68" w16cid:durableId="1860393587">
    <w:abstractNumId w:val="42"/>
  </w:num>
  <w:num w:numId="69" w16cid:durableId="2022585481">
    <w:abstractNumId w:val="45"/>
  </w:num>
  <w:num w:numId="70" w16cid:durableId="1788238379">
    <w:abstractNumId w:val="29"/>
  </w:num>
  <w:num w:numId="71" w16cid:durableId="1916278809">
    <w:abstractNumId w:val="27"/>
  </w:num>
  <w:num w:numId="72" w16cid:durableId="563183501">
    <w:abstractNumId w:val="70"/>
  </w:num>
  <w:num w:numId="73" w16cid:durableId="698509146">
    <w:abstractNumId w:val="78"/>
  </w:num>
  <w:num w:numId="74" w16cid:durableId="1079790269">
    <w:abstractNumId w:val="51"/>
  </w:num>
  <w:num w:numId="75" w16cid:durableId="85729908">
    <w:abstractNumId w:val="24"/>
  </w:num>
  <w:num w:numId="76" w16cid:durableId="153180819">
    <w:abstractNumId w:val="63"/>
  </w:num>
  <w:num w:numId="77" w16cid:durableId="238758054">
    <w:abstractNumId w:val="13"/>
  </w:num>
  <w:num w:numId="78" w16cid:durableId="840774208">
    <w:abstractNumId w:val="77"/>
  </w:num>
  <w:num w:numId="79" w16cid:durableId="1882597565">
    <w:abstractNumId w:val="21"/>
  </w:num>
  <w:num w:numId="80" w16cid:durableId="350033793">
    <w:abstractNumId w:val="54"/>
  </w:num>
  <w:num w:numId="81" w16cid:durableId="1979411790">
    <w:abstractNumId w:val="41"/>
  </w:num>
  <w:num w:numId="82" w16cid:durableId="753815362">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730691430">
    <w:abstractNumId w:val="44"/>
  </w:num>
  <w:num w:numId="84" w16cid:durableId="1238591081">
    <w:abstractNumId w:val="3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cryptProviderType="rsaAES" w:cryptAlgorithmClass="hash" w:cryptAlgorithmType="typeAny" w:cryptAlgorithmSid="14" w:cryptSpinCount="100000" w:hash="wgNynST2KsO/3y1D+xT1PQuH+wnl/ul/GuowsVBeUreUNr1mxuhESyiTGDEBHmLCsMLUxS2jCV3eRrXPqiavwQ==" w:salt="2Z+3Q5HvqdbGgu8yyoKC/g=="/>
  <w:zoom w:percent="100"/>
  <w:displayBackgroundShape/>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300"/>
    <w:rsid w:val="000008C1"/>
    <w:rsid w:val="00001147"/>
    <w:rsid w:val="000014B1"/>
    <w:rsid w:val="00002622"/>
    <w:rsid w:val="000026DC"/>
    <w:rsid w:val="000037B3"/>
    <w:rsid w:val="00003CD3"/>
    <w:rsid w:val="00003F30"/>
    <w:rsid w:val="00006751"/>
    <w:rsid w:val="00006ADD"/>
    <w:rsid w:val="000071D7"/>
    <w:rsid w:val="00007437"/>
    <w:rsid w:val="000100D5"/>
    <w:rsid w:val="0001019F"/>
    <w:rsid w:val="000113E7"/>
    <w:rsid w:val="0001170B"/>
    <w:rsid w:val="000140CC"/>
    <w:rsid w:val="00014212"/>
    <w:rsid w:val="000148D8"/>
    <w:rsid w:val="00014DE7"/>
    <w:rsid w:val="000162E7"/>
    <w:rsid w:val="00016686"/>
    <w:rsid w:val="00016C24"/>
    <w:rsid w:val="00020DA9"/>
    <w:rsid w:val="0002190C"/>
    <w:rsid w:val="00021D5A"/>
    <w:rsid w:val="0002416A"/>
    <w:rsid w:val="0002432F"/>
    <w:rsid w:val="000254B5"/>
    <w:rsid w:val="00025CB7"/>
    <w:rsid w:val="00026E51"/>
    <w:rsid w:val="00027BE1"/>
    <w:rsid w:val="00027C2E"/>
    <w:rsid w:val="00027EC2"/>
    <w:rsid w:val="00027F3A"/>
    <w:rsid w:val="00031A22"/>
    <w:rsid w:val="000329D6"/>
    <w:rsid w:val="00032DA3"/>
    <w:rsid w:val="00032ED6"/>
    <w:rsid w:val="0003428E"/>
    <w:rsid w:val="0003456C"/>
    <w:rsid w:val="00040A1A"/>
    <w:rsid w:val="00041DAE"/>
    <w:rsid w:val="00043063"/>
    <w:rsid w:val="00044067"/>
    <w:rsid w:val="000442D5"/>
    <w:rsid w:val="000451CA"/>
    <w:rsid w:val="00045882"/>
    <w:rsid w:val="00046148"/>
    <w:rsid w:val="00050D41"/>
    <w:rsid w:val="00050D81"/>
    <w:rsid w:val="00050EC4"/>
    <w:rsid w:val="000525BE"/>
    <w:rsid w:val="00052C64"/>
    <w:rsid w:val="00052C74"/>
    <w:rsid w:val="0005360C"/>
    <w:rsid w:val="00053A7C"/>
    <w:rsid w:val="00053E1A"/>
    <w:rsid w:val="000560AF"/>
    <w:rsid w:val="00057EEC"/>
    <w:rsid w:val="0006241B"/>
    <w:rsid w:val="00062B2C"/>
    <w:rsid w:val="0006366E"/>
    <w:rsid w:val="00064376"/>
    <w:rsid w:val="0006490A"/>
    <w:rsid w:val="0006524E"/>
    <w:rsid w:val="00067560"/>
    <w:rsid w:val="000713CE"/>
    <w:rsid w:val="0007272A"/>
    <w:rsid w:val="00072FCF"/>
    <w:rsid w:val="000731D7"/>
    <w:rsid w:val="00073770"/>
    <w:rsid w:val="0007382A"/>
    <w:rsid w:val="00073BDC"/>
    <w:rsid w:val="00073E55"/>
    <w:rsid w:val="00073FBD"/>
    <w:rsid w:val="000740BC"/>
    <w:rsid w:val="0007442E"/>
    <w:rsid w:val="00074FAB"/>
    <w:rsid w:val="00075218"/>
    <w:rsid w:val="0007558E"/>
    <w:rsid w:val="0007572B"/>
    <w:rsid w:val="000767D4"/>
    <w:rsid w:val="000767F9"/>
    <w:rsid w:val="00076DF7"/>
    <w:rsid w:val="00077DB3"/>
    <w:rsid w:val="000805FA"/>
    <w:rsid w:val="000811AC"/>
    <w:rsid w:val="00081545"/>
    <w:rsid w:val="00081DA7"/>
    <w:rsid w:val="00081F87"/>
    <w:rsid w:val="00082940"/>
    <w:rsid w:val="00084130"/>
    <w:rsid w:val="00084476"/>
    <w:rsid w:val="00084BB4"/>
    <w:rsid w:val="00085C04"/>
    <w:rsid w:val="00085FBD"/>
    <w:rsid w:val="00086043"/>
    <w:rsid w:val="00086FA1"/>
    <w:rsid w:val="000874EF"/>
    <w:rsid w:val="00090E63"/>
    <w:rsid w:val="000915B2"/>
    <w:rsid w:val="00093337"/>
    <w:rsid w:val="00093A5F"/>
    <w:rsid w:val="000945A1"/>
    <w:rsid w:val="0009565D"/>
    <w:rsid w:val="00095C18"/>
    <w:rsid w:val="000960E1"/>
    <w:rsid w:val="000963D2"/>
    <w:rsid w:val="000A0695"/>
    <w:rsid w:val="000A0F4F"/>
    <w:rsid w:val="000A258D"/>
    <w:rsid w:val="000A2EDF"/>
    <w:rsid w:val="000A630A"/>
    <w:rsid w:val="000A68A4"/>
    <w:rsid w:val="000A7AB6"/>
    <w:rsid w:val="000B14D0"/>
    <w:rsid w:val="000B1D0E"/>
    <w:rsid w:val="000B247E"/>
    <w:rsid w:val="000B32B0"/>
    <w:rsid w:val="000B3FD2"/>
    <w:rsid w:val="000B4A7E"/>
    <w:rsid w:val="000B67F1"/>
    <w:rsid w:val="000B6E49"/>
    <w:rsid w:val="000B7486"/>
    <w:rsid w:val="000B7B21"/>
    <w:rsid w:val="000C0ECB"/>
    <w:rsid w:val="000C19CD"/>
    <w:rsid w:val="000C19F2"/>
    <w:rsid w:val="000C230B"/>
    <w:rsid w:val="000C2D30"/>
    <w:rsid w:val="000C2F94"/>
    <w:rsid w:val="000C364F"/>
    <w:rsid w:val="000C3CF7"/>
    <w:rsid w:val="000C4B28"/>
    <w:rsid w:val="000C5F4E"/>
    <w:rsid w:val="000C6B2A"/>
    <w:rsid w:val="000C7D8A"/>
    <w:rsid w:val="000D11BC"/>
    <w:rsid w:val="000D1F38"/>
    <w:rsid w:val="000D4E56"/>
    <w:rsid w:val="000D5882"/>
    <w:rsid w:val="000D6A7A"/>
    <w:rsid w:val="000E0AE8"/>
    <w:rsid w:val="000E15E4"/>
    <w:rsid w:val="000E18CB"/>
    <w:rsid w:val="000E1954"/>
    <w:rsid w:val="000E2349"/>
    <w:rsid w:val="000E2A08"/>
    <w:rsid w:val="000E46C3"/>
    <w:rsid w:val="000E5109"/>
    <w:rsid w:val="000E5378"/>
    <w:rsid w:val="000E706D"/>
    <w:rsid w:val="000E7DA0"/>
    <w:rsid w:val="000E7F37"/>
    <w:rsid w:val="000F1EB5"/>
    <w:rsid w:val="000F2BC6"/>
    <w:rsid w:val="000F2D9A"/>
    <w:rsid w:val="000F3752"/>
    <w:rsid w:val="000F4716"/>
    <w:rsid w:val="000F48B9"/>
    <w:rsid w:val="000F6434"/>
    <w:rsid w:val="000F64EB"/>
    <w:rsid w:val="00100674"/>
    <w:rsid w:val="00100C95"/>
    <w:rsid w:val="001026CC"/>
    <w:rsid w:val="00102E58"/>
    <w:rsid w:val="00103DD7"/>
    <w:rsid w:val="00105404"/>
    <w:rsid w:val="001056D1"/>
    <w:rsid w:val="00106061"/>
    <w:rsid w:val="00106B37"/>
    <w:rsid w:val="0010757F"/>
    <w:rsid w:val="00110ACA"/>
    <w:rsid w:val="00112F51"/>
    <w:rsid w:val="001131BA"/>
    <w:rsid w:val="00114815"/>
    <w:rsid w:val="00114BDA"/>
    <w:rsid w:val="00114D57"/>
    <w:rsid w:val="00115670"/>
    <w:rsid w:val="00115DCD"/>
    <w:rsid w:val="001162A2"/>
    <w:rsid w:val="0012135A"/>
    <w:rsid w:val="0012253E"/>
    <w:rsid w:val="00122A4E"/>
    <w:rsid w:val="00122CC1"/>
    <w:rsid w:val="00122CC7"/>
    <w:rsid w:val="00122ECC"/>
    <w:rsid w:val="00123598"/>
    <w:rsid w:val="00123CF2"/>
    <w:rsid w:val="00123DA1"/>
    <w:rsid w:val="00124E12"/>
    <w:rsid w:val="00125398"/>
    <w:rsid w:val="00126747"/>
    <w:rsid w:val="001267EE"/>
    <w:rsid w:val="00126BFE"/>
    <w:rsid w:val="00127201"/>
    <w:rsid w:val="00130913"/>
    <w:rsid w:val="00130F88"/>
    <w:rsid w:val="00131BA5"/>
    <w:rsid w:val="00131DE6"/>
    <w:rsid w:val="00133E33"/>
    <w:rsid w:val="00135610"/>
    <w:rsid w:val="00135E29"/>
    <w:rsid w:val="00136014"/>
    <w:rsid w:val="0013619D"/>
    <w:rsid w:val="001366B9"/>
    <w:rsid w:val="00137D04"/>
    <w:rsid w:val="001416DC"/>
    <w:rsid w:val="0014202A"/>
    <w:rsid w:val="00142A03"/>
    <w:rsid w:val="001446CC"/>
    <w:rsid w:val="00144BB8"/>
    <w:rsid w:val="00144E9F"/>
    <w:rsid w:val="001456FE"/>
    <w:rsid w:val="00145C13"/>
    <w:rsid w:val="001468DD"/>
    <w:rsid w:val="0014763F"/>
    <w:rsid w:val="00147906"/>
    <w:rsid w:val="00150CDE"/>
    <w:rsid w:val="00150E0B"/>
    <w:rsid w:val="001513E1"/>
    <w:rsid w:val="001513F6"/>
    <w:rsid w:val="0015228D"/>
    <w:rsid w:val="00152412"/>
    <w:rsid w:val="00152638"/>
    <w:rsid w:val="00154EDF"/>
    <w:rsid w:val="001557D9"/>
    <w:rsid w:val="0015682A"/>
    <w:rsid w:val="00156EAA"/>
    <w:rsid w:val="00160771"/>
    <w:rsid w:val="00160785"/>
    <w:rsid w:val="00161AD9"/>
    <w:rsid w:val="001649F6"/>
    <w:rsid w:val="00164A5F"/>
    <w:rsid w:val="00165CEE"/>
    <w:rsid w:val="00166F8F"/>
    <w:rsid w:val="00170115"/>
    <w:rsid w:val="0017061D"/>
    <w:rsid w:val="00171330"/>
    <w:rsid w:val="00171DAF"/>
    <w:rsid w:val="0017271E"/>
    <w:rsid w:val="00176124"/>
    <w:rsid w:val="00176317"/>
    <w:rsid w:val="0017778E"/>
    <w:rsid w:val="00180CC0"/>
    <w:rsid w:val="001819D9"/>
    <w:rsid w:val="00181A50"/>
    <w:rsid w:val="00182284"/>
    <w:rsid w:val="00182392"/>
    <w:rsid w:val="0018253E"/>
    <w:rsid w:val="001826CE"/>
    <w:rsid w:val="001838A2"/>
    <w:rsid w:val="00184362"/>
    <w:rsid w:val="001859D8"/>
    <w:rsid w:val="00186278"/>
    <w:rsid w:val="001867BA"/>
    <w:rsid w:val="001876BD"/>
    <w:rsid w:val="00187C9F"/>
    <w:rsid w:val="001901D8"/>
    <w:rsid w:val="00190FF1"/>
    <w:rsid w:val="00191294"/>
    <w:rsid w:val="0019189C"/>
    <w:rsid w:val="00192CB0"/>
    <w:rsid w:val="001930C7"/>
    <w:rsid w:val="001937E4"/>
    <w:rsid w:val="0019391D"/>
    <w:rsid w:val="00193F02"/>
    <w:rsid w:val="001943BF"/>
    <w:rsid w:val="0019544B"/>
    <w:rsid w:val="001969DD"/>
    <w:rsid w:val="00197529"/>
    <w:rsid w:val="001A1195"/>
    <w:rsid w:val="001A1273"/>
    <w:rsid w:val="001A16CB"/>
    <w:rsid w:val="001A1EC9"/>
    <w:rsid w:val="001A3595"/>
    <w:rsid w:val="001A454E"/>
    <w:rsid w:val="001A62A5"/>
    <w:rsid w:val="001A74B2"/>
    <w:rsid w:val="001A791D"/>
    <w:rsid w:val="001A7D30"/>
    <w:rsid w:val="001B0760"/>
    <w:rsid w:val="001B1330"/>
    <w:rsid w:val="001B1DE6"/>
    <w:rsid w:val="001B2BD9"/>
    <w:rsid w:val="001B4436"/>
    <w:rsid w:val="001B4593"/>
    <w:rsid w:val="001B478E"/>
    <w:rsid w:val="001B6D1C"/>
    <w:rsid w:val="001B7888"/>
    <w:rsid w:val="001C1AA1"/>
    <w:rsid w:val="001C348B"/>
    <w:rsid w:val="001C59EE"/>
    <w:rsid w:val="001C5DE1"/>
    <w:rsid w:val="001C5FFB"/>
    <w:rsid w:val="001C626B"/>
    <w:rsid w:val="001C6ACD"/>
    <w:rsid w:val="001C7AD8"/>
    <w:rsid w:val="001C7C79"/>
    <w:rsid w:val="001D1053"/>
    <w:rsid w:val="001D2055"/>
    <w:rsid w:val="001D2242"/>
    <w:rsid w:val="001D23EA"/>
    <w:rsid w:val="001D278E"/>
    <w:rsid w:val="001D4791"/>
    <w:rsid w:val="001D47A1"/>
    <w:rsid w:val="001D4868"/>
    <w:rsid w:val="001D4BAF"/>
    <w:rsid w:val="001D5319"/>
    <w:rsid w:val="001D6744"/>
    <w:rsid w:val="001D69B8"/>
    <w:rsid w:val="001D6B41"/>
    <w:rsid w:val="001D735D"/>
    <w:rsid w:val="001D7507"/>
    <w:rsid w:val="001E052C"/>
    <w:rsid w:val="001E0C92"/>
    <w:rsid w:val="001E1831"/>
    <w:rsid w:val="001E2659"/>
    <w:rsid w:val="001E2EE1"/>
    <w:rsid w:val="001E30AB"/>
    <w:rsid w:val="001E3540"/>
    <w:rsid w:val="001E40DE"/>
    <w:rsid w:val="001E470D"/>
    <w:rsid w:val="001E50D6"/>
    <w:rsid w:val="001E581A"/>
    <w:rsid w:val="001E6778"/>
    <w:rsid w:val="001F0259"/>
    <w:rsid w:val="001F2C3F"/>
    <w:rsid w:val="001F2EE6"/>
    <w:rsid w:val="001F31F2"/>
    <w:rsid w:val="001F692E"/>
    <w:rsid w:val="001F6973"/>
    <w:rsid w:val="001F7616"/>
    <w:rsid w:val="00201AD1"/>
    <w:rsid w:val="002020AA"/>
    <w:rsid w:val="00202C5F"/>
    <w:rsid w:val="00203B09"/>
    <w:rsid w:val="0020483D"/>
    <w:rsid w:val="00204E54"/>
    <w:rsid w:val="00204F33"/>
    <w:rsid w:val="0020516D"/>
    <w:rsid w:val="002061DD"/>
    <w:rsid w:val="00206DF3"/>
    <w:rsid w:val="002103AC"/>
    <w:rsid w:val="002138F0"/>
    <w:rsid w:val="00214CB1"/>
    <w:rsid w:val="00215616"/>
    <w:rsid w:val="00215941"/>
    <w:rsid w:val="00215A6A"/>
    <w:rsid w:val="00216825"/>
    <w:rsid w:val="00216971"/>
    <w:rsid w:val="00217C9D"/>
    <w:rsid w:val="002213B4"/>
    <w:rsid w:val="002217DB"/>
    <w:rsid w:val="00221C18"/>
    <w:rsid w:val="00223B59"/>
    <w:rsid w:val="0022418C"/>
    <w:rsid w:val="00225F11"/>
    <w:rsid w:val="002265D2"/>
    <w:rsid w:val="00226BA8"/>
    <w:rsid w:val="002270C7"/>
    <w:rsid w:val="00227DEA"/>
    <w:rsid w:val="002305C6"/>
    <w:rsid w:val="00230784"/>
    <w:rsid w:val="00231013"/>
    <w:rsid w:val="00231EC2"/>
    <w:rsid w:val="002326BD"/>
    <w:rsid w:val="0023425C"/>
    <w:rsid w:val="00235431"/>
    <w:rsid w:val="00236570"/>
    <w:rsid w:val="00236F88"/>
    <w:rsid w:val="002409D7"/>
    <w:rsid w:val="00240FAF"/>
    <w:rsid w:val="00242325"/>
    <w:rsid w:val="00243254"/>
    <w:rsid w:val="0024378D"/>
    <w:rsid w:val="0024576A"/>
    <w:rsid w:val="00245D50"/>
    <w:rsid w:val="00246B1A"/>
    <w:rsid w:val="00247E04"/>
    <w:rsid w:val="002510FA"/>
    <w:rsid w:val="00253110"/>
    <w:rsid w:val="00254030"/>
    <w:rsid w:val="002555A0"/>
    <w:rsid w:val="00255813"/>
    <w:rsid w:val="002558A0"/>
    <w:rsid w:val="00255A94"/>
    <w:rsid w:val="00260876"/>
    <w:rsid w:val="00260A2B"/>
    <w:rsid w:val="00260FAE"/>
    <w:rsid w:val="00261260"/>
    <w:rsid w:val="00261307"/>
    <w:rsid w:val="00261631"/>
    <w:rsid w:val="00261CE2"/>
    <w:rsid w:val="00262377"/>
    <w:rsid w:val="00263339"/>
    <w:rsid w:val="00263783"/>
    <w:rsid w:val="00263B3D"/>
    <w:rsid w:val="00264715"/>
    <w:rsid w:val="00265D05"/>
    <w:rsid w:val="0026647A"/>
    <w:rsid w:val="00266B23"/>
    <w:rsid w:val="00267033"/>
    <w:rsid w:val="00267675"/>
    <w:rsid w:val="00267803"/>
    <w:rsid w:val="00267A25"/>
    <w:rsid w:val="00267BF9"/>
    <w:rsid w:val="002706DC"/>
    <w:rsid w:val="00270FE4"/>
    <w:rsid w:val="00271956"/>
    <w:rsid w:val="0027341C"/>
    <w:rsid w:val="002735A0"/>
    <w:rsid w:val="00275033"/>
    <w:rsid w:val="0027782F"/>
    <w:rsid w:val="00277A16"/>
    <w:rsid w:val="00281085"/>
    <w:rsid w:val="002810BB"/>
    <w:rsid w:val="00281BE5"/>
    <w:rsid w:val="00282FEE"/>
    <w:rsid w:val="00283DF3"/>
    <w:rsid w:val="00285F28"/>
    <w:rsid w:val="00287411"/>
    <w:rsid w:val="002919EB"/>
    <w:rsid w:val="00291C64"/>
    <w:rsid w:val="00293CC5"/>
    <w:rsid w:val="002942E7"/>
    <w:rsid w:val="00294E50"/>
    <w:rsid w:val="002952F9"/>
    <w:rsid w:val="00296CD9"/>
    <w:rsid w:val="00296E9D"/>
    <w:rsid w:val="00296F78"/>
    <w:rsid w:val="002A0152"/>
    <w:rsid w:val="002A18FB"/>
    <w:rsid w:val="002A1987"/>
    <w:rsid w:val="002A19B3"/>
    <w:rsid w:val="002A1BED"/>
    <w:rsid w:val="002A5193"/>
    <w:rsid w:val="002A5D88"/>
    <w:rsid w:val="002A6212"/>
    <w:rsid w:val="002A6573"/>
    <w:rsid w:val="002A65CE"/>
    <w:rsid w:val="002A6C4C"/>
    <w:rsid w:val="002A74DB"/>
    <w:rsid w:val="002A799E"/>
    <w:rsid w:val="002A7CF3"/>
    <w:rsid w:val="002B00AF"/>
    <w:rsid w:val="002B38D1"/>
    <w:rsid w:val="002B3C1D"/>
    <w:rsid w:val="002B5482"/>
    <w:rsid w:val="002B759B"/>
    <w:rsid w:val="002B7650"/>
    <w:rsid w:val="002C113C"/>
    <w:rsid w:val="002C21D2"/>
    <w:rsid w:val="002C2649"/>
    <w:rsid w:val="002C3062"/>
    <w:rsid w:val="002C36DB"/>
    <w:rsid w:val="002C3C28"/>
    <w:rsid w:val="002C411B"/>
    <w:rsid w:val="002C413A"/>
    <w:rsid w:val="002C48AD"/>
    <w:rsid w:val="002C4B67"/>
    <w:rsid w:val="002C5006"/>
    <w:rsid w:val="002C5479"/>
    <w:rsid w:val="002C641A"/>
    <w:rsid w:val="002C772E"/>
    <w:rsid w:val="002D2913"/>
    <w:rsid w:val="002D2F17"/>
    <w:rsid w:val="002D3571"/>
    <w:rsid w:val="002D358A"/>
    <w:rsid w:val="002D40FF"/>
    <w:rsid w:val="002D4A42"/>
    <w:rsid w:val="002D6356"/>
    <w:rsid w:val="002D68EA"/>
    <w:rsid w:val="002D76CD"/>
    <w:rsid w:val="002E0B9F"/>
    <w:rsid w:val="002E0E9D"/>
    <w:rsid w:val="002E10EA"/>
    <w:rsid w:val="002E18E5"/>
    <w:rsid w:val="002E1BEE"/>
    <w:rsid w:val="002E200A"/>
    <w:rsid w:val="002E22CF"/>
    <w:rsid w:val="002E36E6"/>
    <w:rsid w:val="002E4EEE"/>
    <w:rsid w:val="002E5D9D"/>
    <w:rsid w:val="002E76FA"/>
    <w:rsid w:val="002E79D3"/>
    <w:rsid w:val="002E7A9F"/>
    <w:rsid w:val="002F037F"/>
    <w:rsid w:val="002F25D4"/>
    <w:rsid w:val="002F2A52"/>
    <w:rsid w:val="002F46D8"/>
    <w:rsid w:val="002F5EDD"/>
    <w:rsid w:val="00300686"/>
    <w:rsid w:val="00300D64"/>
    <w:rsid w:val="00301A65"/>
    <w:rsid w:val="00305C7A"/>
    <w:rsid w:val="003061E0"/>
    <w:rsid w:val="00306657"/>
    <w:rsid w:val="0030674D"/>
    <w:rsid w:val="0030753F"/>
    <w:rsid w:val="003109CE"/>
    <w:rsid w:val="003117AB"/>
    <w:rsid w:val="00311AE7"/>
    <w:rsid w:val="00314193"/>
    <w:rsid w:val="003161FC"/>
    <w:rsid w:val="003166DA"/>
    <w:rsid w:val="0031699E"/>
    <w:rsid w:val="00317709"/>
    <w:rsid w:val="00317E52"/>
    <w:rsid w:val="00320ADB"/>
    <w:rsid w:val="00320E1C"/>
    <w:rsid w:val="00321EB6"/>
    <w:rsid w:val="00322179"/>
    <w:rsid w:val="0032236D"/>
    <w:rsid w:val="00322485"/>
    <w:rsid w:val="00322755"/>
    <w:rsid w:val="00323BE3"/>
    <w:rsid w:val="0032476E"/>
    <w:rsid w:val="00324A39"/>
    <w:rsid w:val="003251F3"/>
    <w:rsid w:val="003262C5"/>
    <w:rsid w:val="0032642E"/>
    <w:rsid w:val="00327BDC"/>
    <w:rsid w:val="003313B0"/>
    <w:rsid w:val="003314BE"/>
    <w:rsid w:val="00333273"/>
    <w:rsid w:val="003332EC"/>
    <w:rsid w:val="00334B82"/>
    <w:rsid w:val="003366E1"/>
    <w:rsid w:val="00336734"/>
    <w:rsid w:val="00336D63"/>
    <w:rsid w:val="003378D4"/>
    <w:rsid w:val="00337C1A"/>
    <w:rsid w:val="00340252"/>
    <w:rsid w:val="00342B6D"/>
    <w:rsid w:val="00343260"/>
    <w:rsid w:val="003439C3"/>
    <w:rsid w:val="00344898"/>
    <w:rsid w:val="003455E5"/>
    <w:rsid w:val="00345AFF"/>
    <w:rsid w:val="00345EB7"/>
    <w:rsid w:val="00346123"/>
    <w:rsid w:val="00347879"/>
    <w:rsid w:val="00350F78"/>
    <w:rsid w:val="00351717"/>
    <w:rsid w:val="00352866"/>
    <w:rsid w:val="0035322B"/>
    <w:rsid w:val="003537DF"/>
    <w:rsid w:val="003543D4"/>
    <w:rsid w:val="003544D1"/>
    <w:rsid w:val="0035486D"/>
    <w:rsid w:val="00356A8F"/>
    <w:rsid w:val="00356F92"/>
    <w:rsid w:val="0035752C"/>
    <w:rsid w:val="00357FDB"/>
    <w:rsid w:val="00361995"/>
    <w:rsid w:val="003623B2"/>
    <w:rsid w:val="00362815"/>
    <w:rsid w:val="00364082"/>
    <w:rsid w:val="00364A5B"/>
    <w:rsid w:val="00365515"/>
    <w:rsid w:val="00365E9B"/>
    <w:rsid w:val="00367C72"/>
    <w:rsid w:val="00367E38"/>
    <w:rsid w:val="00370B6B"/>
    <w:rsid w:val="00371A6D"/>
    <w:rsid w:val="00372292"/>
    <w:rsid w:val="00373365"/>
    <w:rsid w:val="003741C8"/>
    <w:rsid w:val="00375977"/>
    <w:rsid w:val="00376627"/>
    <w:rsid w:val="00377E35"/>
    <w:rsid w:val="0038082E"/>
    <w:rsid w:val="0038153E"/>
    <w:rsid w:val="0038217D"/>
    <w:rsid w:val="00383E2B"/>
    <w:rsid w:val="00384F95"/>
    <w:rsid w:val="003865F0"/>
    <w:rsid w:val="00386B1F"/>
    <w:rsid w:val="00387436"/>
    <w:rsid w:val="00387571"/>
    <w:rsid w:val="003877F1"/>
    <w:rsid w:val="00387C38"/>
    <w:rsid w:val="003923B6"/>
    <w:rsid w:val="00392774"/>
    <w:rsid w:val="00392BE2"/>
    <w:rsid w:val="003941CA"/>
    <w:rsid w:val="003949B8"/>
    <w:rsid w:val="00394A58"/>
    <w:rsid w:val="00395E70"/>
    <w:rsid w:val="003975A7"/>
    <w:rsid w:val="00397854"/>
    <w:rsid w:val="003A2C31"/>
    <w:rsid w:val="003A31EF"/>
    <w:rsid w:val="003A3296"/>
    <w:rsid w:val="003A363A"/>
    <w:rsid w:val="003A36B1"/>
    <w:rsid w:val="003A46ED"/>
    <w:rsid w:val="003A6BBA"/>
    <w:rsid w:val="003B018E"/>
    <w:rsid w:val="003B01B5"/>
    <w:rsid w:val="003B0A92"/>
    <w:rsid w:val="003B15CE"/>
    <w:rsid w:val="003B3921"/>
    <w:rsid w:val="003B44CC"/>
    <w:rsid w:val="003B4D5B"/>
    <w:rsid w:val="003B5460"/>
    <w:rsid w:val="003B62A8"/>
    <w:rsid w:val="003C15F7"/>
    <w:rsid w:val="003C37CC"/>
    <w:rsid w:val="003C3CBC"/>
    <w:rsid w:val="003C3CE4"/>
    <w:rsid w:val="003C6654"/>
    <w:rsid w:val="003D0DED"/>
    <w:rsid w:val="003D1325"/>
    <w:rsid w:val="003D29CB"/>
    <w:rsid w:val="003D57AF"/>
    <w:rsid w:val="003D5A05"/>
    <w:rsid w:val="003E1E05"/>
    <w:rsid w:val="003E20A2"/>
    <w:rsid w:val="003E22F1"/>
    <w:rsid w:val="003E4069"/>
    <w:rsid w:val="003E4C16"/>
    <w:rsid w:val="003E69FE"/>
    <w:rsid w:val="003E7B25"/>
    <w:rsid w:val="003F1F09"/>
    <w:rsid w:val="003F32BF"/>
    <w:rsid w:val="003F3CF2"/>
    <w:rsid w:val="003F6CDC"/>
    <w:rsid w:val="003F6FBC"/>
    <w:rsid w:val="0040243D"/>
    <w:rsid w:val="004028D3"/>
    <w:rsid w:val="0040301F"/>
    <w:rsid w:val="004047A3"/>
    <w:rsid w:val="00404D5B"/>
    <w:rsid w:val="00404EEA"/>
    <w:rsid w:val="00405761"/>
    <w:rsid w:val="00406277"/>
    <w:rsid w:val="00406A62"/>
    <w:rsid w:val="00406FBB"/>
    <w:rsid w:val="004103E9"/>
    <w:rsid w:val="00410CDF"/>
    <w:rsid w:val="00413894"/>
    <w:rsid w:val="00413C79"/>
    <w:rsid w:val="00413CC3"/>
    <w:rsid w:val="0041436B"/>
    <w:rsid w:val="00414515"/>
    <w:rsid w:val="00414538"/>
    <w:rsid w:val="00414F94"/>
    <w:rsid w:val="00415AD6"/>
    <w:rsid w:val="00416D4A"/>
    <w:rsid w:val="00417350"/>
    <w:rsid w:val="00417E04"/>
    <w:rsid w:val="004219F1"/>
    <w:rsid w:val="0042270C"/>
    <w:rsid w:val="00423B0A"/>
    <w:rsid w:val="004254CB"/>
    <w:rsid w:val="004261BF"/>
    <w:rsid w:val="0042690D"/>
    <w:rsid w:val="004277A6"/>
    <w:rsid w:val="00427F33"/>
    <w:rsid w:val="004300C4"/>
    <w:rsid w:val="004311A4"/>
    <w:rsid w:val="00431D87"/>
    <w:rsid w:val="00431DA3"/>
    <w:rsid w:val="0043245A"/>
    <w:rsid w:val="00432D92"/>
    <w:rsid w:val="00432E3E"/>
    <w:rsid w:val="0043331B"/>
    <w:rsid w:val="004334C8"/>
    <w:rsid w:val="0043503F"/>
    <w:rsid w:val="00436A00"/>
    <w:rsid w:val="004371A7"/>
    <w:rsid w:val="00437C52"/>
    <w:rsid w:val="004404B8"/>
    <w:rsid w:val="004407D7"/>
    <w:rsid w:val="004418BB"/>
    <w:rsid w:val="00441C42"/>
    <w:rsid w:val="004420AF"/>
    <w:rsid w:val="00442C9E"/>
    <w:rsid w:val="00442F1B"/>
    <w:rsid w:val="00443D5C"/>
    <w:rsid w:val="00445D2B"/>
    <w:rsid w:val="004466F7"/>
    <w:rsid w:val="00446D99"/>
    <w:rsid w:val="00447F22"/>
    <w:rsid w:val="004505C0"/>
    <w:rsid w:val="004511A1"/>
    <w:rsid w:val="00451E80"/>
    <w:rsid w:val="00452795"/>
    <w:rsid w:val="00455368"/>
    <w:rsid w:val="004554F4"/>
    <w:rsid w:val="00455E34"/>
    <w:rsid w:val="00457B77"/>
    <w:rsid w:val="00457D76"/>
    <w:rsid w:val="00460DE1"/>
    <w:rsid w:val="004611C5"/>
    <w:rsid w:val="0046128B"/>
    <w:rsid w:val="00461DC1"/>
    <w:rsid w:val="00462E88"/>
    <w:rsid w:val="00464A86"/>
    <w:rsid w:val="00465416"/>
    <w:rsid w:val="00465662"/>
    <w:rsid w:val="00465E32"/>
    <w:rsid w:val="00465FFB"/>
    <w:rsid w:val="00466E30"/>
    <w:rsid w:val="0047078D"/>
    <w:rsid w:val="00470A78"/>
    <w:rsid w:val="004716C5"/>
    <w:rsid w:val="00471A15"/>
    <w:rsid w:val="00471CCA"/>
    <w:rsid w:val="004726F0"/>
    <w:rsid w:val="00472E2F"/>
    <w:rsid w:val="00474D1F"/>
    <w:rsid w:val="00474E8D"/>
    <w:rsid w:val="00475816"/>
    <w:rsid w:val="00475A3D"/>
    <w:rsid w:val="00475DF4"/>
    <w:rsid w:val="00476CC7"/>
    <w:rsid w:val="00482031"/>
    <w:rsid w:val="004844EC"/>
    <w:rsid w:val="00484A56"/>
    <w:rsid w:val="00486E78"/>
    <w:rsid w:val="00487AB5"/>
    <w:rsid w:val="00487DB2"/>
    <w:rsid w:val="00490231"/>
    <w:rsid w:val="004903C5"/>
    <w:rsid w:val="00490C00"/>
    <w:rsid w:val="00493476"/>
    <w:rsid w:val="004944B7"/>
    <w:rsid w:val="004948D5"/>
    <w:rsid w:val="00494F71"/>
    <w:rsid w:val="00495FFD"/>
    <w:rsid w:val="004970AF"/>
    <w:rsid w:val="004A0A00"/>
    <w:rsid w:val="004A0EA0"/>
    <w:rsid w:val="004A167F"/>
    <w:rsid w:val="004A1B08"/>
    <w:rsid w:val="004A1E00"/>
    <w:rsid w:val="004A2119"/>
    <w:rsid w:val="004A21E5"/>
    <w:rsid w:val="004A2572"/>
    <w:rsid w:val="004A32D4"/>
    <w:rsid w:val="004A508B"/>
    <w:rsid w:val="004A5459"/>
    <w:rsid w:val="004B17B4"/>
    <w:rsid w:val="004B1BB7"/>
    <w:rsid w:val="004B1FD8"/>
    <w:rsid w:val="004B28AE"/>
    <w:rsid w:val="004B4083"/>
    <w:rsid w:val="004B43FB"/>
    <w:rsid w:val="004B483A"/>
    <w:rsid w:val="004B4C2E"/>
    <w:rsid w:val="004B519B"/>
    <w:rsid w:val="004B70CE"/>
    <w:rsid w:val="004B71ED"/>
    <w:rsid w:val="004B7F14"/>
    <w:rsid w:val="004C0814"/>
    <w:rsid w:val="004C310E"/>
    <w:rsid w:val="004C38B1"/>
    <w:rsid w:val="004C5297"/>
    <w:rsid w:val="004C6295"/>
    <w:rsid w:val="004C7E94"/>
    <w:rsid w:val="004D0520"/>
    <w:rsid w:val="004D15B7"/>
    <w:rsid w:val="004D1848"/>
    <w:rsid w:val="004D1A81"/>
    <w:rsid w:val="004D1E0D"/>
    <w:rsid w:val="004D2865"/>
    <w:rsid w:val="004D4F57"/>
    <w:rsid w:val="004D4FF0"/>
    <w:rsid w:val="004D531F"/>
    <w:rsid w:val="004D5F1A"/>
    <w:rsid w:val="004E11FD"/>
    <w:rsid w:val="004E2A1D"/>
    <w:rsid w:val="004E50F0"/>
    <w:rsid w:val="004E552A"/>
    <w:rsid w:val="004E616C"/>
    <w:rsid w:val="004E7B4B"/>
    <w:rsid w:val="004E7E62"/>
    <w:rsid w:val="004F137A"/>
    <w:rsid w:val="004F14AA"/>
    <w:rsid w:val="004F1EB1"/>
    <w:rsid w:val="004F3065"/>
    <w:rsid w:val="004F306C"/>
    <w:rsid w:val="004F5004"/>
    <w:rsid w:val="004F5B36"/>
    <w:rsid w:val="004F7B72"/>
    <w:rsid w:val="00500110"/>
    <w:rsid w:val="00500299"/>
    <w:rsid w:val="0050161B"/>
    <w:rsid w:val="00501A3A"/>
    <w:rsid w:val="00501D98"/>
    <w:rsid w:val="00502211"/>
    <w:rsid w:val="00502339"/>
    <w:rsid w:val="0050323A"/>
    <w:rsid w:val="00503BC1"/>
    <w:rsid w:val="005054B7"/>
    <w:rsid w:val="00505947"/>
    <w:rsid w:val="0050750F"/>
    <w:rsid w:val="00507B97"/>
    <w:rsid w:val="00511A8D"/>
    <w:rsid w:val="0051201B"/>
    <w:rsid w:val="00513B48"/>
    <w:rsid w:val="0051484F"/>
    <w:rsid w:val="00515457"/>
    <w:rsid w:val="00515CEF"/>
    <w:rsid w:val="005211A9"/>
    <w:rsid w:val="0052156E"/>
    <w:rsid w:val="00521842"/>
    <w:rsid w:val="005220CB"/>
    <w:rsid w:val="00522FBC"/>
    <w:rsid w:val="005250DB"/>
    <w:rsid w:val="00525E5C"/>
    <w:rsid w:val="00527516"/>
    <w:rsid w:val="00527F29"/>
    <w:rsid w:val="005305F8"/>
    <w:rsid w:val="005309BB"/>
    <w:rsid w:val="00530FFA"/>
    <w:rsid w:val="0053162E"/>
    <w:rsid w:val="00532CF5"/>
    <w:rsid w:val="00533FE1"/>
    <w:rsid w:val="00535970"/>
    <w:rsid w:val="005403AF"/>
    <w:rsid w:val="00541790"/>
    <w:rsid w:val="00541F54"/>
    <w:rsid w:val="0054308A"/>
    <w:rsid w:val="00543B15"/>
    <w:rsid w:val="00543D95"/>
    <w:rsid w:val="005459E2"/>
    <w:rsid w:val="00546F11"/>
    <w:rsid w:val="005514FF"/>
    <w:rsid w:val="0055182B"/>
    <w:rsid w:val="00551DCC"/>
    <w:rsid w:val="005521DC"/>
    <w:rsid w:val="00552B4E"/>
    <w:rsid w:val="00552C0D"/>
    <w:rsid w:val="00553560"/>
    <w:rsid w:val="00553F1C"/>
    <w:rsid w:val="00555109"/>
    <w:rsid w:val="0055554A"/>
    <w:rsid w:val="00555E68"/>
    <w:rsid w:val="00557828"/>
    <w:rsid w:val="00560057"/>
    <w:rsid w:val="005602D7"/>
    <w:rsid w:val="0056108F"/>
    <w:rsid w:val="00564E77"/>
    <w:rsid w:val="0056516E"/>
    <w:rsid w:val="00565209"/>
    <w:rsid w:val="005660AF"/>
    <w:rsid w:val="0056706E"/>
    <w:rsid w:val="00567680"/>
    <w:rsid w:val="00567801"/>
    <w:rsid w:val="00567CBB"/>
    <w:rsid w:val="00567EAA"/>
    <w:rsid w:val="00570027"/>
    <w:rsid w:val="00571049"/>
    <w:rsid w:val="00571B67"/>
    <w:rsid w:val="00571C19"/>
    <w:rsid w:val="00571CE5"/>
    <w:rsid w:val="00572BAE"/>
    <w:rsid w:val="00572ECA"/>
    <w:rsid w:val="005737E5"/>
    <w:rsid w:val="00575573"/>
    <w:rsid w:val="005764D1"/>
    <w:rsid w:val="00576A21"/>
    <w:rsid w:val="005775D9"/>
    <w:rsid w:val="00577AA5"/>
    <w:rsid w:val="005800C9"/>
    <w:rsid w:val="005814E2"/>
    <w:rsid w:val="005838F8"/>
    <w:rsid w:val="00584258"/>
    <w:rsid w:val="0058440C"/>
    <w:rsid w:val="00584860"/>
    <w:rsid w:val="00585DBB"/>
    <w:rsid w:val="00586AF4"/>
    <w:rsid w:val="0058713C"/>
    <w:rsid w:val="0059095B"/>
    <w:rsid w:val="00590C24"/>
    <w:rsid w:val="005914B2"/>
    <w:rsid w:val="00592A2E"/>
    <w:rsid w:val="00593738"/>
    <w:rsid w:val="00594113"/>
    <w:rsid w:val="005949D1"/>
    <w:rsid w:val="00595212"/>
    <w:rsid w:val="00596963"/>
    <w:rsid w:val="005972E8"/>
    <w:rsid w:val="005A021D"/>
    <w:rsid w:val="005A0274"/>
    <w:rsid w:val="005A1F62"/>
    <w:rsid w:val="005A34DA"/>
    <w:rsid w:val="005A4DB9"/>
    <w:rsid w:val="005A4EFC"/>
    <w:rsid w:val="005A5731"/>
    <w:rsid w:val="005A59A9"/>
    <w:rsid w:val="005A601C"/>
    <w:rsid w:val="005A6C1D"/>
    <w:rsid w:val="005B1B6B"/>
    <w:rsid w:val="005B25F0"/>
    <w:rsid w:val="005B39A0"/>
    <w:rsid w:val="005B4139"/>
    <w:rsid w:val="005B730A"/>
    <w:rsid w:val="005B7B8F"/>
    <w:rsid w:val="005C3C01"/>
    <w:rsid w:val="005C3F1C"/>
    <w:rsid w:val="005C42E4"/>
    <w:rsid w:val="005C57C8"/>
    <w:rsid w:val="005C6D68"/>
    <w:rsid w:val="005C6F4C"/>
    <w:rsid w:val="005C7048"/>
    <w:rsid w:val="005D0823"/>
    <w:rsid w:val="005D1A33"/>
    <w:rsid w:val="005D1F47"/>
    <w:rsid w:val="005D1F85"/>
    <w:rsid w:val="005D37FB"/>
    <w:rsid w:val="005D4E2A"/>
    <w:rsid w:val="005D5957"/>
    <w:rsid w:val="005D60DB"/>
    <w:rsid w:val="005D6366"/>
    <w:rsid w:val="005D6EE2"/>
    <w:rsid w:val="005D7367"/>
    <w:rsid w:val="005E300D"/>
    <w:rsid w:val="005E771A"/>
    <w:rsid w:val="005F01B4"/>
    <w:rsid w:val="005F1354"/>
    <w:rsid w:val="005F16B1"/>
    <w:rsid w:val="005F1921"/>
    <w:rsid w:val="005F1C30"/>
    <w:rsid w:val="005F2CA6"/>
    <w:rsid w:val="005F3210"/>
    <w:rsid w:val="005F371A"/>
    <w:rsid w:val="005F3DFC"/>
    <w:rsid w:val="005F4324"/>
    <w:rsid w:val="005F4456"/>
    <w:rsid w:val="005F5527"/>
    <w:rsid w:val="005F5DE4"/>
    <w:rsid w:val="005F619C"/>
    <w:rsid w:val="00600DE2"/>
    <w:rsid w:val="006014FB"/>
    <w:rsid w:val="00601DBA"/>
    <w:rsid w:val="00602BFE"/>
    <w:rsid w:val="006050F9"/>
    <w:rsid w:val="0060522D"/>
    <w:rsid w:val="0060687C"/>
    <w:rsid w:val="00606E4A"/>
    <w:rsid w:val="00607034"/>
    <w:rsid w:val="0060751C"/>
    <w:rsid w:val="00611320"/>
    <w:rsid w:val="00611F61"/>
    <w:rsid w:val="006128A0"/>
    <w:rsid w:val="00612C4E"/>
    <w:rsid w:val="00613AF6"/>
    <w:rsid w:val="00613DE8"/>
    <w:rsid w:val="00614735"/>
    <w:rsid w:val="00615156"/>
    <w:rsid w:val="0061599E"/>
    <w:rsid w:val="006159A1"/>
    <w:rsid w:val="00615FB7"/>
    <w:rsid w:val="00620974"/>
    <w:rsid w:val="006219CE"/>
    <w:rsid w:val="00622393"/>
    <w:rsid w:val="00622983"/>
    <w:rsid w:val="00623228"/>
    <w:rsid w:val="00623ED3"/>
    <w:rsid w:val="006257E7"/>
    <w:rsid w:val="00625974"/>
    <w:rsid w:val="006269E0"/>
    <w:rsid w:val="0062785B"/>
    <w:rsid w:val="00627BE3"/>
    <w:rsid w:val="006301F8"/>
    <w:rsid w:val="00631CAD"/>
    <w:rsid w:val="006323F0"/>
    <w:rsid w:val="006334E1"/>
    <w:rsid w:val="006334F8"/>
    <w:rsid w:val="00633BBB"/>
    <w:rsid w:val="00634F9A"/>
    <w:rsid w:val="0063513E"/>
    <w:rsid w:val="006366E3"/>
    <w:rsid w:val="006368A0"/>
    <w:rsid w:val="00640182"/>
    <w:rsid w:val="006402CF"/>
    <w:rsid w:val="00641547"/>
    <w:rsid w:val="00641574"/>
    <w:rsid w:val="006418CF"/>
    <w:rsid w:val="00641FF6"/>
    <w:rsid w:val="00650433"/>
    <w:rsid w:val="00650534"/>
    <w:rsid w:val="006506FA"/>
    <w:rsid w:val="00651A93"/>
    <w:rsid w:val="00652FA4"/>
    <w:rsid w:val="00653414"/>
    <w:rsid w:val="00653D50"/>
    <w:rsid w:val="00655251"/>
    <w:rsid w:val="00655E4C"/>
    <w:rsid w:val="00656B99"/>
    <w:rsid w:val="0065752F"/>
    <w:rsid w:val="00660726"/>
    <w:rsid w:val="00663BC6"/>
    <w:rsid w:val="006640D1"/>
    <w:rsid w:val="00664A8C"/>
    <w:rsid w:val="006655A7"/>
    <w:rsid w:val="00665FB8"/>
    <w:rsid w:val="006679B5"/>
    <w:rsid w:val="00667C71"/>
    <w:rsid w:val="0067120E"/>
    <w:rsid w:val="00671D4C"/>
    <w:rsid w:val="006721E7"/>
    <w:rsid w:val="00672A8E"/>
    <w:rsid w:val="00672FC1"/>
    <w:rsid w:val="0067370B"/>
    <w:rsid w:val="006737E3"/>
    <w:rsid w:val="006756B4"/>
    <w:rsid w:val="00675D0D"/>
    <w:rsid w:val="00676D0D"/>
    <w:rsid w:val="00677A80"/>
    <w:rsid w:val="00680267"/>
    <w:rsid w:val="00682195"/>
    <w:rsid w:val="00685D5B"/>
    <w:rsid w:val="00685E1C"/>
    <w:rsid w:val="00685F1C"/>
    <w:rsid w:val="00687F9E"/>
    <w:rsid w:val="00690211"/>
    <w:rsid w:val="006926AB"/>
    <w:rsid w:val="0069372A"/>
    <w:rsid w:val="0069416A"/>
    <w:rsid w:val="0069432D"/>
    <w:rsid w:val="0069450B"/>
    <w:rsid w:val="006962C5"/>
    <w:rsid w:val="00696B43"/>
    <w:rsid w:val="00697480"/>
    <w:rsid w:val="0069749D"/>
    <w:rsid w:val="00697508"/>
    <w:rsid w:val="00697721"/>
    <w:rsid w:val="0069780F"/>
    <w:rsid w:val="006A0802"/>
    <w:rsid w:val="006A209B"/>
    <w:rsid w:val="006A27AB"/>
    <w:rsid w:val="006A2C2B"/>
    <w:rsid w:val="006A2C41"/>
    <w:rsid w:val="006A2E5F"/>
    <w:rsid w:val="006A3069"/>
    <w:rsid w:val="006A3772"/>
    <w:rsid w:val="006A3FA2"/>
    <w:rsid w:val="006A425C"/>
    <w:rsid w:val="006A5604"/>
    <w:rsid w:val="006A7474"/>
    <w:rsid w:val="006A7CB8"/>
    <w:rsid w:val="006B0C59"/>
    <w:rsid w:val="006B1E72"/>
    <w:rsid w:val="006B342F"/>
    <w:rsid w:val="006B3C25"/>
    <w:rsid w:val="006B59CA"/>
    <w:rsid w:val="006B7039"/>
    <w:rsid w:val="006B71C2"/>
    <w:rsid w:val="006C2940"/>
    <w:rsid w:val="006C4B27"/>
    <w:rsid w:val="006C5186"/>
    <w:rsid w:val="006C7B57"/>
    <w:rsid w:val="006C7BDA"/>
    <w:rsid w:val="006D1366"/>
    <w:rsid w:val="006D2181"/>
    <w:rsid w:val="006D2710"/>
    <w:rsid w:val="006D3385"/>
    <w:rsid w:val="006D38BD"/>
    <w:rsid w:val="006D59B2"/>
    <w:rsid w:val="006E0C9A"/>
    <w:rsid w:val="006E108D"/>
    <w:rsid w:val="006E2332"/>
    <w:rsid w:val="006E28AB"/>
    <w:rsid w:val="006E2CA8"/>
    <w:rsid w:val="006E339D"/>
    <w:rsid w:val="006E4A95"/>
    <w:rsid w:val="006E616E"/>
    <w:rsid w:val="006E6C8E"/>
    <w:rsid w:val="006E737B"/>
    <w:rsid w:val="006E754E"/>
    <w:rsid w:val="006F0A94"/>
    <w:rsid w:val="006F2589"/>
    <w:rsid w:val="006F26C7"/>
    <w:rsid w:val="006F416E"/>
    <w:rsid w:val="006F4C01"/>
    <w:rsid w:val="006F56A7"/>
    <w:rsid w:val="006F5BBD"/>
    <w:rsid w:val="006F5CE0"/>
    <w:rsid w:val="006F782B"/>
    <w:rsid w:val="00700E24"/>
    <w:rsid w:val="007012A7"/>
    <w:rsid w:val="00702761"/>
    <w:rsid w:val="00702909"/>
    <w:rsid w:val="00706297"/>
    <w:rsid w:val="0071000D"/>
    <w:rsid w:val="007101FD"/>
    <w:rsid w:val="00711336"/>
    <w:rsid w:val="007114B8"/>
    <w:rsid w:val="0071193A"/>
    <w:rsid w:val="007120D9"/>
    <w:rsid w:val="00713EDC"/>
    <w:rsid w:val="00713F7F"/>
    <w:rsid w:val="00716403"/>
    <w:rsid w:val="00716A39"/>
    <w:rsid w:val="00720784"/>
    <w:rsid w:val="00721E7A"/>
    <w:rsid w:val="00722D40"/>
    <w:rsid w:val="007234FA"/>
    <w:rsid w:val="00725E3C"/>
    <w:rsid w:val="0072796A"/>
    <w:rsid w:val="00727FB0"/>
    <w:rsid w:val="00730AF8"/>
    <w:rsid w:val="00731FC3"/>
    <w:rsid w:val="00735807"/>
    <w:rsid w:val="00736046"/>
    <w:rsid w:val="007360BC"/>
    <w:rsid w:val="007376E2"/>
    <w:rsid w:val="007402A1"/>
    <w:rsid w:val="00740595"/>
    <w:rsid w:val="00740996"/>
    <w:rsid w:val="007416B3"/>
    <w:rsid w:val="00742A3A"/>
    <w:rsid w:val="00742E6F"/>
    <w:rsid w:val="00744363"/>
    <w:rsid w:val="007444D1"/>
    <w:rsid w:val="007445E7"/>
    <w:rsid w:val="00744B75"/>
    <w:rsid w:val="0074597D"/>
    <w:rsid w:val="00745F34"/>
    <w:rsid w:val="00746C9C"/>
    <w:rsid w:val="00746F6B"/>
    <w:rsid w:val="00747587"/>
    <w:rsid w:val="007477F7"/>
    <w:rsid w:val="007510F5"/>
    <w:rsid w:val="007512FA"/>
    <w:rsid w:val="00751D53"/>
    <w:rsid w:val="00753900"/>
    <w:rsid w:val="00754750"/>
    <w:rsid w:val="00754D73"/>
    <w:rsid w:val="00755EA4"/>
    <w:rsid w:val="00756131"/>
    <w:rsid w:val="00756D1F"/>
    <w:rsid w:val="007575E1"/>
    <w:rsid w:val="00757FC3"/>
    <w:rsid w:val="007612D5"/>
    <w:rsid w:val="00761957"/>
    <w:rsid w:val="007625B4"/>
    <w:rsid w:val="007629A1"/>
    <w:rsid w:val="0076348A"/>
    <w:rsid w:val="00763511"/>
    <w:rsid w:val="00764100"/>
    <w:rsid w:val="00764CCD"/>
    <w:rsid w:val="00765877"/>
    <w:rsid w:val="00765D26"/>
    <w:rsid w:val="00766864"/>
    <w:rsid w:val="00766D45"/>
    <w:rsid w:val="00767773"/>
    <w:rsid w:val="0077198A"/>
    <w:rsid w:val="00771AC6"/>
    <w:rsid w:val="00771BD3"/>
    <w:rsid w:val="00771E5E"/>
    <w:rsid w:val="007721F5"/>
    <w:rsid w:val="00773D95"/>
    <w:rsid w:val="007744F6"/>
    <w:rsid w:val="00775981"/>
    <w:rsid w:val="007759B8"/>
    <w:rsid w:val="00776CC6"/>
    <w:rsid w:val="00776DD2"/>
    <w:rsid w:val="00777DD4"/>
    <w:rsid w:val="00780BDC"/>
    <w:rsid w:val="007858B6"/>
    <w:rsid w:val="0078639F"/>
    <w:rsid w:val="00792349"/>
    <w:rsid w:val="00793037"/>
    <w:rsid w:val="0079381D"/>
    <w:rsid w:val="007938BA"/>
    <w:rsid w:val="0079409A"/>
    <w:rsid w:val="00794B6D"/>
    <w:rsid w:val="00794CE5"/>
    <w:rsid w:val="0079577C"/>
    <w:rsid w:val="00795BE0"/>
    <w:rsid w:val="00795E11"/>
    <w:rsid w:val="00795E46"/>
    <w:rsid w:val="00796777"/>
    <w:rsid w:val="00796C6F"/>
    <w:rsid w:val="00796FBA"/>
    <w:rsid w:val="007A1C84"/>
    <w:rsid w:val="007A2501"/>
    <w:rsid w:val="007A37B2"/>
    <w:rsid w:val="007A3BBC"/>
    <w:rsid w:val="007A5365"/>
    <w:rsid w:val="007A6E96"/>
    <w:rsid w:val="007A711E"/>
    <w:rsid w:val="007A7747"/>
    <w:rsid w:val="007A7A72"/>
    <w:rsid w:val="007A7DCC"/>
    <w:rsid w:val="007B0FA5"/>
    <w:rsid w:val="007B1051"/>
    <w:rsid w:val="007B3A7A"/>
    <w:rsid w:val="007B4AF8"/>
    <w:rsid w:val="007B567F"/>
    <w:rsid w:val="007B6EAC"/>
    <w:rsid w:val="007B7CB8"/>
    <w:rsid w:val="007C0750"/>
    <w:rsid w:val="007C0CAE"/>
    <w:rsid w:val="007C2B58"/>
    <w:rsid w:val="007C45E2"/>
    <w:rsid w:val="007C4F54"/>
    <w:rsid w:val="007C64B7"/>
    <w:rsid w:val="007C7C98"/>
    <w:rsid w:val="007C7E27"/>
    <w:rsid w:val="007D09A6"/>
    <w:rsid w:val="007D1678"/>
    <w:rsid w:val="007D2F13"/>
    <w:rsid w:val="007D46F9"/>
    <w:rsid w:val="007D591F"/>
    <w:rsid w:val="007D5BD7"/>
    <w:rsid w:val="007D6C76"/>
    <w:rsid w:val="007E0EF3"/>
    <w:rsid w:val="007E40CE"/>
    <w:rsid w:val="007E4ED3"/>
    <w:rsid w:val="007E5937"/>
    <w:rsid w:val="007E675D"/>
    <w:rsid w:val="007E791E"/>
    <w:rsid w:val="007F0BED"/>
    <w:rsid w:val="007F154A"/>
    <w:rsid w:val="007F2080"/>
    <w:rsid w:val="007F371B"/>
    <w:rsid w:val="007F381A"/>
    <w:rsid w:val="007F40D2"/>
    <w:rsid w:val="007F474B"/>
    <w:rsid w:val="007F4F06"/>
    <w:rsid w:val="007F7217"/>
    <w:rsid w:val="007F78D0"/>
    <w:rsid w:val="00801C0D"/>
    <w:rsid w:val="00802122"/>
    <w:rsid w:val="0080212E"/>
    <w:rsid w:val="00802596"/>
    <w:rsid w:val="008028C1"/>
    <w:rsid w:val="008060EE"/>
    <w:rsid w:val="008064FB"/>
    <w:rsid w:val="00806535"/>
    <w:rsid w:val="0080660E"/>
    <w:rsid w:val="00806DD0"/>
    <w:rsid w:val="00807F6C"/>
    <w:rsid w:val="0081020C"/>
    <w:rsid w:val="00812DBD"/>
    <w:rsid w:val="00813669"/>
    <w:rsid w:val="00814B5C"/>
    <w:rsid w:val="008157F1"/>
    <w:rsid w:val="008166BF"/>
    <w:rsid w:val="00816A69"/>
    <w:rsid w:val="0081728A"/>
    <w:rsid w:val="00817530"/>
    <w:rsid w:val="00822338"/>
    <w:rsid w:val="00822DE2"/>
    <w:rsid w:val="00823103"/>
    <w:rsid w:val="0082314D"/>
    <w:rsid w:val="00824FE2"/>
    <w:rsid w:val="00826230"/>
    <w:rsid w:val="008267BC"/>
    <w:rsid w:val="008278C5"/>
    <w:rsid w:val="00827EEA"/>
    <w:rsid w:val="00831E1B"/>
    <w:rsid w:val="00833B21"/>
    <w:rsid w:val="00833D07"/>
    <w:rsid w:val="008349BD"/>
    <w:rsid w:val="00834CE3"/>
    <w:rsid w:val="00835DD8"/>
    <w:rsid w:val="008373B0"/>
    <w:rsid w:val="0083780A"/>
    <w:rsid w:val="008413E6"/>
    <w:rsid w:val="00841450"/>
    <w:rsid w:val="0084156E"/>
    <w:rsid w:val="00843031"/>
    <w:rsid w:val="008439DF"/>
    <w:rsid w:val="008446B3"/>
    <w:rsid w:val="00844729"/>
    <w:rsid w:val="00844BE9"/>
    <w:rsid w:val="00844CE8"/>
    <w:rsid w:val="00846C38"/>
    <w:rsid w:val="00846F1D"/>
    <w:rsid w:val="0085136B"/>
    <w:rsid w:val="008523BE"/>
    <w:rsid w:val="00852E3A"/>
    <w:rsid w:val="00853080"/>
    <w:rsid w:val="008551B6"/>
    <w:rsid w:val="008555AB"/>
    <w:rsid w:val="00857515"/>
    <w:rsid w:val="00862936"/>
    <w:rsid w:val="00862B30"/>
    <w:rsid w:val="00863346"/>
    <w:rsid w:val="00863EF6"/>
    <w:rsid w:val="00864474"/>
    <w:rsid w:val="00864617"/>
    <w:rsid w:val="008649F9"/>
    <w:rsid w:val="00864F2C"/>
    <w:rsid w:val="0086765F"/>
    <w:rsid w:val="00867D36"/>
    <w:rsid w:val="00870623"/>
    <w:rsid w:val="008711FF"/>
    <w:rsid w:val="00872257"/>
    <w:rsid w:val="008729B6"/>
    <w:rsid w:val="00872C16"/>
    <w:rsid w:val="008735D6"/>
    <w:rsid w:val="008743A7"/>
    <w:rsid w:val="008752E8"/>
    <w:rsid w:val="00875309"/>
    <w:rsid w:val="00875E2D"/>
    <w:rsid w:val="00876B48"/>
    <w:rsid w:val="00876E4C"/>
    <w:rsid w:val="0088218B"/>
    <w:rsid w:val="00882283"/>
    <w:rsid w:val="00882716"/>
    <w:rsid w:val="00884440"/>
    <w:rsid w:val="00884D7A"/>
    <w:rsid w:val="0088539C"/>
    <w:rsid w:val="00885591"/>
    <w:rsid w:val="00885FF6"/>
    <w:rsid w:val="008902ED"/>
    <w:rsid w:val="0089095F"/>
    <w:rsid w:val="00890DAA"/>
    <w:rsid w:val="0089236E"/>
    <w:rsid w:val="00892EDC"/>
    <w:rsid w:val="008939BD"/>
    <w:rsid w:val="00893B42"/>
    <w:rsid w:val="0089440B"/>
    <w:rsid w:val="00895072"/>
    <w:rsid w:val="00897793"/>
    <w:rsid w:val="008A0A69"/>
    <w:rsid w:val="008A1583"/>
    <w:rsid w:val="008A1801"/>
    <w:rsid w:val="008A1C84"/>
    <w:rsid w:val="008A21C8"/>
    <w:rsid w:val="008A2447"/>
    <w:rsid w:val="008A2937"/>
    <w:rsid w:val="008A37F1"/>
    <w:rsid w:val="008A3D2A"/>
    <w:rsid w:val="008A40F2"/>
    <w:rsid w:val="008A593A"/>
    <w:rsid w:val="008A6C8C"/>
    <w:rsid w:val="008A7789"/>
    <w:rsid w:val="008B02D7"/>
    <w:rsid w:val="008B10EB"/>
    <w:rsid w:val="008B249B"/>
    <w:rsid w:val="008B25DA"/>
    <w:rsid w:val="008B3083"/>
    <w:rsid w:val="008B36C4"/>
    <w:rsid w:val="008B40F2"/>
    <w:rsid w:val="008B6AF2"/>
    <w:rsid w:val="008B7DA1"/>
    <w:rsid w:val="008C0473"/>
    <w:rsid w:val="008C0738"/>
    <w:rsid w:val="008C0D2A"/>
    <w:rsid w:val="008C1CB1"/>
    <w:rsid w:val="008C2889"/>
    <w:rsid w:val="008C3B0C"/>
    <w:rsid w:val="008C482C"/>
    <w:rsid w:val="008C5F76"/>
    <w:rsid w:val="008C682F"/>
    <w:rsid w:val="008D027F"/>
    <w:rsid w:val="008D077F"/>
    <w:rsid w:val="008D0C11"/>
    <w:rsid w:val="008D1C0E"/>
    <w:rsid w:val="008D2C8E"/>
    <w:rsid w:val="008D3134"/>
    <w:rsid w:val="008D3B14"/>
    <w:rsid w:val="008D55C3"/>
    <w:rsid w:val="008D6F49"/>
    <w:rsid w:val="008D6F60"/>
    <w:rsid w:val="008D7ACA"/>
    <w:rsid w:val="008E0264"/>
    <w:rsid w:val="008E1240"/>
    <w:rsid w:val="008E1780"/>
    <w:rsid w:val="008E1BF5"/>
    <w:rsid w:val="008E2A0D"/>
    <w:rsid w:val="008E2CB8"/>
    <w:rsid w:val="008E3497"/>
    <w:rsid w:val="008E4075"/>
    <w:rsid w:val="008E50FC"/>
    <w:rsid w:val="008E544B"/>
    <w:rsid w:val="008E577F"/>
    <w:rsid w:val="008E57C6"/>
    <w:rsid w:val="008E7BD7"/>
    <w:rsid w:val="008F12E4"/>
    <w:rsid w:val="008F330E"/>
    <w:rsid w:val="008F392D"/>
    <w:rsid w:val="008F4A98"/>
    <w:rsid w:val="008F6931"/>
    <w:rsid w:val="008F727E"/>
    <w:rsid w:val="008F7B59"/>
    <w:rsid w:val="009006F5"/>
    <w:rsid w:val="00900C7C"/>
    <w:rsid w:val="0090138C"/>
    <w:rsid w:val="009022D5"/>
    <w:rsid w:val="009032D9"/>
    <w:rsid w:val="00903D02"/>
    <w:rsid w:val="0090498E"/>
    <w:rsid w:val="00905AAC"/>
    <w:rsid w:val="00905E4B"/>
    <w:rsid w:val="00906184"/>
    <w:rsid w:val="009079BA"/>
    <w:rsid w:val="009102B6"/>
    <w:rsid w:val="00910772"/>
    <w:rsid w:val="009110EC"/>
    <w:rsid w:val="00911E04"/>
    <w:rsid w:val="00911EAA"/>
    <w:rsid w:val="009121BA"/>
    <w:rsid w:val="009126D2"/>
    <w:rsid w:val="00912ED4"/>
    <w:rsid w:val="00913118"/>
    <w:rsid w:val="00913548"/>
    <w:rsid w:val="009159D3"/>
    <w:rsid w:val="0091741C"/>
    <w:rsid w:val="00920D46"/>
    <w:rsid w:val="009215D0"/>
    <w:rsid w:val="009231AC"/>
    <w:rsid w:val="00923E34"/>
    <w:rsid w:val="00923E75"/>
    <w:rsid w:val="009240A9"/>
    <w:rsid w:val="00924375"/>
    <w:rsid w:val="00924B0A"/>
    <w:rsid w:val="00924E51"/>
    <w:rsid w:val="0092597A"/>
    <w:rsid w:val="00926018"/>
    <w:rsid w:val="009260BE"/>
    <w:rsid w:val="00927741"/>
    <w:rsid w:val="00927C84"/>
    <w:rsid w:val="00927CF5"/>
    <w:rsid w:val="00932C40"/>
    <w:rsid w:val="009332EA"/>
    <w:rsid w:val="00934F50"/>
    <w:rsid w:val="00935157"/>
    <w:rsid w:val="009352BB"/>
    <w:rsid w:val="00935680"/>
    <w:rsid w:val="00935849"/>
    <w:rsid w:val="00936026"/>
    <w:rsid w:val="0093637C"/>
    <w:rsid w:val="009367E1"/>
    <w:rsid w:val="0094056D"/>
    <w:rsid w:val="00940D2C"/>
    <w:rsid w:val="00942055"/>
    <w:rsid w:val="00942643"/>
    <w:rsid w:val="00943154"/>
    <w:rsid w:val="00943C5B"/>
    <w:rsid w:val="00943EE0"/>
    <w:rsid w:val="00944D15"/>
    <w:rsid w:val="00945A5D"/>
    <w:rsid w:val="009502C1"/>
    <w:rsid w:val="00950A2E"/>
    <w:rsid w:val="00950EAF"/>
    <w:rsid w:val="00951291"/>
    <w:rsid w:val="009518CD"/>
    <w:rsid w:val="00952201"/>
    <w:rsid w:val="009525EC"/>
    <w:rsid w:val="00952982"/>
    <w:rsid w:val="009533F7"/>
    <w:rsid w:val="0095384C"/>
    <w:rsid w:val="00953EE2"/>
    <w:rsid w:val="00956A1D"/>
    <w:rsid w:val="00956C3E"/>
    <w:rsid w:val="009573CB"/>
    <w:rsid w:val="009609BB"/>
    <w:rsid w:val="009615B5"/>
    <w:rsid w:val="00966500"/>
    <w:rsid w:val="009712DE"/>
    <w:rsid w:val="00971D36"/>
    <w:rsid w:val="00972ACF"/>
    <w:rsid w:val="00973896"/>
    <w:rsid w:val="00973D1F"/>
    <w:rsid w:val="00974AF2"/>
    <w:rsid w:val="00974CA9"/>
    <w:rsid w:val="0097605E"/>
    <w:rsid w:val="009771BC"/>
    <w:rsid w:val="009771F9"/>
    <w:rsid w:val="00977446"/>
    <w:rsid w:val="00977A81"/>
    <w:rsid w:val="009802D8"/>
    <w:rsid w:val="00981486"/>
    <w:rsid w:val="00981DBA"/>
    <w:rsid w:val="00982819"/>
    <w:rsid w:val="00982993"/>
    <w:rsid w:val="00982B95"/>
    <w:rsid w:val="00982F34"/>
    <w:rsid w:val="009842CD"/>
    <w:rsid w:val="00984528"/>
    <w:rsid w:val="00984FC7"/>
    <w:rsid w:val="00985B7E"/>
    <w:rsid w:val="00986057"/>
    <w:rsid w:val="00986A8C"/>
    <w:rsid w:val="00986BB0"/>
    <w:rsid w:val="00990743"/>
    <w:rsid w:val="00990A8F"/>
    <w:rsid w:val="009925CF"/>
    <w:rsid w:val="00994706"/>
    <w:rsid w:val="00994975"/>
    <w:rsid w:val="00994C6B"/>
    <w:rsid w:val="00994EAE"/>
    <w:rsid w:val="00995724"/>
    <w:rsid w:val="00995773"/>
    <w:rsid w:val="00995A1C"/>
    <w:rsid w:val="00996C0B"/>
    <w:rsid w:val="009A04A7"/>
    <w:rsid w:val="009A144F"/>
    <w:rsid w:val="009A1B7F"/>
    <w:rsid w:val="009A26A2"/>
    <w:rsid w:val="009A2DEA"/>
    <w:rsid w:val="009A4817"/>
    <w:rsid w:val="009A4C08"/>
    <w:rsid w:val="009A4FBD"/>
    <w:rsid w:val="009A7095"/>
    <w:rsid w:val="009A751B"/>
    <w:rsid w:val="009A7D38"/>
    <w:rsid w:val="009B1276"/>
    <w:rsid w:val="009B194C"/>
    <w:rsid w:val="009B2008"/>
    <w:rsid w:val="009B40C0"/>
    <w:rsid w:val="009B463D"/>
    <w:rsid w:val="009B48C8"/>
    <w:rsid w:val="009B5F80"/>
    <w:rsid w:val="009B7BE7"/>
    <w:rsid w:val="009C096E"/>
    <w:rsid w:val="009C39CB"/>
    <w:rsid w:val="009C450B"/>
    <w:rsid w:val="009C51B0"/>
    <w:rsid w:val="009C5AAB"/>
    <w:rsid w:val="009C7030"/>
    <w:rsid w:val="009C7061"/>
    <w:rsid w:val="009C7135"/>
    <w:rsid w:val="009C7D9F"/>
    <w:rsid w:val="009D035B"/>
    <w:rsid w:val="009D0BC9"/>
    <w:rsid w:val="009D0CED"/>
    <w:rsid w:val="009D1596"/>
    <w:rsid w:val="009D250F"/>
    <w:rsid w:val="009D2D1A"/>
    <w:rsid w:val="009D2EC7"/>
    <w:rsid w:val="009D35B7"/>
    <w:rsid w:val="009D3A5D"/>
    <w:rsid w:val="009D3F59"/>
    <w:rsid w:val="009D4BF0"/>
    <w:rsid w:val="009D5C9A"/>
    <w:rsid w:val="009D664A"/>
    <w:rsid w:val="009D6F36"/>
    <w:rsid w:val="009D6FD6"/>
    <w:rsid w:val="009D75A5"/>
    <w:rsid w:val="009D79B4"/>
    <w:rsid w:val="009E09BD"/>
    <w:rsid w:val="009E4264"/>
    <w:rsid w:val="009E4920"/>
    <w:rsid w:val="009E4EF6"/>
    <w:rsid w:val="009E5C77"/>
    <w:rsid w:val="009E6023"/>
    <w:rsid w:val="009E7472"/>
    <w:rsid w:val="009F03CF"/>
    <w:rsid w:val="009F17EF"/>
    <w:rsid w:val="009F2026"/>
    <w:rsid w:val="009F299D"/>
    <w:rsid w:val="009F2EA3"/>
    <w:rsid w:val="009F3037"/>
    <w:rsid w:val="009F41A0"/>
    <w:rsid w:val="009F53F8"/>
    <w:rsid w:val="009F6965"/>
    <w:rsid w:val="009F7265"/>
    <w:rsid w:val="009F7D0A"/>
    <w:rsid w:val="00A0024E"/>
    <w:rsid w:val="00A013EE"/>
    <w:rsid w:val="00A01617"/>
    <w:rsid w:val="00A028E4"/>
    <w:rsid w:val="00A02A7A"/>
    <w:rsid w:val="00A039AC"/>
    <w:rsid w:val="00A041A7"/>
    <w:rsid w:val="00A04862"/>
    <w:rsid w:val="00A04B7B"/>
    <w:rsid w:val="00A064B3"/>
    <w:rsid w:val="00A06CB5"/>
    <w:rsid w:val="00A06FE6"/>
    <w:rsid w:val="00A1006A"/>
    <w:rsid w:val="00A10A20"/>
    <w:rsid w:val="00A13652"/>
    <w:rsid w:val="00A136CF"/>
    <w:rsid w:val="00A15472"/>
    <w:rsid w:val="00A157AD"/>
    <w:rsid w:val="00A15B8C"/>
    <w:rsid w:val="00A16486"/>
    <w:rsid w:val="00A164B8"/>
    <w:rsid w:val="00A167D4"/>
    <w:rsid w:val="00A16916"/>
    <w:rsid w:val="00A16957"/>
    <w:rsid w:val="00A17B26"/>
    <w:rsid w:val="00A2072D"/>
    <w:rsid w:val="00A2236C"/>
    <w:rsid w:val="00A22877"/>
    <w:rsid w:val="00A233C0"/>
    <w:rsid w:val="00A25B3E"/>
    <w:rsid w:val="00A26C10"/>
    <w:rsid w:val="00A27388"/>
    <w:rsid w:val="00A27862"/>
    <w:rsid w:val="00A31293"/>
    <w:rsid w:val="00A31ADC"/>
    <w:rsid w:val="00A325D3"/>
    <w:rsid w:val="00A32B6E"/>
    <w:rsid w:val="00A32E8C"/>
    <w:rsid w:val="00A333FE"/>
    <w:rsid w:val="00A334F6"/>
    <w:rsid w:val="00A33A27"/>
    <w:rsid w:val="00A347F5"/>
    <w:rsid w:val="00A403CB"/>
    <w:rsid w:val="00A40C51"/>
    <w:rsid w:val="00A40CE6"/>
    <w:rsid w:val="00A40E9C"/>
    <w:rsid w:val="00A4186F"/>
    <w:rsid w:val="00A4227C"/>
    <w:rsid w:val="00A42574"/>
    <w:rsid w:val="00A426BD"/>
    <w:rsid w:val="00A42CA3"/>
    <w:rsid w:val="00A44CB7"/>
    <w:rsid w:val="00A4524D"/>
    <w:rsid w:val="00A4618F"/>
    <w:rsid w:val="00A4694D"/>
    <w:rsid w:val="00A47196"/>
    <w:rsid w:val="00A47281"/>
    <w:rsid w:val="00A47375"/>
    <w:rsid w:val="00A475A7"/>
    <w:rsid w:val="00A47FD8"/>
    <w:rsid w:val="00A53067"/>
    <w:rsid w:val="00A5309E"/>
    <w:rsid w:val="00A5406B"/>
    <w:rsid w:val="00A54D5B"/>
    <w:rsid w:val="00A56919"/>
    <w:rsid w:val="00A57257"/>
    <w:rsid w:val="00A60570"/>
    <w:rsid w:val="00A60BF0"/>
    <w:rsid w:val="00A61028"/>
    <w:rsid w:val="00A61063"/>
    <w:rsid w:val="00A61B71"/>
    <w:rsid w:val="00A61C08"/>
    <w:rsid w:val="00A61C69"/>
    <w:rsid w:val="00A621BB"/>
    <w:rsid w:val="00A64E8E"/>
    <w:rsid w:val="00A655C3"/>
    <w:rsid w:val="00A6572A"/>
    <w:rsid w:val="00A657E2"/>
    <w:rsid w:val="00A65D0A"/>
    <w:rsid w:val="00A661D0"/>
    <w:rsid w:val="00A664A1"/>
    <w:rsid w:val="00A66508"/>
    <w:rsid w:val="00A66975"/>
    <w:rsid w:val="00A66FFF"/>
    <w:rsid w:val="00A6759A"/>
    <w:rsid w:val="00A6788D"/>
    <w:rsid w:val="00A7123C"/>
    <w:rsid w:val="00A71303"/>
    <w:rsid w:val="00A73A6B"/>
    <w:rsid w:val="00A749CA"/>
    <w:rsid w:val="00A74CCE"/>
    <w:rsid w:val="00A75266"/>
    <w:rsid w:val="00A75441"/>
    <w:rsid w:val="00A77BA2"/>
    <w:rsid w:val="00A80371"/>
    <w:rsid w:val="00A810B6"/>
    <w:rsid w:val="00A83450"/>
    <w:rsid w:val="00A842BB"/>
    <w:rsid w:val="00A847F5"/>
    <w:rsid w:val="00A84BDB"/>
    <w:rsid w:val="00A84CBB"/>
    <w:rsid w:val="00A850E4"/>
    <w:rsid w:val="00A86912"/>
    <w:rsid w:val="00A86A17"/>
    <w:rsid w:val="00A92BA1"/>
    <w:rsid w:val="00A92BAD"/>
    <w:rsid w:val="00A93397"/>
    <w:rsid w:val="00A94B38"/>
    <w:rsid w:val="00A94CC9"/>
    <w:rsid w:val="00A951F1"/>
    <w:rsid w:val="00AA0452"/>
    <w:rsid w:val="00AA1AE9"/>
    <w:rsid w:val="00AA2E19"/>
    <w:rsid w:val="00AA3041"/>
    <w:rsid w:val="00AA5C98"/>
    <w:rsid w:val="00AA62ED"/>
    <w:rsid w:val="00AA66F9"/>
    <w:rsid w:val="00AA6845"/>
    <w:rsid w:val="00AA795F"/>
    <w:rsid w:val="00AA7B2F"/>
    <w:rsid w:val="00AB145B"/>
    <w:rsid w:val="00AB15CB"/>
    <w:rsid w:val="00AB2267"/>
    <w:rsid w:val="00AB44FE"/>
    <w:rsid w:val="00AB450E"/>
    <w:rsid w:val="00AB47EB"/>
    <w:rsid w:val="00AB4B7B"/>
    <w:rsid w:val="00AB6319"/>
    <w:rsid w:val="00AC02DA"/>
    <w:rsid w:val="00AC09FB"/>
    <w:rsid w:val="00AC2005"/>
    <w:rsid w:val="00AC2245"/>
    <w:rsid w:val="00AC23B0"/>
    <w:rsid w:val="00AC2C37"/>
    <w:rsid w:val="00AC315F"/>
    <w:rsid w:val="00AC3552"/>
    <w:rsid w:val="00AC38C5"/>
    <w:rsid w:val="00AC39DD"/>
    <w:rsid w:val="00AC4453"/>
    <w:rsid w:val="00AC44DD"/>
    <w:rsid w:val="00AC5506"/>
    <w:rsid w:val="00AD0EA6"/>
    <w:rsid w:val="00AD1DA0"/>
    <w:rsid w:val="00AD2D07"/>
    <w:rsid w:val="00AD2E7A"/>
    <w:rsid w:val="00AD302A"/>
    <w:rsid w:val="00AD41B8"/>
    <w:rsid w:val="00AD47F8"/>
    <w:rsid w:val="00AD4F4E"/>
    <w:rsid w:val="00AD52E0"/>
    <w:rsid w:val="00AD5C22"/>
    <w:rsid w:val="00AE2A09"/>
    <w:rsid w:val="00AE2DB1"/>
    <w:rsid w:val="00AE331B"/>
    <w:rsid w:val="00AE3A8B"/>
    <w:rsid w:val="00AE4310"/>
    <w:rsid w:val="00AE4811"/>
    <w:rsid w:val="00AE492B"/>
    <w:rsid w:val="00AE708A"/>
    <w:rsid w:val="00AE7A59"/>
    <w:rsid w:val="00AF0CC6"/>
    <w:rsid w:val="00AF0D29"/>
    <w:rsid w:val="00AF1740"/>
    <w:rsid w:val="00AF37B0"/>
    <w:rsid w:val="00B00671"/>
    <w:rsid w:val="00B00931"/>
    <w:rsid w:val="00B03A8E"/>
    <w:rsid w:val="00B04457"/>
    <w:rsid w:val="00B04889"/>
    <w:rsid w:val="00B04A22"/>
    <w:rsid w:val="00B05BD9"/>
    <w:rsid w:val="00B060B3"/>
    <w:rsid w:val="00B0613A"/>
    <w:rsid w:val="00B070AC"/>
    <w:rsid w:val="00B075B2"/>
    <w:rsid w:val="00B075C2"/>
    <w:rsid w:val="00B07629"/>
    <w:rsid w:val="00B10156"/>
    <w:rsid w:val="00B10289"/>
    <w:rsid w:val="00B1030A"/>
    <w:rsid w:val="00B10D4F"/>
    <w:rsid w:val="00B11466"/>
    <w:rsid w:val="00B118DB"/>
    <w:rsid w:val="00B120AF"/>
    <w:rsid w:val="00B1230A"/>
    <w:rsid w:val="00B12CBE"/>
    <w:rsid w:val="00B13465"/>
    <w:rsid w:val="00B14197"/>
    <w:rsid w:val="00B141F0"/>
    <w:rsid w:val="00B1434D"/>
    <w:rsid w:val="00B173FF"/>
    <w:rsid w:val="00B178AB"/>
    <w:rsid w:val="00B207E2"/>
    <w:rsid w:val="00B2139B"/>
    <w:rsid w:val="00B213BF"/>
    <w:rsid w:val="00B21ABA"/>
    <w:rsid w:val="00B222F8"/>
    <w:rsid w:val="00B245A7"/>
    <w:rsid w:val="00B25EF0"/>
    <w:rsid w:val="00B266FC"/>
    <w:rsid w:val="00B30DEA"/>
    <w:rsid w:val="00B3230A"/>
    <w:rsid w:val="00B325FC"/>
    <w:rsid w:val="00B329D0"/>
    <w:rsid w:val="00B32F8A"/>
    <w:rsid w:val="00B33006"/>
    <w:rsid w:val="00B33D53"/>
    <w:rsid w:val="00B35D0C"/>
    <w:rsid w:val="00B36B71"/>
    <w:rsid w:val="00B36BC5"/>
    <w:rsid w:val="00B37398"/>
    <w:rsid w:val="00B37735"/>
    <w:rsid w:val="00B37A8A"/>
    <w:rsid w:val="00B37D86"/>
    <w:rsid w:val="00B42DDE"/>
    <w:rsid w:val="00B43CE1"/>
    <w:rsid w:val="00B4518D"/>
    <w:rsid w:val="00B46CB2"/>
    <w:rsid w:val="00B5110B"/>
    <w:rsid w:val="00B5160D"/>
    <w:rsid w:val="00B51D3A"/>
    <w:rsid w:val="00B51F59"/>
    <w:rsid w:val="00B5262B"/>
    <w:rsid w:val="00B527D2"/>
    <w:rsid w:val="00B52CFE"/>
    <w:rsid w:val="00B53098"/>
    <w:rsid w:val="00B537B7"/>
    <w:rsid w:val="00B54132"/>
    <w:rsid w:val="00B54154"/>
    <w:rsid w:val="00B55523"/>
    <w:rsid w:val="00B55D2A"/>
    <w:rsid w:val="00B55D99"/>
    <w:rsid w:val="00B56BAD"/>
    <w:rsid w:val="00B57290"/>
    <w:rsid w:val="00B57353"/>
    <w:rsid w:val="00B60170"/>
    <w:rsid w:val="00B613C3"/>
    <w:rsid w:val="00B61616"/>
    <w:rsid w:val="00B61F27"/>
    <w:rsid w:val="00B647E1"/>
    <w:rsid w:val="00B64D7C"/>
    <w:rsid w:val="00B6571B"/>
    <w:rsid w:val="00B65DD2"/>
    <w:rsid w:val="00B67BBA"/>
    <w:rsid w:val="00B711EF"/>
    <w:rsid w:val="00B723CD"/>
    <w:rsid w:val="00B74D26"/>
    <w:rsid w:val="00B75FC2"/>
    <w:rsid w:val="00B76ED8"/>
    <w:rsid w:val="00B806F7"/>
    <w:rsid w:val="00B80995"/>
    <w:rsid w:val="00B82CEA"/>
    <w:rsid w:val="00B84C7D"/>
    <w:rsid w:val="00B850C6"/>
    <w:rsid w:val="00B857B5"/>
    <w:rsid w:val="00B85F22"/>
    <w:rsid w:val="00B85FBC"/>
    <w:rsid w:val="00B86BE8"/>
    <w:rsid w:val="00B86CD5"/>
    <w:rsid w:val="00B86D38"/>
    <w:rsid w:val="00B86E10"/>
    <w:rsid w:val="00B908DC"/>
    <w:rsid w:val="00B91126"/>
    <w:rsid w:val="00B9114B"/>
    <w:rsid w:val="00B91632"/>
    <w:rsid w:val="00B9173C"/>
    <w:rsid w:val="00B9247A"/>
    <w:rsid w:val="00B93355"/>
    <w:rsid w:val="00B938CC"/>
    <w:rsid w:val="00B94071"/>
    <w:rsid w:val="00B95113"/>
    <w:rsid w:val="00B95A78"/>
    <w:rsid w:val="00B95B98"/>
    <w:rsid w:val="00B95EF0"/>
    <w:rsid w:val="00B963F6"/>
    <w:rsid w:val="00B965F3"/>
    <w:rsid w:val="00B96B2F"/>
    <w:rsid w:val="00B96EBC"/>
    <w:rsid w:val="00BA08FE"/>
    <w:rsid w:val="00BA2378"/>
    <w:rsid w:val="00BA2543"/>
    <w:rsid w:val="00BA365E"/>
    <w:rsid w:val="00BA367D"/>
    <w:rsid w:val="00BA3C91"/>
    <w:rsid w:val="00BA60ED"/>
    <w:rsid w:val="00BA756E"/>
    <w:rsid w:val="00BA7933"/>
    <w:rsid w:val="00BA7AB1"/>
    <w:rsid w:val="00BB02C7"/>
    <w:rsid w:val="00BB1644"/>
    <w:rsid w:val="00BB260B"/>
    <w:rsid w:val="00BB5753"/>
    <w:rsid w:val="00BB6CE2"/>
    <w:rsid w:val="00BB7299"/>
    <w:rsid w:val="00BB7627"/>
    <w:rsid w:val="00BB786D"/>
    <w:rsid w:val="00BC0563"/>
    <w:rsid w:val="00BC2210"/>
    <w:rsid w:val="00BC345C"/>
    <w:rsid w:val="00BC3701"/>
    <w:rsid w:val="00BC44B7"/>
    <w:rsid w:val="00BC4F0C"/>
    <w:rsid w:val="00BC54CF"/>
    <w:rsid w:val="00BC6411"/>
    <w:rsid w:val="00BC7779"/>
    <w:rsid w:val="00BC7F1D"/>
    <w:rsid w:val="00BD07AE"/>
    <w:rsid w:val="00BD1DD7"/>
    <w:rsid w:val="00BD1DD9"/>
    <w:rsid w:val="00BD2F32"/>
    <w:rsid w:val="00BD34D4"/>
    <w:rsid w:val="00BD3D04"/>
    <w:rsid w:val="00BD51D0"/>
    <w:rsid w:val="00BD5AC2"/>
    <w:rsid w:val="00BD6774"/>
    <w:rsid w:val="00BD79AE"/>
    <w:rsid w:val="00BE0E75"/>
    <w:rsid w:val="00BE10B3"/>
    <w:rsid w:val="00BE1768"/>
    <w:rsid w:val="00BE3566"/>
    <w:rsid w:val="00BE36DF"/>
    <w:rsid w:val="00BE3B00"/>
    <w:rsid w:val="00BE3CAA"/>
    <w:rsid w:val="00BE3D1C"/>
    <w:rsid w:val="00BE3FCA"/>
    <w:rsid w:val="00BE4EFE"/>
    <w:rsid w:val="00BE6A2C"/>
    <w:rsid w:val="00BE70A8"/>
    <w:rsid w:val="00BE7266"/>
    <w:rsid w:val="00BF153B"/>
    <w:rsid w:val="00BF1F57"/>
    <w:rsid w:val="00BF1FC7"/>
    <w:rsid w:val="00BF2172"/>
    <w:rsid w:val="00BF2183"/>
    <w:rsid w:val="00BF2319"/>
    <w:rsid w:val="00BF2B4C"/>
    <w:rsid w:val="00BF335D"/>
    <w:rsid w:val="00BF46FF"/>
    <w:rsid w:val="00BF48BB"/>
    <w:rsid w:val="00BF53C5"/>
    <w:rsid w:val="00BF5459"/>
    <w:rsid w:val="00BF559C"/>
    <w:rsid w:val="00BF58F9"/>
    <w:rsid w:val="00BF5B1E"/>
    <w:rsid w:val="00BF60BA"/>
    <w:rsid w:val="00BF6148"/>
    <w:rsid w:val="00BF62C0"/>
    <w:rsid w:val="00BF67F6"/>
    <w:rsid w:val="00BF79D2"/>
    <w:rsid w:val="00C005E6"/>
    <w:rsid w:val="00C00C63"/>
    <w:rsid w:val="00C01234"/>
    <w:rsid w:val="00C01247"/>
    <w:rsid w:val="00C028B4"/>
    <w:rsid w:val="00C05650"/>
    <w:rsid w:val="00C05D11"/>
    <w:rsid w:val="00C06A2E"/>
    <w:rsid w:val="00C131A3"/>
    <w:rsid w:val="00C13533"/>
    <w:rsid w:val="00C13696"/>
    <w:rsid w:val="00C1425C"/>
    <w:rsid w:val="00C1505C"/>
    <w:rsid w:val="00C160CC"/>
    <w:rsid w:val="00C16BAC"/>
    <w:rsid w:val="00C22307"/>
    <w:rsid w:val="00C24BDF"/>
    <w:rsid w:val="00C25C86"/>
    <w:rsid w:val="00C26DA5"/>
    <w:rsid w:val="00C302DA"/>
    <w:rsid w:val="00C317BD"/>
    <w:rsid w:val="00C35099"/>
    <w:rsid w:val="00C35CA7"/>
    <w:rsid w:val="00C3658F"/>
    <w:rsid w:val="00C40C9B"/>
    <w:rsid w:val="00C41280"/>
    <w:rsid w:val="00C42604"/>
    <w:rsid w:val="00C42CA7"/>
    <w:rsid w:val="00C43157"/>
    <w:rsid w:val="00C43397"/>
    <w:rsid w:val="00C4383C"/>
    <w:rsid w:val="00C44022"/>
    <w:rsid w:val="00C44A98"/>
    <w:rsid w:val="00C457AF"/>
    <w:rsid w:val="00C45E0F"/>
    <w:rsid w:val="00C462BB"/>
    <w:rsid w:val="00C470EA"/>
    <w:rsid w:val="00C47331"/>
    <w:rsid w:val="00C47341"/>
    <w:rsid w:val="00C47CC6"/>
    <w:rsid w:val="00C50B58"/>
    <w:rsid w:val="00C5321C"/>
    <w:rsid w:val="00C55DE2"/>
    <w:rsid w:val="00C561F1"/>
    <w:rsid w:val="00C57D8B"/>
    <w:rsid w:val="00C6126C"/>
    <w:rsid w:val="00C61808"/>
    <w:rsid w:val="00C619D0"/>
    <w:rsid w:val="00C61BB7"/>
    <w:rsid w:val="00C626DB"/>
    <w:rsid w:val="00C62DEE"/>
    <w:rsid w:val="00C64AE4"/>
    <w:rsid w:val="00C65107"/>
    <w:rsid w:val="00C66048"/>
    <w:rsid w:val="00C66C51"/>
    <w:rsid w:val="00C67457"/>
    <w:rsid w:val="00C676C5"/>
    <w:rsid w:val="00C70967"/>
    <w:rsid w:val="00C71B0C"/>
    <w:rsid w:val="00C7204E"/>
    <w:rsid w:val="00C72ED7"/>
    <w:rsid w:val="00C73DB6"/>
    <w:rsid w:val="00C73F43"/>
    <w:rsid w:val="00C75439"/>
    <w:rsid w:val="00C75BFA"/>
    <w:rsid w:val="00C76D66"/>
    <w:rsid w:val="00C802FD"/>
    <w:rsid w:val="00C82074"/>
    <w:rsid w:val="00C82675"/>
    <w:rsid w:val="00C84708"/>
    <w:rsid w:val="00C85908"/>
    <w:rsid w:val="00C8634E"/>
    <w:rsid w:val="00C86D96"/>
    <w:rsid w:val="00C90076"/>
    <w:rsid w:val="00C90529"/>
    <w:rsid w:val="00C908B3"/>
    <w:rsid w:val="00C911FC"/>
    <w:rsid w:val="00C91641"/>
    <w:rsid w:val="00C9193D"/>
    <w:rsid w:val="00C93F6F"/>
    <w:rsid w:val="00C94AE1"/>
    <w:rsid w:val="00C94D99"/>
    <w:rsid w:val="00C96C4C"/>
    <w:rsid w:val="00C97E89"/>
    <w:rsid w:val="00CA00D8"/>
    <w:rsid w:val="00CA0D0A"/>
    <w:rsid w:val="00CA1281"/>
    <w:rsid w:val="00CA26F7"/>
    <w:rsid w:val="00CA2A58"/>
    <w:rsid w:val="00CA3482"/>
    <w:rsid w:val="00CA6390"/>
    <w:rsid w:val="00CA67F8"/>
    <w:rsid w:val="00CA69A2"/>
    <w:rsid w:val="00CA71C2"/>
    <w:rsid w:val="00CB14E2"/>
    <w:rsid w:val="00CB19DF"/>
    <w:rsid w:val="00CB1FDD"/>
    <w:rsid w:val="00CB302B"/>
    <w:rsid w:val="00CB33BA"/>
    <w:rsid w:val="00CB356D"/>
    <w:rsid w:val="00CB45BA"/>
    <w:rsid w:val="00CB4A8E"/>
    <w:rsid w:val="00CB4C9A"/>
    <w:rsid w:val="00CB4F58"/>
    <w:rsid w:val="00CB6604"/>
    <w:rsid w:val="00CB66BB"/>
    <w:rsid w:val="00CB67FA"/>
    <w:rsid w:val="00CB7932"/>
    <w:rsid w:val="00CC337D"/>
    <w:rsid w:val="00CC364C"/>
    <w:rsid w:val="00CC5310"/>
    <w:rsid w:val="00CC6B07"/>
    <w:rsid w:val="00CC7806"/>
    <w:rsid w:val="00CC7A30"/>
    <w:rsid w:val="00CC7D81"/>
    <w:rsid w:val="00CD01A6"/>
    <w:rsid w:val="00CD1554"/>
    <w:rsid w:val="00CD1B6A"/>
    <w:rsid w:val="00CD3411"/>
    <w:rsid w:val="00CD5468"/>
    <w:rsid w:val="00CD68B8"/>
    <w:rsid w:val="00CE020E"/>
    <w:rsid w:val="00CE0922"/>
    <w:rsid w:val="00CE0F0C"/>
    <w:rsid w:val="00CE33F8"/>
    <w:rsid w:val="00CE3618"/>
    <w:rsid w:val="00CE54EE"/>
    <w:rsid w:val="00CE68AB"/>
    <w:rsid w:val="00CE6A00"/>
    <w:rsid w:val="00CE6C46"/>
    <w:rsid w:val="00CE6D22"/>
    <w:rsid w:val="00CE7092"/>
    <w:rsid w:val="00CE7425"/>
    <w:rsid w:val="00CE76C2"/>
    <w:rsid w:val="00CF07D4"/>
    <w:rsid w:val="00CF084D"/>
    <w:rsid w:val="00CF0BB7"/>
    <w:rsid w:val="00CF101C"/>
    <w:rsid w:val="00CF1FEE"/>
    <w:rsid w:val="00CF27B6"/>
    <w:rsid w:val="00CF2D3F"/>
    <w:rsid w:val="00CF3300"/>
    <w:rsid w:val="00CF383A"/>
    <w:rsid w:val="00CF44E1"/>
    <w:rsid w:val="00CF670D"/>
    <w:rsid w:val="00CF7305"/>
    <w:rsid w:val="00CF788B"/>
    <w:rsid w:val="00D000B3"/>
    <w:rsid w:val="00D00AF4"/>
    <w:rsid w:val="00D01912"/>
    <w:rsid w:val="00D01B03"/>
    <w:rsid w:val="00D024DF"/>
    <w:rsid w:val="00D02C5E"/>
    <w:rsid w:val="00D02D3D"/>
    <w:rsid w:val="00D03A32"/>
    <w:rsid w:val="00D04EC9"/>
    <w:rsid w:val="00D070A3"/>
    <w:rsid w:val="00D0786E"/>
    <w:rsid w:val="00D108EC"/>
    <w:rsid w:val="00D151CE"/>
    <w:rsid w:val="00D1577F"/>
    <w:rsid w:val="00D163E5"/>
    <w:rsid w:val="00D17B12"/>
    <w:rsid w:val="00D207EF"/>
    <w:rsid w:val="00D211E2"/>
    <w:rsid w:val="00D2257F"/>
    <w:rsid w:val="00D22EC9"/>
    <w:rsid w:val="00D23146"/>
    <w:rsid w:val="00D2315A"/>
    <w:rsid w:val="00D252E0"/>
    <w:rsid w:val="00D2583B"/>
    <w:rsid w:val="00D2614D"/>
    <w:rsid w:val="00D27132"/>
    <w:rsid w:val="00D279AB"/>
    <w:rsid w:val="00D30478"/>
    <w:rsid w:val="00D30EB4"/>
    <w:rsid w:val="00D30F25"/>
    <w:rsid w:val="00D310C1"/>
    <w:rsid w:val="00D31B1F"/>
    <w:rsid w:val="00D32962"/>
    <w:rsid w:val="00D32AA5"/>
    <w:rsid w:val="00D34B50"/>
    <w:rsid w:val="00D34CE4"/>
    <w:rsid w:val="00D35975"/>
    <w:rsid w:val="00D35A13"/>
    <w:rsid w:val="00D361C6"/>
    <w:rsid w:val="00D37612"/>
    <w:rsid w:val="00D379C0"/>
    <w:rsid w:val="00D37CCD"/>
    <w:rsid w:val="00D37CDD"/>
    <w:rsid w:val="00D40406"/>
    <w:rsid w:val="00D41223"/>
    <w:rsid w:val="00D414EF"/>
    <w:rsid w:val="00D41E47"/>
    <w:rsid w:val="00D43551"/>
    <w:rsid w:val="00D442F5"/>
    <w:rsid w:val="00D4492C"/>
    <w:rsid w:val="00D475FE"/>
    <w:rsid w:val="00D47CC4"/>
    <w:rsid w:val="00D5012F"/>
    <w:rsid w:val="00D50C37"/>
    <w:rsid w:val="00D511FA"/>
    <w:rsid w:val="00D51955"/>
    <w:rsid w:val="00D526D7"/>
    <w:rsid w:val="00D5311B"/>
    <w:rsid w:val="00D536E5"/>
    <w:rsid w:val="00D543DF"/>
    <w:rsid w:val="00D546DE"/>
    <w:rsid w:val="00D550DB"/>
    <w:rsid w:val="00D552A9"/>
    <w:rsid w:val="00D5567A"/>
    <w:rsid w:val="00D56C8A"/>
    <w:rsid w:val="00D60764"/>
    <w:rsid w:val="00D6080E"/>
    <w:rsid w:val="00D6373F"/>
    <w:rsid w:val="00D63BD3"/>
    <w:rsid w:val="00D644F6"/>
    <w:rsid w:val="00D64CE7"/>
    <w:rsid w:val="00D64FA5"/>
    <w:rsid w:val="00D65106"/>
    <w:rsid w:val="00D658B0"/>
    <w:rsid w:val="00D66991"/>
    <w:rsid w:val="00D67576"/>
    <w:rsid w:val="00D67D42"/>
    <w:rsid w:val="00D70900"/>
    <w:rsid w:val="00D71563"/>
    <w:rsid w:val="00D72324"/>
    <w:rsid w:val="00D725F0"/>
    <w:rsid w:val="00D73AC7"/>
    <w:rsid w:val="00D748DA"/>
    <w:rsid w:val="00D74A24"/>
    <w:rsid w:val="00D74B7A"/>
    <w:rsid w:val="00D75EE0"/>
    <w:rsid w:val="00D76931"/>
    <w:rsid w:val="00D76DC6"/>
    <w:rsid w:val="00D80334"/>
    <w:rsid w:val="00D8088B"/>
    <w:rsid w:val="00D81CAA"/>
    <w:rsid w:val="00D81E9D"/>
    <w:rsid w:val="00D83D2B"/>
    <w:rsid w:val="00D84108"/>
    <w:rsid w:val="00D8424D"/>
    <w:rsid w:val="00D8469A"/>
    <w:rsid w:val="00D84EE9"/>
    <w:rsid w:val="00D84F3A"/>
    <w:rsid w:val="00D85E1C"/>
    <w:rsid w:val="00D864BA"/>
    <w:rsid w:val="00D871C0"/>
    <w:rsid w:val="00D872CB"/>
    <w:rsid w:val="00D874DB"/>
    <w:rsid w:val="00D87EFB"/>
    <w:rsid w:val="00D90B72"/>
    <w:rsid w:val="00D91CF1"/>
    <w:rsid w:val="00D9207B"/>
    <w:rsid w:val="00D92355"/>
    <w:rsid w:val="00D93E0C"/>
    <w:rsid w:val="00D93FDB"/>
    <w:rsid w:val="00D952FE"/>
    <w:rsid w:val="00D95661"/>
    <w:rsid w:val="00D96498"/>
    <w:rsid w:val="00D97991"/>
    <w:rsid w:val="00DA0417"/>
    <w:rsid w:val="00DA086E"/>
    <w:rsid w:val="00DA211C"/>
    <w:rsid w:val="00DA2B6C"/>
    <w:rsid w:val="00DA344C"/>
    <w:rsid w:val="00DA36C6"/>
    <w:rsid w:val="00DA3749"/>
    <w:rsid w:val="00DA3CFE"/>
    <w:rsid w:val="00DA6CEE"/>
    <w:rsid w:val="00DA70CC"/>
    <w:rsid w:val="00DB0E9B"/>
    <w:rsid w:val="00DB20C2"/>
    <w:rsid w:val="00DB3028"/>
    <w:rsid w:val="00DB66E7"/>
    <w:rsid w:val="00DB7BCF"/>
    <w:rsid w:val="00DB7E39"/>
    <w:rsid w:val="00DC0105"/>
    <w:rsid w:val="00DC02FF"/>
    <w:rsid w:val="00DC1C3F"/>
    <w:rsid w:val="00DC21FD"/>
    <w:rsid w:val="00DC31AA"/>
    <w:rsid w:val="00DC3C73"/>
    <w:rsid w:val="00DC4488"/>
    <w:rsid w:val="00DC58DC"/>
    <w:rsid w:val="00DC5AAB"/>
    <w:rsid w:val="00DC6E1A"/>
    <w:rsid w:val="00DC6FD1"/>
    <w:rsid w:val="00DC7AE0"/>
    <w:rsid w:val="00DC7AF1"/>
    <w:rsid w:val="00DC7E13"/>
    <w:rsid w:val="00DD3CB0"/>
    <w:rsid w:val="00DD3E71"/>
    <w:rsid w:val="00DD53B7"/>
    <w:rsid w:val="00DD5B45"/>
    <w:rsid w:val="00DD5F49"/>
    <w:rsid w:val="00DD79D5"/>
    <w:rsid w:val="00DD7CAF"/>
    <w:rsid w:val="00DE335C"/>
    <w:rsid w:val="00DE6457"/>
    <w:rsid w:val="00DE7517"/>
    <w:rsid w:val="00DF052B"/>
    <w:rsid w:val="00DF0A17"/>
    <w:rsid w:val="00DF1A90"/>
    <w:rsid w:val="00DF2A41"/>
    <w:rsid w:val="00DF39E3"/>
    <w:rsid w:val="00DF3A5C"/>
    <w:rsid w:val="00DF3BE7"/>
    <w:rsid w:val="00DF415E"/>
    <w:rsid w:val="00DF4603"/>
    <w:rsid w:val="00DF4CF2"/>
    <w:rsid w:val="00E012F9"/>
    <w:rsid w:val="00E01316"/>
    <w:rsid w:val="00E018B4"/>
    <w:rsid w:val="00E046EE"/>
    <w:rsid w:val="00E056E5"/>
    <w:rsid w:val="00E05738"/>
    <w:rsid w:val="00E0671E"/>
    <w:rsid w:val="00E06878"/>
    <w:rsid w:val="00E11813"/>
    <w:rsid w:val="00E12104"/>
    <w:rsid w:val="00E12821"/>
    <w:rsid w:val="00E12922"/>
    <w:rsid w:val="00E14116"/>
    <w:rsid w:val="00E155E9"/>
    <w:rsid w:val="00E15848"/>
    <w:rsid w:val="00E15B96"/>
    <w:rsid w:val="00E15D1B"/>
    <w:rsid w:val="00E163D1"/>
    <w:rsid w:val="00E17EDC"/>
    <w:rsid w:val="00E203C4"/>
    <w:rsid w:val="00E203C7"/>
    <w:rsid w:val="00E20447"/>
    <w:rsid w:val="00E210FC"/>
    <w:rsid w:val="00E22036"/>
    <w:rsid w:val="00E2220F"/>
    <w:rsid w:val="00E22FE3"/>
    <w:rsid w:val="00E2544D"/>
    <w:rsid w:val="00E255BD"/>
    <w:rsid w:val="00E25903"/>
    <w:rsid w:val="00E25AD3"/>
    <w:rsid w:val="00E25BCC"/>
    <w:rsid w:val="00E266B1"/>
    <w:rsid w:val="00E27F3B"/>
    <w:rsid w:val="00E33D12"/>
    <w:rsid w:val="00E35B33"/>
    <w:rsid w:val="00E3656D"/>
    <w:rsid w:val="00E36931"/>
    <w:rsid w:val="00E36EFB"/>
    <w:rsid w:val="00E37560"/>
    <w:rsid w:val="00E402D1"/>
    <w:rsid w:val="00E4053E"/>
    <w:rsid w:val="00E4141D"/>
    <w:rsid w:val="00E430CD"/>
    <w:rsid w:val="00E44797"/>
    <w:rsid w:val="00E44E70"/>
    <w:rsid w:val="00E46631"/>
    <w:rsid w:val="00E4684E"/>
    <w:rsid w:val="00E475F6"/>
    <w:rsid w:val="00E5003F"/>
    <w:rsid w:val="00E513FB"/>
    <w:rsid w:val="00E5256C"/>
    <w:rsid w:val="00E53B90"/>
    <w:rsid w:val="00E53FCF"/>
    <w:rsid w:val="00E558A4"/>
    <w:rsid w:val="00E55D32"/>
    <w:rsid w:val="00E565D9"/>
    <w:rsid w:val="00E569EF"/>
    <w:rsid w:val="00E60680"/>
    <w:rsid w:val="00E611AD"/>
    <w:rsid w:val="00E62122"/>
    <w:rsid w:val="00E62CFF"/>
    <w:rsid w:val="00E63441"/>
    <w:rsid w:val="00E66BDC"/>
    <w:rsid w:val="00E672DC"/>
    <w:rsid w:val="00E6791C"/>
    <w:rsid w:val="00E67CB0"/>
    <w:rsid w:val="00E70184"/>
    <w:rsid w:val="00E702B4"/>
    <w:rsid w:val="00E7080E"/>
    <w:rsid w:val="00E7106C"/>
    <w:rsid w:val="00E7131B"/>
    <w:rsid w:val="00E71C3C"/>
    <w:rsid w:val="00E7222F"/>
    <w:rsid w:val="00E72C38"/>
    <w:rsid w:val="00E72D07"/>
    <w:rsid w:val="00E7360A"/>
    <w:rsid w:val="00E743E4"/>
    <w:rsid w:val="00E74520"/>
    <w:rsid w:val="00E76D50"/>
    <w:rsid w:val="00E77AEF"/>
    <w:rsid w:val="00E77EDE"/>
    <w:rsid w:val="00E805A0"/>
    <w:rsid w:val="00E80E00"/>
    <w:rsid w:val="00E8112E"/>
    <w:rsid w:val="00E8145F"/>
    <w:rsid w:val="00E8233E"/>
    <w:rsid w:val="00E83847"/>
    <w:rsid w:val="00E84B06"/>
    <w:rsid w:val="00E853C6"/>
    <w:rsid w:val="00E85BD1"/>
    <w:rsid w:val="00E85F64"/>
    <w:rsid w:val="00E86D11"/>
    <w:rsid w:val="00E913C8"/>
    <w:rsid w:val="00E9196D"/>
    <w:rsid w:val="00E92344"/>
    <w:rsid w:val="00E92DB2"/>
    <w:rsid w:val="00E93CC3"/>
    <w:rsid w:val="00E94F82"/>
    <w:rsid w:val="00E95F9F"/>
    <w:rsid w:val="00E971BA"/>
    <w:rsid w:val="00E9783C"/>
    <w:rsid w:val="00E97AFF"/>
    <w:rsid w:val="00E97E2D"/>
    <w:rsid w:val="00EA06F6"/>
    <w:rsid w:val="00EA164F"/>
    <w:rsid w:val="00EA2EB4"/>
    <w:rsid w:val="00EA3968"/>
    <w:rsid w:val="00EA4C20"/>
    <w:rsid w:val="00EA55D8"/>
    <w:rsid w:val="00EA5E9B"/>
    <w:rsid w:val="00EA693A"/>
    <w:rsid w:val="00EA71C4"/>
    <w:rsid w:val="00EA724B"/>
    <w:rsid w:val="00EA74C7"/>
    <w:rsid w:val="00EA775D"/>
    <w:rsid w:val="00EB1576"/>
    <w:rsid w:val="00EB27EB"/>
    <w:rsid w:val="00EB356A"/>
    <w:rsid w:val="00EB4042"/>
    <w:rsid w:val="00EB4CE7"/>
    <w:rsid w:val="00EB6243"/>
    <w:rsid w:val="00EB6265"/>
    <w:rsid w:val="00EB729F"/>
    <w:rsid w:val="00EB76A6"/>
    <w:rsid w:val="00EC00D3"/>
    <w:rsid w:val="00EC07E5"/>
    <w:rsid w:val="00EC219C"/>
    <w:rsid w:val="00EC2B4E"/>
    <w:rsid w:val="00EC408E"/>
    <w:rsid w:val="00EC4AFA"/>
    <w:rsid w:val="00EC4F7F"/>
    <w:rsid w:val="00EC4FC8"/>
    <w:rsid w:val="00EC5D4C"/>
    <w:rsid w:val="00EC7CB7"/>
    <w:rsid w:val="00ED0268"/>
    <w:rsid w:val="00ED0301"/>
    <w:rsid w:val="00ED049F"/>
    <w:rsid w:val="00ED2D23"/>
    <w:rsid w:val="00ED31A9"/>
    <w:rsid w:val="00ED4E35"/>
    <w:rsid w:val="00ED6420"/>
    <w:rsid w:val="00ED6F48"/>
    <w:rsid w:val="00ED7C8B"/>
    <w:rsid w:val="00ED7DF4"/>
    <w:rsid w:val="00EE0174"/>
    <w:rsid w:val="00EE1833"/>
    <w:rsid w:val="00EE27A0"/>
    <w:rsid w:val="00EE395A"/>
    <w:rsid w:val="00EE4C35"/>
    <w:rsid w:val="00EE53ED"/>
    <w:rsid w:val="00EE55F0"/>
    <w:rsid w:val="00EE725C"/>
    <w:rsid w:val="00EF09E2"/>
    <w:rsid w:val="00EF116E"/>
    <w:rsid w:val="00EF13CD"/>
    <w:rsid w:val="00EF1D6D"/>
    <w:rsid w:val="00EF1E28"/>
    <w:rsid w:val="00EF35CA"/>
    <w:rsid w:val="00EF3695"/>
    <w:rsid w:val="00EF3A10"/>
    <w:rsid w:val="00EF553B"/>
    <w:rsid w:val="00EF6096"/>
    <w:rsid w:val="00EF62A3"/>
    <w:rsid w:val="00EF648C"/>
    <w:rsid w:val="00F00B42"/>
    <w:rsid w:val="00F01BC1"/>
    <w:rsid w:val="00F02D7B"/>
    <w:rsid w:val="00F05AAC"/>
    <w:rsid w:val="00F0640C"/>
    <w:rsid w:val="00F06E01"/>
    <w:rsid w:val="00F07388"/>
    <w:rsid w:val="00F106F2"/>
    <w:rsid w:val="00F108CE"/>
    <w:rsid w:val="00F10D37"/>
    <w:rsid w:val="00F114A6"/>
    <w:rsid w:val="00F11822"/>
    <w:rsid w:val="00F13FEF"/>
    <w:rsid w:val="00F14D95"/>
    <w:rsid w:val="00F159FA"/>
    <w:rsid w:val="00F1644E"/>
    <w:rsid w:val="00F17DC4"/>
    <w:rsid w:val="00F201F3"/>
    <w:rsid w:val="00F20C43"/>
    <w:rsid w:val="00F20CA5"/>
    <w:rsid w:val="00F218F8"/>
    <w:rsid w:val="00F2197D"/>
    <w:rsid w:val="00F21A29"/>
    <w:rsid w:val="00F21A44"/>
    <w:rsid w:val="00F21EA7"/>
    <w:rsid w:val="00F23B5C"/>
    <w:rsid w:val="00F24631"/>
    <w:rsid w:val="00F24ACE"/>
    <w:rsid w:val="00F251F3"/>
    <w:rsid w:val="00F2757F"/>
    <w:rsid w:val="00F27582"/>
    <w:rsid w:val="00F27C09"/>
    <w:rsid w:val="00F27DE8"/>
    <w:rsid w:val="00F32071"/>
    <w:rsid w:val="00F351C8"/>
    <w:rsid w:val="00F400A1"/>
    <w:rsid w:val="00F41C3B"/>
    <w:rsid w:val="00F4245F"/>
    <w:rsid w:val="00F460E0"/>
    <w:rsid w:val="00F46BCA"/>
    <w:rsid w:val="00F470BE"/>
    <w:rsid w:val="00F477DB"/>
    <w:rsid w:val="00F509D8"/>
    <w:rsid w:val="00F51933"/>
    <w:rsid w:val="00F528C8"/>
    <w:rsid w:val="00F53D57"/>
    <w:rsid w:val="00F542E3"/>
    <w:rsid w:val="00F54949"/>
    <w:rsid w:val="00F556DF"/>
    <w:rsid w:val="00F5589C"/>
    <w:rsid w:val="00F57FAD"/>
    <w:rsid w:val="00F608FE"/>
    <w:rsid w:val="00F60C62"/>
    <w:rsid w:val="00F61598"/>
    <w:rsid w:val="00F6328E"/>
    <w:rsid w:val="00F64462"/>
    <w:rsid w:val="00F650E7"/>
    <w:rsid w:val="00F652BE"/>
    <w:rsid w:val="00F65515"/>
    <w:rsid w:val="00F65649"/>
    <w:rsid w:val="00F65B75"/>
    <w:rsid w:val="00F6613F"/>
    <w:rsid w:val="00F66716"/>
    <w:rsid w:val="00F66D35"/>
    <w:rsid w:val="00F67A75"/>
    <w:rsid w:val="00F72091"/>
    <w:rsid w:val="00F722ED"/>
    <w:rsid w:val="00F75524"/>
    <w:rsid w:val="00F75B7F"/>
    <w:rsid w:val="00F7636B"/>
    <w:rsid w:val="00F775D2"/>
    <w:rsid w:val="00F77FD7"/>
    <w:rsid w:val="00F802A8"/>
    <w:rsid w:val="00F80D98"/>
    <w:rsid w:val="00F826B9"/>
    <w:rsid w:val="00F8422C"/>
    <w:rsid w:val="00F84B44"/>
    <w:rsid w:val="00F87BF1"/>
    <w:rsid w:val="00F9103D"/>
    <w:rsid w:val="00F93D5A"/>
    <w:rsid w:val="00F945F6"/>
    <w:rsid w:val="00F946E9"/>
    <w:rsid w:val="00F94DA9"/>
    <w:rsid w:val="00F954C0"/>
    <w:rsid w:val="00F963A4"/>
    <w:rsid w:val="00F96943"/>
    <w:rsid w:val="00F97A29"/>
    <w:rsid w:val="00F97A73"/>
    <w:rsid w:val="00FA072B"/>
    <w:rsid w:val="00FA076A"/>
    <w:rsid w:val="00FA0F5E"/>
    <w:rsid w:val="00FA1252"/>
    <w:rsid w:val="00FA17C6"/>
    <w:rsid w:val="00FA2195"/>
    <w:rsid w:val="00FA2283"/>
    <w:rsid w:val="00FA25F4"/>
    <w:rsid w:val="00FA2AC4"/>
    <w:rsid w:val="00FA52A5"/>
    <w:rsid w:val="00FA6126"/>
    <w:rsid w:val="00FA7378"/>
    <w:rsid w:val="00FB0A7D"/>
    <w:rsid w:val="00FB1028"/>
    <w:rsid w:val="00FB1945"/>
    <w:rsid w:val="00FB2032"/>
    <w:rsid w:val="00FB2406"/>
    <w:rsid w:val="00FB33B7"/>
    <w:rsid w:val="00FB434A"/>
    <w:rsid w:val="00FB4972"/>
    <w:rsid w:val="00FC0B65"/>
    <w:rsid w:val="00FC0DD7"/>
    <w:rsid w:val="00FC3BE1"/>
    <w:rsid w:val="00FC4307"/>
    <w:rsid w:val="00FC4B04"/>
    <w:rsid w:val="00FC62F7"/>
    <w:rsid w:val="00FC649A"/>
    <w:rsid w:val="00FC65B3"/>
    <w:rsid w:val="00FC70CF"/>
    <w:rsid w:val="00FC7292"/>
    <w:rsid w:val="00FC7EAB"/>
    <w:rsid w:val="00FD0221"/>
    <w:rsid w:val="00FD05A1"/>
    <w:rsid w:val="00FD0AAF"/>
    <w:rsid w:val="00FD1C08"/>
    <w:rsid w:val="00FD359A"/>
    <w:rsid w:val="00FD3787"/>
    <w:rsid w:val="00FD37D7"/>
    <w:rsid w:val="00FD380C"/>
    <w:rsid w:val="00FD38E5"/>
    <w:rsid w:val="00FD5F01"/>
    <w:rsid w:val="00FD6252"/>
    <w:rsid w:val="00FD6425"/>
    <w:rsid w:val="00FD72DE"/>
    <w:rsid w:val="00FE1212"/>
    <w:rsid w:val="00FE25E2"/>
    <w:rsid w:val="00FE26D5"/>
    <w:rsid w:val="00FE2FEC"/>
    <w:rsid w:val="00FE3576"/>
    <w:rsid w:val="00FE361C"/>
    <w:rsid w:val="00FE3698"/>
    <w:rsid w:val="00FE3E4D"/>
    <w:rsid w:val="00FE4CE7"/>
    <w:rsid w:val="00FE4D83"/>
    <w:rsid w:val="00FE665B"/>
    <w:rsid w:val="00FE69E1"/>
    <w:rsid w:val="00FE7D0B"/>
    <w:rsid w:val="00FF0805"/>
    <w:rsid w:val="00FF27DD"/>
    <w:rsid w:val="00FF2959"/>
    <w:rsid w:val="00FF4E59"/>
    <w:rsid w:val="00FF5E69"/>
    <w:rsid w:val="00FF67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1EF1E8"/>
  <w15:chartTrackingRefBased/>
  <w15:docId w15:val="{3491284E-809E-4F68-AA30-36CAF7184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ne number"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3482"/>
    <w:rPr>
      <w:sz w:val="24"/>
      <w:szCs w:val="24"/>
      <w:lang w:eastAsia="en-US"/>
    </w:rPr>
  </w:style>
  <w:style w:type="paragraph" w:styleId="Heading1">
    <w:name w:val="heading 1"/>
    <w:aliases w:val="Heading 1 Accounts"/>
    <w:basedOn w:val="Normal"/>
    <w:next w:val="Normal"/>
    <w:link w:val="Heading1Char"/>
    <w:uiPriority w:val="9"/>
    <w:qFormat/>
    <w:rsid w:val="00CF3300"/>
    <w:pPr>
      <w:keepNext/>
      <w:outlineLvl w:val="0"/>
    </w:pPr>
    <w:rPr>
      <w:rFonts w:ascii="Arial" w:hAnsi="Arial" w:cs="Arial"/>
      <w:sz w:val="56"/>
    </w:rPr>
  </w:style>
  <w:style w:type="paragraph" w:styleId="Heading2">
    <w:name w:val="heading 2"/>
    <w:aliases w:val="Heading 2 Accounts"/>
    <w:basedOn w:val="Heading3"/>
    <w:next w:val="Normal"/>
    <w:link w:val="Heading2Char"/>
    <w:uiPriority w:val="9"/>
    <w:qFormat/>
    <w:rsid w:val="00B86CD5"/>
    <w:pPr>
      <w:outlineLvl w:val="1"/>
    </w:pPr>
  </w:style>
  <w:style w:type="paragraph" w:styleId="Heading3">
    <w:name w:val="heading 3"/>
    <w:aliases w:val="Heading 3 Accounts"/>
    <w:basedOn w:val="Normal"/>
    <w:next w:val="Normal"/>
    <w:link w:val="Heading3Char"/>
    <w:uiPriority w:val="9"/>
    <w:qFormat/>
    <w:rsid w:val="00CF3300"/>
    <w:pPr>
      <w:keepNext/>
      <w:spacing w:before="240" w:after="60"/>
      <w:outlineLvl w:val="2"/>
    </w:pPr>
    <w:rPr>
      <w:rFonts w:ascii="Arial" w:hAnsi="Arial" w:cs="Arial"/>
      <w:b/>
      <w:bCs/>
      <w:sz w:val="26"/>
      <w:szCs w:val="26"/>
    </w:rPr>
  </w:style>
  <w:style w:type="paragraph" w:styleId="Heading4">
    <w:name w:val="heading 4"/>
    <w:basedOn w:val="paragraph"/>
    <w:link w:val="Heading4Char"/>
    <w:uiPriority w:val="9"/>
    <w:qFormat/>
    <w:rsid w:val="00B86CD5"/>
    <w:pPr>
      <w:numPr>
        <w:numId w:val="47"/>
      </w:numPr>
      <w:spacing w:before="0" w:beforeAutospacing="0" w:after="160" w:afterAutospacing="0"/>
      <w:ind w:left="426" w:hanging="426"/>
      <w:textAlignment w:val="baseline"/>
      <w:outlineLvl w:val="3"/>
    </w:pPr>
    <w:rPr>
      <w:rFonts w:ascii="Arial" w:eastAsia="Yu Mincho" w:hAnsi="Arial" w:cs="Arial"/>
      <w:i/>
      <w:iCs/>
    </w:rPr>
  </w:style>
  <w:style w:type="paragraph" w:styleId="Heading5">
    <w:name w:val="heading 5"/>
    <w:aliases w:val="Heading 5 Table Title"/>
    <w:basedOn w:val="Normal"/>
    <w:next w:val="Normal"/>
    <w:link w:val="Heading5Char"/>
    <w:uiPriority w:val="9"/>
    <w:qFormat/>
    <w:rsid w:val="00CF3300"/>
    <w:pPr>
      <w:keepNext/>
      <w:outlineLvl w:val="4"/>
    </w:pPr>
    <w:rPr>
      <w:rFonts w:ascii="Arial" w:hAnsi="Arial"/>
      <w:b/>
      <w:bCs/>
    </w:rPr>
  </w:style>
  <w:style w:type="paragraph" w:styleId="Heading6">
    <w:name w:val="heading 6"/>
    <w:basedOn w:val="Heading5"/>
    <w:next w:val="Normal"/>
    <w:link w:val="Heading6Char"/>
    <w:qFormat/>
    <w:rsid w:val="00924E51"/>
    <w:pPr>
      <w:outlineLvl w:val="5"/>
    </w:pPr>
  </w:style>
  <w:style w:type="paragraph" w:styleId="Heading7">
    <w:name w:val="heading 7"/>
    <w:basedOn w:val="Normal"/>
    <w:next w:val="Normal"/>
    <w:link w:val="Heading7Char"/>
    <w:uiPriority w:val="9"/>
    <w:semiHidden/>
    <w:unhideWhenUsed/>
    <w:qFormat/>
    <w:rsid w:val="000F3752"/>
    <w:pPr>
      <w:tabs>
        <w:tab w:val="num" w:pos="5040"/>
      </w:tabs>
      <w:spacing w:before="240" w:after="60"/>
      <w:ind w:left="5040" w:hanging="720"/>
      <w:outlineLvl w:val="6"/>
    </w:pPr>
    <w:rPr>
      <w:rFonts w:asciiTheme="minorHAnsi" w:eastAsiaTheme="minorEastAsia" w:hAnsiTheme="minorHAnsi" w:cstheme="minorBidi"/>
      <w:lang w:val="en-US"/>
    </w:rPr>
  </w:style>
  <w:style w:type="paragraph" w:styleId="Heading8">
    <w:name w:val="heading 8"/>
    <w:basedOn w:val="Normal"/>
    <w:next w:val="Normal"/>
    <w:link w:val="Heading8Char"/>
    <w:uiPriority w:val="9"/>
    <w:semiHidden/>
    <w:unhideWhenUsed/>
    <w:qFormat/>
    <w:rsid w:val="000F3752"/>
    <w:pPr>
      <w:tabs>
        <w:tab w:val="num" w:pos="5760"/>
      </w:tabs>
      <w:spacing w:before="240" w:after="60"/>
      <w:ind w:left="5760" w:hanging="720"/>
      <w:outlineLvl w:val="7"/>
    </w:pPr>
    <w:rPr>
      <w:rFonts w:asciiTheme="minorHAnsi" w:eastAsiaTheme="minorEastAsia" w:hAnsiTheme="minorHAnsi" w:cstheme="minorBidi"/>
      <w:i/>
      <w:iCs/>
      <w:lang w:val="en-US"/>
    </w:rPr>
  </w:style>
  <w:style w:type="paragraph" w:styleId="Heading9">
    <w:name w:val="heading 9"/>
    <w:basedOn w:val="Normal"/>
    <w:next w:val="Normal"/>
    <w:link w:val="Heading9Char"/>
    <w:uiPriority w:val="9"/>
    <w:semiHidden/>
    <w:unhideWhenUsed/>
    <w:qFormat/>
    <w:rsid w:val="000F3752"/>
    <w:pPr>
      <w:tabs>
        <w:tab w:val="num" w:pos="6480"/>
      </w:tabs>
      <w:spacing w:before="240" w:after="60"/>
      <w:ind w:left="6480" w:hanging="720"/>
      <w:outlineLvl w:val="8"/>
    </w:pPr>
    <w:rPr>
      <w:rFonts w:asciiTheme="majorHAnsi" w:eastAsiaTheme="majorEastAsia" w:hAnsiTheme="majorHAnsi" w:cstheme="maj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F3300"/>
    <w:rPr>
      <w:rFonts w:ascii="Arial" w:hAnsi="Arial" w:cs="Arial"/>
      <w:sz w:val="72"/>
    </w:rPr>
  </w:style>
  <w:style w:type="paragraph" w:styleId="BodyText2">
    <w:name w:val="Body Text 2"/>
    <w:basedOn w:val="Normal"/>
    <w:link w:val="BodyText2Char"/>
    <w:rsid w:val="00CF3300"/>
    <w:rPr>
      <w:sz w:val="28"/>
    </w:rPr>
  </w:style>
  <w:style w:type="paragraph" w:styleId="Header">
    <w:name w:val="header"/>
    <w:basedOn w:val="Normal"/>
    <w:link w:val="HeaderChar"/>
    <w:uiPriority w:val="99"/>
    <w:rsid w:val="00CF3300"/>
    <w:pPr>
      <w:tabs>
        <w:tab w:val="center" w:pos="4153"/>
        <w:tab w:val="right" w:pos="8306"/>
      </w:tabs>
    </w:pPr>
    <w:rPr>
      <w:rFonts w:ascii="Arial" w:hAnsi="Arial"/>
    </w:rPr>
  </w:style>
  <w:style w:type="paragraph" w:styleId="Footer">
    <w:name w:val="footer"/>
    <w:basedOn w:val="Normal"/>
    <w:link w:val="FooterChar"/>
    <w:uiPriority w:val="99"/>
    <w:rsid w:val="00CF3300"/>
    <w:pPr>
      <w:tabs>
        <w:tab w:val="center" w:pos="4153"/>
        <w:tab w:val="right" w:pos="8306"/>
      </w:tabs>
    </w:pPr>
    <w:rPr>
      <w:rFonts w:ascii="Arial" w:hAnsi="Arial"/>
    </w:rPr>
  </w:style>
  <w:style w:type="character" w:styleId="PageNumber">
    <w:name w:val="page number"/>
    <w:basedOn w:val="DefaultParagraphFont"/>
    <w:rsid w:val="00CF3300"/>
  </w:style>
  <w:style w:type="paragraph" w:customStyle="1" w:styleId="SubHeader">
    <w:name w:val="Sub Header"/>
    <w:basedOn w:val="Heading3"/>
    <w:rsid w:val="00CF3300"/>
  </w:style>
  <w:style w:type="character" w:styleId="Hyperlink">
    <w:name w:val="Hyperlink"/>
    <w:uiPriority w:val="99"/>
    <w:rsid w:val="00CF3300"/>
    <w:rPr>
      <w:color w:val="0000FF"/>
      <w:u w:val="single"/>
    </w:rPr>
  </w:style>
  <w:style w:type="paragraph" w:styleId="NormalWeb">
    <w:name w:val="Normal (Web)"/>
    <w:basedOn w:val="Normal"/>
    <w:rsid w:val="00CF3300"/>
    <w:pPr>
      <w:spacing w:before="100" w:beforeAutospacing="1" w:after="100" w:afterAutospacing="1"/>
    </w:pPr>
    <w:rPr>
      <w:lang w:eastAsia="en-GB"/>
    </w:rPr>
  </w:style>
  <w:style w:type="paragraph" w:styleId="NoSpacing">
    <w:name w:val="No Spacing"/>
    <w:link w:val="NoSpacingChar"/>
    <w:uiPriority w:val="1"/>
    <w:qFormat/>
    <w:rsid w:val="00CF3300"/>
    <w:rPr>
      <w:rFonts w:ascii="Calibri" w:hAnsi="Calibri"/>
      <w:sz w:val="22"/>
      <w:szCs w:val="22"/>
      <w:lang w:eastAsia="en-US"/>
    </w:rPr>
  </w:style>
  <w:style w:type="character" w:customStyle="1" w:styleId="SubHeaderChar">
    <w:name w:val="Sub Header Char"/>
    <w:rsid w:val="00CF3300"/>
    <w:rPr>
      <w:rFonts w:ascii="Arial" w:hAnsi="Arial" w:cs="Arial"/>
      <w:b/>
      <w:bCs/>
      <w:sz w:val="26"/>
      <w:szCs w:val="26"/>
      <w:lang w:val="en-GB" w:eastAsia="en-US" w:bidi="ar-SA"/>
    </w:rPr>
  </w:style>
  <w:style w:type="character" w:customStyle="1" w:styleId="Heading3Char">
    <w:name w:val="Heading 3 Char"/>
    <w:aliases w:val="Heading 3 Accounts Char"/>
    <w:link w:val="Heading3"/>
    <w:uiPriority w:val="9"/>
    <w:rsid w:val="00CF3300"/>
    <w:rPr>
      <w:rFonts w:ascii="Arial" w:hAnsi="Arial" w:cs="Arial"/>
      <w:b/>
      <w:bCs/>
      <w:sz w:val="26"/>
      <w:szCs w:val="26"/>
      <w:lang w:val="en-GB" w:eastAsia="en-US" w:bidi="ar-SA"/>
    </w:rPr>
  </w:style>
  <w:style w:type="paragraph" w:styleId="ListParagraph">
    <w:name w:val="List Paragraph"/>
    <w:aliases w:val="cv list paragraph,List Paragraph1,Table Text,List Paragraph_Table text,Table text,Table text + Justified,L....,EiB Main bullet,Dot pt,No Spacing1,List Paragraph Char Char Char,Indicator Text,Numbered Para 1,Bullet 1,F5 List Paragraph"/>
    <w:basedOn w:val="Normal"/>
    <w:link w:val="ListParagraphChar"/>
    <w:uiPriority w:val="34"/>
    <w:qFormat/>
    <w:rsid w:val="00575573"/>
    <w:pPr>
      <w:spacing w:after="200" w:line="276" w:lineRule="auto"/>
      <w:ind w:left="720"/>
      <w:contextualSpacing/>
    </w:pPr>
    <w:rPr>
      <w:rFonts w:ascii="Calibri" w:hAnsi="Calibri"/>
      <w:sz w:val="22"/>
      <w:szCs w:val="22"/>
      <w:lang w:eastAsia="en-GB"/>
    </w:rPr>
  </w:style>
  <w:style w:type="paragraph" w:styleId="Title">
    <w:name w:val="Title"/>
    <w:basedOn w:val="Normal"/>
    <w:link w:val="TitleChar"/>
    <w:qFormat/>
    <w:rsid w:val="00575573"/>
    <w:pPr>
      <w:tabs>
        <w:tab w:val="left" w:pos="1134"/>
      </w:tabs>
      <w:jc w:val="center"/>
    </w:pPr>
    <w:rPr>
      <w:b/>
      <w:sz w:val="28"/>
      <w:szCs w:val="20"/>
      <w:lang w:val="en-US"/>
    </w:rPr>
  </w:style>
  <w:style w:type="character" w:customStyle="1" w:styleId="TitleChar">
    <w:name w:val="Title Char"/>
    <w:link w:val="Title"/>
    <w:rsid w:val="00575573"/>
    <w:rPr>
      <w:b/>
      <w:sz w:val="28"/>
      <w:lang w:val="en-US" w:eastAsia="en-US" w:bidi="ar-SA"/>
    </w:rPr>
  </w:style>
  <w:style w:type="paragraph" w:customStyle="1" w:styleId="1AGMAHeading1">
    <w:name w:val="#1 AGMA Heading 1"/>
    <w:next w:val="2AGMAHeading2"/>
    <w:qFormat/>
    <w:rsid w:val="004D1848"/>
    <w:pPr>
      <w:numPr>
        <w:numId w:val="5"/>
      </w:numPr>
      <w:spacing w:before="480" w:after="480"/>
      <w:jc w:val="both"/>
    </w:pPr>
    <w:rPr>
      <w:rFonts w:ascii="Arial" w:hAnsi="Arial" w:cs="Arial"/>
      <w:b/>
      <w:sz w:val="24"/>
      <w:szCs w:val="24"/>
    </w:rPr>
  </w:style>
  <w:style w:type="paragraph" w:customStyle="1" w:styleId="2AGMAHeading2">
    <w:name w:val="#2 AGMA Heading 2"/>
    <w:basedOn w:val="1AGMAHeading1"/>
    <w:qFormat/>
    <w:rsid w:val="004D1848"/>
    <w:pPr>
      <w:numPr>
        <w:ilvl w:val="1"/>
      </w:numPr>
      <w:spacing w:before="240" w:after="240"/>
    </w:pPr>
    <w:rPr>
      <w:b w:val="0"/>
    </w:rPr>
  </w:style>
  <w:style w:type="paragraph" w:customStyle="1" w:styleId="3AGMAHeading3">
    <w:name w:val="#3 AGMA Heading 3"/>
    <w:basedOn w:val="2AGMAHeading2"/>
    <w:qFormat/>
    <w:rsid w:val="004D1848"/>
    <w:pPr>
      <w:numPr>
        <w:ilvl w:val="2"/>
      </w:numPr>
    </w:pPr>
  </w:style>
  <w:style w:type="paragraph" w:customStyle="1" w:styleId="4AGMABullet1">
    <w:name w:val="#4 AGMA Bullet 1"/>
    <w:basedOn w:val="3AGMAHeading3"/>
    <w:qFormat/>
    <w:rsid w:val="004D1848"/>
    <w:pPr>
      <w:numPr>
        <w:ilvl w:val="3"/>
      </w:numPr>
      <w:spacing w:before="120" w:after="120"/>
    </w:pPr>
  </w:style>
  <w:style w:type="paragraph" w:customStyle="1" w:styleId="5AGMABullet2">
    <w:name w:val="#5 AGMA Bullet 2"/>
    <w:basedOn w:val="4AGMABullet1"/>
    <w:qFormat/>
    <w:rsid w:val="004D1848"/>
    <w:pPr>
      <w:numPr>
        <w:ilvl w:val="4"/>
      </w:numPr>
    </w:pPr>
  </w:style>
  <w:style w:type="paragraph" w:customStyle="1" w:styleId="6AGMARecommendations">
    <w:name w:val="#6 AGMA Recommendations"/>
    <w:basedOn w:val="5AGMABullet2"/>
    <w:qFormat/>
    <w:rsid w:val="004D1848"/>
    <w:pPr>
      <w:numPr>
        <w:ilvl w:val="5"/>
      </w:numPr>
      <w:ind w:left="2041" w:hanging="510"/>
    </w:pPr>
  </w:style>
  <w:style w:type="numbering" w:customStyle="1" w:styleId="AGMAList">
    <w:name w:val="# AGMA List"/>
    <w:rsid w:val="004D1848"/>
    <w:pPr>
      <w:numPr>
        <w:numId w:val="5"/>
      </w:numPr>
    </w:pPr>
  </w:style>
  <w:style w:type="table" w:styleId="TableGrid">
    <w:name w:val="Table Grid"/>
    <w:basedOn w:val="TableNormal"/>
    <w:uiPriority w:val="39"/>
    <w:rsid w:val="00324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6">
    <w:name w:val="Imported Style 16"/>
    <w:rsid w:val="002A1BED"/>
    <w:pPr>
      <w:numPr>
        <w:numId w:val="6"/>
      </w:numPr>
    </w:pPr>
  </w:style>
  <w:style w:type="paragraph" w:styleId="Revision">
    <w:name w:val="Revision"/>
    <w:hidden/>
    <w:uiPriority w:val="99"/>
    <w:semiHidden/>
    <w:rsid w:val="00655251"/>
    <w:rPr>
      <w:sz w:val="24"/>
      <w:szCs w:val="24"/>
      <w:lang w:eastAsia="en-US"/>
    </w:rPr>
  </w:style>
  <w:style w:type="character" w:styleId="CommentReference">
    <w:name w:val="annotation reference"/>
    <w:basedOn w:val="DefaultParagraphFont"/>
    <w:uiPriority w:val="99"/>
    <w:rsid w:val="00EE0174"/>
    <w:rPr>
      <w:sz w:val="16"/>
      <w:szCs w:val="16"/>
    </w:rPr>
  </w:style>
  <w:style w:type="paragraph" w:styleId="CommentText">
    <w:name w:val="annotation text"/>
    <w:basedOn w:val="Normal"/>
    <w:link w:val="CommentTextChar"/>
    <w:rsid w:val="00EE0174"/>
    <w:rPr>
      <w:sz w:val="20"/>
      <w:szCs w:val="20"/>
    </w:rPr>
  </w:style>
  <w:style w:type="character" w:customStyle="1" w:styleId="CommentTextChar">
    <w:name w:val="Comment Text Char"/>
    <w:basedOn w:val="DefaultParagraphFont"/>
    <w:link w:val="CommentText"/>
    <w:rsid w:val="00EE0174"/>
    <w:rPr>
      <w:lang w:eastAsia="en-US"/>
    </w:rPr>
  </w:style>
  <w:style w:type="paragraph" w:styleId="CommentSubject">
    <w:name w:val="annotation subject"/>
    <w:basedOn w:val="CommentText"/>
    <w:next w:val="CommentText"/>
    <w:link w:val="CommentSubjectChar"/>
    <w:uiPriority w:val="99"/>
    <w:rsid w:val="00EE0174"/>
    <w:rPr>
      <w:b/>
      <w:bCs/>
    </w:rPr>
  </w:style>
  <w:style w:type="character" w:customStyle="1" w:styleId="CommentSubjectChar">
    <w:name w:val="Comment Subject Char"/>
    <w:basedOn w:val="CommentTextChar"/>
    <w:link w:val="CommentSubject"/>
    <w:uiPriority w:val="99"/>
    <w:rsid w:val="00EE0174"/>
    <w:rPr>
      <w:b/>
      <w:bCs/>
      <w:lang w:eastAsia="en-US"/>
    </w:rPr>
  </w:style>
  <w:style w:type="paragraph" w:styleId="BalloonText">
    <w:name w:val="Balloon Text"/>
    <w:basedOn w:val="Normal"/>
    <w:link w:val="BalloonTextChar"/>
    <w:uiPriority w:val="99"/>
    <w:rsid w:val="00EE0174"/>
    <w:rPr>
      <w:rFonts w:ascii="Segoe UI" w:hAnsi="Segoe UI" w:cs="Segoe UI"/>
      <w:sz w:val="18"/>
      <w:szCs w:val="18"/>
    </w:rPr>
  </w:style>
  <w:style w:type="character" w:customStyle="1" w:styleId="BalloonTextChar">
    <w:name w:val="Balloon Text Char"/>
    <w:basedOn w:val="DefaultParagraphFont"/>
    <w:link w:val="BalloonText"/>
    <w:uiPriority w:val="99"/>
    <w:rsid w:val="00EE0174"/>
    <w:rPr>
      <w:rFonts w:ascii="Segoe UI" w:hAnsi="Segoe UI" w:cs="Segoe UI"/>
      <w:sz w:val="18"/>
      <w:szCs w:val="18"/>
      <w:lang w:eastAsia="en-US"/>
    </w:rPr>
  </w:style>
  <w:style w:type="paragraph" w:styleId="IntenseQuote">
    <w:name w:val="Intense Quote"/>
    <w:basedOn w:val="Normal"/>
    <w:next w:val="Normal"/>
    <w:link w:val="IntenseQuoteChar"/>
    <w:uiPriority w:val="30"/>
    <w:qFormat/>
    <w:rsid w:val="008649F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649F9"/>
    <w:rPr>
      <w:i/>
      <w:iCs/>
      <w:color w:val="5B9BD5" w:themeColor="accent1"/>
      <w:sz w:val="24"/>
      <w:szCs w:val="24"/>
      <w:lang w:eastAsia="en-US"/>
    </w:rPr>
  </w:style>
  <w:style w:type="character" w:customStyle="1" w:styleId="FooterChar">
    <w:name w:val="Footer Char"/>
    <w:basedOn w:val="DefaultParagraphFont"/>
    <w:link w:val="Footer"/>
    <w:uiPriority w:val="99"/>
    <w:rsid w:val="00CB4F58"/>
    <w:rPr>
      <w:rFonts w:ascii="Arial" w:hAnsi="Arial"/>
      <w:sz w:val="24"/>
      <w:szCs w:val="24"/>
      <w:lang w:eastAsia="en-US"/>
    </w:rPr>
  </w:style>
  <w:style w:type="character" w:customStyle="1" w:styleId="Heading4Char">
    <w:name w:val="Heading 4 Char"/>
    <w:basedOn w:val="DefaultParagraphFont"/>
    <w:link w:val="Heading4"/>
    <w:uiPriority w:val="9"/>
    <w:rsid w:val="00B86CD5"/>
    <w:rPr>
      <w:rFonts w:ascii="Arial" w:eastAsia="Yu Mincho" w:hAnsi="Arial" w:cs="Arial"/>
      <w:i/>
      <w:iCs/>
      <w:sz w:val="24"/>
      <w:szCs w:val="24"/>
    </w:rPr>
  </w:style>
  <w:style w:type="character" w:customStyle="1" w:styleId="Heading1Char">
    <w:name w:val="Heading 1 Char"/>
    <w:aliases w:val="Heading 1 Accounts Char"/>
    <w:basedOn w:val="DefaultParagraphFont"/>
    <w:link w:val="Heading1"/>
    <w:uiPriority w:val="9"/>
    <w:rsid w:val="00322485"/>
    <w:rPr>
      <w:rFonts w:ascii="Arial" w:hAnsi="Arial" w:cs="Arial"/>
      <w:sz w:val="56"/>
      <w:szCs w:val="24"/>
      <w:lang w:eastAsia="en-US"/>
    </w:rPr>
  </w:style>
  <w:style w:type="character" w:customStyle="1" w:styleId="Heading2Char">
    <w:name w:val="Heading 2 Char"/>
    <w:aliases w:val="Heading 2 Accounts Char"/>
    <w:basedOn w:val="DefaultParagraphFont"/>
    <w:link w:val="Heading2"/>
    <w:uiPriority w:val="9"/>
    <w:rsid w:val="00B86CD5"/>
    <w:rPr>
      <w:rFonts w:ascii="Arial" w:hAnsi="Arial" w:cs="Arial"/>
      <w:b/>
      <w:bCs/>
      <w:sz w:val="26"/>
      <w:szCs w:val="26"/>
      <w:lang w:eastAsia="en-US"/>
    </w:rPr>
  </w:style>
  <w:style w:type="character" w:customStyle="1" w:styleId="Heading5Char">
    <w:name w:val="Heading 5 Char"/>
    <w:aliases w:val="Heading 5 Table Title Char"/>
    <w:basedOn w:val="DefaultParagraphFont"/>
    <w:link w:val="Heading5"/>
    <w:uiPriority w:val="9"/>
    <w:rsid w:val="00322485"/>
    <w:rPr>
      <w:rFonts w:ascii="Arial" w:hAnsi="Arial"/>
      <w:b/>
      <w:bCs/>
      <w:sz w:val="24"/>
      <w:szCs w:val="24"/>
      <w:lang w:eastAsia="en-US"/>
    </w:rPr>
  </w:style>
  <w:style w:type="character" w:customStyle="1" w:styleId="Heading6Char">
    <w:name w:val="Heading 6 Char"/>
    <w:basedOn w:val="DefaultParagraphFont"/>
    <w:link w:val="Heading6"/>
    <w:rsid w:val="00924E51"/>
    <w:rPr>
      <w:rFonts w:ascii="Arial" w:hAnsi="Arial"/>
      <w:b/>
      <w:bCs/>
      <w:sz w:val="24"/>
      <w:szCs w:val="24"/>
      <w:lang w:eastAsia="en-US"/>
    </w:rPr>
  </w:style>
  <w:style w:type="character" w:customStyle="1" w:styleId="BodyTextChar">
    <w:name w:val="Body Text Char"/>
    <w:basedOn w:val="DefaultParagraphFont"/>
    <w:link w:val="BodyText"/>
    <w:uiPriority w:val="99"/>
    <w:rsid w:val="00322485"/>
    <w:rPr>
      <w:rFonts w:ascii="Arial" w:hAnsi="Arial" w:cs="Arial"/>
      <w:sz w:val="72"/>
      <w:szCs w:val="24"/>
      <w:lang w:eastAsia="en-US"/>
    </w:rPr>
  </w:style>
  <w:style w:type="paragraph" w:customStyle="1" w:styleId="TableParagraph">
    <w:name w:val="Table Paragraph"/>
    <w:basedOn w:val="Normal"/>
    <w:uiPriority w:val="99"/>
    <w:rsid w:val="00322485"/>
    <w:pPr>
      <w:widowControl w:val="0"/>
    </w:pPr>
    <w:rPr>
      <w:rFonts w:ascii="Palatino Linotype" w:eastAsia="Palatino Linotype" w:hAnsi="Palatino Linotype"/>
      <w:sz w:val="22"/>
      <w:szCs w:val="22"/>
      <w:lang w:val="en-US"/>
    </w:rPr>
  </w:style>
  <w:style w:type="character" w:customStyle="1" w:styleId="HeaderChar">
    <w:name w:val="Header Char"/>
    <w:basedOn w:val="DefaultParagraphFont"/>
    <w:link w:val="Header"/>
    <w:uiPriority w:val="99"/>
    <w:rsid w:val="00322485"/>
    <w:rPr>
      <w:rFonts w:ascii="Arial" w:hAnsi="Arial"/>
      <w:sz w:val="24"/>
      <w:szCs w:val="24"/>
      <w:lang w:eastAsia="en-US"/>
    </w:rPr>
  </w:style>
  <w:style w:type="character" w:styleId="FollowedHyperlink">
    <w:name w:val="FollowedHyperlink"/>
    <w:uiPriority w:val="99"/>
    <w:rsid w:val="00322485"/>
    <w:rPr>
      <w:rFonts w:cs="Times New Roman"/>
      <w:color w:val="B2B2B2"/>
      <w:u w:val="single"/>
    </w:rPr>
  </w:style>
  <w:style w:type="character" w:customStyle="1" w:styleId="NoSpacingChar">
    <w:name w:val="No Spacing Char"/>
    <w:link w:val="NoSpacing"/>
    <w:uiPriority w:val="1"/>
    <w:locked/>
    <w:rsid w:val="00322485"/>
    <w:rPr>
      <w:rFonts w:ascii="Calibri" w:hAnsi="Calibri"/>
      <w:sz w:val="22"/>
      <w:szCs w:val="22"/>
      <w:lang w:eastAsia="en-US"/>
    </w:rPr>
  </w:style>
  <w:style w:type="paragraph" w:customStyle="1" w:styleId="FooterRight">
    <w:name w:val="Footer Right"/>
    <w:basedOn w:val="Footer"/>
    <w:uiPriority w:val="99"/>
    <w:rsid w:val="00322485"/>
    <w:pPr>
      <w:pBdr>
        <w:top w:val="dashed" w:sz="4" w:space="18" w:color="7F7F7F"/>
      </w:pBdr>
      <w:tabs>
        <w:tab w:val="clear" w:pos="4153"/>
        <w:tab w:val="clear" w:pos="8306"/>
        <w:tab w:val="center" w:pos="4320"/>
        <w:tab w:val="right" w:pos="8640"/>
      </w:tabs>
      <w:spacing w:after="200"/>
      <w:contextualSpacing/>
      <w:jc w:val="right"/>
    </w:pPr>
    <w:rPr>
      <w:rFonts w:ascii="Palatino Linotype" w:eastAsia="Palatino Linotype" w:hAnsi="Palatino Linotype"/>
      <w:color w:val="7F7F7F"/>
      <w:sz w:val="20"/>
      <w:szCs w:val="18"/>
      <w:lang w:eastAsia="ja-JP"/>
    </w:rPr>
  </w:style>
  <w:style w:type="character" w:styleId="LineNumber">
    <w:name w:val="line number"/>
    <w:uiPriority w:val="99"/>
    <w:rsid w:val="00322485"/>
    <w:rPr>
      <w:rFonts w:cs="Times New Roman"/>
    </w:rPr>
  </w:style>
  <w:style w:type="paragraph" w:customStyle="1" w:styleId="DefaultText">
    <w:name w:val="Default Text"/>
    <w:basedOn w:val="Normal"/>
    <w:rsid w:val="004219F1"/>
    <w:pPr>
      <w:overflowPunct w:val="0"/>
      <w:autoSpaceDE w:val="0"/>
      <w:autoSpaceDN w:val="0"/>
      <w:adjustRightInd w:val="0"/>
      <w:textAlignment w:val="baseline"/>
    </w:pPr>
    <w:rPr>
      <w:color w:val="000000"/>
      <w:szCs w:val="20"/>
    </w:rPr>
  </w:style>
  <w:style w:type="paragraph" w:styleId="BodyText3">
    <w:name w:val="Body Text 3"/>
    <w:basedOn w:val="Normal"/>
    <w:link w:val="BodyText3Char"/>
    <w:rsid w:val="004A0A00"/>
    <w:pPr>
      <w:spacing w:after="120"/>
    </w:pPr>
    <w:rPr>
      <w:sz w:val="16"/>
      <w:szCs w:val="16"/>
    </w:rPr>
  </w:style>
  <w:style w:type="character" w:customStyle="1" w:styleId="BodyText3Char">
    <w:name w:val="Body Text 3 Char"/>
    <w:basedOn w:val="DefaultParagraphFont"/>
    <w:link w:val="BodyText3"/>
    <w:rsid w:val="004A0A00"/>
    <w:rPr>
      <w:sz w:val="16"/>
      <w:szCs w:val="16"/>
      <w:lang w:eastAsia="en-US"/>
    </w:rPr>
  </w:style>
  <w:style w:type="table" w:customStyle="1" w:styleId="TableGrid1">
    <w:name w:val="Table Grid1"/>
    <w:basedOn w:val="TableNormal"/>
    <w:next w:val="TableGrid"/>
    <w:uiPriority w:val="39"/>
    <w:rsid w:val="00EA2EB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82F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TfGMStandardDocumentText">
    <w:name w:val="#8 TfGM Standard Document Text"/>
    <w:link w:val="8TfGMStandardDocumentTextChar"/>
    <w:qFormat/>
    <w:rsid w:val="00BC0563"/>
    <w:pPr>
      <w:spacing w:after="240"/>
      <w:jc w:val="both"/>
    </w:pPr>
    <w:rPr>
      <w:rFonts w:ascii="Calibri" w:eastAsia="MS Mincho" w:hAnsi="Calibri" w:cs="Arial"/>
      <w:sz w:val="26"/>
      <w:szCs w:val="24"/>
    </w:rPr>
  </w:style>
  <w:style w:type="character" w:customStyle="1" w:styleId="8TfGMStandardDocumentTextChar">
    <w:name w:val="#8 TfGM Standard Document Text Char"/>
    <w:basedOn w:val="DefaultParagraphFont"/>
    <w:link w:val="8TfGMStandardDocumentText"/>
    <w:rsid w:val="00BC0563"/>
    <w:rPr>
      <w:rFonts w:ascii="Calibri" w:eastAsia="MS Mincho" w:hAnsi="Calibri" w:cs="Arial"/>
      <w:sz w:val="26"/>
      <w:szCs w:val="24"/>
    </w:rPr>
  </w:style>
  <w:style w:type="paragraph" w:styleId="FootnoteText">
    <w:name w:val="footnote text"/>
    <w:aliases w:val="EKOS Footnote Text,Fußnote"/>
    <w:basedOn w:val="Normal"/>
    <w:link w:val="FootnoteTextChar"/>
    <w:uiPriority w:val="99"/>
    <w:rsid w:val="008A3D2A"/>
    <w:rPr>
      <w:rFonts w:ascii="Arial" w:hAnsi="Arial"/>
      <w:sz w:val="20"/>
      <w:szCs w:val="20"/>
    </w:rPr>
  </w:style>
  <w:style w:type="character" w:customStyle="1" w:styleId="FootnoteTextChar">
    <w:name w:val="Footnote Text Char"/>
    <w:aliases w:val="EKOS Footnote Text Char,Fußnote Char"/>
    <w:basedOn w:val="DefaultParagraphFont"/>
    <w:link w:val="FootnoteText"/>
    <w:uiPriority w:val="99"/>
    <w:rsid w:val="008A3D2A"/>
    <w:rPr>
      <w:rFonts w:ascii="Arial" w:hAnsi="Arial"/>
      <w:lang w:eastAsia="en-US"/>
    </w:rPr>
  </w:style>
  <w:style w:type="character" w:styleId="FootnoteReference">
    <w:name w:val="footnote reference"/>
    <w:aliases w:val="Footnote Reference (caveat),Footnote Reference Number"/>
    <w:uiPriority w:val="99"/>
    <w:unhideWhenUsed/>
    <w:rsid w:val="008A3D2A"/>
    <w:rPr>
      <w:vertAlign w:val="superscript"/>
    </w:rPr>
  </w:style>
  <w:style w:type="paragraph" w:customStyle="1" w:styleId="inlinenormal">
    <w:name w:val="inlinenormal"/>
    <w:basedOn w:val="Normal"/>
    <w:rsid w:val="006E0C9A"/>
    <w:pPr>
      <w:autoSpaceDN w:val="0"/>
      <w:spacing w:before="120" w:after="60" w:line="264" w:lineRule="auto"/>
    </w:pPr>
    <w:rPr>
      <w:rFonts w:ascii="Arial" w:hAnsi="Arial" w:cs="Arial"/>
      <w:lang w:eastAsia="en-GB"/>
    </w:rPr>
  </w:style>
  <w:style w:type="character" w:styleId="Emphasis">
    <w:name w:val="Emphasis"/>
    <w:uiPriority w:val="20"/>
    <w:qFormat/>
    <w:rsid w:val="006E0C9A"/>
    <w:rPr>
      <w:i/>
      <w:iCs/>
    </w:rPr>
  </w:style>
  <w:style w:type="paragraph" w:customStyle="1" w:styleId="Default">
    <w:name w:val="Default"/>
    <w:rsid w:val="006E0C9A"/>
    <w:pPr>
      <w:autoSpaceDE w:val="0"/>
      <w:autoSpaceDN w:val="0"/>
      <w:adjustRightInd w:val="0"/>
    </w:pPr>
    <w:rPr>
      <w:rFonts w:ascii="Arial" w:hAnsi="Arial" w:cs="Arial"/>
      <w:color w:val="000000"/>
      <w:sz w:val="24"/>
      <w:szCs w:val="24"/>
    </w:rPr>
  </w:style>
  <w:style w:type="paragraph" w:customStyle="1" w:styleId="Normal0">
    <w:name w:val="Normal_0"/>
    <w:qFormat/>
    <w:rsid w:val="009D79B4"/>
    <w:pPr>
      <w:spacing w:line="254" w:lineRule="auto"/>
    </w:pPr>
    <w:rPr>
      <w:rFonts w:asciiTheme="minorHAnsi" w:eastAsiaTheme="minorHAnsi" w:hAnsiTheme="minorHAnsi" w:cstheme="minorBidi"/>
      <w:lang w:val="en-US" w:eastAsia="en-US"/>
    </w:rPr>
  </w:style>
  <w:style w:type="paragraph" w:customStyle="1" w:styleId="T1TableStyle">
    <w:name w:val="T1TableStyle"/>
    <w:rsid w:val="009A7095"/>
    <w:rPr>
      <w:rFonts w:asciiTheme="minorHAnsi" w:eastAsiaTheme="minorHAnsi" w:hAnsiTheme="minorHAnsi" w:cs="Arial"/>
      <w:lang w:val="en-US" w:eastAsia="en-US"/>
    </w:rPr>
  </w:style>
  <w:style w:type="paragraph" w:customStyle="1" w:styleId="TND">
    <w:name w:val="TN D"/>
    <w:basedOn w:val="Normal"/>
    <w:link w:val="TNDChar"/>
    <w:qFormat/>
    <w:rsid w:val="008F12E4"/>
    <w:pPr>
      <w:tabs>
        <w:tab w:val="decimal" w:pos="964"/>
      </w:tabs>
    </w:pPr>
    <w:rPr>
      <w:rFonts w:ascii="Arial" w:hAnsi="Arial" w:cs="Arial"/>
      <w:bCs/>
      <w:sz w:val="18"/>
      <w:szCs w:val="18"/>
      <w:lang w:eastAsia="en-GB"/>
    </w:rPr>
  </w:style>
  <w:style w:type="character" w:customStyle="1" w:styleId="TNDChar">
    <w:name w:val="TN D Char"/>
    <w:basedOn w:val="DefaultParagraphFont"/>
    <w:link w:val="TND"/>
    <w:rsid w:val="008F12E4"/>
    <w:rPr>
      <w:rFonts w:ascii="Arial" w:hAnsi="Arial" w:cs="Arial"/>
      <w:bCs/>
      <w:sz w:val="18"/>
      <w:szCs w:val="18"/>
    </w:rPr>
  </w:style>
  <w:style w:type="paragraph" w:customStyle="1" w:styleId="TTL">
    <w:name w:val="TT L"/>
    <w:basedOn w:val="Normal"/>
    <w:link w:val="TTLChar"/>
    <w:qFormat/>
    <w:rsid w:val="008F12E4"/>
    <w:rPr>
      <w:rFonts w:ascii="Arial" w:hAnsi="Arial" w:cs="Arial"/>
      <w:bCs/>
      <w:sz w:val="18"/>
      <w:szCs w:val="18"/>
      <w:lang w:eastAsia="en-GB"/>
    </w:rPr>
  </w:style>
  <w:style w:type="character" w:customStyle="1" w:styleId="TTLChar">
    <w:name w:val="TT L Char"/>
    <w:basedOn w:val="DefaultParagraphFont"/>
    <w:link w:val="TTL"/>
    <w:rsid w:val="008F12E4"/>
    <w:rPr>
      <w:rFonts w:ascii="Arial" w:hAnsi="Arial" w:cs="Arial"/>
      <w:bCs/>
      <w:sz w:val="18"/>
      <w:szCs w:val="18"/>
    </w:rPr>
  </w:style>
  <w:style w:type="paragraph" w:customStyle="1" w:styleId="THR">
    <w:name w:val="TH R"/>
    <w:basedOn w:val="Normal"/>
    <w:link w:val="THRChar"/>
    <w:qFormat/>
    <w:rsid w:val="00322755"/>
    <w:pPr>
      <w:tabs>
        <w:tab w:val="right" w:pos="964"/>
      </w:tabs>
      <w:jc w:val="right"/>
    </w:pPr>
    <w:rPr>
      <w:rFonts w:ascii="Arial" w:hAnsi="Arial" w:cs="Arial"/>
      <w:bCs/>
      <w:sz w:val="18"/>
      <w:szCs w:val="18"/>
      <w:lang w:eastAsia="en-GB"/>
    </w:rPr>
  </w:style>
  <w:style w:type="character" w:customStyle="1" w:styleId="THRChar">
    <w:name w:val="TH R Char"/>
    <w:basedOn w:val="DefaultParagraphFont"/>
    <w:link w:val="THR"/>
    <w:rsid w:val="00322755"/>
    <w:rPr>
      <w:rFonts w:ascii="Arial" w:hAnsi="Arial" w:cs="Arial"/>
      <w:bCs/>
      <w:sz w:val="18"/>
      <w:szCs w:val="18"/>
    </w:rPr>
  </w:style>
  <w:style w:type="paragraph" w:customStyle="1" w:styleId="AGS-Bullets">
    <w:name w:val="AGS - Bullets"/>
    <w:basedOn w:val="ListParagraph"/>
    <w:link w:val="AGS-BulletsChar"/>
    <w:qFormat/>
    <w:rsid w:val="00322755"/>
    <w:pPr>
      <w:numPr>
        <w:ilvl w:val="1"/>
        <w:numId w:val="28"/>
      </w:numPr>
      <w:spacing w:after="0" w:line="240" w:lineRule="auto"/>
      <w:ind w:left="567" w:hanging="567"/>
    </w:pPr>
    <w:rPr>
      <w:rFonts w:ascii="Arial" w:eastAsiaTheme="minorHAnsi" w:hAnsi="Arial" w:cs="Arial"/>
      <w:bCs/>
    </w:rPr>
  </w:style>
  <w:style w:type="character" w:customStyle="1" w:styleId="AGS-BulletsChar">
    <w:name w:val="AGS - Bullets Char"/>
    <w:basedOn w:val="DefaultParagraphFont"/>
    <w:link w:val="AGS-Bullets"/>
    <w:rsid w:val="00322755"/>
    <w:rPr>
      <w:rFonts w:ascii="Arial" w:eastAsiaTheme="minorHAnsi" w:hAnsi="Arial" w:cs="Arial"/>
      <w:bCs/>
      <w:sz w:val="22"/>
      <w:szCs w:val="22"/>
    </w:rPr>
  </w:style>
  <w:style w:type="character" w:customStyle="1" w:styleId="Heading7Char">
    <w:name w:val="Heading 7 Char"/>
    <w:basedOn w:val="DefaultParagraphFont"/>
    <w:link w:val="Heading7"/>
    <w:uiPriority w:val="9"/>
    <w:semiHidden/>
    <w:rsid w:val="000F3752"/>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0F3752"/>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0F3752"/>
    <w:rPr>
      <w:rFonts w:asciiTheme="majorHAnsi" w:eastAsiaTheme="majorEastAsia" w:hAnsiTheme="majorHAnsi" w:cstheme="majorBidi"/>
      <w:sz w:val="22"/>
      <w:szCs w:val="22"/>
      <w:lang w:val="en-US" w:eastAsia="en-US"/>
    </w:rPr>
  </w:style>
  <w:style w:type="paragraph" w:customStyle="1" w:styleId="Pa27">
    <w:name w:val="Pa27"/>
    <w:basedOn w:val="Default"/>
    <w:next w:val="Default"/>
    <w:uiPriority w:val="99"/>
    <w:rsid w:val="001E052C"/>
    <w:pPr>
      <w:spacing w:line="201" w:lineRule="atLeast"/>
    </w:pPr>
    <w:rPr>
      <w:rFonts w:ascii="FS Lola" w:hAnsi="FS Lola" w:cs="Times New Roman"/>
      <w:color w:val="auto"/>
    </w:rPr>
  </w:style>
  <w:style w:type="paragraph" w:customStyle="1" w:styleId="Pa12">
    <w:name w:val="Pa12"/>
    <w:basedOn w:val="Default"/>
    <w:next w:val="Default"/>
    <w:uiPriority w:val="99"/>
    <w:rsid w:val="00AC23B0"/>
    <w:pPr>
      <w:spacing w:line="231" w:lineRule="atLeast"/>
    </w:pPr>
    <w:rPr>
      <w:rFonts w:ascii="FS Lola" w:hAnsi="FS Lola" w:cs="Times New Roman"/>
      <w:color w:val="auto"/>
    </w:rPr>
  </w:style>
  <w:style w:type="paragraph" w:customStyle="1" w:styleId="Pa28">
    <w:name w:val="Pa28"/>
    <w:basedOn w:val="Default"/>
    <w:next w:val="Default"/>
    <w:uiPriority w:val="99"/>
    <w:rsid w:val="002D3571"/>
    <w:pPr>
      <w:spacing w:line="231" w:lineRule="atLeast"/>
    </w:pPr>
    <w:rPr>
      <w:rFonts w:ascii="FS Lola Medium" w:hAnsi="FS Lola Medium" w:cs="Times New Roman"/>
      <w:color w:val="auto"/>
    </w:rPr>
  </w:style>
  <w:style w:type="character" w:customStyle="1" w:styleId="A14">
    <w:name w:val="A14"/>
    <w:uiPriority w:val="99"/>
    <w:rsid w:val="002D3571"/>
    <w:rPr>
      <w:rFonts w:ascii="FS Lola" w:hAnsi="FS Lola" w:cs="FS Lola"/>
      <w:b/>
      <w:bCs/>
      <w:color w:val="000000"/>
      <w:sz w:val="16"/>
      <w:szCs w:val="16"/>
    </w:rPr>
  </w:style>
  <w:style w:type="paragraph" w:customStyle="1" w:styleId="Standard">
    <w:name w:val="Standard"/>
    <w:rsid w:val="00571049"/>
    <w:pPr>
      <w:suppressAutoHyphens/>
      <w:autoSpaceDN w:val="0"/>
      <w:textAlignment w:val="baseline"/>
    </w:pPr>
    <w:rPr>
      <w:rFonts w:ascii="Arial" w:hAnsi="Arial" w:cs="Arial"/>
      <w:color w:val="000000"/>
      <w:kern w:val="3"/>
      <w:sz w:val="24"/>
      <w:szCs w:val="24"/>
    </w:rPr>
  </w:style>
  <w:style w:type="table" w:styleId="TableGridLight">
    <w:name w:val="Grid Table Light"/>
    <w:basedOn w:val="TableNormal"/>
    <w:uiPriority w:val="40"/>
    <w:rsid w:val="00716A3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16A3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gmail-s1">
    <w:name w:val="gmail-s1"/>
    <w:basedOn w:val="DefaultParagraphFont"/>
    <w:rsid w:val="00031A22"/>
  </w:style>
  <w:style w:type="paragraph" w:styleId="ListNumber">
    <w:name w:val="List Number"/>
    <w:basedOn w:val="Normal"/>
    <w:rsid w:val="00031A22"/>
    <w:pPr>
      <w:numPr>
        <w:numId w:val="41"/>
      </w:numPr>
      <w:contextualSpacing/>
    </w:pPr>
  </w:style>
  <w:style w:type="paragraph" w:customStyle="1" w:styleId="FIBody">
    <w:name w:val="FI Body"/>
    <w:basedOn w:val="Normal"/>
    <w:link w:val="FIBodyChar"/>
    <w:qFormat/>
    <w:rsid w:val="009F6965"/>
    <w:pPr>
      <w:tabs>
        <w:tab w:val="num" w:pos="1800"/>
      </w:tabs>
      <w:spacing w:line="276" w:lineRule="auto"/>
      <w:ind w:left="992"/>
      <w:jc w:val="both"/>
    </w:pPr>
    <w:rPr>
      <w:rFonts w:asciiTheme="minorHAnsi" w:eastAsiaTheme="minorHAnsi" w:hAnsiTheme="minorHAnsi" w:cs="Arial"/>
      <w:color w:val="005B82"/>
      <w:sz w:val="22"/>
      <w:szCs w:val="22"/>
    </w:rPr>
  </w:style>
  <w:style w:type="character" w:customStyle="1" w:styleId="FIBodyChar">
    <w:name w:val="FI Body Char"/>
    <w:basedOn w:val="DefaultParagraphFont"/>
    <w:link w:val="FIBody"/>
    <w:rsid w:val="009F6965"/>
    <w:rPr>
      <w:rFonts w:asciiTheme="minorHAnsi" w:eastAsiaTheme="minorHAnsi" w:hAnsiTheme="minorHAnsi" w:cs="Arial"/>
      <w:color w:val="005B82"/>
      <w:sz w:val="22"/>
      <w:szCs w:val="22"/>
      <w:lang w:eastAsia="en-US"/>
    </w:rPr>
  </w:style>
  <w:style w:type="paragraph" w:customStyle="1" w:styleId="Pa10">
    <w:name w:val="Pa10"/>
    <w:basedOn w:val="Default"/>
    <w:next w:val="Default"/>
    <w:uiPriority w:val="99"/>
    <w:rsid w:val="006506FA"/>
    <w:pPr>
      <w:spacing w:line="231" w:lineRule="atLeast"/>
    </w:pPr>
    <w:rPr>
      <w:rFonts w:ascii="FS Lola" w:eastAsiaTheme="minorHAnsi" w:hAnsi="FS Lola" w:cstheme="minorBidi"/>
      <w:color w:val="auto"/>
      <w:lang w:eastAsia="en-US"/>
    </w:rPr>
  </w:style>
  <w:style w:type="character" w:customStyle="1" w:styleId="ListParagraphChar">
    <w:name w:val="List Paragraph Char"/>
    <w:aliases w:val="cv list paragraph Char,List Paragraph1 Char,Table Text Char,List Paragraph_Table text Char,Table text Char,Table text + Justified Char,L.... Char,EiB Main bullet Char,Dot pt Char,No Spacing1 Char,List Paragraph Char Char Char Char"/>
    <w:link w:val="ListParagraph"/>
    <w:uiPriority w:val="34"/>
    <w:qFormat/>
    <w:locked/>
    <w:rsid w:val="005D0823"/>
    <w:rPr>
      <w:rFonts w:ascii="Calibri" w:hAnsi="Calibri"/>
      <w:sz w:val="22"/>
      <w:szCs w:val="22"/>
    </w:rPr>
  </w:style>
  <w:style w:type="character" w:customStyle="1" w:styleId="BodyText2Char">
    <w:name w:val="Body Text 2 Char"/>
    <w:basedOn w:val="DefaultParagraphFont"/>
    <w:link w:val="BodyText2"/>
    <w:rsid w:val="00AD2D07"/>
    <w:rPr>
      <w:sz w:val="28"/>
      <w:szCs w:val="24"/>
      <w:lang w:eastAsia="en-US"/>
    </w:rPr>
  </w:style>
  <w:style w:type="character" w:customStyle="1" w:styleId="Accessiblenormaltext">
    <w:name w:val="Accessible normal text"/>
    <w:basedOn w:val="DefaultParagraphFont"/>
    <w:qFormat/>
    <w:rsid w:val="00AD2D07"/>
    <w:rPr>
      <w:rFonts w:ascii="Arial" w:hAnsi="Arial"/>
    </w:rPr>
  </w:style>
  <w:style w:type="paragraph" w:customStyle="1" w:styleId="StyleNormalAccessible">
    <w:name w:val="Style Normal_Accessible"/>
    <w:basedOn w:val="Normal0"/>
    <w:rsid w:val="00AD2D07"/>
    <w:pPr>
      <w:spacing w:after="240" w:line="360" w:lineRule="auto"/>
    </w:pPr>
    <w:rPr>
      <w:rFonts w:ascii="Arial" w:eastAsia="Times New Roman" w:hAnsi="Arial" w:cs="Times New Roman"/>
      <w:sz w:val="24"/>
    </w:rPr>
  </w:style>
  <w:style w:type="paragraph" w:customStyle="1" w:styleId="Style3">
    <w:name w:val="Style 3"/>
    <w:basedOn w:val="Heading3"/>
    <w:link w:val="Style3Char"/>
    <w:qFormat/>
    <w:rsid w:val="00AD2D07"/>
    <w:pPr>
      <w:pBdr>
        <w:top w:val="single" w:sz="4" w:space="1" w:color="auto"/>
        <w:left w:val="single" w:sz="4" w:space="4" w:color="auto"/>
        <w:bottom w:val="single" w:sz="4" w:space="1" w:color="auto"/>
        <w:right w:val="single" w:sz="4" w:space="4" w:color="auto"/>
      </w:pBdr>
      <w:shd w:val="clear" w:color="auto" w:fill="C5E0B3" w:themeFill="accent6" w:themeFillTint="66"/>
      <w:spacing w:after="240"/>
    </w:pPr>
    <w:rPr>
      <w:color w:val="000000" w:themeColor="text1"/>
    </w:rPr>
  </w:style>
  <w:style w:type="character" w:customStyle="1" w:styleId="Style3Char">
    <w:name w:val="Style 3 Char"/>
    <w:basedOn w:val="Heading3Char"/>
    <w:link w:val="Style3"/>
    <w:rsid w:val="00AD2D07"/>
    <w:rPr>
      <w:rFonts w:ascii="Arial" w:hAnsi="Arial" w:cs="Arial"/>
      <w:b/>
      <w:bCs/>
      <w:color w:val="000000" w:themeColor="text1"/>
      <w:sz w:val="26"/>
      <w:szCs w:val="26"/>
      <w:shd w:val="clear" w:color="auto" w:fill="C5E0B3" w:themeFill="accent6" w:themeFillTint="66"/>
      <w:lang w:val="en-GB" w:eastAsia="en-US" w:bidi="ar-SA"/>
    </w:rPr>
  </w:style>
  <w:style w:type="paragraph" w:styleId="TOCHeading">
    <w:name w:val="TOC Heading"/>
    <w:basedOn w:val="Heading1"/>
    <w:next w:val="Normal"/>
    <w:uiPriority w:val="39"/>
    <w:unhideWhenUsed/>
    <w:qFormat/>
    <w:rsid w:val="00AD2D07"/>
    <w:pPr>
      <w:keepLines/>
      <w:spacing w:before="240" w:line="259" w:lineRule="auto"/>
      <w:outlineLvl w:val="9"/>
    </w:pPr>
    <w:rPr>
      <w:rFonts w:asciiTheme="majorHAnsi" w:eastAsiaTheme="majorEastAsia" w:hAnsiTheme="majorHAnsi" w:cstheme="majorBidi"/>
      <w:color w:val="2E74B5" w:themeColor="accent1" w:themeShade="BF"/>
      <w:sz w:val="32"/>
      <w:szCs w:val="32"/>
      <w:lang w:val="en-US"/>
    </w:rPr>
  </w:style>
  <w:style w:type="paragraph" w:styleId="TOC1">
    <w:name w:val="toc 1"/>
    <w:basedOn w:val="Normal"/>
    <w:next w:val="Normal"/>
    <w:autoRedefine/>
    <w:uiPriority w:val="39"/>
    <w:rsid w:val="00AD2D07"/>
    <w:pPr>
      <w:spacing w:after="100"/>
    </w:pPr>
  </w:style>
  <w:style w:type="paragraph" w:styleId="TOC2">
    <w:name w:val="toc 2"/>
    <w:basedOn w:val="Normal"/>
    <w:next w:val="Normal"/>
    <w:autoRedefine/>
    <w:uiPriority w:val="39"/>
    <w:rsid w:val="00AD2D07"/>
    <w:pPr>
      <w:spacing w:after="100"/>
      <w:ind w:left="240"/>
    </w:pPr>
  </w:style>
  <w:style w:type="paragraph" w:styleId="TOC3">
    <w:name w:val="toc 3"/>
    <w:basedOn w:val="Normal"/>
    <w:next w:val="Normal"/>
    <w:autoRedefine/>
    <w:uiPriority w:val="39"/>
    <w:rsid w:val="00AD2D07"/>
    <w:pPr>
      <w:spacing w:after="100"/>
      <w:ind w:left="480"/>
    </w:pPr>
  </w:style>
  <w:style w:type="paragraph" w:styleId="TOC4">
    <w:name w:val="toc 4"/>
    <w:basedOn w:val="Normal"/>
    <w:next w:val="Normal"/>
    <w:autoRedefine/>
    <w:uiPriority w:val="39"/>
    <w:unhideWhenUsed/>
    <w:rsid w:val="00AD2D07"/>
    <w:pPr>
      <w:spacing w:after="100" w:line="259"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AD2D07"/>
    <w:pPr>
      <w:spacing w:after="100" w:line="259"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AD2D07"/>
    <w:pPr>
      <w:spacing w:after="100" w:line="259"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AD2D07"/>
    <w:pPr>
      <w:spacing w:after="100" w:line="259"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AD2D07"/>
    <w:pPr>
      <w:spacing w:after="100" w:line="259"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AD2D07"/>
    <w:pPr>
      <w:spacing w:after="100" w:line="259" w:lineRule="auto"/>
      <w:ind w:left="1760"/>
    </w:pPr>
    <w:rPr>
      <w:rFonts w:asciiTheme="minorHAnsi" w:eastAsiaTheme="minorEastAsia" w:hAnsiTheme="minorHAnsi" w:cstheme="minorBidi"/>
      <w:sz w:val="22"/>
      <w:szCs w:val="22"/>
      <w:lang w:eastAsia="en-GB"/>
    </w:rPr>
  </w:style>
  <w:style w:type="character" w:styleId="UnresolvedMention">
    <w:name w:val="Unresolved Mention"/>
    <w:basedOn w:val="DefaultParagraphFont"/>
    <w:uiPriority w:val="99"/>
    <w:semiHidden/>
    <w:unhideWhenUsed/>
    <w:rsid w:val="00AD2D07"/>
    <w:rPr>
      <w:color w:val="605E5C"/>
      <w:shd w:val="clear" w:color="auto" w:fill="E1DFDD"/>
    </w:rPr>
  </w:style>
  <w:style w:type="paragraph" w:customStyle="1" w:styleId="paragraph">
    <w:name w:val="paragraph"/>
    <w:basedOn w:val="Normal"/>
    <w:rsid w:val="00AD2D07"/>
    <w:pPr>
      <w:spacing w:before="100" w:beforeAutospacing="1" w:after="100" w:afterAutospacing="1"/>
    </w:pPr>
    <w:rPr>
      <w:lang w:eastAsia="en-GB"/>
    </w:rPr>
  </w:style>
  <w:style w:type="character" w:customStyle="1" w:styleId="normaltextrun">
    <w:name w:val="normaltextrun"/>
    <w:basedOn w:val="DefaultParagraphFont"/>
    <w:rsid w:val="00AD2D07"/>
  </w:style>
  <w:style w:type="character" w:customStyle="1" w:styleId="eop">
    <w:name w:val="eop"/>
    <w:basedOn w:val="DefaultParagraphFont"/>
    <w:rsid w:val="00AD2D07"/>
  </w:style>
  <w:style w:type="character" w:customStyle="1" w:styleId="pagebreaktextspan">
    <w:name w:val="pagebreaktextspan"/>
    <w:basedOn w:val="DefaultParagraphFont"/>
    <w:rsid w:val="00AD2D07"/>
  </w:style>
  <w:style w:type="character" w:styleId="Strong">
    <w:name w:val="Strong"/>
    <w:basedOn w:val="DefaultParagraphFont"/>
    <w:uiPriority w:val="22"/>
    <w:qFormat/>
    <w:rsid w:val="00AD2D07"/>
    <w:rPr>
      <w:rFonts w:ascii="Colfax-Medium" w:hAnsi="Colfax-Medium" w:hint="default"/>
      <w:b/>
      <w:bCs/>
    </w:rPr>
  </w:style>
  <w:style w:type="paragraph" w:customStyle="1" w:styleId="1TfGMHeading1">
    <w:name w:val="#1 TfGM Heading 1"/>
    <w:next w:val="2TfGMHeading2"/>
    <w:qFormat/>
    <w:rsid w:val="00CE76C2"/>
    <w:pPr>
      <w:numPr>
        <w:numId w:val="51"/>
      </w:numPr>
      <w:spacing w:before="480" w:after="480"/>
      <w:jc w:val="both"/>
    </w:pPr>
    <w:rPr>
      <w:rFonts w:ascii="Calibri" w:hAnsi="Calibri" w:cs="Arial"/>
      <w:b/>
      <w:sz w:val="26"/>
      <w:szCs w:val="24"/>
    </w:rPr>
  </w:style>
  <w:style w:type="paragraph" w:customStyle="1" w:styleId="2TfGMHeading2">
    <w:name w:val="#2 TfGM Heading 2"/>
    <w:basedOn w:val="1TfGMHeading1"/>
    <w:qFormat/>
    <w:rsid w:val="00CE76C2"/>
    <w:pPr>
      <w:numPr>
        <w:ilvl w:val="1"/>
      </w:numPr>
      <w:spacing w:before="240" w:after="240"/>
    </w:pPr>
    <w:rPr>
      <w:b w:val="0"/>
    </w:rPr>
  </w:style>
  <w:style w:type="paragraph" w:customStyle="1" w:styleId="3TfGMHeading3">
    <w:name w:val="#3 TfGM Heading 3"/>
    <w:basedOn w:val="2TfGMHeading2"/>
    <w:qFormat/>
    <w:rsid w:val="00CE76C2"/>
    <w:pPr>
      <w:numPr>
        <w:ilvl w:val="2"/>
      </w:numPr>
    </w:pPr>
  </w:style>
  <w:style w:type="paragraph" w:customStyle="1" w:styleId="4TfGMBullet1">
    <w:name w:val="#4 TfGM Bullet 1"/>
    <w:basedOn w:val="3TfGMHeading3"/>
    <w:qFormat/>
    <w:rsid w:val="00CE76C2"/>
    <w:pPr>
      <w:numPr>
        <w:ilvl w:val="3"/>
      </w:numPr>
      <w:tabs>
        <w:tab w:val="num" w:pos="360"/>
      </w:tabs>
      <w:spacing w:before="120" w:after="120"/>
      <w:ind w:left="360" w:hanging="360"/>
    </w:pPr>
  </w:style>
  <w:style w:type="paragraph" w:customStyle="1" w:styleId="5TfGMBullet2">
    <w:name w:val="#5 TfGM Bullet 2"/>
    <w:basedOn w:val="4TfGMBullet1"/>
    <w:qFormat/>
    <w:rsid w:val="00CE76C2"/>
    <w:pPr>
      <w:numPr>
        <w:ilvl w:val="4"/>
      </w:numPr>
      <w:tabs>
        <w:tab w:val="num" w:pos="360"/>
      </w:tabs>
      <w:ind w:left="1645" w:hanging="284"/>
    </w:pPr>
  </w:style>
  <w:style w:type="paragraph" w:customStyle="1" w:styleId="6TfGMRecommendations">
    <w:name w:val="#6 TfGM Recommendations"/>
    <w:basedOn w:val="5TfGMBullet2"/>
    <w:qFormat/>
    <w:rsid w:val="00CE76C2"/>
    <w:pPr>
      <w:numPr>
        <w:ilvl w:val="5"/>
      </w:numPr>
      <w:tabs>
        <w:tab w:val="num" w:pos="360"/>
      </w:tabs>
      <w:ind w:left="1418" w:hanging="567"/>
    </w:pPr>
    <w:rPr>
      <w:lang w:eastAsia="en-US"/>
    </w:rPr>
  </w:style>
  <w:style w:type="numbering" w:customStyle="1" w:styleId="TfGMList">
    <w:name w:val="#TfGM List"/>
    <w:uiPriority w:val="99"/>
    <w:rsid w:val="00CE76C2"/>
    <w:pPr>
      <w:numPr>
        <w:numId w:val="50"/>
      </w:numPr>
    </w:pPr>
  </w:style>
  <w:style w:type="paragraph" w:customStyle="1" w:styleId="Heading2green">
    <w:name w:val="Heading 2 green"/>
    <w:basedOn w:val="Heading2"/>
    <w:qFormat/>
    <w:rsid w:val="005F371A"/>
    <w:pPr>
      <w:pBdr>
        <w:top w:val="single" w:sz="4" w:space="1" w:color="auto"/>
        <w:left w:val="single" w:sz="4" w:space="4" w:color="auto"/>
        <w:bottom w:val="single" w:sz="4" w:space="1" w:color="auto"/>
        <w:right w:val="single" w:sz="4" w:space="4" w:color="auto"/>
      </w:pBdr>
      <w:shd w:val="clear" w:color="auto" w:fill="C5E0B3" w:themeFill="accent6" w:themeFillTint="66"/>
      <w:jc w:val="center"/>
    </w:pPr>
  </w:style>
  <w:style w:type="paragraph" w:customStyle="1" w:styleId="Heading4unnumbered">
    <w:name w:val="Heading 4 unnumbered"/>
    <w:basedOn w:val="Heading4"/>
    <w:link w:val="Heading4unnumberedChar"/>
    <w:qFormat/>
    <w:rsid w:val="008711FF"/>
    <w:pPr>
      <w:numPr>
        <w:numId w:val="0"/>
      </w:numPr>
      <w:ind w:left="426" w:hanging="426"/>
    </w:pPr>
    <w:rPr>
      <w:rFonts w:eastAsia="Palatino Linotype"/>
    </w:rPr>
  </w:style>
  <w:style w:type="character" w:customStyle="1" w:styleId="Heading4unnumberedChar">
    <w:name w:val="Heading 4 unnumbered Char"/>
    <w:basedOn w:val="Heading4Char"/>
    <w:link w:val="Heading4unnumbered"/>
    <w:rsid w:val="008711FF"/>
    <w:rPr>
      <w:rFonts w:ascii="Arial" w:eastAsia="Palatino Linotype" w:hAnsi="Arial" w:cs="Arial"/>
      <w:i/>
      <w:iCs/>
      <w:sz w:val="24"/>
      <w:szCs w:val="24"/>
    </w:rPr>
  </w:style>
  <w:style w:type="paragraph" w:customStyle="1" w:styleId="Heading4bold">
    <w:name w:val="Heading 4 bold"/>
    <w:basedOn w:val="Heading6"/>
    <w:link w:val="Heading4boldChar"/>
    <w:qFormat/>
    <w:rsid w:val="005403AF"/>
    <w:pPr>
      <w:spacing w:after="160"/>
      <w:outlineLvl w:val="3"/>
    </w:pPr>
    <w:rPr>
      <w:rFonts w:cs="Arial"/>
    </w:rPr>
  </w:style>
  <w:style w:type="character" w:customStyle="1" w:styleId="Heading4boldChar">
    <w:name w:val="Heading 4 bold Char"/>
    <w:basedOn w:val="Heading6Char"/>
    <w:link w:val="Heading4bold"/>
    <w:rsid w:val="005403AF"/>
    <w:rPr>
      <w:rFonts w:ascii="Arial" w:hAnsi="Arial" w:cs="Arial"/>
      <w:b/>
      <w:bCs/>
      <w:sz w:val="24"/>
      <w:szCs w:val="24"/>
      <w:lang w:eastAsia="en-US"/>
    </w:rPr>
  </w:style>
  <w:style w:type="paragraph" w:customStyle="1" w:styleId="Heaading2green">
    <w:name w:val="Heaading 2 green"/>
    <w:basedOn w:val="Normal"/>
    <w:qFormat/>
    <w:rsid w:val="005F371A"/>
    <w:pPr>
      <w:pBdr>
        <w:top w:val="single" w:sz="4" w:space="1" w:color="auto"/>
        <w:left w:val="single" w:sz="4" w:space="4" w:color="auto"/>
        <w:bottom w:val="single" w:sz="4" w:space="1" w:color="auto"/>
        <w:right w:val="single" w:sz="4" w:space="4" w:color="auto"/>
      </w:pBdr>
      <w:shd w:val="clear" w:color="auto" w:fill="C5E0B3" w:themeFill="accent6" w:themeFillTint="66"/>
      <w:jc w:val="center"/>
      <w:outlineLvl w:val="1"/>
    </w:pPr>
    <w:rPr>
      <w:rFonts w:ascii="Arial" w:hAnsi="Arial" w:cs="Arial"/>
      <w:b/>
      <w:sz w:val="40"/>
      <w:szCs w:val="40"/>
    </w:rPr>
  </w:style>
  <w:style w:type="paragraph" w:customStyle="1" w:styleId="Heading3green">
    <w:name w:val="Heading 3 green"/>
    <w:basedOn w:val="Normal"/>
    <w:qFormat/>
    <w:rsid w:val="00261631"/>
    <w:pPr>
      <w:pBdr>
        <w:top w:val="single" w:sz="4" w:space="1" w:color="auto"/>
        <w:left w:val="single" w:sz="4" w:space="4" w:color="auto"/>
        <w:bottom w:val="single" w:sz="4" w:space="1" w:color="auto"/>
        <w:right w:val="single" w:sz="4" w:space="4" w:color="auto"/>
      </w:pBdr>
      <w:shd w:val="clear" w:color="auto" w:fill="C5E0B3" w:themeFill="accent6" w:themeFillTint="66"/>
      <w:jc w:val="center"/>
      <w:outlineLvl w:val="1"/>
    </w:pPr>
    <w:rPr>
      <w:rFonts w:ascii="Arial" w:hAnsi="Arial" w:cs="Arial"/>
      <w:b/>
      <w:sz w:val="28"/>
      <w:szCs w:val="28"/>
    </w:rPr>
  </w:style>
  <w:style w:type="paragraph" w:customStyle="1" w:styleId="StyleHeading3green12pt">
    <w:name w:val="Style Heading 3 green + 12 pt"/>
    <w:basedOn w:val="Heading3green"/>
    <w:rsid w:val="002A6C4C"/>
    <w:rPr>
      <w:bCs/>
      <w:sz w:val="24"/>
    </w:rPr>
  </w:style>
  <w:style w:type="paragraph" w:customStyle="1" w:styleId="Heading3greennumbered">
    <w:name w:val="Heading 3 green numbered"/>
    <w:basedOn w:val="StyleHeading3green12pt"/>
    <w:qFormat/>
    <w:rsid w:val="000A0695"/>
    <w:pPr>
      <w:jc w:val="left"/>
      <w:outlineLvl w:val="2"/>
    </w:pPr>
    <w:rPr>
      <w:rFonts w:eastAsia="Palatino Linotype"/>
      <w:lang w:val="en-US"/>
    </w:rPr>
  </w:style>
  <w:style w:type="paragraph" w:customStyle="1" w:styleId="Style1">
    <w:name w:val="Style1"/>
    <w:basedOn w:val="Heading3greennumbered"/>
    <w:qFormat/>
    <w:rsid w:val="00924E51"/>
  </w:style>
  <w:style w:type="paragraph" w:customStyle="1" w:styleId="Heading5underline">
    <w:name w:val="Heading 5 underline"/>
    <w:basedOn w:val="Heading5"/>
    <w:rsid w:val="00716403"/>
    <w:rPr>
      <w:rFonts w:eastAsiaTheme="minorHAnsi"/>
      <w:b w:val="0"/>
      <w:bCs w:val="0"/>
      <w:w w:val="101"/>
      <w:u w:val="single"/>
    </w:rPr>
  </w:style>
  <w:style w:type="paragraph" w:customStyle="1" w:styleId="Heading4underline">
    <w:name w:val="Heading 4 underline"/>
    <w:basedOn w:val="NoSpacing"/>
    <w:rsid w:val="00474D1F"/>
    <w:pPr>
      <w:outlineLvl w:val="3"/>
    </w:pPr>
    <w:rPr>
      <w:rFonts w:ascii="Arial" w:hAnsi="Arial"/>
      <w:sz w:val="24"/>
      <w:u w:val="single"/>
    </w:rPr>
  </w:style>
  <w:style w:type="paragraph" w:customStyle="1" w:styleId="Body">
    <w:name w:val="Body"/>
    <w:autoRedefine/>
    <w:rsid w:val="00655E4C"/>
    <w:pPr>
      <w:numPr>
        <w:numId w:val="52"/>
      </w:numPr>
      <w:tabs>
        <w:tab w:val="left" w:pos="709"/>
        <w:tab w:val="left" w:pos="1417"/>
        <w:tab w:val="left" w:pos="2126"/>
        <w:tab w:val="left" w:pos="2835"/>
        <w:tab w:val="left" w:pos="3543"/>
        <w:tab w:val="left" w:pos="4252"/>
        <w:tab w:val="left" w:pos="4961"/>
        <w:tab w:val="left" w:pos="5669"/>
        <w:tab w:val="left" w:pos="6378"/>
        <w:tab w:val="left" w:pos="7087"/>
        <w:tab w:val="left" w:pos="7795"/>
      </w:tabs>
    </w:pPr>
    <w:rPr>
      <w:rFonts w:asciiTheme="minorHAnsi" w:eastAsia="ヒラギノ角ゴ Pro W3" w:hAnsiTheme="minorHAnsi" w:cstheme="minorHAnsi"/>
      <w:sz w:val="24"/>
      <w:szCs w:val="24"/>
    </w:rPr>
  </w:style>
  <w:style w:type="paragraph" w:customStyle="1" w:styleId="TfGMDocumentHeading">
    <w:name w:val="##TfGM Document Heading"/>
    <w:next w:val="8TfGMStandardDocumentText"/>
    <w:qFormat/>
    <w:rsid w:val="00016C24"/>
    <w:pPr>
      <w:spacing w:after="480"/>
      <w:jc w:val="both"/>
    </w:pPr>
    <w:rPr>
      <w:rFonts w:ascii="Calibri" w:eastAsiaTheme="majorEastAsia" w:hAnsi="Calibri" w:cstheme="majorBidi"/>
      <w:b/>
      <w:noProof/>
      <w:sz w:val="26"/>
      <w:szCs w:val="4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0316">
      <w:bodyDiv w:val="1"/>
      <w:marLeft w:val="0"/>
      <w:marRight w:val="0"/>
      <w:marTop w:val="0"/>
      <w:marBottom w:val="0"/>
      <w:divBdr>
        <w:top w:val="none" w:sz="0" w:space="0" w:color="auto"/>
        <w:left w:val="none" w:sz="0" w:space="0" w:color="auto"/>
        <w:bottom w:val="none" w:sz="0" w:space="0" w:color="auto"/>
        <w:right w:val="none" w:sz="0" w:space="0" w:color="auto"/>
      </w:divBdr>
    </w:div>
    <w:div w:id="46077213">
      <w:bodyDiv w:val="1"/>
      <w:marLeft w:val="0"/>
      <w:marRight w:val="0"/>
      <w:marTop w:val="0"/>
      <w:marBottom w:val="0"/>
      <w:divBdr>
        <w:top w:val="none" w:sz="0" w:space="0" w:color="auto"/>
        <w:left w:val="none" w:sz="0" w:space="0" w:color="auto"/>
        <w:bottom w:val="none" w:sz="0" w:space="0" w:color="auto"/>
        <w:right w:val="none" w:sz="0" w:space="0" w:color="auto"/>
      </w:divBdr>
    </w:div>
    <w:div w:id="46606448">
      <w:bodyDiv w:val="1"/>
      <w:marLeft w:val="0"/>
      <w:marRight w:val="0"/>
      <w:marTop w:val="0"/>
      <w:marBottom w:val="0"/>
      <w:divBdr>
        <w:top w:val="none" w:sz="0" w:space="0" w:color="auto"/>
        <w:left w:val="none" w:sz="0" w:space="0" w:color="auto"/>
        <w:bottom w:val="none" w:sz="0" w:space="0" w:color="auto"/>
        <w:right w:val="none" w:sz="0" w:space="0" w:color="auto"/>
      </w:divBdr>
    </w:div>
    <w:div w:id="50077004">
      <w:bodyDiv w:val="1"/>
      <w:marLeft w:val="0"/>
      <w:marRight w:val="0"/>
      <w:marTop w:val="0"/>
      <w:marBottom w:val="0"/>
      <w:divBdr>
        <w:top w:val="none" w:sz="0" w:space="0" w:color="auto"/>
        <w:left w:val="none" w:sz="0" w:space="0" w:color="auto"/>
        <w:bottom w:val="none" w:sz="0" w:space="0" w:color="auto"/>
        <w:right w:val="none" w:sz="0" w:space="0" w:color="auto"/>
      </w:divBdr>
    </w:div>
    <w:div w:id="54672385">
      <w:bodyDiv w:val="1"/>
      <w:marLeft w:val="0"/>
      <w:marRight w:val="0"/>
      <w:marTop w:val="0"/>
      <w:marBottom w:val="0"/>
      <w:divBdr>
        <w:top w:val="none" w:sz="0" w:space="0" w:color="auto"/>
        <w:left w:val="none" w:sz="0" w:space="0" w:color="auto"/>
        <w:bottom w:val="none" w:sz="0" w:space="0" w:color="auto"/>
        <w:right w:val="none" w:sz="0" w:space="0" w:color="auto"/>
      </w:divBdr>
    </w:div>
    <w:div w:id="55708806">
      <w:bodyDiv w:val="1"/>
      <w:marLeft w:val="0"/>
      <w:marRight w:val="0"/>
      <w:marTop w:val="0"/>
      <w:marBottom w:val="0"/>
      <w:divBdr>
        <w:top w:val="none" w:sz="0" w:space="0" w:color="auto"/>
        <w:left w:val="none" w:sz="0" w:space="0" w:color="auto"/>
        <w:bottom w:val="none" w:sz="0" w:space="0" w:color="auto"/>
        <w:right w:val="none" w:sz="0" w:space="0" w:color="auto"/>
      </w:divBdr>
    </w:div>
    <w:div w:id="58328540">
      <w:bodyDiv w:val="1"/>
      <w:marLeft w:val="0"/>
      <w:marRight w:val="0"/>
      <w:marTop w:val="0"/>
      <w:marBottom w:val="0"/>
      <w:divBdr>
        <w:top w:val="none" w:sz="0" w:space="0" w:color="auto"/>
        <w:left w:val="none" w:sz="0" w:space="0" w:color="auto"/>
        <w:bottom w:val="none" w:sz="0" w:space="0" w:color="auto"/>
        <w:right w:val="none" w:sz="0" w:space="0" w:color="auto"/>
      </w:divBdr>
    </w:div>
    <w:div w:id="59450139">
      <w:bodyDiv w:val="1"/>
      <w:marLeft w:val="0"/>
      <w:marRight w:val="0"/>
      <w:marTop w:val="0"/>
      <w:marBottom w:val="0"/>
      <w:divBdr>
        <w:top w:val="none" w:sz="0" w:space="0" w:color="auto"/>
        <w:left w:val="none" w:sz="0" w:space="0" w:color="auto"/>
        <w:bottom w:val="none" w:sz="0" w:space="0" w:color="auto"/>
        <w:right w:val="none" w:sz="0" w:space="0" w:color="auto"/>
      </w:divBdr>
    </w:div>
    <w:div w:id="83965498">
      <w:bodyDiv w:val="1"/>
      <w:marLeft w:val="0"/>
      <w:marRight w:val="0"/>
      <w:marTop w:val="0"/>
      <w:marBottom w:val="0"/>
      <w:divBdr>
        <w:top w:val="none" w:sz="0" w:space="0" w:color="auto"/>
        <w:left w:val="none" w:sz="0" w:space="0" w:color="auto"/>
        <w:bottom w:val="none" w:sz="0" w:space="0" w:color="auto"/>
        <w:right w:val="none" w:sz="0" w:space="0" w:color="auto"/>
      </w:divBdr>
    </w:div>
    <w:div w:id="93090303">
      <w:bodyDiv w:val="1"/>
      <w:marLeft w:val="0"/>
      <w:marRight w:val="0"/>
      <w:marTop w:val="0"/>
      <w:marBottom w:val="0"/>
      <w:divBdr>
        <w:top w:val="none" w:sz="0" w:space="0" w:color="auto"/>
        <w:left w:val="none" w:sz="0" w:space="0" w:color="auto"/>
        <w:bottom w:val="none" w:sz="0" w:space="0" w:color="auto"/>
        <w:right w:val="none" w:sz="0" w:space="0" w:color="auto"/>
      </w:divBdr>
    </w:div>
    <w:div w:id="107819659">
      <w:bodyDiv w:val="1"/>
      <w:marLeft w:val="0"/>
      <w:marRight w:val="0"/>
      <w:marTop w:val="0"/>
      <w:marBottom w:val="0"/>
      <w:divBdr>
        <w:top w:val="none" w:sz="0" w:space="0" w:color="auto"/>
        <w:left w:val="none" w:sz="0" w:space="0" w:color="auto"/>
        <w:bottom w:val="none" w:sz="0" w:space="0" w:color="auto"/>
        <w:right w:val="none" w:sz="0" w:space="0" w:color="auto"/>
      </w:divBdr>
    </w:div>
    <w:div w:id="124008782">
      <w:bodyDiv w:val="1"/>
      <w:marLeft w:val="0"/>
      <w:marRight w:val="0"/>
      <w:marTop w:val="0"/>
      <w:marBottom w:val="0"/>
      <w:divBdr>
        <w:top w:val="none" w:sz="0" w:space="0" w:color="auto"/>
        <w:left w:val="none" w:sz="0" w:space="0" w:color="auto"/>
        <w:bottom w:val="none" w:sz="0" w:space="0" w:color="auto"/>
        <w:right w:val="none" w:sz="0" w:space="0" w:color="auto"/>
      </w:divBdr>
    </w:div>
    <w:div w:id="131871734">
      <w:bodyDiv w:val="1"/>
      <w:marLeft w:val="0"/>
      <w:marRight w:val="0"/>
      <w:marTop w:val="0"/>
      <w:marBottom w:val="0"/>
      <w:divBdr>
        <w:top w:val="none" w:sz="0" w:space="0" w:color="auto"/>
        <w:left w:val="none" w:sz="0" w:space="0" w:color="auto"/>
        <w:bottom w:val="none" w:sz="0" w:space="0" w:color="auto"/>
        <w:right w:val="none" w:sz="0" w:space="0" w:color="auto"/>
      </w:divBdr>
    </w:div>
    <w:div w:id="138378769">
      <w:bodyDiv w:val="1"/>
      <w:marLeft w:val="0"/>
      <w:marRight w:val="0"/>
      <w:marTop w:val="0"/>
      <w:marBottom w:val="0"/>
      <w:divBdr>
        <w:top w:val="none" w:sz="0" w:space="0" w:color="auto"/>
        <w:left w:val="none" w:sz="0" w:space="0" w:color="auto"/>
        <w:bottom w:val="none" w:sz="0" w:space="0" w:color="auto"/>
        <w:right w:val="none" w:sz="0" w:space="0" w:color="auto"/>
      </w:divBdr>
    </w:div>
    <w:div w:id="153491245">
      <w:bodyDiv w:val="1"/>
      <w:marLeft w:val="0"/>
      <w:marRight w:val="0"/>
      <w:marTop w:val="0"/>
      <w:marBottom w:val="0"/>
      <w:divBdr>
        <w:top w:val="none" w:sz="0" w:space="0" w:color="auto"/>
        <w:left w:val="none" w:sz="0" w:space="0" w:color="auto"/>
        <w:bottom w:val="none" w:sz="0" w:space="0" w:color="auto"/>
        <w:right w:val="none" w:sz="0" w:space="0" w:color="auto"/>
      </w:divBdr>
    </w:div>
    <w:div w:id="157815081">
      <w:bodyDiv w:val="1"/>
      <w:marLeft w:val="0"/>
      <w:marRight w:val="0"/>
      <w:marTop w:val="0"/>
      <w:marBottom w:val="0"/>
      <w:divBdr>
        <w:top w:val="none" w:sz="0" w:space="0" w:color="auto"/>
        <w:left w:val="none" w:sz="0" w:space="0" w:color="auto"/>
        <w:bottom w:val="none" w:sz="0" w:space="0" w:color="auto"/>
        <w:right w:val="none" w:sz="0" w:space="0" w:color="auto"/>
      </w:divBdr>
    </w:div>
    <w:div w:id="162475298">
      <w:bodyDiv w:val="1"/>
      <w:marLeft w:val="0"/>
      <w:marRight w:val="0"/>
      <w:marTop w:val="0"/>
      <w:marBottom w:val="0"/>
      <w:divBdr>
        <w:top w:val="none" w:sz="0" w:space="0" w:color="auto"/>
        <w:left w:val="none" w:sz="0" w:space="0" w:color="auto"/>
        <w:bottom w:val="none" w:sz="0" w:space="0" w:color="auto"/>
        <w:right w:val="none" w:sz="0" w:space="0" w:color="auto"/>
      </w:divBdr>
    </w:div>
    <w:div w:id="169106884">
      <w:bodyDiv w:val="1"/>
      <w:marLeft w:val="0"/>
      <w:marRight w:val="0"/>
      <w:marTop w:val="0"/>
      <w:marBottom w:val="0"/>
      <w:divBdr>
        <w:top w:val="none" w:sz="0" w:space="0" w:color="auto"/>
        <w:left w:val="none" w:sz="0" w:space="0" w:color="auto"/>
        <w:bottom w:val="none" w:sz="0" w:space="0" w:color="auto"/>
        <w:right w:val="none" w:sz="0" w:space="0" w:color="auto"/>
      </w:divBdr>
    </w:div>
    <w:div w:id="187569440">
      <w:bodyDiv w:val="1"/>
      <w:marLeft w:val="0"/>
      <w:marRight w:val="0"/>
      <w:marTop w:val="0"/>
      <w:marBottom w:val="0"/>
      <w:divBdr>
        <w:top w:val="none" w:sz="0" w:space="0" w:color="auto"/>
        <w:left w:val="none" w:sz="0" w:space="0" w:color="auto"/>
        <w:bottom w:val="none" w:sz="0" w:space="0" w:color="auto"/>
        <w:right w:val="none" w:sz="0" w:space="0" w:color="auto"/>
      </w:divBdr>
    </w:div>
    <w:div w:id="193463822">
      <w:bodyDiv w:val="1"/>
      <w:marLeft w:val="0"/>
      <w:marRight w:val="0"/>
      <w:marTop w:val="0"/>
      <w:marBottom w:val="0"/>
      <w:divBdr>
        <w:top w:val="none" w:sz="0" w:space="0" w:color="auto"/>
        <w:left w:val="none" w:sz="0" w:space="0" w:color="auto"/>
        <w:bottom w:val="none" w:sz="0" w:space="0" w:color="auto"/>
        <w:right w:val="none" w:sz="0" w:space="0" w:color="auto"/>
      </w:divBdr>
    </w:div>
    <w:div w:id="206333564">
      <w:bodyDiv w:val="1"/>
      <w:marLeft w:val="0"/>
      <w:marRight w:val="0"/>
      <w:marTop w:val="0"/>
      <w:marBottom w:val="0"/>
      <w:divBdr>
        <w:top w:val="none" w:sz="0" w:space="0" w:color="auto"/>
        <w:left w:val="none" w:sz="0" w:space="0" w:color="auto"/>
        <w:bottom w:val="none" w:sz="0" w:space="0" w:color="auto"/>
        <w:right w:val="none" w:sz="0" w:space="0" w:color="auto"/>
      </w:divBdr>
    </w:div>
    <w:div w:id="224071447">
      <w:bodyDiv w:val="1"/>
      <w:marLeft w:val="0"/>
      <w:marRight w:val="0"/>
      <w:marTop w:val="0"/>
      <w:marBottom w:val="0"/>
      <w:divBdr>
        <w:top w:val="none" w:sz="0" w:space="0" w:color="auto"/>
        <w:left w:val="none" w:sz="0" w:space="0" w:color="auto"/>
        <w:bottom w:val="none" w:sz="0" w:space="0" w:color="auto"/>
        <w:right w:val="none" w:sz="0" w:space="0" w:color="auto"/>
      </w:divBdr>
    </w:div>
    <w:div w:id="231738424">
      <w:bodyDiv w:val="1"/>
      <w:marLeft w:val="0"/>
      <w:marRight w:val="0"/>
      <w:marTop w:val="0"/>
      <w:marBottom w:val="0"/>
      <w:divBdr>
        <w:top w:val="none" w:sz="0" w:space="0" w:color="auto"/>
        <w:left w:val="none" w:sz="0" w:space="0" w:color="auto"/>
        <w:bottom w:val="none" w:sz="0" w:space="0" w:color="auto"/>
        <w:right w:val="none" w:sz="0" w:space="0" w:color="auto"/>
      </w:divBdr>
    </w:div>
    <w:div w:id="241256283">
      <w:bodyDiv w:val="1"/>
      <w:marLeft w:val="0"/>
      <w:marRight w:val="0"/>
      <w:marTop w:val="0"/>
      <w:marBottom w:val="0"/>
      <w:divBdr>
        <w:top w:val="none" w:sz="0" w:space="0" w:color="auto"/>
        <w:left w:val="none" w:sz="0" w:space="0" w:color="auto"/>
        <w:bottom w:val="none" w:sz="0" w:space="0" w:color="auto"/>
        <w:right w:val="none" w:sz="0" w:space="0" w:color="auto"/>
      </w:divBdr>
    </w:div>
    <w:div w:id="262037631">
      <w:bodyDiv w:val="1"/>
      <w:marLeft w:val="0"/>
      <w:marRight w:val="0"/>
      <w:marTop w:val="0"/>
      <w:marBottom w:val="0"/>
      <w:divBdr>
        <w:top w:val="none" w:sz="0" w:space="0" w:color="auto"/>
        <w:left w:val="none" w:sz="0" w:space="0" w:color="auto"/>
        <w:bottom w:val="none" w:sz="0" w:space="0" w:color="auto"/>
        <w:right w:val="none" w:sz="0" w:space="0" w:color="auto"/>
      </w:divBdr>
    </w:div>
    <w:div w:id="279341787">
      <w:bodyDiv w:val="1"/>
      <w:marLeft w:val="0"/>
      <w:marRight w:val="0"/>
      <w:marTop w:val="0"/>
      <w:marBottom w:val="0"/>
      <w:divBdr>
        <w:top w:val="none" w:sz="0" w:space="0" w:color="auto"/>
        <w:left w:val="none" w:sz="0" w:space="0" w:color="auto"/>
        <w:bottom w:val="none" w:sz="0" w:space="0" w:color="auto"/>
        <w:right w:val="none" w:sz="0" w:space="0" w:color="auto"/>
      </w:divBdr>
    </w:div>
    <w:div w:id="286543737">
      <w:bodyDiv w:val="1"/>
      <w:marLeft w:val="0"/>
      <w:marRight w:val="0"/>
      <w:marTop w:val="0"/>
      <w:marBottom w:val="0"/>
      <w:divBdr>
        <w:top w:val="none" w:sz="0" w:space="0" w:color="auto"/>
        <w:left w:val="none" w:sz="0" w:space="0" w:color="auto"/>
        <w:bottom w:val="none" w:sz="0" w:space="0" w:color="auto"/>
        <w:right w:val="none" w:sz="0" w:space="0" w:color="auto"/>
      </w:divBdr>
    </w:div>
    <w:div w:id="305360628">
      <w:bodyDiv w:val="1"/>
      <w:marLeft w:val="0"/>
      <w:marRight w:val="0"/>
      <w:marTop w:val="0"/>
      <w:marBottom w:val="0"/>
      <w:divBdr>
        <w:top w:val="none" w:sz="0" w:space="0" w:color="auto"/>
        <w:left w:val="none" w:sz="0" w:space="0" w:color="auto"/>
        <w:bottom w:val="none" w:sz="0" w:space="0" w:color="auto"/>
        <w:right w:val="none" w:sz="0" w:space="0" w:color="auto"/>
      </w:divBdr>
    </w:div>
    <w:div w:id="308360399">
      <w:bodyDiv w:val="1"/>
      <w:marLeft w:val="0"/>
      <w:marRight w:val="0"/>
      <w:marTop w:val="0"/>
      <w:marBottom w:val="0"/>
      <w:divBdr>
        <w:top w:val="none" w:sz="0" w:space="0" w:color="auto"/>
        <w:left w:val="none" w:sz="0" w:space="0" w:color="auto"/>
        <w:bottom w:val="none" w:sz="0" w:space="0" w:color="auto"/>
        <w:right w:val="none" w:sz="0" w:space="0" w:color="auto"/>
      </w:divBdr>
    </w:div>
    <w:div w:id="333840587">
      <w:bodyDiv w:val="1"/>
      <w:marLeft w:val="0"/>
      <w:marRight w:val="0"/>
      <w:marTop w:val="0"/>
      <w:marBottom w:val="0"/>
      <w:divBdr>
        <w:top w:val="none" w:sz="0" w:space="0" w:color="auto"/>
        <w:left w:val="none" w:sz="0" w:space="0" w:color="auto"/>
        <w:bottom w:val="none" w:sz="0" w:space="0" w:color="auto"/>
        <w:right w:val="none" w:sz="0" w:space="0" w:color="auto"/>
      </w:divBdr>
    </w:div>
    <w:div w:id="339770670">
      <w:bodyDiv w:val="1"/>
      <w:marLeft w:val="0"/>
      <w:marRight w:val="0"/>
      <w:marTop w:val="0"/>
      <w:marBottom w:val="0"/>
      <w:divBdr>
        <w:top w:val="none" w:sz="0" w:space="0" w:color="auto"/>
        <w:left w:val="none" w:sz="0" w:space="0" w:color="auto"/>
        <w:bottom w:val="none" w:sz="0" w:space="0" w:color="auto"/>
        <w:right w:val="none" w:sz="0" w:space="0" w:color="auto"/>
      </w:divBdr>
    </w:div>
    <w:div w:id="343093411">
      <w:bodyDiv w:val="1"/>
      <w:marLeft w:val="0"/>
      <w:marRight w:val="0"/>
      <w:marTop w:val="0"/>
      <w:marBottom w:val="0"/>
      <w:divBdr>
        <w:top w:val="none" w:sz="0" w:space="0" w:color="auto"/>
        <w:left w:val="none" w:sz="0" w:space="0" w:color="auto"/>
        <w:bottom w:val="none" w:sz="0" w:space="0" w:color="auto"/>
        <w:right w:val="none" w:sz="0" w:space="0" w:color="auto"/>
      </w:divBdr>
    </w:div>
    <w:div w:id="343753315">
      <w:bodyDiv w:val="1"/>
      <w:marLeft w:val="0"/>
      <w:marRight w:val="0"/>
      <w:marTop w:val="0"/>
      <w:marBottom w:val="0"/>
      <w:divBdr>
        <w:top w:val="none" w:sz="0" w:space="0" w:color="auto"/>
        <w:left w:val="none" w:sz="0" w:space="0" w:color="auto"/>
        <w:bottom w:val="none" w:sz="0" w:space="0" w:color="auto"/>
        <w:right w:val="none" w:sz="0" w:space="0" w:color="auto"/>
      </w:divBdr>
    </w:div>
    <w:div w:id="345136536">
      <w:bodyDiv w:val="1"/>
      <w:marLeft w:val="0"/>
      <w:marRight w:val="0"/>
      <w:marTop w:val="0"/>
      <w:marBottom w:val="0"/>
      <w:divBdr>
        <w:top w:val="none" w:sz="0" w:space="0" w:color="auto"/>
        <w:left w:val="none" w:sz="0" w:space="0" w:color="auto"/>
        <w:bottom w:val="none" w:sz="0" w:space="0" w:color="auto"/>
        <w:right w:val="none" w:sz="0" w:space="0" w:color="auto"/>
      </w:divBdr>
    </w:div>
    <w:div w:id="347372349">
      <w:bodyDiv w:val="1"/>
      <w:marLeft w:val="0"/>
      <w:marRight w:val="0"/>
      <w:marTop w:val="0"/>
      <w:marBottom w:val="0"/>
      <w:divBdr>
        <w:top w:val="none" w:sz="0" w:space="0" w:color="auto"/>
        <w:left w:val="none" w:sz="0" w:space="0" w:color="auto"/>
        <w:bottom w:val="none" w:sz="0" w:space="0" w:color="auto"/>
        <w:right w:val="none" w:sz="0" w:space="0" w:color="auto"/>
      </w:divBdr>
    </w:div>
    <w:div w:id="348994503">
      <w:bodyDiv w:val="1"/>
      <w:marLeft w:val="0"/>
      <w:marRight w:val="0"/>
      <w:marTop w:val="0"/>
      <w:marBottom w:val="0"/>
      <w:divBdr>
        <w:top w:val="none" w:sz="0" w:space="0" w:color="auto"/>
        <w:left w:val="none" w:sz="0" w:space="0" w:color="auto"/>
        <w:bottom w:val="none" w:sz="0" w:space="0" w:color="auto"/>
        <w:right w:val="none" w:sz="0" w:space="0" w:color="auto"/>
      </w:divBdr>
    </w:div>
    <w:div w:id="371686061">
      <w:bodyDiv w:val="1"/>
      <w:marLeft w:val="0"/>
      <w:marRight w:val="0"/>
      <w:marTop w:val="0"/>
      <w:marBottom w:val="0"/>
      <w:divBdr>
        <w:top w:val="none" w:sz="0" w:space="0" w:color="auto"/>
        <w:left w:val="none" w:sz="0" w:space="0" w:color="auto"/>
        <w:bottom w:val="none" w:sz="0" w:space="0" w:color="auto"/>
        <w:right w:val="none" w:sz="0" w:space="0" w:color="auto"/>
      </w:divBdr>
    </w:div>
    <w:div w:id="378018480">
      <w:bodyDiv w:val="1"/>
      <w:marLeft w:val="0"/>
      <w:marRight w:val="0"/>
      <w:marTop w:val="0"/>
      <w:marBottom w:val="0"/>
      <w:divBdr>
        <w:top w:val="none" w:sz="0" w:space="0" w:color="auto"/>
        <w:left w:val="none" w:sz="0" w:space="0" w:color="auto"/>
        <w:bottom w:val="none" w:sz="0" w:space="0" w:color="auto"/>
        <w:right w:val="none" w:sz="0" w:space="0" w:color="auto"/>
      </w:divBdr>
    </w:div>
    <w:div w:id="391121070">
      <w:bodyDiv w:val="1"/>
      <w:marLeft w:val="0"/>
      <w:marRight w:val="0"/>
      <w:marTop w:val="0"/>
      <w:marBottom w:val="0"/>
      <w:divBdr>
        <w:top w:val="none" w:sz="0" w:space="0" w:color="auto"/>
        <w:left w:val="none" w:sz="0" w:space="0" w:color="auto"/>
        <w:bottom w:val="none" w:sz="0" w:space="0" w:color="auto"/>
        <w:right w:val="none" w:sz="0" w:space="0" w:color="auto"/>
      </w:divBdr>
    </w:div>
    <w:div w:id="400566272">
      <w:bodyDiv w:val="1"/>
      <w:marLeft w:val="0"/>
      <w:marRight w:val="0"/>
      <w:marTop w:val="0"/>
      <w:marBottom w:val="0"/>
      <w:divBdr>
        <w:top w:val="none" w:sz="0" w:space="0" w:color="auto"/>
        <w:left w:val="none" w:sz="0" w:space="0" w:color="auto"/>
        <w:bottom w:val="none" w:sz="0" w:space="0" w:color="auto"/>
        <w:right w:val="none" w:sz="0" w:space="0" w:color="auto"/>
      </w:divBdr>
    </w:div>
    <w:div w:id="411120782">
      <w:bodyDiv w:val="1"/>
      <w:marLeft w:val="0"/>
      <w:marRight w:val="0"/>
      <w:marTop w:val="0"/>
      <w:marBottom w:val="0"/>
      <w:divBdr>
        <w:top w:val="none" w:sz="0" w:space="0" w:color="auto"/>
        <w:left w:val="none" w:sz="0" w:space="0" w:color="auto"/>
        <w:bottom w:val="none" w:sz="0" w:space="0" w:color="auto"/>
        <w:right w:val="none" w:sz="0" w:space="0" w:color="auto"/>
      </w:divBdr>
    </w:div>
    <w:div w:id="413547544">
      <w:bodyDiv w:val="1"/>
      <w:marLeft w:val="0"/>
      <w:marRight w:val="0"/>
      <w:marTop w:val="0"/>
      <w:marBottom w:val="0"/>
      <w:divBdr>
        <w:top w:val="none" w:sz="0" w:space="0" w:color="auto"/>
        <w:left w:val="none" w:sz="0" w:space="0" w:color="auto"/>
        <w:bottom w:val="none" w:sz="0" w:space="0" w:color="auto"/>
        <w:right w:val="none" w:sz="0" w:space="0" w:color="auto"/>
      </w:divBdr>
    </w:div>
    <w:div w:id="422343790">
      <w:bodyDiv w:val="1"/>
      <w:marLeft w:val="0"/>
      <w:marRight w:val="0"/>
      <w:marTop w:val="0"/>
      <w:marBottom w:val="0"/>
      <w:divBdr>
        <w:top w:val="none" w:sz="0" w:space="0" w:color="auto"/>
        <w:left w:val="none" w:sz="0" w:space="0" w:color="auto"/>
        <w:bottom w:val="none" w:sz="0" w:space="0" w:color="auto"/>
        <w:right w:val="none" w:sz="0" w:space="0" w:color="auto"/>
      </w:divBdr>
    </w:div>
    <w:div w:id="430008694">
      <w:bodyDiv w:val="1"/>
      <w:marLeft w:val="0"/>
      <w:marRight w:val="0"/>
      <w:marTop w:val="0"/>
      <w:marBottom w:val="0"/>
      <w:divBdr>
        <w:top w:val="none" w:sz="0" w:space="0" w:color="auto"/>
        <w:left w:val="none" w:sz="0" w:space="0" w:color="auto"/>
        <w:bottom w:val="none" w:sz="0" w:space="0" w:color="auto"/>
        <w:right w:val="none" w:sz="0" w:space="0" w:color="auto"/>
      </w:divBdr>
    </w:div>
    <w:div w:id="431975060">
      <w:bodyDiv w:val="1"/>
      <w:marLeft w:val="0"/>
      <w:marRight w:val="0"/>
      <w:marTop w:val="0"/>
      <w:marBottom w:val="0"/>
      <w:divBdr>
        <w:top w:val="none" w:sz="0" w:space="0" w:color="auto"/>
        <w:left w:val="none" w:sz="0" w:space="0" w:color="auto"/>
        <w:bottom w:val="none" w:sz="0" w:space="0" w:color="auto"/>
        <w:right w:val="none" w:sz="0" w:space="0" w:color="auto"/>
      </w:divBdr>
    </w:div>
    <w:div w:id="434403349">
      <w:bodyDiv w:val="1"/>
      <w:marLeft w:val="0"/>
      <w:marRight w:val="0"/>
      <w:marTop w:val="0"/>
      <w:marBottom w:val="0"/>
      <w:divBdr>
        <w:top w:val="none" w:sz="0" w:space="0" w:color="auto"/>
        <w:left w:val="none" w:sz="0" w:space="0" w:color="auto"/>
        <w:bottom w:val="none" w:sz="0" w:space="0" w:color="auto"/>
        <w:right w:val="none" w:sz="0" w:space="0" w:color="auto"/>
      </w:divBdr>
    </w:div>
    <w:div w:id="454182272">
      <w:bodyDiv w:val="1"/>
      <w:marLeft w:val="0"/>
      <w:marRight w:val="0"/>
      <w:marTop w:val="0"/>
      <w:marBottom w:val="0"/>
      <w:divBdr>
        <w:top w:val="none" w:sz="0" w:space="0" w:color="auto"/>
        <w:left w:val="none" w:sz="0" w:space="0" w:color="auto"/>
        <w:bottom w:val="none" w:sz="0" w:space="0" w:color="auto"/>
        <w:right w:val="none" w:sz="0" w:space="0" w:color="auto"/>
      </w:divBdr>
    </w:div>
    <w:div w:id="490174546">
      <w:bodyDiv w:val="1"/>
      <w:marLeft w:val="0"/>
      <w:marRight w:val="0"/>
      <w:marTop w:val="0"/>
      <w:marBottom w:val="0"/>
      <w:divBdr>
        <w:top w:val="none" w:sz="0" w:space="0" w:color="auto"/>
        <w:left w:val="none" w:sz="0" w:space="0" w:color="auto"/>
        <w:bottom w:val="none" w:sz="0" w:space="0" w:color="auto"/>
        <w:right w:val="none" w:sz="0" w:space="0" w:color="auto"/>
      </w:divBdr>
    </w:div>
    <w:div w:id="538325043">
      <w:bodyDiv w:val="1"/>
      <w:marLeft w:val="0"/>
      <w:marRight w:val="0"/>
      <w:marTop w:val="0"/>
      <w:marBottom w:val="0"/>
      <w:divBdr>
        <w:top w:val="none" w:sz="0" w:space="0" w:color="auto"/>
        <w:left w:val="none" w:sz="0" w:space="0" w:color="auto"/>
        <w:bottom w:val="none" w:sz="0" w:space="0" w:color="auto"/>
        <w:right w:val="none" w:sz="0" w:space="0" w:color="auto"/>
      </w:divBdr>
    </w:div>
    <w:div w:id="549145907">
      <w:bodyDiv w:val="1"/>
      <w:marLeft w:val="0"/>
      <w:marRight w:val="0"/>
      <w:marTop w:val="0"/>
      <w:marBottom w:val="0"/>
      <w:divBdr>
        <w:top w:val="none" w:sz="0" w:space="0" w:color="auto"/>
        <w:left w:val="none" w:sz="0" w:space="0" w:color="auto"/>
        <w:bottom w:val="none" w:sz="0" w:space="0" w:color="auto"/>
        <w:right w:val="none" w:sz="0" w:space="0" w:color="auto"/>
      </w:divBdr>
    </w:div>
    <w:div w:id="559363821">
      <w:bodyDiv w:val="1"/>
      <w:marLeft w:val="0"/>
      <w:marRight w:val="0"/>
      <w:marTop w:val="0"/>
      <w:marBottom w:val="0"/>
      <w:divBdr>
        <w:top w:val="none" w:sz="0" w:space="0" w:color="auto"/>
        <w:left w:val="none" w:sz="0" w:space="0" w:color="auto"/>
        <w:bottom w:val="none" w:sz="0" w:space="0" w:color="auto"/>
        <w:right w:val="none" w:sz="0" w:space="0" w:color="auto"/>
      </w:divBdr>
    </w:div>
    <w:div w:id="562302387">
      <w:bodyDiv w:val="1"/>
      <w:marLeft w:val="0"/>
      <w:marRight w:val="0"/>
      <w:marTop w:val="0"/>
      <w:marBottom w:val="0"/>
      <w:divBdr>
        <w:top w:val="none" w:sz="0" w:space="0" w:color="auto"/>
        <w:left w:val="none" w:sz="0" w:space="0" w:color="auto"/>
        <w:bottom w:val="none" w:sz="0" w:space="0" w:color="auto"/>
        <w:right w:val="none" w:sz="0" w:space="0" w:color="auto"/>
      </w:divBdr>
    </w:div>
    <w:div w:id="579683449">
      <w:bodyDiv w:val="1"/>
      <w:marLeft w:val="0"/>
      <w:marRight w:val="0"/>
      <w:marTop w:val="0"/>
      <w:marBottom w:val="0"/>
      <w:divBdr>
        <w:top w:val="none" w:sz="0" w:space="0" w:color="auto"/>
        <w:left w:val="none" w:sz="0" w:space="0" w:color="auto"/>
        <w:bottom w:val="none" w:sz="0" w:space="0" w:color="auto"/>
        <w:right w:val="none" w:sz="0" w:space="0" w:color="auto"/>
      </w:divBdr>
    </w:div>
    <w:div w:id="614365570">
      <w:bodyDiv w:val="1"/>
      <w:marLeft w:val="0"/>
      <w:marRight w:val="0"/>
      <w:marTop w:val="0"/>
      <w:marBottom w:val="0"/>
      <w:divBdr>
        <w:top w:val="none" w:sz="0" w:space="0" w:color="auto"/>
        <w:left w:val="none" w:sz="0" w:space="0" w:color="auto"/>
        <w:bottom w:val="none" w:sz="0" w:space="0" w:color="auto"/>
        <w:right w:val="none" w:sz="0" w:space="0" w:color="auto"/>
      </w:divBdr>
    </w:div>
    <w:div w:id="617445684">
      <w:bodyDiv w:val="1"/>
      <w:marLeft w:val="0"/>
      <w:marRight w:val="0"/>
      <w:marTop w:val="0"/>
      <w:marBottom w:val="0"/>
      <w:divBdr>
        <w:top w:val="none" w:sz="0" w:space="0" w:color="auto"/>
        <w:left w:val="none" w:sz="0" w:space="0" w:color="auto"/>
        <w:bottom w:val="none" w:sz="0" w:space="0" w:color="auto"/>
        <w:right w:val="none" w:sz="0" w:space="0" w:color="auto"/>
      </w:divBdr>
    </w:div>
    <w:div w:id="643509726">
      <w:bodyDiv w:val="1"/>
      <w:marLeft w:val="0"/>
      <w:marRight w:val="0"/>
      <w:marTop w:val="0"/>
      <w:marBottom w:val="0"/>
      <w:divBdr>
        <w:top w:val="none" w:sz="0" w:space="0" w:color="auto"/>
        <w:left w:val="none" w:sz="0" w:space="0" w:color="auto"/>
        <w:bottom w:val="none" w:sz="0" w:space="0" w:color="auto"/>
        <w:right w:val="none" w:sz="0" w:space="0" w:color="auto"/>
      </w:divBdr>
    </w:div>
    <w:div w:id="648675992">
      <w:bodyDiv w:val="1"/>
      <w:marLeft w:val="0"/>
      <w:marRight w:val="0"/>
      <w:marTop w:val="0"/>
      <w:marBottom w:val="0"/>
      <w:divBdr>
        <w:top w:val="none" w:sz="0" w:space="0" w:color="auto"/>
        <w:left w:val="none" w:sz="0" w:space="0" w:color="auto"/>
        <w:bottom w:val="none" w:sz="0" w:space="0" w:color="auto"/>
        <w:right w:val="none" w:sz="0" w:space="0" w:color="auto"/>
      </w:divBdr>
    </w:div>
    <w:div w:id="661590086">
      <w:bodyDiv w:val="1"/>
      <w:marLeft w:val="0"/>
      <w:marRight w:val="0"/>
      <w:marTop w:val="0"/>
      <w:marBottom w:val="0"/>
      <w:divBdr>
        <w:top w:val="none" w:sz="0" w:space="0" w:color="auto"/>
        <w:left w:val="none" w:sz="0" w:space="0" w:color="auto"/>
        <w:bottom w:val="none" w:sz="0" w:space="0" w:color="auto"/>
        <w:right w:val="none" w:sz="0" w:space="0" w:color="auto"/>
      </w:divBdr>
    </w:div>
    <w:div w:id="682708959">
      <w:bodyDiv w:val="1"/>
      <w:marLeft w:val="0"/>
      <w:marRight w:val="0"/>
      <w:marTop w:val="0"/>
      <w:marBottom w:val="0"/>
      <w:divBdr>
        <w:top w:val="none" w:sz="0" w:space="0" w:color="auto"/>
        <w:left w:val="none" w:sz="0" w:space="0" w:color="auto"/>
        <w:bottom w:val="none" w:sz="0" w:space="0" w:color="auto"/>
        <w:right w:val="none" w:sz="0" w:space="0" w:color="auto"/>
      </w:divBdr>
    </w:div>
    <w:div w:id="697705917">
      <w:bodyDiv w:val="1"/>
      <w:marLeft w:val="0"/>
      <w:marRight w:val="0"/>
      <w:marTop w:val="0"/>
      <w:marBottom w:val="0"/>
      <w:divBdr>
        <w:top w:val="none" w:sz="0" w:space="0" w:color="auto"/>
        <w:left w:val="none" w:sz="0" w:space="0" w:color="auto"/>
        <w:bottom w:val="none" w:sz="0" w:space="0" w:color="auto"/>
        <w:right w:val="none" w:sz="0" w:space="0" w:color="auto"/>
      </w:divBdr>
    </w:div>
    <w:div w:id="701369811">
      <w:bodyDiv w:val="1"/>
      <w:marLeft w:val="0"/>
      <w:marRight w:val="0"/>
      <w:marTop w:val="0"/>
      <w:marBottom w:val="0"/>
      <w:divBdr>
        <w:top w:val="none" w:sz="0" w:space="0" w:color="auto"/>
        <w:left w:val="none" w:sz="0" w:space="0" w:color="auto"/>
        <w:bottom w:val="none" w:sz="0" w:space="0" w:color="auto"/>
        <w:right w:val="none" w:sz="0" w:space="0" w:color="auto"/>
      </w:divBdr>
    </w:div>
    <w:div w:id="702679084">
      <w:bodyDiv w:val="1"/>
      <w:marLeft w:val="0"/>
      <w:marRight w:val="0"/>
      <w:marTop w:val="0"/>
      <w:marBottom w:val="0"/>
      <w:divBdr>
        <w:top w:val="none" w:sz="0" w:space="0" w:color="auto"/>
        <w:left w:val="none" w:sz="0" w:space="0" w:color="auto"/>
        <w:bottom w:val="none" w:sz="0" w:space="0" w:color="auto"/>
        <w:right w:val="none" w:sz="0" w:space="0" w:color="auto"/>
      </w:divBdr>
    </w:div>
    <w:div w:id="723917145">
      <w:bodyDiv w:val="1"/>
      <w:marLeft w:val="0"/>
      <w:marRight w:val="0"/>
      <w:marTop w:val="0"/>
      <w:marBottom w:val="0"/>
      <w:divBdr>
        <w:top w:val="none" w:sz="0" w:space="0" w:color="auto"/>
        <w:left w:val="none" w:sz="0" w:space="0" w:color="auto"/>
        <w:bottom w:val="none" w:sz="0" w:space="0" w:color="auto"/>
        <w:right w:val="none" w:sz="0" w:space="0" w:color="auto"/>
      </w:divBdr>
    </w:div>
    <w:div w:id="729962464">
      <w:bodyDiv w:val="1"/>
      <w:marLeft w:val="0"/>
      <w:marRight w:val="0"/>
      <w:marTop w:val="0"/>
      <w:marBottom w:val="0"/>
      <w:divBdr>
        <w:top w:val="none" w:sz="0" w:space="0" w:color="auto"/>
        <w:left w:val="none" w:sz="0" w:space="0" w:color="auto"/>
        <w:bottom w:val="none" w:sz="0" w:space="0" w:color="auto"/>
        <w:right w:val="none" w:sz="0" w:space="0" w:color="auto"/>
      </w:divBdr>
    </w:div>
    <w:div w:id="730931863">
      <w:bodyDiv w:val="1"/>
      <w:marLeft w:val="0"/>
      <w:marRight w:val="0"/>
      <w:marTop w:val="0"/>
      <w:marBottom w:val="0"/>
      <w:divBdr>
        <w:top w:val="none" w:sz="0" w:space="0" w:color="auto"/>
        <w:left w:val="none" w:sz="0" w:space="0" w:color="auto"/>
        <w:bottom w:val="none" w:sz="0" w:space="0" w:color="auto"/>
        <w:right w:val="none" w:sz="0" w:space="0" w:color="auto"/>
      </w:divBdr>
    </w:div>
    <w:div w:id="736048431">
      <w:bodyDiv w:val="1"/>
      <w:marLeft w:val="0"/>
      <w:marRight w:val="0"/>
      <w:marTop w:val="0"/>
      <w:marBottom w:val="0"/>
      <w:divBdr>
        <w:top w:val="none" w:sz="0" w:space="0" w:color="auto"/>
        <w:left w:val="none" w:sz="0" w:space="0" w:color="auto"/>
        <w:bottom w:val="none" w:sz="0" w:space="0" w:color="auto"/>
        <w:right w:val="none" w:sz="0" w:space="0" w:color="auto"/>
      </w:divBdr>
    </w:div>
    <w:div w:id="737476794">
      <w:bodyDiv w:val="1"/>
      <w:marLeft w:val="0"/>
      <w:marRight w:val="0"/>
      <w:marTop w:val="0"/>
      <w:marBottom w:val="0"/>
      <w:divBdr>
        <w:top w:val="none" w:sz="0" w:space="0" w:color="auto"/>
        <w:left w:val="none" w:sz="0" w:space="0" w:color="auto"/>
        <w:bottom w:val="none" w:sz="0" w:space="0" w:color="auto"/>
        <w:right w:val="none" w:sz="0" w:space="0" w:color="auto"/>
      </w:divBdr>
    </w:div>
    <w:div w:id="746194070">
      <w:bodyDiv w:val="1"/>
      <w:marLeft w:val="0"/>
      <w:marRight w:val="0"/>
      <w:marTop w:val="0"/>
      <w:marBottom w:val="0"/>
      <w:divBdr>
        <w:top w:val="none" w:sz="0" w:space="0" w:color="auto"/>
        <w:left w:val="none" w:sz="0" w:space="0" w:color="auto"/>
        <w:bottom w:val="none" w:sz="0" w:space="0" w:color="auto"/>
        <w:right w:val="none" w:sz="0" w:space="0" w:color="auto"/>
      </w:divBdr>
    </w:div>
    <w:div w:id="746224760">
      <w:bodyDiv w:val="1"/>
      <w:marLeft w:val="0"/>
      <w:marRight w:val="0"/>
      <w:marTop w:val="0"/>
      <w:marBottom w:val="0"/>
      <w:divBdr>
        <w:top w:val="none" w:sz="0" w:space="0" w:color="auto"/>
        <w:left w:val="none" w:sz="0" w:space="0" w:color="auto"/>
        <w:bottom w:val="none" w:sz="0" w:space="0" w:color="auto"/>
        <w:right w:val="none" w:sz="0" w:space="0" w:color="auto"/>
      </w:divBdr>
    </w:div>
    <w:div w:id="753012403">
      <w:bodyDiv w:val="1"/>
      <w:marLeft w:val="0"/>
      <w:marRight w:val="0"/>
      <w:marTop w:val="0"/>
      <w:marBottom w:val="0"/>
      <w:divBdr>
        <w:top w:val="none" w:sz="0" w:space="0" w:color="auto"/>
        <w:left w:val="none" w:sz="0" w:space="0" w:color="auto"/>
        <w:bottom w:val="none" w:sz="0" w:space="0" w:color="auto"/>
        <w:right w:val="none" w:sz="0" w:space="0" w:color="auto"/>
      </w:divBdr>
    </w:div>
    <w:div w:id="762341627">
      <w:bodyDiv w:val="1"/>
      <w:marLeft w:val="0"/>
      <w:marRight w:val="0"/>
      <w:marTop w:val="0"/>
      <w:marBottom w:val="0"/>
      <w:divBdr>
        <w:top w:val="none" w:sz="0" w:space="0" w:color="auto"/>
        <w:left w:val="none" w:sz="0" w:space="0" w:color="auto"/>
        <w:bottom w:val="none" w:sz="0" w:space="0" w:color="auto"/>
        <w:right w:val="none" w:sz="0" w:space="0" w:color="auto"/>
      </w:divBdr>
    </w:div>
    <w:div w:id="807670343">
      <w:bodyDiv w:val="1"/>
      <w:marLeft w:val="0"/>
      <w:marRight w:val="0"/>
      <w:marTop w:val="0"/>
      <w:marBottom w:val="0"/>
      <w:divBdr>
        <w:top w:val="none" w:sz="0" w:space="0" w:color="auto"/>
        <w:left w:val="none" w:sz="0" w:space="0" w:color="auto"/>
        <w:bottom w:val="none" w:sz="0" w:space="0" w:color="auto"/>
        <w:right w:val="none" w:sz="0" w:space="0" w:color="auto"/>
      </w:divBdr>
    </w:div>
    <w:div w:id="811948475">
      <w:bodyDiv w:val="1"/>
      <w:marLeft w:val="0"/>
      <w:marRight w:val="0"/>
      <w:marTop w:val="0"/>
      <w:marBottom w:val="0"/>
      <w:divBdr>
        <w:top w:val="none" w:sz="0" w:space="0" w:color="auto"/>
        <w:left w:val="none" w:sz="0" w:space="0" w:color="auto"/>
        <w:bottom w:val="none" w:sz="0" w:space="0" w:color="auto"/>
        <w:right w:val="none" w:sz="0" w:space="0" w:color="auto"/>
      </w:divBdr>
    </w:div>
    <w:div w:id="818501259">
      <w:bodyDiv w:val="1"/>
      <w:marLeft w:val="0"/>
      <w:marRight w:val="0"/>
      <w:marTop w:val="0"/>
      <w:marBottom w:val="0"/>
      <w:divBdr>
        <w:top w:val="none" w:sz="0" w:space="0" w:color="auto"/>
        <w:left w:val="none" w:sz="0" w:space="0" w:color="auto"/>
        <w:bottom w:val="none" w:sz="0" w:space="0" w:color="auto"/>
        <w:right w:val="none" w:sz="0" w:space="0" w:color="auto"/>
      </w:divBdr>
    </w:div>
    <w:div w:id="829371564">
      <w:bodyDiv w:val="1"/>
      <w:marLeft w:val="0"/>
      <w:marRight w:val="0"/>
      <w:marTop w:val="0"/>
      <w:marBottom w:val="0"/>
      <w:divBdr>
        <w:top w:val="none" w:sz="0" w:space="0" w:color="auto"/>
        <w:left w:val="none" w:sz="0" w:space="0" w:color="auto"/>
        <w:bottom w:val="none" w:sz="0" w:space="0" w:color="auto"/>
        <w:right w:val="none" w:sz="0" w:space="0" w:color="auto"/>
      </w:divBdr>
    </w:div>
    <w:div w:id="834881326">
      <w:bodyDiv w:val="1"/>
      <w:marLeft w:val="0"/>
      <w:marRight w:val="0"/>
      <w:marTop w:val="0"/>
      <w:marBottom w:val="0"/>
      <w:divBdr>
        <w:top w:val="none" w:sz="0" w:space="0" w:color="auto"/>
        <w:left w:val="none" w:sz="0" w:space="0" w:color="auto"/>
        <w:bottom w:val="none" w:sz="0" w:space="0" w:color="auto"/>
        <w:right w:val="none" w:sz="0" w:space="0" w:color="auto"/>
      </w:divBdr>
    </w:div>
    <w:div w:id="845822918">
      <w:bodyDiv w:val="1"/>
      <w:marLeft w:val="0"/>
      <w:marRight w:val="0"/>
      <w:marTop w:val="0"/>
      <w:marBottom w:val="0"/>
      <w:divBdr>
        <w:top w:val="none" w:sz="0" w:space="0" w:color="auto"/>
        <w:left w:val="none" w:sz="0" w:space="0" w:color="auto"/>
        <w:bottom w:val="none" w:sz="0" w:space="0" w:color="auto"/>
        <w:right w:val="none" w:sz="0" w:space="0" w:color="auto"/>
      </w:divBdr>
    </w:div>
    <w:div w:id="897714819">
      <w:bodyDiv w:val="1"/>
      <w:marLeft w:val="0"/>
      <w:marRight w:val="0"/>
      <w:marTop w:val="0"/>
      <w:marBottom w:val="0"/>
      <w:divBdr>
        <w:top w:val="none" w:sz="0" w:space="0" w:color="auto"/>
        <w:left w:val="none" w:sz="0" w:space="0" w:color="auto"/>
        <w:bottom w:val="none" w:sz="0" w:space="0" w:color="auto"/>
        <w:right w:val="none" w:sz="0" w:space="0" w:color="auto"/>
      </w:divBdr>
    </w:div>
    <w:div w:id="921990799">
      <w:bodyDiv w:val="1"/>
      <w:marLeft w:val="0"/>
      <w:marRight w:val="0"/>
      <w:marTop w:val="0"/>
      <w:marBottom w:val="0"/>
      <w:divBdr>
        <w:top w:val="none" w:sz="0" w:space="0" w:color="auto"/>
        <w:left w:val="none" w:sz="0" w:space="0" w:color="auto"/>
        <w:bottom w:val="none" w:sz="0" w:space="0" w:color="auto"/>
        <w:right w:val="none" w:sz="0" w:space="0" w:color="auto"/>
      </w:divBdr>
    </w:div>
    <w:div w:id="927617070">
      <w:bodyDiv w:val="1"/>
      <w:marLeft w:val="0"/>
      <w:marRight w:val="0"/>
      <w:marTop w:val="0"/>
      <w:marBottom w:val="0"/>
      <w:divBdr>
        <w:top w:val="none" w:sz="0" w:space="0" w:color="auto"/>
        <w:left w:val="none" w:sz="0" w:space="0" w:color="auto"/>
        <w:bottom w:val="none" w:sz="0" w:space="0" w:color="auto"/>
        <w:right w:val="none" w:sz="0" w:space="0" w:color="auto"/>
      </w:divBdr>
    </w:div>
    <w:div w:id="954554298">
      <w:bodyDiv w:val="1"/>
      <w:marLeft w:val="0"/>
      <w:marRight w:val="0"/>
      <w:marTop w:val="0"/>
      <w:marBottom w:val="0"/>
      <w:divBdr>
        <w:top w:val="none" w:sz="0" w:space="0" w:color="auto"/>
        <w:left w:val="none" w:sz="0" w:space="0" w:color="auto"/>
        <w:bottom w:val="none" w:sz="0" w:space="0" w:color="auto"/>
        <w:right w:val="none" w:sz="0" w:space="0" w:color="auto"/>
      </w:divBdr>
    </w:div>
    <w:div w:id="958149469">
      <w:bodyDiv w:val="1"/>
      <w:marLeft w:val="0"/>
      <w:marRight w:val="0"/>
      <w:marTop w:val="0"/>
      <w:marBottom w:val="0"/>
      <w:divBdr>
        <w:top w:val="none" w:sz="0" w:space="0" w:color="auto"/>
        <w:left w:val="none" w:sz="0" w:space="0" w:color="auto"/>
        <w:bottom w:val="none" w:sz="0" w:space="0" w:color="auto"/>
        <w:right w:val="none" w:sz="0" w:space="0" w:color="auto"/>
      </w:divBdr>
    </w:div>
    <w:div w:id="974876718">
      <w:bodyDiv w:val="1"/>
      <w:marLeft w:val="0"/>
      <w:marRight w:val="0"/>
      <w:marTop w:val="0"/>
      <w:marBottom w:val="0"/>
      <w:divBdr>
        <w:top w:val="none" w:sz="0" w:space="0" w:color="auto"/>
        <w:left w:val="none" w:sz="0" w:space="0" w:color="auto"/>
        <w:bottom w:val="none" w:sz="0" w:space="0" w:color="auto"/>
        <w:right w:val="none" w:sz="0" w:space="0" w:color="auto"/>
      </w:divBdr>
    </w:div>
    <w:div w:id="983319083">
      <w:bodyDiv w:val="1"/>
      <w:marLeft w:val="0"/>
      <w:marRight w:val="0"/>
      <w:marTop w:val="0"/>
      <w:marBottom w:val="0"/>
      <w:divBdr>
        <w:top w:val="none" w:sz="0" w:space="0" w:color="auto"/>
        <w:left w:val="none" w:sz="0" w:space="0" w:color="auto"/>
        <w:bottom w:val="none" w:sz="0" w:space="0" w:color="auto"/>
        <w:right w:val="none" w:sz="0" w:space="0" w:color="auto"/>
      </w:divBdr>
    </w:div>
    <w:div w:id="991637029">
      <w:bodyDiv w:val="1"/>
      <w:marLeft w:val="0"/>
      <w:marRight w:val="0"/>
      <w:marTop w:val="0"/>
      <w:marBottom w:val="0"/>
      <w:divBdr>
        <w:top w:val="none" w:sz="0" w:space="0" w:color="auto"/>
        <w:left w:val="none" w:sz="0" w:space="0" w:color="auto"/>
        <w:bottom w:val="none" w:sz="0" w:space="0" w:color="auto"/>
        <w:right w:val="none" w:sz="0" w:space="0" w:color="auto"/>
      </w:divBdr>
    </w:div>
    <w:div w:id="992567534">
      <w:bodyDiv w:val="1"/>
      <w:marLeft w:val="0"/>
      <w:marRight w:val="0"/>
      <w:marTop w:val="0"/>
      <w:marBottom w:val="0"/>
      <w:divBdr>
        <w:top w:val="none" w:sz="0" w:space="0" w:color="auto"/>
        <w:left w:val="none" w:sz="0" w:space="0" w:color="auto"/>
        <w:bottom w:val="none" w:sz="0" w:space="0" w:color="auto"/>
        <w:right w:val="none" w:sz="0" w:space="0" w:color="auto"/>
      </w:divBdr>
    </w:div>
    <w:div w:id="1016619306">
      <w:bodyDiv w:val="1"/>
      <w:marLeft w:val="0"/>
      <w:marRight w:val="0"/>
      <w:marTop w:val="0"/>
      <w:marBottom w:val="0"/>
      <w:divBdr>
        <w:top w:val="none" w:sz="0" w:space="0" w:color="auto"/>
        <w:left w:val="none" w:sz="0" w:space="0" w:color="auto"/>
        <w:bottom w:val="none" w:sz="0" w:space="0" w:color="auto"/>
        <w:right w:val="none" w:sz="0" w:space="0" w:color="auto"/>
      </w:divBdr>
    </w:div>
    <w:div w:id="1018891983">
      <w:bodyDiv w:val="1"/>
      <w:marLeft w:val="0"/>
      <w:marRight w:val="0"/>
      <w:marTop w:val="0"/>
      <w:marBottom w:val="0"/>
      <w:divBdr>
        <w:top w:val="none" w:sz="0" w:space="0" w:color="auto"/>
        <w:left w:val="none" w:sz="0" w:space="0" w:color="auto"/>
        <w:bottom w:val="none" w:sz="0" w:space="0" w:color="auto"/>
        <w:right w:val="none" w:sz="0" w:space="0" w:color="auto"/>
      </w:divBdr>
    </w:div>
    <w:div w:id="1034958938">
      <w:bodyDiv w:val="1"/>
      <w:marLeft w:val="0"/>
      <w:marRight w:val="0"/>
      <w:marTop w:val="0"/>
      <w:marBottom w:val="0"/>
      <w:divBdr>
        <w:top w:val="none" w:sz="0" w:space="0" w:color="auto"/>
        <w:left w:val="none" w:sz="0" w:space="0" w:color="auto"/>
        <w:bottom w:val="none" w:sz="0" w:space="0" w:color="auto"/>
        <w:right w:val="none" w:sz="0" w:space="0" w:color="auto"/>
      </w:divBdr>
    </w:div>
    <w:div w:id="1056010884">
      <w:bodyDiv w:val="1"/>
      <w:marLeft w:val="0"/>
      <w:marRight w:val="0"/>
      <w:marTop w:val="0"/>
      <w:marBottom w:val="0"/>
      <w:divBdr>
        <w:top w:val="none" w:sz="0" w:space="0" w:color="auto"/>
        <w:left w:val="none" w:sz="0" w:space="0" w:color="auto"/>
        <w:bottom w:val="none" w:sz="0" w:space="0" w:color="auto"/>
        <w:right w:val="none" w:sz="0" w:space="0" w:color="auto"/>
      </w:divBdr>
    </w:div>
    <w:div w:id="1056470466">
      <w:bodyDiv w:val="1"/>
      <w:marLeft w:val="0"/>
      <w:marRight w:val="0"/>
      <w:marTop w:val="0"/>
      <w:marBottom w:val="0"/>
      <w:divBdr>
        <w:top w:val="none" w:sz="0" w:space="0" w:color="auto"/>
        <w:left w:val="none" w:sz="0" w:space="0" w:color="auto"/>
        <w:bottom w:val="none" w:sz="0" w:space="0" w:color="auto"/>
        <w:right w:val="none" w:sz="0" w:space="0" w:color="auto"/>
      </w:divBdr>
    </w:div>
    <w:div w:id="1066413074">
      <w:bodyDiv w:val="1"/>
      <w:marLeft w:val="0"/>
      <w:marRight w:val="0"/>
      <w:marTop w:val="0"/>
      <w:marBottom w:val="0"/>
      <w:divBdr>
        <w:top w:val="none" w:sz="0" w:space="0" w:color="auto"/>
        <w:left w:val="none" w:sz="0" w:space="0" w:color="auto"/>
        <w:bottom w:val="none" w:sz="0" w:space="0" w:color="auto"/>
        <w:right w:val="none" w:sz="0" w:space="0" w:color="auto"/>
      </w:divBdr>
    </w:div>
    <w:div w:id="1072312066">
      <w:bodyDiv w:val="1"/>
      <w:marLeft w:val="0"/>
      <w:marRight w:val="0"/>
      <w:marTop w:val="0"/>
      <w:marBottom w:val="0"/>
      <w:divBdr>
        <w:top w:val="none" w:sz="0" w:space="0" w:color="auto"/>
        <w:left w:val="none" w:sz="0" w:space="0" w:color="auto"/>
        <w:bottom w:val="none" w:sz="0" w:space="0" w:color="auto"/>
        <w:right w:val="none" w:sz="0" w:space="0" w:color="auto"/>
      </w:divBdr>
    </w:div>
    <w:div w:id="1092628244">
      <w:bodyDiv w:val="1"/>
      <w:marLeft w:val="0"/>
      <w:marRight w:val="0"/>
      <w:marTop w:val="0"/>
      <w:marBottom w:val="0"/>
      <w:divBdr>
        <w:top w:val="none" w:sz="0" w:space="0" w:color="auto"/>
        <w:left w:val="none" w:sz="0" w:space="0" w:color="auto"/>
        <w:bottom w:val="none" w:sz="0" w:space="0" w:color="auto"/>
        <w:right w:val="none" w:sz="0" w:space="0" w:color="auto"/>
      </w:divBdr>
    </w:div>
    <w:div w:id="1092817973">
      <w:bodyDiv w:val="1"/>
      <w:marLeft w:val="0"/>
      <w:marRight w:val="0"/>
      <w:marTop w:val="0"/>
      <w:marBottom w:val="0"/>
      <w:divBdr>
        <w:top w:val="none" w:sz="0" w:space="0" w:color="auto"/>
        <w:left w:val="none" w:sz="0" w:space="0" w:color="auto"/>
        <w:bottom w:val="none" w:sz="0" w:space="0" w:color="auto"/>
        <w:right w:val="none" w:sz="0" w:space="0" w:color="auto"/>
      </w:divBdr>
    </w:div>
    <w:div w:id="1104693302">
      <w:bodyDiv w:val="1"/>
      <w:marLeft w:val="0"/>
      <w:marRight w:val="0"/>
      <w:marTop w:val="0"/>
      <w:marBottom w:val="0"/>
      <w:divBdr>
        <w:top w:val="none" w:sz="0" w:space="0" w:color="auto"/>
        <w:left w:val="none" w:sz="0" w:space="0" w:color="auto"/>
        <w:bottom w:val="none" w:sz="0" w:space="0" w:color="auto"/>
        <w:right w:val="none" w:sz="0" w:space="0" w:color="auto"/>
      </w:divBdr>
    </w:div>
    <w:div w:id="1112211838">
      <w:bodyDiv w:val="1"/>
      <w:marLeft w:val="0"/>
      <w:marRight w:val="0"/>
      <w:marTop w:val="0"/>
      <w:marBottom w:val="0"/>
      <w:divBdr>
        <w:top w:val="none" w:sz="0" w:space="0" w:color="auto"/>
        <w:left w:val="none" w:sz="0" w:space="0" w:color="auto"/>
        <w:bottom w:val="none" w:sz="0" w:space="0" w:color="auto"/>
        <w:right w:val="none" w:sz="0" w:space="0" w:color="auto"/>
      </w:divBdr>
    </w:div>
    <w:div w:id="1123503568">
      <w:bodyDiv w:val="1"/>
      <w:marLeft w:val="0"/>
      <w:marRight w:val="0"/>
      <w:marTop w:val="0"/>
      <w:marBottom w:val="0"/>
      <w:divBdr>
        <w:top w:val="none" w:sz="0" w:space="0" w:color="auto"/>
        <w:left w:val="none" w:sz="0" w:space="0" w:color="auto"/>
        <w:bottom w:val="none" w:sz="0" w:space="0" w:color="auto"/>
        <w:right w:val="none" w:sz="0" w:space="0" w:color="auto"/>
      </w:divBdr>
    </w:div>
    <w:div w:id="1140342774">
      <w:bodyDiv w:val="1"/>
      <w:marLeft w:val="0"/>
      <w:marRight w:val="0"/>
      <w:marTop w:val="0"/>
      <w:marBottom w:val="0"/>
      <w:divBdr>
        <w:top w:val="none" w:sz="0" w:space="0" w:color="auto"/>
        <w:left w:val="none" w:sz="0" w:space="0" w:color="auto"/>
        <w:bottom w:val="none" w:sz="0" w:space="0" w:color="auto"/>
        <w:right w:val="none" w:sz="0" w:space="0" w:color="auto"/>
      </w:divBdr>
    </w:div>
    <w:div w:id="1160996731">
      <w:bodyDiv w:val="1"/>
      <w:marLeft w:val="0"/>
      <w:marRight w:val="0"/>
      <w:marTop w:val="0"/>
      <w:marBottom w:val="0"/>
      <w:divBdr>
        <w:top w:val="none" w:sz="0" w:space="0" w:color="auto"/>
        <w:left w:val="none" w:sz="0" w:space="0" w:color="auto"/>
        <w:bottom w:val="none" w:sz="0" w:space="0" w:color="auto"/>
        <w:right w:val="none" w:sz="0" w:space="0" w:color="auto"/>
      </w:divBdr>
    </w:div>
    <w:div w:id="1167476417">
      <w:bodyDiv w:val="1"/>
      <w:marLeft w:val="0"/>
      <w:marRight w:val="0"/>
      <w:marTop w:val="0"/>
      <w:marBottom w:val="0"/>
      <w:divBdr>
        <w:top w:val="none" w:sz="0" w:space="0" w:color="auto"/>
        <w:left w:val="none" w:sz="0" w:space="0" w:color="auto"/>
        <w:bottom w:val="none" w:sz="0" w:space="0" w:color="auto"/>
        <w:right w:val="none" w:sz="0" w:space="0" w:color="auto"/>
      </w:divBdr>
    </w:div>
    <w:div w:id="1168132139">
      <w:bodyDiv w:val="1"/>
      <w:marLeft w:val="0"/>
      <w:marRight w:val="0"/>
      <w:marTop w:val="0"/>
      <w:marBottom w:val="0"/>
      <w:divBdr>
        <w:top w:val="none" w:sz="0" w:space="0" w:color="auto"/>
        <w:left w:val="none" w:sz="0" w:space="0" w:color="auto"/>
        <w:bottom w:val="none" w:sz="0" w:space="0" w:color="auto"/>
        <w:right w:val="none" w:sz="0" w:space="0" w:color="auto"/>
      </w:divBdr>
    </w:div>
    <w:div w:id="1171990227">
      <w:bodyDiv w:val="1"/>
      <w:marLeft w:val="0"/>
      <w:marRight w:val="0"/>
      <w:marTop w:val="0"/>
      <w:marBottom w:val="0"/>
      <w:divBdr>
        <w:top w:val="none" w:sz="0" w:space="0" w:color="auto"/>
        <w:left w:val="none" w:sz="0" w:space="0" w:color="auto"/>
        <w:bottom w:val="none" w:sz="0" w:space="0" w:color="auto"/>
        <w:right w:val="none" w:sz="0" w:space="0" w:color="auto"/>
      </w:divBdr>
    </w:div>
    <w:div w:id="1197813270">
      <w:bodyDiv w:val="1"/>
      <w:marLeft w:val="0"/>
      <w:marRight w:val="0"/>
      <w:marTop w:val="0"/>
      <w:marBottom w:val="0"/>
      <w:divBdr>
        <w:top w:val="none" w:sz="0" w:space="0" w:color="auto"/>
        <w:left w:val="none" w:sz="0" w:space="0" w:color="auto"/>
        <w:bottom w:val="none" w:sz="0" w:space="0" w:color="auto"/>
        <w:right w:val="none" w:sz="0" w:space="0" w:color="auto"/>
      </w:divBdr>
    </w:div>
    <w:div w:id="1200824375">
      <w:bodyDiv w:val="1"/>
      <w:marLeft w:val="0"/>
      <w:marRight w:val="0"/>
      <w:marTop w:val="0"/>
      <w:marBottom w:val="0"/>
      <w:divBdr>
        <w:top w:val="none" w:sz="0" w:space="0" w:color="auto"/>
        <w:left w:val="none" w:sz="0" w:space="0" w:color="auto"/>
        <w:bottom w:val="none" w:sz="0" w:space="0" w:color="auto"/>
        <w:right w:val="none" w:sz="0" w:space="0" w:color="auto"/>
      </w:divBdr>
    </w:div>
    <w:div w:id="1203786190">
      <w:bodyDiv w:val="1"/>
      <w:marLeft w:val="0"/>
      <w:marRight w:val="0"/>
      <w:marTop w:val="0"/>
      <w:marBottom w:val="0"/>
      <w:divBdr>
        <w:top w:val="none" w:sz="0" w:space="0" w:color="auto"/>
        <w:left w:val="none" w:sz="0" w:space="0" w:color="auto"/>
        <w:bottom w:val="none" w:sz="0" w:space="0" w:color="auto"/>
        <w:right w:val="none" w:sz="0" w:space="0" w:color="auto"/>
      </w:divBdr>
    </w:div>
    <w:div w:id="1208025917">
      <w:bodyDiv w:val="1"/>
      <w:marLeft w:val="0"/>
      <w:marRight w:val="0"/>
      <w:marTop w:val="0"/>
      <w:marBottom w:val="0"/>
      <w:divBdr>
        <w:top w:val="none" w:sz="0" w:space="0" w:color="auto"/>
        <w:left w:val="none" w:sz="0" w:space="0" w:color="auto"/>
        <w:bottom w:val="none" w:sz="0" w:space="0" w:color="auto"/>
        <w:right w:val="none" w:sz="0" w:space="0" w:color="auto"/>
      </w:divBdr>
    </w:div>
    <w:div w:id="1211188381">
      <w:bodyDiv w:val="1"/>
      <w:marLeft w:val="0"/>
      <w:marRight w:val="0"/>
      <w:marTop w:val="0"/>
      <w:marBottom w:val="0"/>
      <w:divBdr>
        <w:top w:val="none" w:sz="0" w:space="0" w:color="auto"/>
        <w:left w:val="none" w:sz="0" w:space="0" w:color="auto"/>
        <w:bottom w:val="none" w:sz="0" w:space="0" w:color="auto"/>
        <w:right w:val="none" w:sz="0" w:space="0" w:color="auto"/>
      </w:divBdr>
    </w:div>
    <w:div w:id="1218665609">
      <w:bodyDiv w:val="1"/>
      <w:marLeft w:val="0"/>
      <w:marRight w:val="0"/>
      <w:marTop w:val="0"/>
      <w:marBottom w:val="0"/>
      <w:divBdr>
        <w:top w:val="none" w:sz="0" w:space="0" w:color="auto"/>
        <w:left w:val="none" w:sz="0" w:space="0" w:color="auto"/>
        <w:bottom w:val="none" w:sz="0" w:space="0" w:color="auto"/>
        <w:right w:val="none" w:sz="0" w:space="0" w:color="auto"/>
      </w:divBdr>
    </w:div>
    <w:div w:id="1223326401">
      <w:bodyDiv w:val="1"/>
      <w:marLeft w:val="0"/>
      <w:marRight w:val="0"/>
      <w:marTop w:val="0"/>
      <w:marBottom w:val="0"/>
      <w:divBdr>
        <w:top w:val="none" w:sz="0" w:space="0" w:color="auto"/>
        <w:left w:val="none" w:sz="0" w:space="0" w:color="auto"/>
        <w:bottom w:val="none" w:sz="0" w:space="0" w:color="auto"/>
        <w:right w:val="none" w:sz="0" w:space="0" w:color="auto"/>
      </w:divBdr>
    </w:div>
    <w:div w:id="1224633907">
      <w:bodyDiv w:val="1"/>
      <w:marLeft w:val="0"/>
      <w:marRight w:val="0"/>
      <w:marTop w:val="0"/>
      <w:marBottom w:val="0"/>
      <w:divBdr>
        <w:top w:val="none" w:sz="0" w:space="0" w:color="auto"/>
        <w:left w:val="none" w:sz="0" w:space="0" w:color="auto"/>
        <w:bottom w:val="none" w:sz="0" w:space="0" w:color="auto"/>
        <w:right w:val="none" w:sz="0" w:space="0" w:color="auto"/>
      </w:divBdr>
    </w:div>
    <w:div w:id="1228108732">
      <w:bodyDiv w:val="1"/>
      <w:marLeft w:val="0"/>
      <w:marRight w:val="0"/>
      <w:marTop w:val="0"/>
      <w:marBottom w:val="0"/>
      <w:divBdr>
        <w:top w:val="none" w:sz="0" w:space="0" w:color="auto"/>
        <w:left w:val="none" w:sz="0" w:space="0" w:color="auto"/>
        <w:bottom w:val="none" w:sz="0" w:space="0" w:color="auto"/>
        <w:right w:val="none" w:sz="0" w:space="0" w:color="auto"/>
      </w:divBdr>
    </w:div>
    <w:div w:id="1241137447">
      <w:bodyDiv w:val="1"/>
      <w:marLeft w:val="0"/>
      <w:marRight w:val="0"/>
      <w:marTop w:val="0"/>
      <w:marBottom w:val="0"/>
      <w:divBdr>
        <w:top w:val="none" w:sz="0" w:space="0" w:color="auto"/>
        <w:left w:val="none" w:sz="0" w:space="0" w:color="auto"/>
        <w:bottom w:val="none" w:sz="0" w:space="0" w:color="auto"/>
        <w:right w:val="none" w:sz="0" w:space="0" w:color="auto"/>
      </w:divBdr>
    </w:div>
    <w:div w:id="1247418131">
      <w:bodyDiv w:val="1"/>
      <w:marLeft w:val="0"/>
      <w:marRight w:val="0"/>
      <w:marTop w:val="0"/>
      <w:marBottom w:val="0"/>
      <w:divBdr>
        <w:top w:val="none" w:sz="0" w:space="0" w:color="auto"/>
        <w:left w:val="none" w:sz="0" w:space="0" w:color="auto"/>
        <w:bottom w:val="none" w:sz="0" w:space="0" w:color="auto"/>
        <w:right w:val="none" w:sz="0" w:space="0" w:color="auto"/>
      </w:divBdr>
    </w:div>
    <w:div w:id="1248348524">
      <w:bodyDiv w:val="1"/>
      <w:marLeft w:val="0"/>
      <w:marRight w:val="0"/>
      <w:marTop w:val="0"/>
      <w:marBottom w:val="0"/>
      <w:divBdr>
        <w:top w:val="none" w:sz="0" w:space="0" w:color="auto"/>
        <w:left w:val="none" w:sz="0" w:space="0" w:color="auto"/>
        <w:bottom w:val="none" w:sz="0" w:space="0" w:color="auto"/>
        <w:right w:val="none" w:sz="0" w:space="0" w:color="auto"/>
      </w:divBdr>
    </w:div>
    <w:div w:id="1252153972">
      <w:bodyDiv w:val="1"/>
      <w:marLeft w:val="0"/>
      <w:marRight w:val="0"/>
      <w:marTop w:val="0"/>
      <w:marBottom w:val="0"/>
      <w:divBdr>
        <w:top w:val="none" w:sz="0" w:space="0" w:color="auto"/>
        <w:left w:val="none" w:sz="0" w:space="0" w:color="auto"/>
        <w:bottom w:val="none" w:sz="0" w:space="0" w:color="auto"/>
        <w:right w:val="none" w:sz="0" w:space="0" w:color="auto"/>
      </w:divBdr>
    </w:div>
    <w:div w:id="1278369372">
      <w:bodyDiv w:val="1"/>
      <w:marLeft w:val="0"/>
      <w:marRight w:val="0"/>
      <w:marTop w:val="0"/>
      <w:marBottom w:val="0"/>
      <w:divBdr>
        <w:top w:val="none" w:sz="0" w:space="0" w:color="auto"/>
        <w:left w:val="none" w:sz="0" w:space="0" w:color="auto"/>
        <w:bottom w:val="none" w:sz="0" w:space="0" w:color="auto"/>
        <w:right w:val="none" w:sz="0" w:space="0" w:color="auto"/>
      </w:divBdr>
    </w:div>
    <w:div w:id="1311711665">
      <w:bodyDiv w:val="1"/>
      <w:marLeft w:val="0"/>
      <w:marRight w:val="0"/>
      <w:marTop w:val="0"/>
      <w:marBottom w:val="0"/>
      <w:divBdr>
        <w:top w:val="none" w:sz="0" w:space="0" w:color="auto"/>
        <w:left w:val="none" w:sz="0" w:space="0" w:color="auto"/>
        <w:bottom w:val="none" w:sz="0" w:space="0" w:color="auto"/>
        <w:right w:val="none" w:sz="0" w:space="0" w:color="auto"/>
      </w:divBdr>
    </w:div>
    <w:div w:id="1316951029">
      <w:bodyDiv w:val="1"/>
      <w:marLeft w:val="0"/>
      <w:marRight w:val="0"/>
      <w:marTop w:val="0"/>
      <w:marBottom w:val="0"/>
      <w:divBdr>
        <w:top w:val="none" w:sz="0" w:space="0" w:color="auto"/>
        <w:left w:val="none" w:sz="0" w:space="0" w:color="auto"/>
        <w:bottom w:val="none" w:sz="0" w:space="0" w:color="auto"/>
        <w:right w:val="none" w:sz="0" w:space="0" w:color="auto"/>
      </w:divBdr>
    </w:div>
    <w:div w:id="1327515240">
      <w:bodyDiv w:val="1"/>
      <w:marLeft w:val="0"/>
      <w:marRight w:val="0"/>
      <w:marTop w:val="0"/>
      <w:marBottom w:val="0"/>
      <w:divBdr>
        <w:top w:val="none" w:sz="0" w:space="0" w:color="auto"/>
        <w:left w:val="none" w:sz="0" w:space="0" w:color="auto"/>
        <w:bottom w:val="none" w:sz="0" w:space="0" w:color="auto"/>
        <w:right w:val="none" w:sz="0" w:space="0" w:color="auto"/>
      </w:divBdr>
    </w:div>
    <w:div w:id="1331562316">
      <w:bodyDiv w:val="1"/>
      <w:marLeft w:val="0"/>
      <w:marRight w:val="0"/>
      <w:marTop w:val="0"/>
      <w:marBottom w:val="0"/>
      <w:divBdr>
        <w:top w:val="none" w:sz="0" w:space="0" w:color="auto"/>
        <w:left w:val="none" w:sz="0" w:space="0" w:color="auto"/>
        <w:bottom w:val="none" w:sz="0" w:space="0" w:color="auto"/>
        <w:right w:val="none" w:sz="0" w:space="0" w:color="auto"/>
      </w:divBdr>
    </w:div>
    <w:div w:id="1337151672">
      <w:bodyDiv w:val="1"/>
      <w:marLeft w:val="0"/>
      <w:marRight w:val="0"/>
      <w:marTop w:val="0"/>
      <w:marBottom w:val="0"/>
      <w:divBdr>
        <w:top w:val="none" w:sz="0" w:space="0" w:color="auto"/>
        <w:left w:val="none" w:sz="0" w:space="0" w:color="auto"/>
        <w:bottom w:val="none" w:sz="0" w:space="0" w:color="auto"/>
        <w:right w:val="none" w:sz="0" w:space="0" w:color="auto"/>
      </w:divBdr>
    </w:div>
    <w:div w:id="1346404169">
      <w:bodyDiv w:val="1"/>
      <w:marLeft w:val="0"/>
      <w:marRight w:val="0"/>
      <w:marTop w:val="0"/>
      <w:marBottom w:val="0"/>
      <w:divBdr>
        <w:top w:val="none" w:sz="0" w:space="0" w:color="auto"/>
        <w:left w:val="none" w:sz="0" w:space="0" w:color="auto"/>
        <w:bottom w:val="none" w:sz="0" w:space="0" w:color="auto"/>
        <w:right w:val="none" w:sz="0" w:space="0" w:color="auto"/>
      </w:divBdr>
    </w:div>
    <w:div w:id="1373119479">
      <w:bodyDiv w:val="1"/>
      <w:marLeft w:val="0"/>
      <w:marRight w:val="0"/>
      <w:marTop w:val="0"/>
      <w:marBottom w:val="0"/>
      <w:divBdr>
        <w:top w:val="none" w:sz="0" w:space="0" w:color="auto"/>
        <w:left w:val="none" w:sz="0" w:space="0" w:color="auto"/>
        <w:bottom w:val="none" w:sz="0" w:space="0" w:color="auto"/>
        <w:right w:val="none" w:sz="0" w:space="0" w:color="auto"/>
      </w:divBdr>
    </w:div>
    <w:div w:id="1380206442">
      <w:bodyDiv w:val="1"/>
      <w:marLeft w:val="0"/>
      <w:marRight w:val="0"/>
      <w:marTop w:val="0"/>
      <w:marBottom w:val="0"/>
      <w:divBdr>
        <w:top w:val="none" w:sz="0" w:space="0" w:color="auto"/>
        <w:left w:val="none" w:sz="0" w:space="0" w:color="auto"/>
        <w:bottom w:val="none" w:sz="0" w:space="0" w:color="auto"/>
        <w:right w:val="none" w:sz="0" w:space="0" w:color="auto"/>
      </w:divBdr>
    </w:div>
    <w:div w:id="1389302421">
      <w:bodyDiv w:val="1"/>
      <w:marLeft w:val="0"/>
      <w:marRight w:val="0"/>
      <w:marTop w:val="0"/>
      <w:marBottom w:val="0"/>
      <w:divBdr>
        <w:top w:val="none" w:sz="0" w:space="0" w:color="auto"/>
        <w:left w:val="none" w:sz="0" w:space="0" w:color="auto"/>
        <w:bottom w:val="none" w:sz="0" w:space="0" w:color="auto"/>
        <w:right w:val="none" w:sz="0" w:space="0" w:color="auto"/>
      </w:divBdr>
    </w:div>
    <w:div w:id="1447503513">
      <w:bodyDiv w:val="1"/>
      <w:marLeft w:val="0"/>
      <w:marRight w:val="0"/>
      <w:marTop w:val="0"/>
      <w:marBottom w:val="0"/>
      <w:divBdr>
        <w:top w:val="none" w:sz="0" w:space="0" w:color="auto"/>
        <w:left w:val="none" w:sz="0" w:space="0" w:color="auto"/>
        <w:bottom w:val="none" w:sz="0" w:space="0" w:color="auto"/>
        <w:right w:val="none" w:sz="0" w:space="0" w:color="auto"/>
      </w:divBdr>
    </w:div>
    <w:div w:id="1462071256">
      <w:bodyDiv w:val="1"/>
      <w:marLeft w:val="0"/>
      <w:marRight w:val="0"/>
      <w:marTop w:val="0"/>
      <w:marBottom w:val="0"/>
      <w:divBdr>
        <w:top w:val="none" w:sz="0" w:space="0" w:color="auto"/>
        <w:left w:val="none" w:sz="0" w:space="0" w:color="auto"/>
        <w:bottom w:val="none" w:sz="0" w:space="0" w:color="auto"/>
        <w:right w:val="none" w:sz="0" w:space="0" w:color="auto"/>
      </w:divBdr>
    </w:div>
    <w:div w:id="1465539893">
      <w:bodyDiv w:val="1"/>
      <w:marLeft w:val="0"/>
      <w:marRight w:val="0"/>
      <w:marTop w:val="0"/>
      <w:marBottom w:val="0"/>
      <w:divBdr>
        <w:top w:val="none" w:sz="0" w:space="0" w:color="auto"/>
        <w:left w:val="none" w:sz="0" w:space="0" w:color="auto"/>
        <w:bottom w:val="none" w:sz="0" w:space="0" w:color="auto"/>
        <w:right w:val="none" w:sz="0" w:space="0" w:color="auto"/>
      </w:divBdr>
    </w:div>
    <w:div w:id="1469934788">
      <w:bodyDiv w:val="1"/>
      <w:marLeft w:val="0"/>
      <w:marRight w:val="0"/>
      <w:marTop w:val="0"/>
      <w:marBottom w:val="0"/>
      <w:divBdr>
        <w:top w:val="none" w:sz="0" w:space="0" w:color="auto"/>
        <w:left w:val="none" w:sz="0" w:space="0" w:color="auto"/>
        <w:bottom w:val="none" w:sz="0" w:space="0" w:color="auto"/>
        <w:right w:val="none" w:sz="0" w:space="0" w:color="auto"/>
      </w:divBdr>
    </w:div>
    <w:div w:id="1474714626">
      <w:bodyDiv w:val="1"/>
      <w:marLeft w:val="0"/>
      <w:marRight w:val="0"/>
      <w:marTop w:val="0"/>
      <w:marBottom w:val="0"/>
      <w:divBdr>
        <w:top w:val="none" w:sz="0" w:space="0" w:color="auto"/>
        <w:left w:val="none" w:sz="0" w:space="0" w:color="auto"/>
        <w:bottom w:val="none" w:sz="0" w:space="0" w:color="auto"/>
        <w:right w:val="none" w:sz="0" w:space="0" w:color="auto"/>
      </w:divBdr>
    </w:div>
    <w:div w:id="1490096775">
      <w:bodyDiv w:val="1"/>
      <w:marLeft w:val="0"/>
      <w:marRight w:val="0"/>
      <w:marTop w:val="0"/>
      <w:marBottom w:val="0"/>
      <w:divBdr>
        <w:top w:val="none" w:sz="0" w:space="0" w:color="auto"/>
        <w:left w:val="none" w:sz="0" w:space="0" w:color="auto"/>
        <w:bottom w:val="none" w:sz="0" w:space="0" w:color="auto"/>
        <w:right w:val="none" w:sz="0" w:space="0" w:color="auto"/>
      </w:divBdr>
    </w:div>
    <w:div w:id="1502544873">
      <w:bodyDiv w:val="1"/>
      <w:marLeft w:val="0"/>
      <w:marRight w:val="0"/>
      <w:marTop w:val="0"/>
      <w:marBottom w:val="0"/>
      <w:divBdr>
        <w:top w:val="none" w:sz="0" w:space="0" w:color="auto"/>
        <w:left w:val="none" w:sz="0" w:space="0" w:color="auto"/>
        <w:bottom w:val="none" w:sz="0" w:space="0" w:color="auto"/>
        <w:right w:val="none" w:sz="0" w:space="0" w:color="auto"/>
      </w:divBdr>
    </w:div>
    <w:div w:id="1517890644">
      <w:bodyDiv w:val="1"/>
      <w:marLeft w:val="0"/>
      <w:marRight w:val="0"/>
      <w:marTop w:val="0"/>
      <w:marBottom w:val="0"/>
      <w:divBdr>
        <w:top w:val="none" w:sz="0" w:space="0" w:color="auto"/>
        <w:left w:val="none" w:sz="0" w:space="0" w:color="auto"/>
        <w:bottom w:val="none" w:sz="0" w:space="0" w:color="auto"/>
        <w:right w:val="none" w:sz="0" w:space="0" w:color="auto"/>
      </w:divBdr>
    </w:div>
    <w:div w:id="1519468700">
      <w:bodyDiv w:val="1"/>
      <w:marLeft w:val="0"/>
      <w:marRight w:val="0"/>
      <w:marTop w:val="0"/>
      <w:marBottom w:val="0"/>
      <w:divBdr>
        <w:top w:val="none" w:sz="0" w:space="0" w:color="auto"/>
        <w:left w:val="none" w:sz="0" w:space="0" w:color="auto"/>
        <w:bottom w:val="none" w:sz="0" w:space="0" w:color="auto"/>
        <w:right w:val="none" w:sz="0" w:space="0" w:color="auto"/>
      </w:divBdr>
    </w:div>
    <w:div w:id="1531189036">
      <w:bodyDiv w:val="1"/>
      <w:marLeft w:val="0"/>
      <w:marRight w:val="0"/>
      <w:marTop w:val="0"/>
      <w:marBottom w:val="0"/>
      <w:divBdr>
        <w:top w:val="none" w:sz="0" w:space="0" w:color="auto"/>
        <w:left w:val="none" w:sz="0" w:space="0" w:color="auto"/>
        <w:bottom w:val="none" w:sz="0" w:space="0" w:color="auto"/>
        <w:right w:val="none" w:sz="0" w:space="0" w:color="auto"/>
      </w:divBdr>
    </w:div>
    <w:div w:id="1539703484">
      <w:bodyDiv w:val="1"/>
      <w:marLeft w:val="0"/>
      <w:marRight w:val="0"/>
      <w:marTop w:val="0"/>
      <w:marBottom w:val="0"/>
      <w:divBdr>
        <w:top w:val="none" w:sz="0" w:space="0" w:color="auto"/>
        <w:left w:val="none" w:sz="0" w:space="0" w:color="auto"/>
        <w:bottom w:val="none" w:sz="0" w:space="0" w:color="auto"/>
        <w:right w:val="none" w:sz="0" w:space="0" w:color="auto"/>
      </w:divBdr>
    </w:div>
    <w:div w:id="1540313600">
      <w:bodyDiv w:val="1"/>
      <w:marLeft w:val="0"/>
      <w:marRight w:val="0"/>
      <w:marTop w:val="0"/>
      <w:marBottom w:val="0"/>
      <w:divBdr>
        <w:top w:val="none" w:sz="0" w:space="0" w:color="auto"/>
        <w:left w:val="none" w:sz="0" w:space="0" w:color="auto"/>
        <w:bottom w:val="none" w:sz="0" w:space="0" w:color="auto"/>
        <w:right w:val="none" w:sz="0" w:space="0" w:color="auto"/>
      </w:divBdr>
    </w:div>
    <w:div w:id="1563105018">
      <w:bodyDiv w:val="1"/>
      <w:marLeft w:val="0"/>
      <w:marRight w:val="0"/>
      <w:marTop w:val="0"/>
      <w:marBottom w:val="0"/>
      <w:divBdr>
        <w:top w:val="none" w:sz="0" w:space="0" w:color="auto"/>
        <w:left w:val="none" w:sz="0" w:space="0" w:color="auto"/>
        <w:bottom w:val="none" w:sz="0" w:space="0" w:color="auto"/>
        <w:right w:val="none" w:sz="0" w:space="0" w:color="auto"/>
      </w:divBdr>
    </w:div>
    <w:div w:id="1567186723">
      <w:bodyDiv w:val="1"/>
      <w:marLeft w:val="0"/>
      <w:marRight w:val="0"/>
      <w:marTop w:val="0"/>
      <w:marBottom w:val="0"/>
      <w:divBdr>
        <w:top w:val="none" w:sz="0" w:space="0" w:color="auto"/>
        <w:left w:val="none" w:sz="0" w:space="0" w:color="auto"/>
        <w:bottom w:val="none" w:sz="0" w:space="0" w:color="auto"/>
        <w:right w:val="none" w:sz="0" w:space="0" w:color="auto"/>
      </w:divBdr>
    </w:div>
    <w:div w:id="1581140716">
      <w:bodyDiv w:val="1"/>
      <w:marLeft w:val="0"/>
      <w:marRight w:val="0"/>
      <w:marTop w:val="0"/>
      <w:marBottom w:val="0"/>
      <w:divBdr>
        <w:top w:val="none" w:sz="0" w:space="0" w:color="auto"/>
        <w:left w:val="none" w:sz="0" w:space="0" w:color="auto"/>
        <w:bottom w:val="none" w:sz="0" w:space="0" w:color="auto"/>
        <w:right w:val="none" w:sz="0" w:space="0" w:color="auto"/>
      </w:divBdr>
    </w:div>
    <w:div w:id="1590306340">
      <w:bodyDiv w:val="1"/>
      <w:marLeft w:val="0"/>
      <w:marRight w:val="0"/>
      <w:marTop w:val="0"/>
      <w:marBottom w:val="0"/>
      <w:divBdr>
        <w:top w:val="none" w:sz="0" w:space="0" w:color="auto"/>
        <w:left w:val="none" w:sz="0" w:space="0" w:color="auto"/>
        <w:bottom w:val="none" w:sz="0" w:space="0" w:color="auto"/>
        <w:right w:val="none" w:sz="0" w:space="0" w:color="auto"/>
      </w:divBdr>
    </w:div>
    <w:div w:id="1601522863">
      <w:bodyDiv w:val="1"/>
      <w:marLeft w:val="0"/>
      <w:marRight w:val="0"/>
      <w:marTop w:val="0"/>
      <w:marBottom w:val="0"/>
      <w:divBdr>
        <w:top w:val="none" w:sz="0" w:space="0" w:color="auto"/>
        <w:left w:val="none" w:sz="0" w:space="0" w:color="auto"/>
        <w:bottom w:val="none" w:sz="0" w:space="0" w:color="auto"/>
        <w:right w:val="none" w:sz="0" w:space="0" w:color="auto"/>
      </w:divBdr>
    </w:div>
    <w:div w:id="1611006261">
      <w:bodyDiv w:val="1"/>
      <w:marLeft w:val="0"/>
      <w:marRight w:val="0"/>
      <w:marTop w:val="0"/>
      <w:marBottom w:val="0"/>
      <w:divBdr>
        <w:top w:val="none" w:sz="0" w:space="0" w:color="auto"/>
        <w:left w:val="none" w:sz="0" w:space="0" w:color="auto"/>
        <w:bottom w:val="none" w:sz="0" w:space="0" w:color="auto"/>
        <w:right w:val="none" w:sz="0" w:space="0" w:color="auto"/>
      </w:divBdr>
    </w:div>
    <w:div w:id="1613122338">
      <w:bodyDiv w:val="1"/>
      <w:marLeft w:val="0"/>
      <w:marRight w:val="0"/>
      <w:marTop w:val="0"/>
      <w:marBottom w:val="0"/>
      <w:divBdr>
        <w:top w:val="none" w:sz="0" w:space="0" w:color="auto"/>
        <w:left w:val="none" w:sz="0" w:space="0" w:color="auto"/>
        <w:bottom w:val="none" w:sz="0" w:space="0" w:color="auto"/>
        <w:right w:val="none" w:sz="0" w:space="0" w:color="auto"/>
      </w:divBdr>
    </w:div>
    <w:div w:id="1629239473">
      <w:bodyDiv w:val="1"/>
      <w:marLeft w:val="0"/>
      <w:marRight w:val="0"/>
      <w:marTop w:val="0"/>
      <w:marBottom w:val="0"/>
      <w:divBdr>
        <w:top w:val="none" w:sz="0" w:space="0" w:color="auto"/>
        <w:left w:val="none" w:sz="0" w:space="0" w:color="auto"/>
        <w:bottom w:val="none" w:sz="0" w:space="0" w:color="auto"/>
        <w:right w:val="none" w:sz="0" w:space="0" w:color="auto"/>
      </w:divBdr>
    </w:div>
    <w:div w:id="1641184205">
      <w:bodyDiv w:val="1"/>
      <w:marLeft w:val="0"/>
      <w:marRight w:val="0"/>
      <w:marTop w:val="0"/>
      <w:marBottom w:val="0"/>
      <w:divBdr>
        <w:top w:val="none" w:sz="0" w:space="0" w:color="auto"/>
        <w:left w:val="none" w:sz="0" w:space="0" w:color="auto"/>
        <w:bottom w:val="none" w:sz="0" w:space="0" w:color="auto"/>
        <w:right w:val="none" w:sz="0" w:space="0" w:color="auto"/>
      </w:divBdr>
    </w:div>
    <w:div w:id="1643001087">
      <w:bodyDiv w:val="1"/>
      <w:marLeft w:val="0"/>
      <w:marRight w:val="0"/>
      <w:marTop w:val="0"/>
      <w:marBottom w:val="0"/>
      <w:divBdr>
        <w:top w:val="none" w:sz="0" w:space="0" w:color="auto"/>
        <w:left w:val="none" w:sz="0" w:space="0" w:color="auto"/>
        <w:bottom w:val="none" w:sz="0" w:space="0" w:color="auto"/>
        <w:right w:val="none" w:sz="0" w:space="0" w:color="auto"/>
      </w:divBdr>
    </w:div>
    <w:div w:id="1650859782">
      <w:bodyDiv w:val="1"/>
      <w:marLeft w:val="0"/>
      <w:marRight w:val="0"/>
      <w:marTop w:val="0"/>
      <w:marBottom w:val="0"/>
      <w:divBdr>
        <w:top w:val="none" w:sz="0" w:space="0" w:color="auto"/>
        <w:left w:val="none" w:sz="0" w:space="0" w:color="auto"/>
        <w:bottom w:val="none" w:sz="0" w:space="0" w:color="auto"/>
        <w:right w:val="none" w:sz="0" w:space="0" w:color="auto"/>
      </w:divBdr>
    </w:div>
    <w:div w:id="1657220257">
      <w:bodyDiv w:val="1"/>
      <w:marLeft w:val="0"/>
      <w:marRight w:val="0"/>
      <w:marTop w:val="0"/>
      <w:marBottom w:val="0"/>
      <w:divBdr>
        <w:top w:val="none" w:sz="0" w:space="0" w:color="auto"/>
        <w:left w:val="none" w:sz="0" w:space="0" w:color="auto"/>
        <w:bottom w:val="none" w:sz="0" w:space="0" w:color="auto"/>
        <w:right w:val="none" w:sz="0" w:space="0" w:color="auto"/>
      </w:divBdr>
    </w:div>
    <w:div w:id="1696492934">
      <w:bodyDiv w:val="1"/>
      <w:marLeft w:val="0"/>
      <w:marRight w:val="0"/>
      <w:marTop w:val="0"/>
      <w:marBottom w:val="0"/>
      <w:divBdr>
        <w:top w:val="none" w:sz="0" w:space="0" w:color="auto"/>
        <w:left w:val="none" w:sz="0" w:space="0" w:color="auto"/>
        <w:bottom w:val="none" w:sz="0" w:space="0" w:color="auto"/>
        <w:right w:val="none" w:sz="0" w:space="0" w:color="auto"/>
      </w:divBdr>
    </w:div>
    <w:div w:id="1726757597">
      <w:bodyDiv w:val="1"/>
      <w:marLeft w:val="0"/>
      <w:marRight w:val="0"/>
      <w:marTop w:val="0"/>
      <w:marBottom w:val="0"/>
      <w:divBdr>
        <w:top w:val="none" w:sz="0" w:space="0" w:color="auto"/>
        <w:left w:val="none" w:sz="0" w:space="0" w:color="auto"/>
        <w:bottom w:val="none" w:sz="0" w:space="0" w:color="auto"/>
        <w:right w:val="none" w:sz="0" w:space="0" w:color="auto"/>
      </w:divBdr>
    </w:div>
    <w:div w:id="1727753186">
      <w:bodyDiv w:val="1"/>
      <w:marLeft w:val="0"/>
      <w:marRight w:val="0"/>
      <w:marTop w:val="0"/>
      <w:marBottom w:val="0"/>
      <w:divBdr>
        <w:top w:val="none" w:sz="0" w:space="0" w:color="auto"/>
        <w:left w:val="none" w:sz="0" w:space="0" w:color="auto"/>
        <w:bottom w:val="none" w:sz="0" w:space="0" w:color="auto"/>
        <w:right w:val="none" w:sz="0" w:space="0" w:color="auto"/>
      </w:divBdr>
    </w:div>
    <w:div w:id="1737898895">
      <w:bodyDiv w:val="1"/>
      <w:marLeft w:val="0"/>
      <w:marRight w:val="0"/>
      <w:marTop w:val="0"/>
      <w:marBottom w:val="0"/>
      <w:divBdr>
        <w:top w:val="none" w:sz="0" w:space="0" w:color="auto"/>
        <w:left w:val="none" w:sz="0" w:space="0" w:color="auto"/>
        <w:bottom w:val="none" w:sz="0" w:space="0" w:color="auto"/>
        <w:right w:val="none" w:sz="0" w:space="0" w:color="auto"/>
      </w:divBdr>
    </w:div>
    <w:div w:id="1765571660">
      <w:bodyDiv w:val="1"/>
      <w:marLeft w:val="0"/>
      <w:marRight w:val="0"/>
      <w:marTop w:val="0"/>
      <w:marBottom w:val="0"/>
      <w:divBdr>
        <w:top w:val="none" w:sz="0" w:space="0" w:color="auto"/>
        <w:left w:val="none" w:sz="0" w:space="0" w:color="auto"/>
        <w:bottom w:val="none" w:sz="0" w:space="0" w:color="auto"/>
        <w:right w:val="none" w:sz="0" w:space="0" w:color="auto"/>
      </w:divBdr>
    </w:div>
    <w:div w:id="1766342745">
      <w:bodyDiv w:val="1"/>
      <w:marLeft w:val="0"/>
      <w:marRight w:val="0"/>
      <w:marTop w:val="0"/>
      <w:marBottom w:val="0"/>
      <w:divBdr>
        <w:top w:val="none" w:sz="0" w:space="0" w:color="auto"/>
        <w:left w:val="none" w:sz="0" w:space="0" w:color="auto"/>
        <w:bottom w:val="none" w:sz="0" w:space="0" w:color="auto"/>
        <w:right w:val="none" w:sz="0" w:space="0" w:color="auto"/>
      </w:divBdr>
    </w:div>
    <w:div w:id="1771657618">
      <w:bodyDiv w:val="1"/>
      <w:marLeft w:val="0"/>
      <w:marRight w:val="0"/>
      <w:marTop w:val="0"/>
      <w:marBottom w:val="0"/>
      <w:divBdr>
        <w:top w:val="none" w:sz="0" w:space="0" w:color="auto"/>
        <w:left w:val="none" w:sz="0" w:space="0" w:color="auto"/>
        <w:bottom w:val="none" w:sz="0" w:space="0" w:color="auto"/>
        <w:right w:val="none" w:sz="0" w:space="0" w:color="auto"/>
      </w:divBdr>
    </w:div>
    <w:div w:id="1772703831">
      <w:bodyDiv w:val="1"/>
      <w:marLeft w:val="0"/>
      <w:marRight w:val="0"/>
      <w:marTop w:val="0"/>
      <w:marBottom w:val="0"/>
      <w:divBdr>
        <w:top w:val="none" w:sz="0" w:space="0" w:color="auto"/>
        <w:left w:val="none" w:sz="0" w:space="0" w:color="auto"/>
        <w:bottom w:val="none" w:sz="0" w:space="0" w:color="auto"/>
        <w:right w:val="none" w:sz="0" w:space="0" w:color="auto"/>
      </w:divBdr>
    </w:div>
    <w:div w:id="1782383572">
      <w:bodyDiv w:val="1"/>
      <w:marLeft w:val="0"/>
      <w:marRight w:val="0"/>
      <w:marTop w:val="0"/>
      <w:marBottom w:val="0"/>
      <w:divBdr>
        <w:top w:val="none" w:sz="0" w:space="0" w:color="auto"/>
        <w:left w:val="none" w:sz="0" w:space="0" w:color="auto"/>
        <w:bottom w:val="none" w:sz="0" w:space="0" w:color="auto"/>
        <w:right w:val="none" w:sz="0" w:space="0" w:color="auto"/>
      </w:divBdr>
    </w:div>
    <w:div w:id="1784111536">
      <w:bodyDiv w:val="1"/>
      <w:marLeft w:val="0"/>
      <w:marRight w:val="0"/>
      <w:marTop w:val="0"/>
      <w:marBottom w:val="0"/>
      <w:divBdr>
        <w:top w:val="none" w:sz="0" w:space="0" w:color="auto"/>
        <w:left w:val="none" w:sz="0" w:space="0" w:color="auto"/>
        <w:bottom w:val="none" w:sz="0" w:space="0" w:color="auto"/>
        <w:right w:val="none" w:sz="0" w:space="0" w:color="auto"/>
      </w:divBdr>
    </w:div>
    <w:div w:id="1784959877">
      <w:bodyDiv w:val="1"/>
      <w:marLeft w:val="0"/>
      <w:marRight w:val="0"/>
      <w:marTop w:val="0"/>
      <w:marBottom w:val="0"/>
      <w:divBdr>
        <w:top w:val="none" w:sz="0" w:space="0" w:color="auto"/>
        <w:left w:val="none" w:sz="0" w:space="0" w:color="auto"/>
        <w:bottom w:val="none" w:sz="0" w:space="0" w:color="auto"/>
        <w:right w:val="none" w:sz="0" w:space="0" w:color="auto"/>
      </w:divBdr>
    </w:div>
    <w:div w:id="1798913576">
      <w:bodyDiv w:val="1"/>
      <w:marLeft w:val="0"/>
      <w:marRight w:val="0"/>
      <w:marTop w:val="0"/>
      <w:marBottom w:val="0"/>
      <w:divBdr>
        <w:top w:val="none" w:sz="0" w:space="0" w:color="auto"/>
        <w:left w:val="none" w:sz="0" w:space="0" w:color="auto"/>
        <w:bottom w:val="none" w:sz="0" w:space="0" w:color="auto"/>
        <w:right w:val="none" w:sz="0" w:space="0" w:color="auto"/>
      </w:divBdr>
    </w:div>
    <w:div w:id="1814828401">
      <w:bodyDiv w:val="1"/>
      <w:marLeft w:val="0"/>
      <w:marRight w:val="0"/>
      <w:marTop w:val="0"/>
      <w:marBottom w:val="0"/>
      <w:divBdr>
        <w:top w:val="none" w:sz="0" w:space="0" w:color="auto"/>
        <w:left w:val="none" w:sz="0" w:space="0" w:color="auto"/>
        <w:bottom w:val="none" w:sz="0" w:space="0" w:color="auto"/>
        <w:right w:val="none" w:sz="0" w:space="0" w:color="auto"/>
      </w:divBdr>
    </w:div>
    <w:div w:id="1831560772">
      <w:bodyDiv w:val="1"/>
      <w:marLeft w:val="0"/>
      <w:marRight w:val="0"/>
      <w:marTop w:val="0"/>
      <w:marBottom w:val="0"/>
      <w:divBdr>
        <w:top w:val="none" w:sz="0" w:space="0" w:color="auto"/>
        <w:left w:val="none" w:sz="0" w:space="0" w:color="auto"/>
        <w:bottom w:val="none" w:sz="0" w:space="0" w:color="auto"/>
        <w:right w:val="none" w:sz="0" w:space="0" w:color="auto"/>
      </w:divBdr>
    </w:div>
    <w:div w:id="1853176542">
      <w:bodyDiv w:val="1"/>
      <w:marLeft w:val="0"/>
      <w:marRight w:val="0"/>
      <w:marTop w:val="0"/>
      <w:marBottom w:val="0"/>
      <w:divBdr>
        <w:top w:val="none" w:sz="0" w:space="0" w:color="auto"/>
        <w:left w:val="none" w:sz="0" w:space="0" w:color="auto"/>
        <w:bottom w:val="none" w:sz="0" w:space="0" w:color="auto"/>
        <w:right w:val="none" w:sz="0" w:space="0" w:color="auto"/>
      </w:divBdr>
    </w:div>
    <w:div w:id="1861888924">
      <w:bodyDiv w:val="1"/>
      <w:marLeft w:val="0"/>
      <w:marRight w:val="0"/>
      <w:marTop w:val="0"/>
      <w:marBottom w:val="0"/>
      <w:divBdr>
        <w:top w:val="none" w:sz="0" w:space="0" w:color="auto"/>
        <w:left w:val="none" w:sz="0" w:space="0" w:color="auto"/>
        <w:bottom w:val="none" w:sz="0" w:space="0" w:color="auto"/>
        <w:right w:val="none" w:sz="0" w:space="0" w:color="auto"/>
      </w:divBdr>
    </w:div>
    <w:div w:id="1867988268">
      <w:bodyDiv w:val="1"/>
      <w:marLeft w:val="0"/>
      <w:marRight w:val="0"/>
      <w:marTop w:val="0"/>
      <w:marBottom w:val="0"/>
      <w:divBdr>
        <w:top w:val="none" w:sz="0" w:space="0" w:color="auto"/>
        <w:left w:val="none" w:sz="0" w:space="0" w:color="auto"/>
        <w:bottom w:val="none" w:sz="0" w:space="0" w:color="auto"/>
        <w:right w:val="none" w:sz="0" w:space="0" w:color="auto"/>
      </w:divBdr>
    </w:div>
    <w:div w:id="1871915344">
      <w:bodyDiv w:val="1"/>
      <w:marLeft w:val="0"/>
      <w:marRight w:val="0"/>
      <w:marTop w:val="0"/>
      <w:marBottom w:val="0"/>
      <w:divBdr>
        <w:top w:val="none" w:sz="0" w:space="0" w:color="auto"/>
        <w:left w:val="none" w:sz="0" w:space="0" w:color="auto"/>
        <w:bottom w:val="none" w:sz="0" w:space="0" w:color="auto"/>
        <w:right w:val="none" w:sz="0" w:space="0" w:color="auto"/>
      </w:divBdr>
    </w:div>
    <w:div w:id="1878813885">
      <w:bodyDiv w:val="1"/>
      <w:marLeft w:val="0"/>
      <w:marRight w:val="0"/>
      <w:marTop w:val="0"/>
      <w:marBottom w:val="0"/>
      <w:divBdr>
        <w:top w:val="none" w:sz="0" w:space="0" w:color="auto"/>
        <w:left w:val="none" w:sz="0" w:space="0" w:color="auto"/>
        <w:bottom w:val="none" w:sz="0" w:space="0" w:color="auto"/>
        <w:right w:val="none" w:sz="0" w:space="0" w:color="auto"/>
      </w:divBdr>
    </w:div>
    <w:div w:id="1885020414">
      <w:bodyDiv w:val="1"/>
      <w:marLeft w:val="0"/>
      <w:marRight w:val="0"/>
      <w:marTop w:val="0"/>
      <w:marBottom w:val="0"/>
      <w:divBdr>
        <w:top w:val="none" w:sz="0" w:space="0" w:color="auto"/>
        <w:left w:val="none" w:sz="0" w:space="0" w:color="auto"/>
        <w:bottom w:val="none" w:sz="0" w:space="0" w:color="auto"/>
        <w:right w:val="none" w:sz="0" w:space="0" w:color="auto"/>
      </w:divBdr>
    </w:div>
    <w:div w:id="1885483566">
      <w:bodyDiv w:val="1"/>
      <w:marLeft w:val="0"/>
      <w:marRight w:val="0"/>
      <w:marTop w:val="0"/>
      <w:marBottom w:val="0"/>
      <w:divBdr>
        <w:top w:val="none" w:sz="0" w:space="0" w:color="auto"/>
        <w:left w:val="none" w:sz="0" w:space="0" w:color="auto"/>
        <w:bottom w:val="none" w:sz="0" w:space="0" w:color="auto"/>
        <w:right w:val="none" w:sz="0" w:space="0" w:color="auto"/>
      </w:divBdr>
    </w:div>
    <w:div w:id="1915357298">
      <w:bodyDiv w:val="1"/>
      <w:marLeft w:val="0"/>
      <w:marRight w:val="0"/>
      <w:marTop w:val="0"/>
      <w:marBottom w:val="0"/>
      <w:divBdr>
        <w:top w:val="none" w:sz="0" w:space="0" w:color="auto"/>
        <w:left w:val="none" w:sz="0" w:space="0" w:color="auto"/>
        <w:bottom w:val="none" w:sz="0" w:space="0" w:color="auto"/>
        <w:right w:val="none" w:sz="0" w:space="0" w:color="auto"/>
      </w:divBdr>
    </w:div>
    <w:div w:id="1923104157">
      <w:bodyDiv w:val="1"/>
      <w:marLeft w:val="0"/>
      <w:marRight w:val="0"/>
      <w:marTop w:val="0"/>
      <w:marBottom w:val="0"/>
      <w:divBdr>
        <w:top w:val="none" w:sz="0" w:space="0" w:color="auto"/>
        <w:left w:val="none" w:sz="0" w:space="0" w:color="auto"/>
        <w:bottom w:val="none" w:sz="0" w:space="0" w:color="auto"/>
        <w:right w:val="none" w:sz="0" w:space="0" w:color="auto"/>
      </w:divBdr>
    </w:div>
    <w:div w:id="1924336611">
      <w:bodyDiv w:val="1"/>
      <w:marLeft w:val="0"/>
      <w:marRight w:val="0"/>
      <w:marTop w:val="0"/>
      <w:marBottom w:val="0"/>
      <w:divBdr>
        <w:top w:val="none" w:sz="0" w:space="0" w:color="auto"/>
        <w:left w:val="none" w:sz="0" w:space="0" w:color="auto"/>
        <w:bottom w:val="none" w:sz="0" w:space="0" w:color="auto"/>
        <w:right w:val="none" w:sz="0" w:space="0" w:color="auto"/>
      </w:divBdr>
    </w:div>
    <w:div w:id="1945261696">
      <w:bodyDiv w:val="1"/>
      <w:marLeft w:val="0"/>
      <w:marRight w:val="0"/>
      <w:marTop w:val="0"/>
      <w:marBottom w:val="0"/>
      <w:divBdr>
        <w:top w:val="none" w:sz="0" w:space="0" w:color="auto"/>
        <w:left w:val="none" w:sz="0" w:space="0" w:color="auto"/>
        <w:bottom w:val="none" w:sz="0" w:space="0" w:color="auto"/>
        <w:right w:val="none" w:sz="0" w:space="0" w:color="auto"/>
      </w:divBdr>
    </w:div>
    <w:div w:id="1947348472">
      <w:bodyDiv w:val="1"/>
      <w:marLeft w:val="0"/>
      <w:marRight w:val="0"/>
      <w:marTop w:val="0"/>
      <w:marBottom w:val="0"/>
      <w:divBdr>
        <w:top w:val="none" w:sz="0" w:space="0" w:color="auto"/>
        <w:left w:val="none" w:sz="0" w:space="0" w:color="auto"/>
        <w:bottom w:val="none" w:sz="0" w:space="0" w:color="auto"/>
        <w:right w:val="none" w:sz="0" w:space="0" w:color="auto"/>
      </w:divBdr>
    </w:div>
    <w:div w:id="1956055764">
      <w:bodyDiv w:val="1"/>
      <w:marLeft w:val="0"/>
      <w:marRight w:val="0"/>
      <w:marTop w:val="0"/>
      <w:marBottom w:val="0"/>
      <w:divBdr>
        <w:top w:val="none" w:sz="0" w:space="0" w:color="auto"/>
        <w:left w:val="none" w:sz="0" w:space="0" w:color="auto"/>
        <w:bottom w:val="none" w:sz="0" w:space="0" w:color="auto"/>
        <w:right w:val="none" w:sz="0" w:space="0" w:color="auto"/>
      </w:divBdr>
    </w:div>
    <w:div w:id="1958175133">
      <w:bodyDiv w:val="1"/>
      <w:marLeft w:val="0"/>
      <w:marRight w:val="0"/>
      <w:marTop w:val="0"/>
      <w:marBottom w:val="0"/>
      <w:divBdr>
        <w:top w:val="none" w:sz="0" w:space="0" w:color="auto"/>
        <w:left w:val="none" w:sz="0" w:space="0" w:color="auto"/>
        <w:bottom w:val="none" w:sz="0" w:space="0" w:color="auto"/>
        <w:right w:val="none" w:sz="0" w:space="0" w:color="auto"/>
      </w:divBdr>
    </w:div>
    <w:div w:id="1962682821">
      <w:bodyDiv w:val="1"/>
      <w:marLeft w:val="0"/>
      <w:marRight w:val="0"/>
      <w:marTop w:val="0"/>
      <w:marBottom w:val="0"/>
      <w:divBdr>
        <w:top w:val="none" w:sz="0" w:space="0" w:color="auto"/>
        <w:left w:val="none" w:sz="0" w:space="0" w:color="auto"/>
        <w:bottom w:val="none" w:sz="0" w:space="0" w:color="auto"/>
        <w:right w:val="none" w:sz="0" w:space="0" w:color="auto"/>
      </w:divBdr>
    </w:div>
    <w:div w:id="1967542674">
      <w:bodyDiv w:val="1"/>
      <w:marLeft w:val="0"/>
      <w:marRight w:val="0"/>
      <w:marTop w:val="0"/>
      <w:marBottom w:val="0"/>
      <w:divBdr>
        <w:top w:val="none" w:sz="0" w:space="0" w:color="auto"/>
        <w:left w:val="none" w:sz="0" w:space="0" w:color="auto"/>
        <w:bottom w:val="none" w:sz="0" w:space="0" w:color="auto"/>
        <w:right w:val="none" w:sz="0" w:space="0" w:color="auto"/>
      </w:divBdr>
    </w:div>
    <w:div w:id="1977374301">
      <w:bodyDiv w:val="1"/>
      <w:marLeft w:val="0"/>
      <w:marRight w:val="0"/>
      <w:marTop w:val="0"/>
      <w:marBottom w:val="0"/>
      <w:divBdr>
        <w:top w:val="none" w:sz="0" w:space="0" w:color="auto"/>
        <w:left w:val="none" w:sz="0" w:space="0" w:color="auto"/>
        <w:bottom w:val="none" w:sz="0" w:space="0" w:color="auto"/>
        <w:right w:val="none" w:sz="0" w:space="0" w:color="auto"/>
      </w:divBdr>
    </w:div>
    <w:div w:id="1994526185">
      <w:bodyDiv w:val="1"/>
      <w:marLeft w:val="0"/>
      <w:marRight w:val="0"/>
      <w:marTop w:val="0"/>
      <w:marBottom w:val="0"/>
      <w:divBdr>
        <w:top w:val="none" w:sz="0" w:space="0" w:color="auto"/>
        <w:left w:val="none" w:sz="0" w:space="0" w:color="auto"/>
        <w:bottom w:val="none" w:sz="0" w:space="0" w:color="auto"/>
        <w:right w:val="none" w:sz="0" w:space="0" w:color="auto"/>
      </w:divBdr>
    </w:div>
    <w:div w:id="1999843275">
      <w:bodyDiv w:val="1"/>
      <w:marLeft w:val="0"/>
      <w:marRight w:val="0"/>
      <w:marTop w:val="0"/>
      <w:marBottom w:val="0"/>
      <w:divBdr>
        <w:top w:val="none" w:sz="0" w:space="0" w:color="auto"/>
        <w:left w:val="none" w:sz="0" w:space="0" w:color="auto"/>
        <w:bottom w:val="none" w:sz="0" w:space="0" w:color="auto"/>
        <w:right w:val="none" w:sz="0" w:space="0" w:color="auto"/>
      </w:divBdr>
    </w:div>
    <w:div w:id="2006739814">
      <w:bodyDiv w:val="1"/>
      <w:marLeft w:val="0"/>
      <w:marRight w:val="0"/>
      <w:marTop w:val="0"/>
      <w:marBottom w:val="0"/>
      <w:divBdr>
        <w:top w:val="none" w:sz="0" w:space="0" w:color="auto"/>
        <w:left w:val="none" w:sz="0" w:space="0" w:color="auto"/>
        <w:bottom w:val="none" w:sz="0" w:space="0" w:color="auto"/>
        <w:right w:val="none" w:sz="0" w:space="0" w:color="auto"/>
      </w:divBdr>
    </w:div>
    <w:div w:id="2010324590">
      <w:bodyDiv w:val="1"/>
      <w:marLeft w:val="0"/>
      <w:marRight w:val="0"/>
      <w:marTop w:val="0"/>
      <w:marBottom w:val="0"/>
      <w:divBdr>
        <w:top w:val="none" w:sz="0" w:space="0" w:color="auto"/>
        <w:left w:val="none" w:sz="0" w:space="0" w:color="auto"/>
        <w:bottom w:val="none" w:sz="0" w:space="0" w:color="auto"/>
        <w:right w:val="none" w:sz="0" w:space="0" w:color="auto"/>
      </w:divBdr>
    </w:div>
    <w:div w:id="2017608194">
      <w:bodyDiv w:val="1"/>
      <w:marLeft w:val="0"/>
      <w:marRight w:val="0"/>
      <w:marTop w:val="0"/>
      <w:marBottom w:val="0"/>
      <w:divBdr>
        <w:top w:val="none" w:sz="0" w:space="0" w:color="auto"/>
        <w:left w:val="none" w:sz="0" w:space="0" w:color="auto"/>
        <w:bottom w:val="none" w:sz="0" w:space="0" w:color="auto"/>
        <w:right w:val="none" w:sz="0" w:space="0" w:color="auto"/>
      </w:divBdr>
    </w:div>
    <w:div w:id="2031027058">
      <w:bodyDiv w:val="1"/>
      <w:marLeft w:val="0"/>
      <w:marRight w:val="0"/>
      <w:marTop w:val="0"/>
      <w:marBottom w:val="0"/>
      <w:divBdr>
        <w:top w:val="none" w:sz="0" w:space="0" w:color="auto"/>
        <w:left w:val="none" w:sz="0" w:space="0" w:color="auto"/>
        <w:bottom w:val="none" w:sz="0" w:space="0" w:color="auto"/>
        <w:right w:val="none" w:sz="0" w:space="0" w:color="auto"/>
      </w:divBdr>
    </w:div>
    <w:div w:id="2038966589">
      <w:bodyDiv w:val="1"/>
      <w:marLeft w:val="0"/>
      <w:marRight w:val="0"/>
      <w:marTop w:val="0"/>
      <w:marBottom w:val="0"/>
      <w:divBdr>
        <w:top w:val="none" w:sz="0" w:space="0" w:color="auto"/>
        <w:left w:val="none" w:sz="0" w:space="0" w:color="auto"/>
        <w:bottom w:val="none" w:sz="0" w:space="0" w:color="auto"/>
        <w:right w:val="none" w:sz="0" w:space="0" w:color="auto"/>
      </w:divBdr>
    </w:div>
    <w:div w:id="2050639511">
      <w:bodyDiv w:val="1"/>
      <w:marLeft w:val="0"/>
      <w:marRight w:val="0"/>
      <w:marTop w:val="0"/>
      <w:marBottom w:val="0"/>
      <w:divBdr>
        <w:top w:val="none" w:sz="0" w:space="0" w:color="auto"/>
        <w:left w:val="none" w:sz="0" w:space="0" w:color="auto"/>
        <w:bottom w:val="none" w:sz="0" w:space="0" w:color="auto"/>
        <w:right w:val="none" w:sz="0" w:space="0" w:color="auto"/>
      </w:divBdr>
    </w:div>
    <w:div w:id="2052220577">
      <w:bodyDiv w:val="1"/>
      <w:marLeft w:val="0"/>
      <w:marRight w:val="0"/>
      <w:marTop w:val="0"/>
      <w:marBottom w:val="0"/>
      <w:divBdr>
        <w:top w:val="none" w:sz="0" w:space="0" w:color="auto"/>
        <w:left w:val="none" w:sz="0" w:space="0" w:color="auto"/>
        <w:bottom w:val="none" w:sz="0" w:space="0" w:color="auto"/>
        <w:right w:val="none" w:sz="0" w:space="0" w:color="auto"/>
      </w:divBdr>
    </w:div>
    <w:div w:id="2055999163">
      <w:bodyDiv w:val="1"/>
      <w:marLeft w:val="0"/>
      <w:marRight w:val="0"/>
      <w:marTop w:val="0"/>
      <w:marBottom w:val="0"/>
      <w:divBdr>
        <w:top w:val="none" w:sz="0" w:space="0" w:color="auto"/>
        <w:left w:val="none" w:sz="0" w:space="0" w:color="auto"/>
        <w:bottom w:val="none" w:sz="0" w:space="0" w:color="auto"/>
        <w:right w:val="none" w:sz="0" w:space="0" w:color="auto"/>
      </w:divBdr>
    </w:div>
    <w:div w:id="2057655583">
      <w:bodyDiv w:val="1"/>
      <w:marLeft w:val="0"/>
      <w:marRight w:val="0"/>
      <w:marTop w:val="0"/>
      <w:marBottom w:val="0"/>
      <w:divBdr>
        <w:top w:val="none" w:sz="0" w:space="0" w:color="auto"/>
        <w:left w:val="none" w:sz="0" w:space="0" w:color="auto"/>
        <w:bottom w:val="none" w:sz="0" w:space="0" w:color="auto"/>
        <w:right w:val="none" w:sz="0" w:space="0" w:color="auto"/>
      </w:divBdr>
    </w:div>
    <w:div w:id="2059281350">
      <w:bodyDiv w:val="1"/>
      <w:marLeft w:val="0"/>
      <w:marRight w:val="0"/>
      <w:marTop w:val="0"/>
      <w:marBottom w:val="0"/>
      <w:divBdr>
        <w:top w:val="none" w:sz="0" w:space="0" w:color="auto"/>
        <w:left w:val="none" w:sz="0" w:space="0" w:color="auto"/>
        <w:bottom w:val="none" w:sz="0" w:space="0" w:color="auto"/>
        <w:right w:val="none" w:sz="0" w:space="0" w:color="auto"/>
      </w:divBdr>
    </w:div>
    <w:div w:id="2067606982">
      <w:bodyDiv w:val="1"/>
      <w:marLeft w:val="0"/>
      <w:marRight w:val="0"/>
      <w:marTop w:val="0"/>
      <w:marBottom w:val="0"/>
      <w:divBdr>
        <w:top w:val="none" w:sz="0" w:space="0" w:color="auto"/>
        <w:left w:val="none" w:sz="0" w:space="0" w:color="auto"/>
        <w:bottom w:val="none" w:sz="0" w:space="0" w:color="auto"/>
        <w:right w:val="none" w:sz="0" w:space="0" w:color="auto"/>
      </w:divBdr>
    </w:div>
    <w:div w:id="2088841750">
      <w:bodyDiv w:val="1"/>
      <w:marLeft w:val="0"/>
      <w:marRight w:val="0"/>
      <w:marTop w:val="0"/>
      <w:marBottom w:val="0"/>
      <w:divBdr>
        <w:top w:val="none" w:sz="0" w:space="0" w:color="auto"/>
        <w:left w:val="none" w:sz="0" w:space="0" w:color="auto"/>
        <w:bottom w:val="none" w:sz="0" w:space="0" w:color="auto"/>
        <w:right w:val="none" w:sz="0" w:space="0" w:color="auto"/>
      </w:divBdr>
    </w:div>
    <w:div w:id="2096396545">
      <w:bodyDiv w:val="1"/>
      <w:marLeft w:val="0"/>
      <w:marRight w:val="0"/>
      <w:marTop w:val="0"/>
      <w:marBottom w:val="0"/>
      <w:divBdr>
        <w:top w:val="none" w:sz="0" w:space="0" w:color="auto"/>
        <w:left w:val="none" w:sz="0" w:space="0" w:color="auto"/>
        <w:bottom w:val="none" w:sz="0" w:space="0" w:color="auto"/>
        <w:right w:val="none" w:sz="0" w:space="0" w:color="auto"/>
      </w:divBdr>
    </w:div>
    <w:div w:id="2110079980">
      <w:bodyDiv w:val="1"/>
      <w:marLeft w:val="0"/>
      <w:marRight w:val="0"/>
      <w:marTop w:val="0"/>
      <w:marBottom w:val="0"/>
      <w:divBdr>
        <w:top w:val="none" w:sz="0" w:space="0" w:color="auto"/>
        <w:left w:val="none" w:sz="0" w:space="0" w:color="auto"/>
        <w:bottom w:val="none" w:sz="0" w:space="0" w:color="auto"/>
        <w:right w:val="none" w:sz="0" w:space="0" w:color="auto"/>
      </w:divBdr>
    </w:div>
    <w:div w:id="2115515904">
      <w:bodyDiv w:val="1"/>
      <w:marLeft w:val="0"/>
      <w:marRight w:val="0"/>
      <w:marTop w:val="0"/>
      <w:marBottom w:val="0"/>
      <w:divBdr>
        <w:top w:val="none" w:sz="0" w:space="0" w:color="auto"/>
        <w:left w:val="none" w:sz="0" w:space="0" w:color="auto"/>
        <w:bottom w:val="none" w:sz="0" w:space="0" w:color="auto"/>
        <w:right w:val="none" w:sz="0" w:space="0" w:color="auto"/>
      </w:divBdr>
    </w:div>
    <w:div w:id="211874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0.emf"/><Relationship Id="rId21" Type="http://schemas.openxmlformats.org/officeDocument/2006/relationships/image" Target="media/image6.emf"/><Relationship Id="rId42" Type="http://schemas.openxmlformats.org/officeDocument/2006/relationships/image" Target="media/image27.emf"/><Relationship Id="rId63" Type="http://schemas.openxmlformats.org/officeDocument/2006/relationships/image" Target="media/image48.emf"/><Relationship Id="rId84" Type="http://schemas.openxmlformats.org/officeDocument/2006/relationships/image" Target="media/image69.emf"/><Relationship Id="rId138" Type="http://schemas.openxmlformats.org/officeDocument/2006/relationships/image" Target="media/image121.emf"/><Relationship Id="rId159" Type="http://schemas.openxmlformats.org/officeDocument/2006/relationships/image" Target="media/image142.emf"/><Relationship Id="rId107" Type="http://schemas.openxmlformats.org/officeDocument/2006/relationships/image" Target="media/image90.emf"/><Relationship Id="rId11" Type="http://schemas.openxmlformats.org/officeDocument/2006/relationships/header" Target="header1.xml"/><Relationship Id="rId32" Type="http://schemas.openxmlformats.org/officeDocument/2006/relationships/image" Target="media/image17.emf"/><Relationship Id="rId53" Type="http://schemas.openxmlformats.org/officeDocument/2006/relationships/image" Target="media/image38.emf"/><Relationship Id="rId74" Type="http://schemas.openxmlformats.org/officeDocument/2006/relationships/image" Target="media/image59.emf"/><Relationship Id="rId128" Type="http://schemas.openxmlformats.org/officeDocument/2006/relationships/image" Target="media/image111.emf"/><Relationship Id="rId149" Type="http://schemas.openxmlformats.org/officeDocument/2006/relationships/image" Target="media/image132.emf"/><Relationship Id="rId5" Type="http://schemas.openxmlformats.org/officeDocument/2006/relationships/webSettings" Target="webSettings.xml"/><Relationship Id="rId95" Type="http://schemas.openxmlformats.org/officeDocument/2006/relationships/image" Target="media/image80.emf"/><Relationship Id="rId160" Type="http://schemas.openxmlformats.org/officeDocument/2006/relationships/image" Target="media/image143.emf"/><Relationship Id="rId22" Type="http://schemas.openxmlformats.org/officeDocument/2006/relationships/image" Target="media/image7.emf"/><Relationship Id="rId43" Type="http://schemas.openxmlformats.org/officeDocument/2006/relationships/image" Target="media/image28.emf"/><Relationship Id="rId64" Type="http://schemas.openxmlformats.org/officeDocument/2006/relationships/image" Target="media/image49.emf"/><Relationship Id="rId118" Type="http://schemas.openxmlformats.org/officeDocument/2006/relationships/image" Target="media/image101.emf"/><Relationship Id="rId139" Type="http://schemas.openxmlformats.org/officeDocument/2006/relationships/image" Target="media/image122.emf"/><Relationship Id="rId85" Type="http://schemas.openxmlformats.org/officeDocument/2006/relationships/image" Target="media/image70.emf"/><Relationship Id="rId150" Type="http://schemas.openxmlformats.org/officeDocument/2006/relationships/image" Target="media/image133.emf"/><Relationship Id="rId12" Type="http://schemas.openxmlformats.org/officeDocument/2006/relationships/footer" Target="footer3.xml"/><Relationship Id="rId17" Type="http://schemas.openxmlformats.org/officeDocument/2006/relationships/header" Target="header2.xml"/><Relationship Id="rId33" Type="http://schemas.openxmlformats.org/officeDocument/2006/relationships/image" Target="media/image18.emf"/><Relationship Id="rId38" Type="http://schemas.openxmlformats.org/officeDocument/2006/relationships/image" Target="media/image23.emf"/><Relationship Id="rId59" Type="http://schemas.openxmlformats.org/officeDocument/2006/relationships/image" Target="media/image44.emf"/><Relationship Id="rId103" Type="http://schemas.openxmlformats.org/officeDocument/2006/relationships/header" Target="header4.xml"/><Relationship Id="rId108" Type="http://schemas.openxmlformats.org/officeDocument/2006/relationships/image" Target="media/image91.emf"/><Relationship Id="rId124" Type="http://schemas.openxmlformats.org/officeDocument/2006/relationships/image" Target="media/image107.emf"/><Relationship Id="rId129" Type="http://schemas.openxmlformats.org/officeDocument/2006/relationships/image" Target="media/image112.emf"/><Relationship Id="rId54" Type="http://schemas.openxmlformats.org/officeDocument/2006/relationships/image" Target="media/image39.emf"/><Relationship Id="rId70" Type="http://schemas.openxmlformats.org/officeDocument/2006/relationships/image" Target="media/image55.emf"/><Relationship Id="rId75" Type="http://schemas.openxmlformats.org/officeDocument/2006/relationships/image" Target="media/image60.emf"/><Relationship Id="rId91" Type="http://schemas.openxmlformats.org/officeDocument/2006/relationships/image" Target="media/image76.emf"/><Relationship Id="rId96" Type="http://schemas.openxmlformats.org/officeDocument/2006/relationships/image" Target="media/image81.emf"/><Relationship Id="rId140" Type="http://schemas.openxmlformats.org/officeDocument/2006/relationships/image" Target="media/image123.emf"/><Relationship Id="rId145" Type="http://schemas.openxmlformats.org/officeDocument/2006/relationships/image" Target="media/image128.emf"/><Relationship Id="rId161" Type="http://schemas.openxmlformats.org/officeDocument/2006/relationships/image" Target="media/image144.e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8.emf"/><Relationship Id="rId28" Type="http://schemas.openxmlformats.org/officeDocument/2006/relationships/image" Target="media/image13.emf"/><Relationship Id="rId49" Type="http://schemas.openxmlformats.org/officeDocument/2006/relationships/image" Target="media/image34.emf"/><Relationship Id="rId114" Type="http://schemas.openxmlformats.org/officeDocument/2006/relationships/image" Target="media/image97.emf"/><Relationship Id="rId119" Type="http://schemas.openxmlformats.org/officeDocument/2006/relationships/image" Target="media/image102.emf"/><Relationship Id="rId44" Type="http://schemas.openxmlformats.org/officeDocument/2006/relationships/image" Target="media/image29.emf"/><Relationship Id="rId60" Type="http://schemas.openxmlformats.org/officeDocument/2006/relationships/image" Target="media/image45.emf"/><Relationship Id="rId65" Type="http://schemas.openxmlformats.org/officeDocument/2006/relationships/image" Target="media/image50.emf"/><Relationship Id="rId81" Type="http://schemas.openxmlformats.org/officeDocument/2006/relationships/image" Target="media/image66.emf"/><Relationship Id="rId86" Type="http://schemas.openxmlformats.org/officeDocument/2006/relationships/image" Target="media/image71.emf"/><Relationship Id="rId130" Type="http://schemas.openxmlformats.org/officeDocument/2006/relationships/image" Target="media/image113.emf"/><Relationship Id="rId135" Type="http://schemas.openxmlformats.org/officeDocument/2006/relationships/image" Target="media/image118.emf"/><Relationship Id="rId151" Type="http://schemas.openxmlformats.org/officeDocument/2006/relationships/image" Target="media/image134.emf"/><Relationship Id="rId156" Type="http://schemas.openxmlformats.org/officeDocument/2006/relationships/image" Target="media/image139.emf"/><Relationship Id="rId13" Type="http://schemas.openxmlformats.org/officeDocument/2006/relationships/hyperlink" Target="https://www.greatermanchester-ca.gov.uk/what-we-do/economy/greater-manchesters-local-industrial-strategy/" TargetMode="External"/><Relationship Id="rId18" Type="http://schemas.openxmlformats.org/officeDocument/2006/relationships/image" Target="media/image3.emf"/><Relationship Id="rId39" Type="http://schemas.openxmlformats.org/officeDocument/2006/relationships/image" Target="media/image24.emf"/><Relationship Id="rId109" Type="http://schemas.openxmlformats.org/officeDocument/2006/relationships/image" Target="media/image92.emf"/><Relationship Id="rId34" Type="http://schemas.openxmlformats.org/officeDocument/2006/relationships/image" Target="media/image19.emf"/><Relationship Id="rId50" Type="http://schemas.openxmlformats.org/officeDocument/2006/relationships/image" Target="media/image35.emf"/><Relationship Id="rId55" Type="http://schemas.openxmlformats.org/officeDocument/2006/relationships/image" Target="media/image40.emf"/><Relationship Id="rId76" Type="http://schemas.openxmlformats.org/officeDocument/2006/relationships/image" Target="media/image61.emf"/><Relationship Id="rId97" Type="http://schemas.openxmlformats.org/officeDocument/2006/relationships/image" Target="media/image82.emf"/><Relationship Id="rId104" Type="http://schemas.openxmlformats.org/officeDocument/2006/relationships/image" Target="media/image87.emf"/><Relationship Id="rId120" Type="http://schemas.openxmlformats.org/officeDocument/2006/relationships/image" Target="media/image103.emf"/><Relationship Id="rId125" Type="http://schemas.openxmlformats.org/officeDocument/2006/relationships/image" Target="media/image108.emf"/><Relationship Id="rId141" Type="http://schemas.openxmlformats.org/officeDocument/2006/relationships/image" Target="media/image124.emf"/><Relationship Id="rId146" Type="http://schemas.openxmlformats.org/officeDocument/2006/relationships/image" Target="media/image129.emf"/><Relationship Id="rId7" Type="http://schemas.openxmlformats.org/officeDocument/2006/relationships/endnotes" Target="endnotes.xml"/><Relationship Id="rId71" Type="http://schemas.openxmlformats.org/officeDocument/2006/relationships/image" Target="media/image56.emf"/><Relationship Id="rId92" Type="http://schemas.openxmlformats.org/officeDocument/2006/relationships/image" Target="media/image77.emf"/><Relationship Id="rId16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image" Target="media/image14.emf"/><Relationship Id="rId24" Type="http://schemas.openxmlformats.org/officeDocument/2006/relationships/image" Target="media/image9.emf"/><Relationship Id="rId40" Type="http://schemas.openxmlformats.org/officeDocument/2006/relationships/image" Target="media/image25.emf"/><Relationship Id="rId45" Type="http://schemas.openxmlformats.org/officeDocument/2006/relationships/image" Target="media/image30.emf"/><Relationship Id="rId66" Type="http://schemas.openxmlformats.org/officeDocument/2006/relationships/image" Target="media/image51.emf"/><Relationship Id="rId87" Type="http://schemas.openxmlformats.org/officeDocument/2006/relationships/image" Target="media/image72.emf"/><Relationship Id="rId110" Type="http://schemas.openxmlformats.org/officeDocument/2006/relationships/image" Target="media/image93.emf"/><Relationship Id="rId115" Type="http://schemas.openxmlformats.org/officeDocument/2006/relationships/image" Target="media/image98.emf"/><Relationship Id="rId131" Type="http://schemas.openxmlformats.org/officeDocument/2006/relationships/image" Target="media/image114.emf"/><Relationship Id="rId136" Type="http://schemas.openxmlformats.org/officeDocument/2006/relationships/image" Target="media/image119.emf"/><Relationship Id="rId157" Type="http://schemas.openxmlformats.org/officeDocument/2006/relationships/image" Target="media/image140.emf"/><Relationship Id="rId61" Type="http://schemas.openxmlformats.org/officeDocument/2006/relationships/image" Target="media/image46.emf"/><Relationship Id="rId82" Type="http://schemas.openxmlformats.org/officeDocument/2006/relationships/image" Target="media/image67.emf"/><Relationship Id="rId152" Type="http://schemas.openxmlformats.org/officeDocument/2006/relationships/image" Target="media/image135.emf"/><Relationship Id="rId19" Type="http://schemas.openxmlformats.org/officeDocument/2006/relationships/image" Target="media/image4.emf"/><Relationship Id="rId14" Type="http://schemas.openxmlformats.org/officeDocument/2006/relationships/hyperlink" Target="https://www.greatermanchester-ca.gov.uk/ourpeopleourplace/" TargetMode="External"/><Relationship Id="rId30" Type="http://schemas.openxmlformats.org/officeDocument/2006/relationships/image" Target="media/image15.emf"/><Relationship Id="rId35" Type="http://schemas.openxmlformats.org/officeDocument/2006/relationships/image" Target="media/image20.emf"/><Relationship Id="rId56" Type="http://schemas.openxmlformats.org/officeDocument/2006/relationships/image" Target="media/image41.emf"/><Relationship Id="rId77" Type="http://schemas.openxmlformats.org/officeDocument/2006/relationships/image" Target="media/image62.emf"/><Relationship Id="rId100" Type="http://schemas.openxmlformats.org/officeDocument/2006/relationships/image" Target="media/image84.emf"/><Relationship Id="rId105" Type="http://schemas.openxmlformats.org/officeDocument/2006/relationships/image" Target="media/image88.png"/><Relationship Id="rId126" Type="http://schemas.openxmlformats.org/officeDocument/2006/relationships/image" Target="media/image109.emf"/><Relationship Id="rId147" Type="http://schemas.openxmlformats.org/officeDocument/2006/relationships/image" Target="media/image130.emf"/><Relationship Id="rId8" Type="http://schemas.openxmlformats.org/officeDocument/2006/relationships/image" Target="media/image1.png"/><Relationship Id="rId51" Type="http://schemas.openxmlformats.org/officeDocument/2006/relationships/image" Target="media/image36.emf"/><Relationship Id="rId72" Type="http://schemas.openxmlformats.org/officeDocument/2006/relationships/image" Target="media/image57.emf"/><Relationship Id="rId93" Type="http://schemas.openxmlformats.org/officeDocument/2006/relationships/image" Target="media/image78.emf"/><Relationship Id="rId98" Type="http://schemas.openxmlformats.org/officeDocument/2006/relationships/image" Target="media/image83.emf"/><Relationship Id="rId121" Type="http://schemas.openxmlformats.org/officeDocument/2006/relationships/image" Target="media/image104.emf"/><Relationship Id="rId142" Type="http://schemas.openxmlformats.org/officeDocument/2006/relationships/image" Target="media/image125.emf"/><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image" Target="media/image10.emf"/><Relationship Id="rId46" Type="http://schemas.openxmlformats.org/officeDocument/2006/relationships/image" Target="media/image31.emf"/><Relationship Id="rId67" Type="http://schemas.openxmlformats.org/officeDocument/2006/relationships/image" Target="media/image52.emf"/><Relationship Id="rId116" Type="http://schemas.openxmlformats.org/officeDocument/2006/relationships/image" Target="media/image99.emf"/><Relationship Id="rId137" Type="http://schemas.openxmlformats.org/officeDocument/2006/relationships/image" Target="media/image120.emf"/><Relationship Id="rId158" Type="http://schemas.openxmlformats.org/officeDocument/2006/relationships/image" Target="media/image141.emf"/><Relationship Id="rId20" Type="http://schemas.openxmlformats.org/officeDocument/2006/relationships/image" Target="media/image5.emf"/><Relationship Id="rId41" Type="http://schemas.openxmlformats.org/officeDocument/2006/relationships/image" Target="media/image26.emf"/><Relationship Id="rId62" Type="http://schemas.openxmlformats.org/officeDocument/2006/relationships/image" Target="media/image47.emf"/><Relationship Id="rId83" Type="http://schemas.openxmlformats.org/officeDocument/2006/relationships/image" Target="media/image68.emf"/><Relationship Id="rId88" Type="http://schemas.openxmlformats.org/officeDocument/2006/relationships/image" Target="media/image73.emf"/><Relationship Id="rId111" Type="http://schemas.openxmlformats.org/officeDocument/2006/relationships/image" Target="media/image94.emf"/><Relationship Id="rId132" Type="http://schemas.openxmlformats.org/officeDocument/2006/relationships/image" Target="media/image115.emf"/><Relationship Id="rId153" Type="http://schemas.openxmlformats.org/officeDocument/2006/relationships/image" Target="media/image136.emf"/><Relationship Id="rId15" Type="http://schemas.openxmlformats.org/officeDocument/2006/relationships/hyperlink" Target="https://www.greatermanchester-ca.gov.uk/what-we-do/work-and-skills/age-friendly-employer-toolkit/" TargetMode="External"/><Relationship Id="rId36" Type="http://schemas.openxmlformats.org/officeDocument/2006/relationships/image" Target="media/image21.emf"/><Relationship Id="rId57" Type="http://schemas.openxmlformats.org/officeDocument/2006/relationships/image" Target="media/image42.emf"/><Relationship Id="rId106" Type="http://schemas.openxmlformats.org/officeDocument/2006/relationships/image" Target="media/image89.emf"/><Relationship Id="rId127" Type="http://schemas.openxmlformats.org/officeDocument/2006/relationships/image" Target="media/image110.emf"/><Relationship Id="rId10" Type="http://schemas.openxmlformats.org/officeDocument/2006/relationships/footer" Target="footer2.xml"/><Relationship Id="rId31" Type="http://schemas.openxmlformats.org/officeDocument/2006/relationships/image" Target="media/image16.emf"/><Relationship Id="rId52" Type="http://schemas.openxmlformats.org/officeDocument/2006/relationships/image" Target="media/image37.emf"/><Relationship Id="rId73" Type="http://schemas.openxmlformats.org/officeDocument/2006/relationships/image" Target="media/image58.emf"/><Relationship Id="rId78" Type="http://schemas.openxmlformats.org/officeDocument/2006/relationships/image" Target="media/image63.emf"/><Relationship Id="rId94" Type="http://schemas.openxmlformats.org/officeDocument/2006/relationships/image" Target="media/image79.emf"/><Relationship Id="rId99" Type="http://schemas.openxmlformats.org/officeDocument/2006/relationships/header" Target="header3.xml"/><Relationship Id="rId101" Type="http://schemas.openxmlformats.org/officeDocument/2006/relationships/image" Target="media/image85.emf"/><Relationship Id="rId122" Type="http://schemas.openxmlformats.org/officeDocument/2006/relationships/image" Target="media/image105.emf"/><Relationship Id="rId143" Type="http://schemas.openxmlformats.org/officeDocument/2006/relationships/image" Target="media/image126.emf"/><Relationship Id="rId148" Type="http://schemas.openxmlformats.org/officeDocument/2006/relationships/image" Target="media/image131.emf"/><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image" Target="media/image11.emf"/><Relationship Id="rId47" Type="http://schemas.openxmlformats.org/officeDocument/2006/relationships/image" Target="media/image32.emf"/><Relationship Id="rId68" Type="http://schemas.openxmlformats.org/officeDocument/2006/relationships/image" Target="media/image53.emf"/><Relationship Id="rId89" Type="http://schemas.openxmlformats.org/officeDocument/2006/relationships/image" Target="media/image74.emf"/><Relationship Id="rId112" Type="http://schemas.openxmlformats.org/officeDocument/2006/relationships/image" Target="media/image95.emf"/><Relationship Id="rId133" Type="http://schemas.openxmlformats.org/officeDocument/2006/relationships/image" Target="media/image116.emf"/><Relationship Id="rId154" Type="http://schemas.openxmlformats.org/officeDocument/2006/relationships/image" Target="media/image137.emf"/><Relationship Id="rId16" Type="http://schemas.openxmlformats.org/officeDocument/2006/relationships/image" Target="media/image2.png"/><Relationship Id="rId37" Type="http://schemas.openxmlformats.org/officeDocument/2006/relationships/image" Target="media/image22.emf"/><Relationship Id="rId58" Type="http://schemas.openxmlformats.org/officeDocument/2006/relationships/image" Target="media/image43.emf"/><Relationship Id="rId79" Type="http://schemas.openxmlformats.org/officeDocument/2006/relationships/image" Target="media/image64.emf"/><Relationship Id="rId102" Type="http://schemas.openxmlformats.org/officeDocument/2006/relationships/image" Target="media/image86.emf"/><Relationship Id="rId123" Type="http://schemas.openxmlformats.org/officeDocument/2006/relationships/image" Target="media/image106.emf"/><Relationship Id="rId144" Type="http://schemas.openxmlformats.org/officeDocument/2006/relationships/image" Target="media/image127.emf"/><Relationship Id="rId90" Type="http://schemas.openxmlformats.org/officeDocument/2006/relationships/image" Target="media/image75.emf"/><Relationship Id="rId27" Type="http://schemas.openxmlformats.org/officeDocument/2006/relationships/image" Target="media/image12.emf"/><Relationship Id="rId48" Type="http://schemas.openxmlformats.org/officeDocument/2006/relationships/image" Target="media/image33.emf"/><Relationship Id="rId69" Type="http://schemas.openxmlformats.org/officeDocument/2006/relationships/image" Target="media/image54.emf"/><Relationship Id="rId113" Type="http://schemas.openxmlformats.org/officeDocument/2006/relationships/image" Target="media/image96.emf"/><Relationship Id="rId134" Type="http://schemas.openxmlformats.org/officeDocument/2006/relationships/image" Target="media/image117.emf"/><Relationship Id="rId80" Type="http://schemas.openxmlformats.org/officeDocument/2006/relationships/image" Target="media/image65.emf"/><Relationship Id="rId155" Type="http://schemas.openxmlformats.org/officeDocument/2006/relationships/image" Target="media/image13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E2110-BDCC-47C2-85E2-9336450AB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114</Pages>
  <Words>45680</Words>
  <Characters>260378</Characters>
  <Application>Microsoft Office Word</Application>
  <DocSecurity>6</DocSecurity>
  <Lines>2169</Lines>
  <Paragraphs>610</Paragraphs>
  <ScaleCrop>false</ScaleCrop>
  <HeadingPairs>
    <vt:vector size="2" baseType="variant">
      <vt:variant>
        <vt:lpstr>Title</vt:lpstr>
      </vt:variant>
      <vt:variant>
        <vt:i4>1</vt:i4>
      </vt:variant>
    </vt:vector>
  </HeadingPairs>
  <TitlesOfParts>
    <vt:vector size="1" baseType="lpstr">
      <vt:lpstr>The Greater Manchester Combined Authority</vt:lpstr>
    </vt:vector>
  </TitlesOfParts>
  <Company>Manchester City Council</Company>
  <LinksUpToDate>false</LinksUpToDate>
  <CharactersWithSpaces>305448</CharactersWithSpaces>
  <SharedDoc>false</SharedDoc>
  <HLinks>
    <vt:vector size="24" baseType="variant">
      <vt:variant>
        <vt:i4>5570586</vt:i4>
      </vt:variant>
      <vt:variant>
        <vt:i4>9</vt:i4>
      </vt:variant>
      <vt:variant>
        <vt:i4>0</vt:i4>
      </vt:variant>
      <vt:variant>
        <vt:i4>5</vt:i4>
      </vt:variant>
      <vt:variant>
        <vt:lpwstr>http://www.tfgmc.com/</vt:lpwstr>
      </vt:variant>
      <vt:variant>
        <vt:lpwstr/>
      </vt:variant>
      <vt:variant>
        <vt:i4>2687091</vt:i4>
      </vt:variant>
      <vt:variant>
        <vt:i4>6</vt:i4>
      </vt:variant>
      <vt:variant>
        <vt:i4>0</vt:i4>
      </vt:variant>
      <vt:variant>
        <vt:i4>5</vt:i4>
      </vt:variant>
      <vt:variant>
        <vt:lpwstr>http://www.greatermanchester-ca.gov.uk/</vt:lpwstr>
      </vt:variant>
      <vt:variant>
        <vt:lpwstr/>
      </vt:variant>
      <vt:variant>
        <vt:i4>8060984</vt:i4>
      </vt:variant>
      <vt:variant>
        <vt:i4>3</vt:i4>
      </vt:variant>
      <vt:variant>
        <vt:i4>0</vt:i4>
      </vt:variant>
      <vt:variant>
        <vt:i4>5</vt:i4>
      </vt:variant>
      <vt:variant>
        <vt:lpwstr>http://www.transformationinformation.co.uk/transformation/2nd-city-crossing</vt:lpwstr>
      </vt:variant>
      <vt:variant>
        <vt:lpwstr/>
      </vt:variant>
      <vt:variant>
        <vt:i4>6160478</vt:i4>
      </vt:variant>
      <vt:variant>
        <vt:i4>0</vt:i4>
      </vt:variant>
      <vt:variant>
        <vt:i4>0</vt:i4>
      </vt:variant>
      <vt:variant>
        <vt:i4>5</vt:i4>
      </vt:variant>
      <vt:variant>
        <vt:lpwstr>http://www.tfgm.com/GMLES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Greater Manchester Combined Authority</dc:title>
  <dc:subject/>
  <dc:creator>foxa</dc:creator>
  <cp:keywords/>
  <dc:description/>
  <cp:lastModifiedBy>Fountain, Helen</cp:lastModifiedBy>
  <cp:revision>2</cp:revision>
  <cp:lastPrinted>2020-08-28T13:12:00Z</cp:lastPrinted>
  <dcterms:created xsi:type="dcterms:W3CDTF">2022-07-29T12:06:00Z</dcterms:created>
  <dcterms:modified xsi:type="dcterms:W3CDTF">2022-07-29T12:06:00Z</dcterms:modified>
</cp:coreProperties>
</file>