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F0B3F3" w14:textId="77777777" w:rsidR="002D456C" w:rsidRPr="007B68F6" w:rsidRDefault="002D456C" w:rsidP="00A16EA1">
      <w:pPr>
        <w:ind w:left="720"/>
        <w:jc w:val="right"/>
      </w:pPr>
      <w:r>
        <w:rPr>
          <w:noProof/>
        </w:rPr>
        <mc:AlternateContent>
          <mc:Choice Requires="wps">
            <w:drawing>
              <wp:anchor distT="0" distB="0" distL="114300" distR="114300" simplePos="0" relativeHeight="251661312" behindDoc="0" locked="0" layoutInCell="1" allowOverlap="1" wp14:anchorId="226CD1EF" wp14:editId="7C117C02">
                <wp:simplePos x="0" y="0"/>
                <wp:positionH relativeFrom="column">
                  <wp:posOffset>-455930</wp:posOffset>
                </wp:positionH>
                <wp:positionV relativeFrom="paragraph">
                  <wp:posOffset>-187325</wp:posOffset>
                </wp:positionV>
                <wp:extent cx="6496050" cy="2416175"/>
                <wp:effectExtent l="0" t="0" r="0" b="3175"/>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41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24D5" w14:textId="77777777" w:rsidR="00C62D4C" w:rsidRDefault="00C62D4C" w:rsidP="00D404A6">
                            <w:pPr>
                              <w:tabs>
                                <w:tab w:val="left" w:pos="9498"/>
                              </w:tabs>
                              <w:rPr>
                                <w:rFonts w:cs="Arial"/>
                                <w:b/>
                                <w:sz w:val="88"/>
                                <w:szCs w:val="88"/>
                              </w:rPr>
                            </w:pPr>
                          </w:p>
                          <w:p w14:paraId="3B5CFCE2" w14:textId="77777777" w:rsidR="00C62D4C" w:rsidRDefault="00C62D4C" w:rsidP="00D404A6">
                            <w:pPr>
                              <w:tabs>
                                <w:tab w:val="left" w:pos="9498"/>
                              </w:tabs>
                              <w:rPr>
                                <w:rFonts w:cs="Arial"/>
                                <w:b/>
                                <w:sz w:val="88"/>
                                <w:szCs w:val="88"/>
                              </w:rPr>
                            </w:pPr>
                          </w:p>
                          <w:p w14:paraId="795E4D74" w14:textId="77777777" w:rsidR="00C62D4C" w:rsidRPr="00B25FF2" w:rsidRDefault="00C62D4C" w:rsidP="00D404A6">
                            <w:pPr>
                              <w:tabs>
                                <w:tab w:val="left" w:pos="9498"/>
                              </w:tabs>
                              <w:rPr>
                                <w:rFonts w:cs="Arial"/>
                                <w:b/>
                                <w:sz w:val="88"/>
                                <w:szCs w:val="88"/>
                              </w:rPr>
                            </w:pPr>
                            <w:r>
                              <w:rPr>
                                <w:rFonts w:cs="Arial"/>
                                <w:b/>
                                <w:sz w:val="88"/>
                                <w:szCs w:val="88"/>
                              </w:rPr>
                              <w:t>Policy &amp;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CD1EF" id="_x0000_t202" coordsize="21600,21600" o:spt="202" path="m,l,21600r21600,l21600,xe">
                <v:stroke joinstyle="miter"/>
                <v:path gradientshapeok="t" o:connecttype="rect"/>
              </v:shapetype>
              <v:shape id="Text Box 12" o:spid="_x0000_s1026" type="#_x0000_t202" alt="&quot;&quot;" style="position:absolute;left:0;text-align:left;margin-left:-35.9pt;margin-top:-14.75pt;width:511.5pt;height:1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" filled="f" stroked="f">
                <v:textbox inset="0,0,0,0">
                  <w:txbxContent>
                    <w:p w14:paraId="634724D5" w14:textId="77777777" w:rsidR="00C62D4C" w:rsidRDefault="00C62D4C" w:rsidP="00D404A6">
                      <w:pPr>
                        <w:tabs>
                          <w:tab w:val="left" w:pos="9498"/>
                        </w:tabs>
                        <w:rPr>
                          <w:rFonts w:cs="Arial"/>
                          <w:b/>
                          <w:sz w:val="88"/>
                          <w:szCs w:val="88"/>
                        </w:rPr>
                      </w:pPr>
                    </w:p>
                    <w:p w14:paraId="3B5CFCE2" w14:textId="77777777" w:rsidR="00C62D4C" w:rsidRDefault="00C62D4C" w:rsidP="00D404A6">
                      <w:pPr>
                        <w:tabs>
                          <w:tab w:val="left" w:pos="9498"/>
                        </w:tabs>
                        <w:rPr>
                          <w:rFonts w:cs="Arial"/>
                          <w:b/>
                          <w:sz w:val="88"/>
                          <w:szCs w:val="88"/>
                        </w:rPr>
                      </w:pPr>
                    </w:p>
                    <w:p w14:paraId="795E4D74" w14:textId="77777777" w:rsidR="00C62D4C" w:rsidRPr="00B25FF2" w:rsidRDefault="00C62D4C" w:rsidP="00D404A6">
                      <w:pPr>
                        <w:tabs>
                          <w:tab w:val="left" w:pos="9498"/>
                        </w:tabs>
                        <w:rPr>
                          <w:rFonts w:cs="Arial"/>
                          <w:b/>
                          <w:sz w:val="88"/>
                          <w:szCs w:val="88"/>
                        </w:rPr>
                      </w:pPr>
                      <w:r>
                        <w:rPr>
                          <w:rFonts w:cs="Arial"/>
                          <w:b/>
                          <w:sz w:val="88"/>
                          <w:szCs w:val="88"/>
                        </w:rPr>
                        <w:t>Policy &amp; Procedure</w:t>
                      </w:r>
                    </w:p>
                  </w:txbxContent>
                </v:textbox>
              </v:shape>
            </w:pict>
          </mc:Fallback>
        </mc:AlternateContent>
      </w:r>
    </w:p>
    <w:p w14:paraId="7B3431F0" w14:textId="77777777" w:rsidR="002D456C" w:rsidRPr="007B68F6" w:rsidRDefault="002D456C" w:rsidP="002D456C"/>
    <w:p w14:paraId="1C6CBB07" w14:textId="77777777" w:rsidR="002D456C" w:rsidRPr="007B68F6" w:rsidRDefault="002D456C" w:rsidP="002D456C"/>
    <w:p w14:paraId="124FB252" w14:textId="77777777" w:rsidR="002D456C" w:rsidRPr="00B25B02" w:rsidRDefault="002D456C" w:rsidP="002D456C"/>
    <w:p w14:paraId="16789ECD" w14:textId="77777777" w:rsidR="002D456C" w:rsidRPr="007B68F6" w:rsidRDefault="002D456C" w:rsidP="002D456C"/>
    <w:p w14:paraId="2C70DBFE" w14:textId="77777777" w:rsidR="002D456C" w:rsidRPr="007B68F6" w:rsidRDefault="002D456C" w:rsidP="002D456C">
      <w:r>
        <w:rPr>
          <w:noProof/>
        </w:rPr>
        <mc:AlternateContent>
          <mc:Choice Requires="wps">
            <w:drawing>
              <wp:anchor distT="0" distB="0" distL="114300" distR="114300" simplePos="0" relativeHeight="251659264" behindDoc="0" locked="1" layoutInCell="1" allowOverlap="1" wp14:anchorId="7CA8A1A8" wp14:editId="3E207962">
                <wp:simplePos x="0" y="0"/>
                <wp:positionH relativeFrom="column">
                  <wp:posOffset>-494030</wp:posOffset>
                </wp:positionH>
                <wp:positionV relativeFrom="paragraph">
                  <wp:posOffset>2282825</wp:posOffset>
                </wp:positionV>
                <wp:extent cx="6756400" cy="1678305"/>
                <wp:effectExtent l="0" t="0" r="6350" b="0"/>
                <wp:wrapTight wrapText="bothSides">
                  <wp:wrapPolygon edited="0">
                    <wp:start x="0" y="0"/>
                    <wp:lineTo x="0" y="21330"/>
                    <wp:lineTo x="21559" y="21330"/>
                    <wp:lineTo x="21559" y="0"/>
                    <wp:lineTo x="0" y="0"/>
                  </wp:wrapPolygon>
                </wp:wrapTight>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678305"/>
                        </a:xfrm>
                        <a:prstGeom prst="rect">
                          <a:avLst/>
                        </a:prstGeom>
                        <a:solidFill>
                          <a:srgbClr val="BFBFBF">
                            <a:alpha val="75000"/>
                          </a:srgbClr>
                        </a:solidFill>
                        <a:ln>
                          <a:noFill/>
                        </a:ln>
                        <a:extLst>
                          <a:ext uri="{91240B29-F687-4F45-9708-019B960494DF}">
                            <a14:hiddenLine xmlns:a14="http://schemas.microsoft.com/office/drawing/2010/main" w="28575">
                              <a:solidFill>
                                <a:srgbClr val="A5A5A5"/>
                              </a:solidFill>
                              <a:miter lim="800000"/>
                              <a:headEnd/>
                              <a:tailEnd/>
                            </a14:hiddenLine>
                          </a:ext>
                        </a:extLst>
                      </wps:spPr>
                      <wps:txbx>
                        <w:txbxContent>
                          <w:sdt>
                            <w:sdtPr>
                              <w:rPr>
                                <w:b/>
                                <w:sz w:val="48"/>
                                <w:szCs w:val="44"/>
                              </w:rPr>
                              <w:alias w:val="Title"/>
                              <w:tag w:val=""/>
                              <w:id w:val="1646779346"/>
                              <w:placeholder>
                                <w:docPart w:val="C87A6AC403A4446B8BC6B188B92809E8"/>
                              </w:placeholder>
                              <w:dataBinding w:prefixMappings="xmlns:ns0='http://purl.org/dc/elements/1.1/' xmlns:ns1='http://schemas.openxmlformats.org/package/2006/metadata/core-properties' " w:xpath="/ns1:coreProperties[1]/ns0:title[1]" w:storeItemID="{6C3C8BC8-F283-45AE-878A-BAB7291924A1}"/>
                              <w:text/>
                            </w:sdtPr>
                            <w:sdtEndPr/>
                            <w:sdtContent>
                              <w:p w14:paraId="53BE5A49" w14:textId="020F836C" w:rsidR="00C62D4C" w:rsidRDefault="00C62D4C" w:rsidP="00AE46F2">
                                <w:pPr>
                                  <w:spacing w:line="276" w:lineRule="auto"/>
                                  <w:jc w:val="right"/>
                                  <w:rPr>
                                    <w:b/>
                                    <w:sz w:val="48"/>
                                    <w:szCs w:val="44"/>
                                  </w:rPr>
                                </w:pPr>
                                <w:r>
                                  <w:rPr>
                                    <w:b/>
                                    <w:sz w:val="48"/>
                                    <w:szCs w:val="44"/>
                                  </w:rPr>
                                  <w:t>Pay Policy Statement 202</w:t>
                                </w:r>
                                <w:r w:rsidR="009B1660">
                                  <w:rPr>
                                    <w:b/>
                                    <w:sz w:val="48"/>
                                    <w:szCs w:val="44"/>
                                  </w:rPr>
                                  <w:t>1</w:t>
                                </w:r>
                                <w:r>
                                  <w:rPr>
                                    <w:b/>
                                    <w:sz w:val="48"/>
                                    <w:szCs w:val="44"/>
                                  </w:rPr>
                                  <w:t>/202</w:t>
                                </w:r>
                                <w:r w:rsidR="009B1660">
                                  <w:rPr>
                                    <w:b/>
                                    <w:sz w:val="48"/>
                                    <w:szCs w:val="44"/>
                                  </w:rPr>
                                  <w:t>2</w:t>
                                </w:r>
                              </w:p>
                            </w:sdtContent>
                          </w:sdt>
                          <w:sdt>
                            <w:sdtPr>
                              <w:rPr>
                                <w:sz w:val="44"/>
                                <w:szCs w:val="44"/>
                              </w:rPr>
                              <w:alias w:val="Directorate/Team"/>
                              <w:tag w:val="Directorate_x002F_Team"/>
                              <w:id w:val="769894889"/>
                              <w:placeholder>
                                <w:docPart w:val="6547E0620A3F48929EC252EFCC81A78D"/>
                              </w:placeholder>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3:Directorate_x002f_Team[1]" w:storeItemID="{31A02471-21CE-4ED2-8110-C0D2C1F34421}"/>
                              <w:dropDownList w:lastValue="People and Organisation Development">
                                <w:listItem w:value="[Directorate/Team]"/>
                              </w:dropDownList>
                            </w:sdtPr>
                            <w:sdtEndPr/>
                            <w:sdtContent>
                              <w:p w14:paraId="489A80EE" w14:textId="77777777" w:rsidR="00C62D4C" w:rsidRDefault="00C62D4C" w:rsidP="00AE46F2">
                                <w:pPr>
                                  <w:spacing w:line="276" w:lineRule="auto"/>
                                  <w:jc w:val="right"/>
                                  <w:rPr>
                                    <w:sz w:val="44"/>
                                    <w:szCs w:val="44"/>
                                  </w:rPr>
                                </w:pPr>
                                <w:r>
                                  <w:rPr>
                                    <w:sz w:val="44"/>
                                    <w:szCs w:val="44"/>
                                  </w:rPr>
                                  <w:t>People and Organisation Development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8A1A8" id="Text Box 11" o:spid="_x0000_s1027" type="#_x0000_t202" alt="&quot;&quot;" style="position:absolute;left:0;text-align:left;margin-left:-38.9pt;margin-top:179.75pt;width:532pt;height:1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" fillcolor="#bfbfbf" stroked="f" strokecolor="#a5a5a5" strokeweight="2.25pt">
                <v:fill opacity="49087f"/>
                <v:textbox inset=",7.2pt,,7.2pt">
                  <w:txbxContent>
                    <w:sdt>
                      <w:sdtPr>
                        <w:rPr>
                          <w:b/>
                          <w:sz w:val="48"/>
                          <w:szCs w:val="44"/>
                        </w:rPr>
                        <w:alias w:val="Title"/>
                        <w:tag w:val=""/>
                        <w:id w:val="1646779346"/>
                        <w:placeholder>
                          <w:docPart w:val="C87A6AC403A4446B8BC6B188B92809E8"/>
                        </w:placeholder>
                        <w:dataBinding w:prefixMappings="xmlns:ns0='http://purl.org/dc/elements/1.1/' xmlns:ns1='http://schemas.openxmlformats.org/package/2006/metadata/core-properties' " w:xpath="/ns1:coreProperties[1]/ns0:title[1]" w:storeItemID="{6C3C8BC8-F283-45AE-878A-BAB7291924A1}"/>
                        <w:text/>
                      </w:sdtPr>
                      <w:sdtEndPr/>
                      <w:sdtContent>
                        <w:p w14:paraId="53BE5A49" w14:textId="020F836C" w:rsidR="00C62D4C" w:rsidRDefault="00C62D4C" w:rsidP="00AE46F2">
                          <w:pPr>
                            <w:spacing w:line="276" w:lineRule="auto"/>
                            <w:jc w:val="right"/>
                            <w:rPr>
                              <w:b/>
                              <w:sz w:val="48"/>
                              <w:szCs w:val="44"/>
                            </w:rPr>
                          </w:pPr>
                          <w:r>
                            <w:rPr>
                              <w:b/>
                              <w:sz w:val="48"/>
                              <w:szCs w:val="44"/>
                            </w:rPr>
                            <w:t>Pay Policy Statement 202</w:t>
                          </w:r>
                          <w:r w:rsidR="009B1660">
                            <w:rPr>
                              <w:b/>
                              <w:sz w:val="48"/>
                              <w:szCs w:val="44"/>
                            </w:rPr>
                            <w:t>1</w:t>
                          </w:r>
                          <w:r>
                            <w:rPr>
                              <w:b/>
                              <w:sz w:val="48"/>
                              <w:szCs w:val="44"/>
                            </w:rPr>
                            <w:t>/202</w:t>
                          </w:r>
                          <w:r w:rsidR="009B1660">
                            <w:rPr>
                              <w:b/>
                              <w:sz w:val="48"/>
                              <w:szCs w:val="44"/>
                            </w:rPr>
                            <w:t>2</w:t>
                          </w:r>
                        </w:p>
                      </w:sdtContent>
                    </w:sdt>
                    <w:sdt>
                      <w:sdtPr>
                        <w:rPr>
                          <w:sz w:val="44"/>
                          <w:szCs w:val="44"/>
                        </w:rPr>
                        <w:alias w:val="Directorate/Team"/>
                        <w:tag w:val="Directorate_x002F_Team"/>
                        <w:id w:val="769894889"/>
                        <w:placeholder>
                          <w:docPart w:val="6547E0620A3F48929EC252EFCC81A78D"/>
                        </w:placeholder>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3:Directorate_x002f_Team[1]" w:storeItemID="{31A02471-21CE-4ED2-8110-C0D2C1F34421}"/>
                        <w:dropDownList w:lastValue="People and Organisation Development">
                          <w:listItem w:value="[Directorate/Team]"/>
                        </w:dropDownList>
                      </w:sdtPr>
                      <w:sdtEndPr/>
                      <w:sdtContent>
                        <w:p w14:paraId="489A80EE" w14:textId="77777777" w:rsidR="00C62D4C" w:rsidRDefault="00C62D4C" w:rsidP="00AE46F2">
                          <w:pPr>
                            <w:spacing w:line="276" w:lineRule="auto"/>
                            <w:jc w:val="right"/>
                            <w:rPr>
                              <w:sz w:val="44"/>
                              <w:szCs w:val="44"/>
                            </w:rPr>
                          </w:pPr>
                          <w:r>
                            <w:rPr>
                              <w:sz w:val="44"/>
                              <w:szCs w:val="44"/>
                            </w:rPr>
                            <w:t>People and Organisation Development</w:t>
                          </w:r>
                        </w:p>
                      </w:sdtContent>
                    </w:sdt>
                  </w:txbxContent>
                </v:textbox>
                <w10:wrap type="tight"/>
                <w10:anchorlock/>
              </v:shape>
            </w:pict>
          </mc:Fallback>
        </mc:AlternateContent>
      </w:r>
    </w:p>
    <w:p w14:paraId="00B457A0" w14:textId="77777777" w:rsidR="002D456C" w:rsidRPr="007B68F6" w:rsidRDefault="002D456C" w:rsidP="002D456C"/>
    <w:p w14:paraId="21923905" w14:textId="77777777" w:rsidR="002D456C" w:rsidRPr="007B68F6" w:rsidRDefault="002D456C" w:rsidP="002D456C"/>
    <w:p w14:paraId="01A22886" w14:textId="77777777" w:rsidR="002D456C" w:rsidRPr="007B68F6" w:rsidRDefault="002D456C" w:rsidP="002D456C"/>
    <w:p w14:paraId="44F94208" w14:textId="77777777" w:rsidR="002D456C" w:rsidRPr="007B68F6" w:rsidRDefault="002D456C" w:rsidP="002D456C"/>
    <w:p w14:paraId="29670895" w14:textId="77777777" w:rsidR="002D456C" w:rsidRPr="007B68F6" w:rsidRDefault="002D456C" w:rsidP="002D456C"/>
    <w:p w14:paraId="70C11764" w14:textId="77777777" w:rsidR="002D456C" w:rsidRPr="007B68F6" w:rsidRDefault="002D456C" w:rsidP="002D456C"/>
    <w:p w14:paraId="3AAB3A4F" w14:textId="77777777" w:rsidR="002D456C" w:rsidRPr="007B68F6" w:rsidRDefault="002D456C" w:rsidP="002D456C"/>
    <w:p w14:paraId="55E8C097" w14:textId="77777777" w:rsidR="002D456C" w:rsidRPr="007B68F6" w:rsidRDefault="002D456C" w:rsidP="002D456C"/>
    <w:p w14:paraId="5D313D2A" w14:textId="77777777" w:rsidR="002D456C" w:rsidRPr="007B68F6" w:rsidRDefault="002D456C" w:rsidP="002D456C"/>
    <w:p w14:paraId="45046C11" w14:textId="77777777" w:rsidR="002D456C" w:rsidRPr="007B68F6" w:rsidRDefault="002D456C" w:rsidP="002D456C"/>
    <w:p w14:paraId="55B2B306" w14:textId="77777777" w:rsidR="002D456C" w:rsidRPr="007B68F6" w:rsidRDefault="002D456C" w:rsidP="002D456C">
      <w:pPr>
        <w:spacing w:before="240"/>
      </w:pPr>
    </w:p>
    <w:p w14:paraId="438AC7C5" w14:textId="77777777" w:rsidR="002D456C" w:rsidRPr="007B68F6" w:rsidRDefault="002D456C" w:rsidP="002D456C"/>
    <w:p w14:paraId="3E1E9B32" w14:textId="77777777" w:rsidR="002D456C" w:rsidRPr="007B68F6" w:rsidRDefault="002D456C" w:rsidP="002D456C"/>
    <w:p w14:paraId="3734A3B5" w14:textId="77777777" w:rsidR="00A56399" w:rsidRPr="007B68F6" w:rsidRDefault="002D456C" w:rsidP="006464B2">
      <w:pPr>
        <w:tabs>
          <w:tab w:val="left" w:pos="1113"/>
        </w:tabs>
      </w:pPr>
      <w:r>
        <w:tab/>
      </w:r>
    </w:p>
    <w:p w14:paraId="797928B9" w14:textId="77777777" w:rsidR="00B974FA" w:rsidRPr="007B68F6" w:rsidRDefault="00B974FA" w:rsidP="005559D7"/>
    <w:bookmarkStart w:id="0" w:name="_Toc20479397" w:displacedByCustomXml="next"/>
    <w:sdt>
      <w:sdtPr>
        <w:alias w:val="Cannot be deleted or edited"/>
        <w:tag w:val="Cannot be deleted or edited"/>
        <w:id w:val="-96791309"/>
        <w:lock w:val="sdtLocked"/>
        <w:placeholder>
          <w:docPart w:val="F12172C33D9C4F538731B0F01C72517E"/>
        </w:placeholder>
      </w:sdtPr>
      <w:sdtEndPr/>
      <w:sdtContent>
        <w:p w14:paraId="381C3678" w14:textId="77777777" w:rsidR="006C7688" w:rsidRDefault="006C7688" w:rsidP="006C7688">
          <w:pPr>
            <w:pStyle w:val="Heading1"/>
          </w:pPr>
          <w:r>
            <w:t>Contents</w:t>
          </w:r>
        </w:p>
      </w:sdtContent>
    </w:sdt>
    <w:bookmarkEnd w:id="0" w:displacedByCustomXml="prev"/>
    <w:p w14:paraId="1054F76A" w14:textId="4D743BE8" w:rsidR="009F0DE2" w:rsidRDefault="00E55D31">
      <w:pPr>
        <w:pStyle w:val="TOC1"/>
        <w:rPr>
          <w:rFonts w:asciiTheme="minorHAnsi" w:eastAsiaTheme="minorEastAsia" w:hAnsiTheme="minorHAnsi" w:cstheme="minorBidi"/>
          <w:noProof/>
          <w:sz w:val="22"/>
          <w:szCs w:val="22"/>
        </w:rPr>
      </w:pPr>
      <w:r>
        <w:fldChar w:fldCharType="begin"/>
      </w:r>
      <w:r w:rsidR="006C7688">
        <w:instrText xml:space="preserve"> TOC \o "1-3" \h \z \u </w:instrText>
      </w:r>
      <w:r>
        <w:fldChar w:fldCharType="separate"/>
      </w:r>
      <w:hyperlink w:anchor="_Toc20479397" w:history="1">
        <w:r w:rsidR="009F0DE2" w:rsidRPr="00772677">
          <w:rPr>
            <w:rStyle w:val="Hyperlink"/>
            <w:noProof/>
          </w:rPr>
          <w:t>Contents</w:t>
        </w:r>
        <w:r w:rsidR="009F0DE2">
          <w:rPr>
            <w:noProof/>
            <w:webHidden/>
          </w:rPr>
          <w:tab/>
        </w:r>
        <w:r w:rsidR="009F0DE2">
          <w:rPr>
            <w:noProof/>
            <w:webHidden/>
          </w:rPr>
          <w:fldChar w:fldCharType="begin"/>
        </w:r>
        <w:r w:rsidR="009F0DE2">
          <w:rPr>
            <w:noProof/>
            <w:webHidden/>
          </w:rPr>
          <w:instrText xml:space="preserve"> PAGEREF _Toc20479397 \h </w:instrText>
        </w:r>
        <w:r w:rsidR="009F0DE2">
          <w:rPr>
            <w:noProof/>
            <w:webHidden/>
          </w:rPr>
        </w:r>
        <w:r w:rsidR="009F0DE2">
          <w:rPr>
            <w:noProof/>
            <w:webHidden/>
          </w:rPr>
          <w:fldChar w:fldCharType="separate"/>
        </w:r>
        <w:r w:rsidR="00AA088A">
          <w:rPr>
            <w:noProof/>
            <w:webHidden/>
          </w:rPr>
          <w:t>2</w:t>
        </w:r>
        <w:r w:rsidR="009F0DE2">
          <w:rPr>
            <w:noProof/>
            <w:webHidden/>
          </w:rPr>
          <w:fldChar w:fldCharType="end"/>
        </w:r>
      </w:hyperlink>
    </w:p>
    <w:p w14:paraId="26A45A80" w14:textId="346DBD80" w:rsidR="009F0DE2" w:rsidRDefault="005613A7">
      <w:pPr>
        <w:pStyle w:val="TOC1"/>
        <w:rPr>
          <w:rFonts w:asciiTheme="minorHAnsi" w:eastAsiaTheme="minorEastAsia" w:hAnsiTheme="minorHAnsi" w:cstheme="minorBidi"/>
          <w:noProof/>
          <w:sz w:val="22"/>
          <w:szCs w:val="22"/>
        </w:rPr>
      </w:pPr>
      <w:hyperlink w:anchor="_Toc20479398" w:history="1">
        <w:r w:rsidR="009F0DE2" w:rsidRPr="00772677">
          <w:rPr>
            <w:rStyle w:val="Hyperlink"/>
            <w:noProof/>
          </w:rPr>
          <w:t>Document Details</w:t>
        </w:r>
        <w:r w:rsidR="009F0DE2">
          <w:rPr>
            <w:noProof/>
            <w:webHidden/>
          </w:rPr>
          <w:tab/>
        </w:r>
        <w:r w:rsidR="009F0DE2">
          <w:rPr>
            <w:noProof/>
            <w:webHidden/>
          </w:rPr>
          <w:fldChar w:fldCharType="begin"/>
        </w:r>
        <w:r w:rsidR="009F0DE2">
          <w:rPr>
            <w:noProof/>
            <w:webHidden/>
          </w:rPr>
          <w:instrText xml:space="preserve"> PAGEREF _Toc20479398 \h </w:instrText>
        </w:r>
        <w:r w:rsidR="009F0DE2">
          <w:rPr>
            <w:noProof/>
            <w:webHidden/>
          </w:rPr>
        </w:r>
        <w:r w:rsidR="009F0DE2">
          <w:rPr>
            <w:noProof/>
            <w:webHidden/>
          </w:rPr>
          <w:fldChar w:fldCharType="separate"/>
        </w:r>
        <w:r w:rsidR="00AA088A">
          <w:rPr>
            <w:noProof/>
            <w:webHidden/>
          </w:rPr>
          <w:t>3</w:t>
        </w:r>
        <w:r w:rsidR="009F0DE2">
          <w:rPr>
            <w:noProof/>
            <w:webHidden/>
          </w:rPr>
          <w:fldChar w:fldCharType="end"/>
        </w:r>
      </w:hyperlink>
    </w:p>
    <w:p w14:paraId="0A30B4CC" w14:textId="66186560" w:rsidR="009F0DE2" w:rsidRDefault="005613A7">
      <w:pPr>
        <w:pStyle w:val="TOC1"/>
        <w:rPr>
          <w:rFonts w:asciiTheme="minorHAnsi" w:eastAsiaTheme="minorEastAsia" w:hAnsiTheme="minorHAnsi" w:cstheme="minorBidi"/>
          <w:noProof/>
          <w:sz w:val="22"/>
          <w:szCs w:val="22"/>
        </w:rPr>
      </w:pPr>
      <w:hyperlink w:anchor="_Toc20479399" w:history="1">
        <w:r w:rsidR="009F0DE2" w:rsidRPr="00772677">
          <w:rPr>
            <w:rStyle w:val="Hyperlink"/>
            <w:noProof/>
          </w:rPr>
          <w:t>Introduction</w:t>
        </w:r>
        <w:r w:rsidR="009F0DE2">
          <w:rPr>
            <w:noProof/>
            <w:webHidden/>
          </w:rPr>
          <w:tab/>
        </w:r>
        <w:r w:rsidR="009F0DE2">
          <w:rPr>
            <w:noProof/>
            <w:webHidden/>
          </w:rPr>
          <w:fldChar w:fldCharType="begin"/>
        </w:r>
        <w:r w:rsidR="009F0DE2">
          <w:rPr>
            <w:noProof/>
            <w:webHidden/>
          </w:rPr>
          <w:instrText xml:space="preserve"> PAGEREF _Toc20479399 \h </w:instrText>
        </w:r>
        <w:r w:rsidR="009F0DE2">
          <w:rPr>
            <w:noProof/>
            <w:webHidden/>
          </w:rPr>
        </w:r>
        <w:r w:rsidR="009F0DE2">
          <w:rPr>
            <w:noProof/>
            <w:webHidden/>
          </w:rPr>
          <w:fldChar w:fldCharType="separate"/>
        </w:r>
        <w:r w:rsidR="00AA088A">
          <w:rPr>
            <w:noProof/>
            <w:webHidden/>
          </w:rPr>
          <w:t>3</w:t>
        </w:r>
        <w:r w:rsidR="009F0DE2">
          <w:rPr>
            <w:noProof/>
            <w:webHidden/>
          </w:rPr>
          <w:fldChar w:fldCharType="end"/>
        </w:r>
      </w:hyperlink>
    </w:p>
    <w:p w14:paraId="0994B6DA" w14:textId="06990C8D" w:rsidR="009F0DE2" w:rsidRDefault="005613A7">
      <w:pPr>
        <w:pStyle w:val="TOC1"/>
        <w:rPr>
          <w:rFonts w:asciiTheme="minorHAnsi" w:eastAsiaTheme="minorEastAsia" w:hAnsiTheme="minorHAnsi" w:cstheme="minorBidi"/>
          <w:noProof/>
          <w:sz w:val="22"/>
          <w:szCs w:val="22"/>
        </w:rPr>
      </w:pPr>
      <w:hyperlink w:anchor="_Toc20479400" w:history="1">
        <w:r w:rsidR="009F0DE2" w:rsidRPr="00772677">
          <w:rPr>
            <w:rStyle w:val="Hyperlink"/>
            <w:noProof/>
          </w:rPr>
          <w:t>Scope</w:t>
        </w:r>
        <w:r w:rsidR="009F0DE2">
          <w:rPr>
            <w:noProof/>
            <w:webHidden/>
          </w:rPr>
          <w:tab/>
        </w:r>
        <w:r w:rsidR="009F0DE2">
          <w:rPr>
            <w:noProof/>
            <w:webHidden/>
          </w:rPr>
          <w:fldChar w:fldCharType="begin"/>
        </w:r>
        <w:r w:rsidR="009F0DE2">
          <w:rPr>
            <w:noProof/>
            <w:webHidden/>
          </w:rPr>
          <w:instrText xml:space="preserve"> PAGEREF _Toc20479400 \h </w:instrText>
        </w:r>
        <w:r w:rsidR="009F0DE2">
          <w:rPr>
            <w:noProof/>
            <w:webHidden/>
          </w:rPr>
        </w:r>
        <w:r w:rsidR="009F0DE2">
          <w:rPr>
            <w:noProof/>
            <w:webHidden/>
          </w:rPr>
          <w:fldChar w:fldCharType="separate"/>
        </w:r>
        <w:r w:rsidR="00AA088A">
          <w:rPr>
            <w:noProof/>
            <w:webHidden/>
          </w:rPr>
          <w:t>4</w:t>
        </w:r>
        <w:r w:rsidR="009F0DE2">
          <w:rPr>
            <w:noProof/>
            <w:webHidden/>
          </w:rPr>
          <w:fldChar w:fldCharType="end"/>
        </w:r>
      </w:hyperlink>
    </w:p>
    <w:p w14:paraId="29377A46" w14:textId="1CF888CE" w:rsidR="009F0DE2" w:rsidRDefault="005613A7">
      <w:pPr>
        <w:pStyle w:val="TOC1"/>
        <w:rPr>
          <w:rFonts w:asciiTheme="minorHAnsi" w:eastAsiaTheme="minorEastAsia" w:hAnsiTheme="minorHAnsi" w:cstheme="minorBidi"/>
          <w:noProof/>
          <w:sz w:val="22"/>
          <w:szCs w:val="22"/>
        </w:rPr>
      </w:pPr>
      <w:hyperlink w:anchor="_Toc20479401" w:history="1">
        <w:r w:rsidR="009F0DE2" w:rsidRPr="00772677">
          <w:rPr>
            <w:rStyle w:val="Hyperlink"/>
            <w:noProof/>
          </w:rPr>
          <w:t>Definitions</w:t>
        </w:r>
        <w:r w:rsidR="009F0DE2">
          <w:rPr>
            <w:noProof/>
            <w:webHidden/>
          </w:rPr>
          <w:tab/>
        </w:r>
        <w:r w:rsidR="009F0DE2">
          <w:rPr>
            <w:noProof/>
            <w:webHidden/>
          </w:rPr>
          <w:fldChar w:fldCharType="begin"/>
        </w:r>
        <w:r w:rsidR="009F0DE2">
          <w:rPr>
            <w:noProof/>
            <w:webHidden/>
          </w:rPr>
          <w:instrText xml:space="preserve"> PAGEREF _Toc20479401 \h </w:instrText>
        </w:r>
        <w:r w:rsidR="009F0DE2">
          <w:rPr>
            <w:noProof/>
            <w:webHidden/>
          </w:rPr>
        </w:r>
        <w:r w:rsidR="009F0DE2">
          <w:rPr>
            <w:noProof/>
            <w:webHidden/>
          </w:rPr>
          <w:fldChar w:fldCharType="separate"/>
        </w:r>
        <w:r w:rsidR="00AA088A">
          <w:rPr>
            <w:noProof/>
            <w:webHidden/>
          </w:rPr>
          <w:t>5</w:t>
        </w:r>
        <w:r w:rsidR="009F0DE2">
          <w:rPr>
            <w:noProof/>
            <w:webHidden/>
          </w:rPr>
          <w:fldChar w:fldCharType="end"/>
        </w:r>
      </w:hyperlink>
    </w:p>
    <w:p w14:paraId="505AA84B" w14:textId="25BED9C1" w:rsidR="009F0DE2" w:rsidRDefault="005613A7">
      <w:pPr>
        <w:pStyle w:val="TOC1"/>
        <w:rPr>
          <w:rFonts w:asciiTheme="minorHAnsi" w:eastAsiaTheme="minorEastAsia" w:hAnsiTheme="minorHAnsi" w:cstheme="minorBidi"/>
          <w:noProof/>
          <w:sz w:val="22"/>
          <w:szCs w:val="22"/>
        </w:rPr>
      </w:pPr>
      <w:hyperlink w:anchor="_Toc20479402" w:history="1">
        <w:r w:rsidR="009F0DE2" w:rsidRPr="00772677">
          <w:rPr>
            <w:rStyle w:val="Hyperlink"/>
            <w:noProof/>
          </w:rPr>
          <w:t>Remuneration Strategy</w:t>
        </w:r>
        <w:r w:rsidR="009F0DE2">
          <w:rPr>
            <w:noProof/>
            <w:webHidden/>
          </w:rPr>
          <w:tab/>
        </w:r>
        <w:r w:rsidR="009F0DE2">
          <w:rPr>
            <w:noProof/>
            <w:webHidden/>
          </w:rPr>
          <w:fldChar w:fldCharType="begin"/>
        </w:r>
        <w:r w:rsidR="009F0DE2">
          <w:rPr>
            <w:noProof/>
            <w:webHidden/>
          </w:rPr>
          <w:instrText xml:space="preserve"> PAGEREF _Toc20479402 \h </w:instrText>
        </w:r>
        <w:r w:rsidR="009F0DE2">
          <w:rPr>
            <w:noProof/>
            <w:webHidden/>
          </w:rPr>
        </w:r>
        <w:r w:rsidR="009F0DE2">
          <w:rPr>
            <w:noProof/>
            <w:webHidden/>
          </w:rPr>
          <w:fldChar w:fldCharType="separate"/>
        </w:r>
        <w:r w:rsidR="00AA088A">
          <w:rPr>
            <w:noProof/>
            <w:webHidden/>
          </w:rPr>
          <w:t>5</w:t>
        </w:r>
        <w:r w:rsidR="009F0DE2">
          <w:rPr>
            <w:noProof/>
            <w:webHidden/>
          </w:rPr>
          <w:fldChar w:fldCharType="end"/>
        </w:r>
      </w:hyperlink>
    </w:p>
    <w:p w14:paraId="40F72F6B" w14:textId="17FD8A1D" w:rsidR="009F0DE2" w:rsidRDefault="005613A7">
      <w:pPr>
        <w:pStyle w:val="TOC1"/>
        <w:rPr>
          <w:rFonts w:asciiTheme="minorHAnsi" w:eastAsiaTheme="minorEastAsia" w:hAnsiTheme="minorHAnsi" w:cstheme="minorBidi"/>
          <w:noProof/>
          <w:sz w:val="22"/>
          <w:szCs w:val="22"/>
        </w:rPr>
      </w:pPr>
      <w:hyperlink w:anchor="_Toc20479403" w:history="1">
        <w:r w:rsidR="009F0DE2" w:rsidRPr="00772677">
          <w:rPr>
            <w:rStyle w:val="Hyperlink"/>
            <w:noProof/>
          </w:rPr>
          <w:t>Policy Statement</w:t>
        </w:r>
        <w:r w:rsidR="009F0DE2">
          <w:rPr>
            <w:noProof/>
            <w:webHidden/>
          </w:rPr>
          <w:tab/>
        </w:r>
        <w:r w:rsidR="009F0DE2">
          <w:rPr>
            <w:noProof/>
            <w:webHidden/>
          </w:rPr>
          <w:fldChar w:fldCharType="begin"/>
        </w:r>
        <w:r w:rsidR="009F0DE2">
          <w:rPr>
            <w:noProof/>
            <w:webHidden/>
          </w:rPr>
          <w:instrText xml:space="preserve"> PAGEREF _Toc20479403 \h </w:instrText>
        </w:r>
        <w:r w:rsidR="009F0DE2">
          <w:rPr>
            <w:noProof/>
            <w:webHidden/>
          </w:rPr>
        </w:r>
        <w:r w:rsidR="009F0DE2">
          <w:rPr>
            <w:noProof/>
            <w:webHidden/>
          </w:rPr>
          <w:fldChar w:fldCharType="separate"/>
        </w:r>
        <w:r w:rsidR="00AA088A">
          <w:rPr>
            <w:noProof/>
            <w:webHidden/>
          </w:rPr>
          <w:t>7</w:t>
        </w:r>
        <w:r w:rsidR="009F0DE2">
          <w:rPr>
            <w:noProof/>
            <w:webHidden/>
          </w:rPr>
          <w:fldChar w:fldCharType="end"/>
        </w:r>
      </w:hyperlink>
    </w:p>
    <w:p w14:paraId="65E30478" w14:textId="76DC8E03" w:rsidR="009F0DE2" w:rsidRDefault="005613A7">
      <w:pPr>
        <w:pStyle w:val="TOC1"/>
        <w:rPr>
          <w:rFonts w:asciiTheme="minorHAnsi" w:eastAsiaTheme="minorEastAsia" w:hAnsiTheme="minorHAnsi" w:cstheme="minorBidi"/>
          <w:noProof/>
          <w:sz w:val="22"/>
          <w:szCs w:val="22"/>
        </w:rPr>
      </w:pPr>
      <w:hyperlink w:anchor="_Toc20479404" w:history="1">
        <w:r w:rsidR="009F0DE2" w:rsidRPr="00772677">
          <w:rPr>
            <w:rStyle w:val="Hyperlink"/>
            <w:noProof/>
          </w:rPr>
          <w:t>Principles</w:t>
        </w:r>
        <w:r w:rsidR="009F0DE2">
          <w:rPr>
            <w:noProof/>
            <w:webHidden/>
          </w:rPr>
          <w:tab/>
        </w:r>
        <w:r w:rsidR="009F0DE2">
          <w:rPr>
            <w:noProof/>
            <w:webHidden/>
          </w:rPr>
          <w:fldChar w:fldCharType="begin"/>
        </w:r>
        <w:r w:rsidR="009F0DE2">
          <w:rPr>
            <w:noProof/>
            <w:webHidden/>
          </w:rPr>
          <w:instrText xml:space="preserve"> PAGEREF _Toc20479404 \h </w:instrText>
        </w:r>
        <w:r w:rsidR="009F0DE2">
          <w:rPr>
            <w:noProof/>
            <w:webHidden/>
          </w:rPr>
        </w:r>
        <w:r w:rsidR="009F0DE2">
          <w:rPr>
            <w:noProof/>
            <w:webHidden/>
          </w:rPr>
          <w:fldChar w:fldCharType="separate"/>
        </w:r>
        <w:r w:rsidR="00AA088A">
          <w:rPr>
            <w:noProof/>
            <w:webHidden/>
          </w:rPr>
          <w:t>7</w:t>
        </w:r>
        <w:r w:rsidR="009F0DE2">
          <w:rPr>
            <w:noProof/>
            <w:webHidden/>
          </w:rPr>
          <w:fldChar w:fldCharType="end"/>
        </w:r>
      </w:hyperlink>
    </w:p>
    <w:p w14:paraId="512F5F50" w14:textId="0705DFE5" w:rsidR="009F0DE2" w:rsidRDefault="005613A7">
      <w:pPr>
        <w:pStyle w:val="TOC1"/>
        <w:rPr>
          <w:rFonts w:asciiTheme="minorHAnsi" w:eastAsiaTheme="minorEastAsia" w:hAnsiTheme="minorHAnsi" w:cstheme="minorBidi"/>
          <w:noProof/>
          <w:sz w:val="22"/>
          <w:szCs w:val="22"/>
        </w:rPr>
      </w:pPr>
      <w:hyperlink w:anchor="_Toc20479405" w:history="1">
        <w:r w:rsidR="009F0DE2" w:rsidRPr="00772677">
          <w:rPr>
            <w:rStyle w:val="Hyperlink"/>
            <w:noProof/>
          </w:rPr>
          <w:t>Roles &amp; Responsibilities</w:t>
        </w:r>
        <w:r w:rsidR="009F0DE2">
          <w:rPr>
            <w:noProof/>
            <w:webHidden/>
          </w:rPr>
          <w:tab/>
        </w:r>
        <w:r w:rsidR="009F0DE2">
          <w:rPr>
            <w:noProof/>
            <w:webHidden/>
          </w:rPr>
          <w:fldChar w:fldCharType="begin"/>
        </w:r>
        <w:r w:rsidR="009F0DE2">
          <w:rPr>
            <w:noProof/>
            <w:webHidden/>
          </w:rPr>
          <w:instrText xml:space="preserve"> PAGEREF _Toc20479405 \h </w:instrText>
        </w:r>
        <w:r w:rsidR="009F0DE2">
          <w:rPr>
            <w:noProof/>
            <w:webHidden/>
          </w:rPr>
        </w:r>
        <w:r w:rsidR="009F0DE2">
          <w:rPr>
            <w:noProof/>
            <w:webHidden/>
          </w:rPr>
          <w:fldChar w:fldCharType="separate"/>
        </w:r>
        <w:r w:rsidR="00AA088A">
          <w:rPr>
            <w:noProof/>
            <w:webHidden/>
          </w:rPr>
          <w:t>7</w:t>
        </w:r>
        <w:r w:rsidR="009F0DE2">
          <w:rPr>
            <w:noProof/>
            <w:webHidden/>
          </w:rPr>
          <w:fldChar w:fldCharType="end"/>
        </w:r>
      </w:hyperlink>
    </w:p>
    <w:p w14:paraId="2168533C" w14:textId="305F994D" w:rsidR="009F0DE2" w:rsidRDefault="005613A7">
      <w:pPr>
        <w:pStyle w:val="TOC1"/>
        <w:rPr>
          <w:rFonts w:asciiTheme="minorHAnsi" w:eastAsiaTheme="minorEastAsia" w:hAnsiTheme="minorHAnsi" w:cstheme="minorBidi"/>
          <w:noProof/>
          <w:sz w:val="22"/>
          <w:szCs w:val="22"/>
        </w:rPr>
      </w:pPr>
      <w:hyperlink w:anchor="_Toc20479406" w:history="1">
        <w:r w:rsidR="009F0DE2" w:rsidRPr="00772677">
          <w:rPr>
            <w:rStyle w:val="Hyperlink"/>
            <w:noProof/>
          </w:rPr>
          <w:t>Procedure</w:t>
        </w:r>
        <w:r w:rsidR="009F0DE2">
          <w:rPr>
            <w:noProof/>
            <w:webHidden/>
          </w:rPr>
          <w:tab/>
        </w:r>
        <w:r w:rsidR="009F0DE2">
          <w:rPr>
            <w:noProof/>
            <w:webHidden/>
          </w:rPr>
          <w:fldChar w:fldCharType="begin"/>
        </w:r>
        <w:r w:rsidR="009F0DE2">
          <w:rPr>
            <w:noProof/>
            <w:webHidden/>
          </w:rPr>
          <w:instrText xml:space="preserve"> PAGEREF _Toc20479406 \h </w:instrText>
        </w:r>
        <w:r w:rsidR="009F0DE2">
          <w:rPr>
            <w:noProof/>
            <w:webHidden/>
          </w:rPr>
        </w:r>
        <w:r w:rsidR="009F0DE2">
          <w:rPr>
            <w:noProof/>
            <w:webHidden/>
          </w:rPr>
          <w:fldChar w:fldCharType="separate"/>
        </w:r>
        <w:r w:rsidR="00AA088A">
          <w:rPr>
            <w:noProof/>
            <w:webHidden/>
          </w:rPr>
          <w:t>8</w:t>
        </w:r>
        <w:r w:rsidR="009F0DE2">
          <w:rPr>
            <w:noProof/>
            <w:webHidden/>
          </w:rPr>
          <w:fldChar w:fldCharType="end"/>
        </w:r>
      </w:hyperlink>
    </w:p>
    <w:p w14:paraId="3A4DF01A" w14:textId="483F6F6A" w:rsidR="009F0DE2" w:rsidRDefault="005613A7" w:rsidP="009F0DE2">
      <w:pPr>
        <w:pStyle w:val="TOC2"/>
        <w:jc w:val="right"/>
        <w:rPr>
          <w:rFonts w:asciiTheme="minorHAnsi" w:eastAsiaTheme="minorEastAsia" w:hAnsiTheme="minorHAnsi" w:cstheme="minorBidi"/>
          <w:noProof/>
          <w:sz w:val="22"/>
          <w:szCs w:val="22"/>
        </w:rPr>
      </w:pPr>
      <w:hyperlink w:anchor="_Toc20479407" w:history="1">
        <w:r w:rsidR="009F0DE2" w:rsidRPr="00772677">
          <w:rPr>
            <w:rStyle w:val="Hyperlink"/>
            <w:noProof/>
          </w:rPr>
          <w:t>Pay Structure</w:t>
        </w:r>
        <w:r w:rsidR="009F0DE2">
          <w:rPr>
            <w:noProof/>
            <w:webHidden/>
          </w:rPr>
          <w:tab/>
        </w:r>
        <w:r w:rsidR="009F0DE2">
          <w:rPr>
            <w:noProof/>
            <w:webHidden/>
          </w:rPr>
          <w:fldChar w:fldCharType="begin"/>
        </w:r>
        <w:r w:rsidR="009F0DE2">
          <w:rPr>
            <w:noProof/>
            <w:webHidden/>
          </w:rPr>
          <w:instrText xml:space="preserve"> PAGEREF _Toc20479407 \h </w:instrText>
        </w:r>
        <w:r w:rsidR="009F0DE2">
          <w:rPr>
            <w:noProof/>
            <w:webHidden/>
          </w:rPr>
        </w:r>
        <w:r w:rsidR="009F0DE2">
          <w:rPr>
            <w:noProof/>
            <w:webHidden/>
          </w:rPr>
          <w:fldChar w:fldCharType="separate"/>
        </w:r>
        <w:r w:rsidR="00AA088A">
          <w:rPr>
            <w:noProof/>
            <w:webHidden/>
          </w:rPr>
          <w:t>8</w:t>
        </w:r>
        <w:r w:rsidR="009F0DE2">
          <w:rPr>
            <w:noProof/>
            <w:webHidden/>
          </w:rPr>
          <w:fldChar w:fldCharType="end"/>
        </w:r>
      </w:hyperlink>
    </w:p>
    <w:p w14:paraId="5B00DDF9" w14:textId="1916B0CA" w:rsidR="009F0DE2" w:rsidRDefault="005613A7" w:rsidP="009F0DE2">
      <w:pPr>
        <w:pStyle w:val="TOC2"/>
        <w:jc w:val="right"/>
        <w:rPr>
          <w:rFonts w:asciiTheme="minorHAnsi" w:eastAsiaTheme="minorEastAsia" w:hAnsiTheme="minorHAnsi" w:cstheme="minorBidi"/>
          <w:noProof/>
          <w:sz w:val="22"/>
          <w:szCs w:val="22"/>
        </w:rPr>
      </w:pPr>
      <w:hyperlink w:anchor="_Toc20479408" w:history="1">
        <w:r w:rsidR="009F0DE2" w:rsidRPr="00772677">
          <w:rPr>
            <w:rStyle w:val="Hyperlink"/>
            <w:noProof/>
          </w:rPr>
          <w:t>Collective Bargaining</w:t>
        </w:r>
        <w:r w:rsidR="009F0DE2">
          <w:rPr>
            <w:noProof/>
            <w:webHidden/>
          </w:rPr>
          <w:tab/>
        </w:r>
        <w:r w:rsidR="009F0DE2">
          <w:rPr>
            <w:noProof/>
            <w:webHidden/>
          </w:rPr>
          <w:fldChar w:fldCharType="begin"/>
        </w:r>
        <w:r w:rsidR="009F0DE2">
          <w:rPr>
            <w:noProof/>
            <w:webHidden/>
          </w:rPr>
          <w:instrText xml:space="preserve"> PAGEREF _Toc20479408 \h </w:instrText>
        </w:r>
        <w:r w:rsidR="009F0DE2">
          <w:rPr>
            <w:noProof/>
            <w:webHidden/>
          </w:rPr>
        </w:r>
        <w:r w:rsidR="009F0DE2">
          <w:rPr>
            <w:noProof/>
            <w:webHidden/>
          </w:rPr>
          <w:fldChar w:fldCharType="separate"/>
        </w:r>
        <w:r w:rsidR="00AA088A">
          <w:rPr>
            <w:noProof/>
            <w:webHidden/>
          </w:rPr>
          <w:t>9</w:t>
        </w:r>
        <w:r w:rsidR="009F0DE2">
          <w:rPr>
            <w:noProof/>
            <w:webHidden/>
          </w:rPr>
          <w:fldChar w:fldCharType="end"/>
        </w:r>
      </w:hyperlink>
    </w:p>
    <w:p w14:paraId="4B509311" w14:textId="203CD05C" w:rsidR="009F0DE2" w:rsidRDefault="005613A7" w:rsidP="009F0DE2">
      <w:pPr>
        <w:pStyle w:val="TOC2"/>
        <w:jc w:val="right"/>
        <w:rPr>
          <w:rFonts w:asciiTheme="minorHAnsi" w:eastAsiaTheme="minorEastAsia" w:hAnsiTheme="minorHAnsi" w:cstheme="minorBidi"/>
          <w:noProof/>
          <w:sz w:val="22"/>
          <w:szCs w:val="22"/>
        </w:rPr>
      </w:pPr>
      <w:hyperlink w:anchor="_Toc20479409" w:history="1">
        <w:r w:rsidR="009F0DE2" w:rsidRPr="00772677">
          <w:rPr>
            <w:rStyle w:val="Hyperlink"/>
            <w:noProof/>
          </w:rPr>
          <w:t>Job Evaluation</w:t>
        </w:r>
        <w:r w:rsidR="009F0DE2">
          <w:rPr>
            <w:noProof/>
            <w:webHidden/>
          </w:rPr>
          <w:tab/>
        </w:r>
        <w:r w:rsidR="009F0DE2">
          <w:rPr>
            <w:noProof/>
            <w:webHidden/>
          </w:rPr>
          <w:fldChar w:fldCharType="begin"/>
        </w:r>
        <w:r w:rsidR="009F0DE2">
          <w:rPr>
            <w:noProof/>
            <w:webHidden/>
          </w:rPr>
          <w:instrText xml:space="preserve"> PAGEREF _Toc20479409 \h </w:instrText>
        </w:r>
        <w:r w:rsidR="009F0DE2">
          <w:rPr>
            <w:noProof/>
            <w:webHidden/>
          </w:rPr>
        </w:r>
        <w:r w:rsidR="009F0DE2">
          <w:rPr>
            <w:noProof/>
            <w:webHidden/>
          </w:rPr>
          <w:fldChar w:fldCharType="separate"/>
        </w:r>
        <w:r w:rsidR="00AA088A">
          <w:rPr>
            <w:noProof/>
            <w:webHidden/>
          </w:rPr>
          <w:t>9</w:t>
        </w:r>
        <w:r w:rsidR="009F0DE2">
          <w:rPr>
            <w:noProof/>
            <w:webHidden/>
          </w:rPr>
          <w:fldChar w:fldCharType="end"/>
        </w:r>
      </w:hyperlink>
    </w:p>
    <w:p w14:paraId="6D26C572" w14:textId="49B62C02" w:rsidR="009F0DE2" w:rsidRDefault="005613A7" w:rsidP="009F0DE2">
      <w:pPr>
        <w:pStyle w:val="TOC2"/>
        <w:jc w:val="right"/>
        <w:rPr>
          <w:rFonts w:asciiTheme="minorHAnsi" w:eastAsiaTheme="minorEastAsia" w:hAnsiTheme="minorHAnsi" w:cstheme="minorBidi"/>
          <w:noProof/>
          <w:sz w:val="22"/>
          <w:szCs w:val="22"/>
        </w:rPr>
      </w:pPr>
      <w:hyperlink w:anchor="_Toc20479410" w:history="1">
        <w:r w:rsidR="009F0DE2" w:rsidRPr="00772677">
          <w:rPr>
            <w:rStyle w:val="Hyperlink"/>
            <w:noProof/>
          </w:rPr>
          <w:t>The Foundation Living Wage</w:t>
        </w:r>
        <w:r w:rsidR="009F0DE2">
          <w:rPr>
            <w:noProof/>
            <w:webHidden/>
          </w:rPr>
          <w:tab/>
        </w:r>
        <w:r w:rsidR="009F0DE2">
          <w:rPr>
            <w:noProof/>
            <w:webHidden/>
          </w:rPr>
          <w:fldChar w:fldCharType="begin"/>
        </w:r>
        <w:r w:rsidR="009F0DE2">
          <w:rPr>
            <w:noProof/>
            <w:webHidden/>
          </w:rPr>
          <w:instrText xml:space="preserve"> PAGEREF _Toc20479410 \h </w:instrText>
        </w:r>
        <w:r w:rsidR="009F0DE2">
          <w:rPr>
            <w:noProof/>
            <w:webHidden/>
          </w:rPr>
        </w:r>
        <w:r w:rsidR="009F0DE2">
          <w:rPr>
            <w:noProof/>
            <w:webHidden/>
          </w:rPr>
          <w:fldChar w:fldCharType="separate"/>
        </w:r>
        <w:r w:rsidR="00AA088A">
          <w:rPr>
            <w:noProof/>
            <w:webHidden/>
          </w:rPr>
          <w:t>9</w:t>
        </w:r>
        <w:r w:rsidR="009F0DE2">
          <w:rPr>
            <w:noProof/>
            <w:webHidden/>
          </w:rPr>
          <w:fldChar w:fldCharType="end"/>
        </w:r>
      </w:hyperlink>
    </w:p>
    <w:p w14:paraId="03719131" w14:textId="154E43A2" w:rsidR="009F0DE2" w:rsidRDefault="005613A7" w:rsidP="009F0DE2">
      <w:pPr>
        <w:pStyle w:val="TOC2"/>
        <w:jc w:val="right"/>
        <w:rPr>
          <w:rFonts w:asciiTheme="minorHAnsi" w:eastAsiaTheme="minorEastAsia" w:hAnsiTheme="minorHAnsi" w:cstheme="minorBidi"/>
          <w:noProof/>
          <w:sz w:val="22"/>
          <w:szCs w:val="22"/>
        </w:rPr>
      </w:pPr>
      <w:hyperlink w:anchor="_Toc20479411" w:history="1">
        <w:r w:rsidR="009F0DE2" w:rsidRPr="00772677">
          <w:rPr>
            <w:rStyle w:val="Hyperlink"/>
            <w:noProof/>
          </w:rPr>
          <w:t>Chief Executive Officer (GMCA and TfGM)</w:t>
        </w:r>
        <w:r w:rsidR="009F0DE2">
          <w:rPr>
            <w:noProof/>
            <w:webHidden/>
          </w:rPr>
          <w:tab/>
        </w:r>
        <w:r w:rsidR="009F0DE2">
          <w:rPr>
            <w:noProof/>
            <w:webHidden/>
          </w:rPr>
          <w:fldChar w:fldCharType="begin"/>
        </w:r>
        <w:r w:rsidR="009F0DE2">
          <w:rPr>
            <w:noProof/>
            <w:webHidden/>
          </w:rPr>
          <w:instrText xml:space="preserve"> PAGEREF _Toc20479411 \h </w:instrText>
        </w:r>
        <w:r w:rsidR="009F0DE2">
          <w:rPr>
            <w:noProof/>
            <w:webHidden/>
          </w:rPr>
        </w:r>
        <w:r w:rsidR="009F0DE2">
          <w:rPr>
            <w:noProof/>
            <w:webHidden/>
          </w:rPr>
          <w:fldChar w:fldCharType="separate"/>
        </w:r>
        <w:r w:rsidR="00AA088A">
          <w:rPr>
            <w:noProof/>
            <w:webHidden/>
          </w:rPr>
          <w:t>10</w:t>
        </w:r>
        <w:r w:rsidR="009F0DE2">
          <w:rPr>
            <w:noProof/>
            <w:webHidden/>
          </w:rPr>
          <w:fldChar w:fldCharType="end"/>
        </w:r>
      </w:hyperlink>
    </w:p>
    <w:p w14:paraId="36DBB222" w14:textId="77C6A48F" w:rsidR="009F0DE2" w:rsidRDefault="005613A7" w:rsidP="009F0DE2">
      <w:pPr>
        <w:pStyle w:val="TOC2"/>
        <w:jc w:val="right"/>
        <w:rPr>
          <w:rFonts w:asciiTheme="minorHAnsi" w:eastAsiaTheme="minorEastAsia" w:hAnsiTheme="minorHAnsi" w:cstheme="minorBidi"/>
          <w:noProof/>
          <w:sz w:val="22"/>
          <w:szCs w:val="22"/>
        </w:rPr>
      </w:pPr>
      <w:hyperlink w:anchor="_Toc20479412" w:history="1">
        <w:r w:rsidR="009F0DE2" w:rsidRPr="00772677">
          <w:rPr>
            <w:rStyle w:val="Hyperlink"/>
            <w:noProof/>
          </w:rPr>
          <w:t>Senior Management Salary</w:t>
        </w:r>
        <w:r w:rsidR="009F0DE2">
          <w:rPr>
            <w:noProof/>
            <w:webHidden/>
          </w:rPr>
          <w:tab/>
        </w:r>
        <w:r w:rsidR="009F0DE2">
          <w:rPr>
            <w:noProof/>
            <w:webHidden/>
          </w:rPr>
          <w:fldChar w:fldCharType="begin"/>
        </w:r>
        <w:r w:rsidR="009F0DE2">
          <w:rPr>
            <w:noProof/>
            <w:webHidden/>
          </w:rPr>
          <w:instrText xml:space="preserve"> PAGEREF _Toc20479412 \h </w:instrText>
        </w:r>
        <w:r w:rsidR="009F0DE2">
          <w:rPr>
            <w:noProof/>
            <w:webHidden/>
          </w:rPr>
        </w:r>
        <w:r w:rsidR="009F0DE2">
          <w:rPr>
            <w:noProof/>
            <w:webHidden/>
          </w:rPr>
          <w:fldChar w:fldCharType="separate"/>
        </w:r>
        <w:r w:rsidR="00AA088A">
          <w:rPr>
            <w:noProof/>
            <w:webHidden/>
          </w:rPr>
          <w:t>10</w:t>
        </w:r>
        <w:r w:rsidR="009F0DE2">
          <w:rPr>
            <w:noProof/>
            <w:webHidden/>
          </w:rPr>
          <w:fldChar w:fldCharType="end"/>
        </w:r>
      </w:hyperlink>
    </w:p>
    <w:p w14:paraId="254D9812" w14:textId="1EA8FE4D" w:rsidR="009F0DE2" w:rsidRDefault="005613A7" w:rsidP="009F0DE2">
      <w:pPr>
        <w:pStyle w:val="TOC2"/>
        <w:jc w:val="right"/>
        <w:rPr>
          <w:rFonts w:asciiTheme="minorHAnsi" w:eastAsiaTheme="minorEastAsia" w:hAnsiTheme="minorHAnsi" w:cstheme="minorBidi"/>
          <w:noProof/>
          <w:sz w:val="22"/>
          <w:szCs w:val="22"/>
        </w:rPr>
      </w:pPr>
      <w:hyperlink w:anchor="_Toc20479413" w:history="1">
        <w:r w:rsidR="009F0DE2" w:rsidRPr="00772677">
          <w:rPr>
            <w:rStyle w:val="Hyperlink"/>
            <w:noProof/>
          </w:rPr>
          <w:t>Remuneration of the lowest paid employees</w:t>
        </w:r>
        <w:r w:rsidR="009F0DE2">
          <w:rPr>
            <w:noProof/>
            <w:webHidden/>
          </w:rPr>
          <w:tab/>
        </w:r>
        <w:r w:rsidR="009F0DE2">
          <w:rPr>
            <w:noProof/>
            <w:webHidden/>
          </w:rPr>
          <w:fldChar w:fldCharType="begin"/>
        </w:r>
        <w:r w:rsidR="009F0DE2">
          <w:rPr>
            <w:noProof/>
            <w:webHidden/>
          </w:rPr>
          <w:instrText xml:space="preserve"> PAGEREF _Toc20479413 \h </w:instrText>
        </w:r>
        <w:r w:rsidR="009F0DE2">
          <w:rPr>
            <w:noProof/>
            <w:webHidden/>
          </w:rPr>
        </w:r>
        <w:r w:rsidR="009F0DE2">
          <w:rPr>
            <w:noProof/>
            <w:webHidden/>
          </w:rPr>
          <w:fldChar w:fldCharType="separate"/>
        </w:r>
        <w:r w:rsidR="00AA088A">
          <w:rPr>
            <w:noProof/>
            <w:webHidden/>
          </w:rPr>
          <w:t>10</w:t>
        </w:r>
        <w:r w:rsidR="009F0DE2">
          <w:rPr>
            <w:noProof/>
            <w:webHidden/>
          </w:rPr>
          <w:fldChar w:fldCharType="end"/>
        </w:r>
      </w:hyperlink>
    </w:p>
    <w:p w14:paraId="2CCFBC96" w14:textId="64AB3EE3" w:rsidR="009F0DE2" w:rsidRDefault="005613A7" w:rsidP="009F0DE2">
      <w:pPr>
        <w:pStyle w:val="TOC2"/>
        <w:jc w:val="right"/>
        <w:rPr>
          <w:rFonts w:asciiTheme="minorHAnsi" w:eastAsiaTheme="minorEastAsia" w:hAnsiTheme="minorHAnsi" w:cstheme="minorBidi"/>
          <w:noProof/>
          <w:sz w:val="22"/>
          <w:szCs w:val="22"/>
        </w:rPr>
      </w:pPr>
      <w:hyperlink w:anchor="_Toc20479414" w:history="1">
        <w:r w:rsidR="009F0DE2" w:rsidRPr="00772677">
          <w:rPr>
            <w:rStyle w:val="Hyperlink"/>
            <w:noProof/>
          </w:rPr>
          <w:t>Relationship between the remuneration of Chief Officers and other officers</w:t>
        </w:r>
        <w:r w:rsidR="009F0DE2">
          <w:rPr>
            <w:noProof/>
            <w:webHidden/>
          </w:rPr>
          <w:tab/>
        </w:r>
        <w:r w:rsidR="009F0DE2">
          <w:rPr>
            <w:noProof/>
            <w:webHidden/>
          </w:rPr>
          <w:fldChar w:fldCharType="begin"/>
        </w:r>
        <w:r w:rsidR="009F0DE2">
          <w:rPr>
            <w:noProof/>
            <w:webHidden/>
          </w:rPr>
          <w:instrText xml:space="preserve"> PAGEREF _Toc20479414 \h </w:instrText>
        </w:r>
        <w:r w:rsidR="009F0DE2">
          <w:rPr>
            <w:noProof/>
            <w:webHidden/>
          </w:rPr>
        </w:r>
        <w:r w:rsidR="009F0DE2">
          <w:rPr>
            <w:noProof/>
            <w:webHidden/>
          </w:rPr>
          <w:fldChar w:fldCharType="separate"/>
        </w:r>
        <w:r w:rsidR="00AA088A">
          <w:rPr>
            <w:noProof/>
            <w:webHidden/>
          </w:rPr>
          <w:t>11</w:t>
        </w:r>
        <w:r w:rsidR="009F0DE2">
          <w:rPr>
            <w:noProof/>
            <w:webHidden/>
          </w:rPr>
          <w:fldChar w:fldCharType="end"/>
        </w:r>
      </w:hyperlink>
    </w:p>
    <w:p w14:paraId="38829C5C" w14:textId="2B6C1D91" w:rsidR="009F0DE2" w:rsidRDefault="005613A7" w:rsidP="009F0DE2">
      <w:pPr>
        <w:pStyle w:val="TOC2"/>
        <w:jc w:val="right"/>
        <w:rPr>
          <w:rFonts w:asciiTheme="minorHAnsi" w:eastAsiaTheme="minorEastAsia" w:hAnsiTheme="minorHAnsi" w:cstheme="minorBidi"/>
          <w:noProof/>
          <w:sz w:val="22"/>
          <w:szCs w:val="22"/>
        </w:rPr>
      </w:pPr>
      <w:hyperlink w:anchor="_Toc20479415" w:history="1">
        <w:r w:rsidR="009F0DE2" w:rsidRPr="00772677">
          <w:rPr>
            <w:rStyle w:val="Hyperlink"/>
            <w:noProof/>
          </w:rPr>
          <w:t>Recruitment of Chief Officers</w:t>
        </w:r>
        <w:r w:rsidR="009F0DE2">
          <w:rPr>
            <w:noProof/>
            <w:webHidden/>
          </w:rPr>
          <w:tab/>
        </w:r>
        <w:r w:rsidR="009F0DE2">
          <w:rPr>
            <w:noProof/>
            <w:webHidden/>
          </w:rPr>
          <w:fldChar w:fldCharType="begin"/>
        </w:r>
        <w:r w:rsidR="009F0DE2">
          <w:rPr>
            <w:noProof/>
            <w:webHidden/>
          </w:rPr>
          <w:instrText xml:space="preserve"> PAGEREF _Toc20479415 \h </w:instrText>
        </w:r>
        <w:r w:rsidR="009F0DE2">
          <w:rPr>
            <w:noProof/>
            <w:webHidden/>
          </w:rPr>
        </w:r>
        <w:r w:rsidR="009F0DE2">
          <w:rPr>
            <w:noProof/>
            <w:webHidden/>
          </w:rPr>
          <w:fldChar w:fldCharType="separate"/>
        </w:r>
        <w:r w:rsidR="00AA088A">
          <w:rPr>
            <w:noProof/>
            <w:webHidden/>
          </w:rPr>
          <w:t>11</w:t>
        </w:r>
        <w:r w:rsidR="009F0DE2">
          <w:rPr>
            <w:noProof/>
            <w:webHidden/>
          </w:rPr>
          <w:fldChar w:fldCharType="end"/>
        </w:r>
      </w:hyperlink>
    </w:p>
    <w:p w14:paraId="05B55569" w14:textId="23255773" w:rsidR="009F0DE2" w:rsidRDefault="005613A7" w:rsidP="009F0DE2">
      <w:pPr>
        <w:pStyle w:val="TOC2"/>
        <w:jc w:val="right"/>
        <w:rPr>
          <w:rFonts w:asciiTheme="minorHAnsi" w:eastAsiaTheme="minorEastAsia" w:hAnsiTheme="minorHAnsi" w:cstheme="minorBidi"/>
          <w:noProof/>
          <w:sz w:val="22"/>
          <w:szCs w:val="22"/>
        </w:rPr>
      </w:pPr>
      <w:hyperlink w:anchor="_Toc20479416" w:history="1">
        <w:r w:rsidR="009F0DE2" w:rsidRPr="00772677">
          <w:rPr>
            <w:rStyle w:val="Hyperlink"/>
            <w:noProof/>
          </w:rPr>
          <w:t>Legislation Covering Remuneration</w:t>
        </w:r>
        <w:r w:rsidR="009F0DE2">
          <w:rPr>
            <w:noProof/>
            <w:webHidden/>
          </w:rPr>
          <w:tab/>
        </w:r>
        <w:r w:rsidR="009F0DE2">
          <w:rPr>
            <w:noProof/>
            <w:webHidden/>
          </w:rPr>
          <w:fldChar w:fldCharType="begin"/>
        </w:r>
        <w:r w:rsidR="009F0DE2">
          <w:rPr>
            <w:noProof/>
            <w:webHidden/>
          </w:rPr>
          <w:instrText xml:space="preserve"> PAGEREF _Toc20479416 \h </w:instrText>
        </w:r>
        <w:r w:rsidR="009F0DE2">
          <w:rPr>
            <w:noProof/>
            <w:webHidden/>
          </w:rPr>
        </w:r>
        <w:r w:rsidR="009F0DE2">
          <w:rPr>
            <w:noProof/>
            <w:webHidden/>
          </w:rPr>
          <w:fldChar w:fldCharType="separate"/>
        </w:r>
        <w:r w:rsidR="00AA088A">
          <w:rPr>
            <w:noProof/>
            <w:webHidden/>
          </w:rPr>
          <w:t>11</w:t>
        </w:r>
        <w:r w:rsidR="009F0DE2">
          <w:rPr>
            <w:noProof/>
            <w:webHidden/>
          </w:rPr>
          <w:fldChar w:fldCharType="end"/>
        </w:r>
      </w:hyperlink>
    </w:p>
    <w:p w14:paraId="189A4469" w14:textId="7AA05E66" w:rsidR="009F0DE2" w:rsidRDefault="005613A7" w:rsidP="009F0DE2">
      <w:pPr>
        <w:pStyle w:val="TOC2"/>
        <w:jc w:val="right"/>
        <w:rPr>
          <w:rFonts w:asciiTheme="minorHAnsi" w:eastAsiaTheme="minorEastAsia" w:hAnsiTheme="minorHAnsi" w:cstheme="minorBidi"/>
          <w:noProof/>
          <w:sz w:val="22"/>
          <w:szCs w:val="22"/>
        </w:rPr>
      </w:pPr>
      <w:hyperlink w:anchor="_Toc20479417" w:history="1">
        <w:r w:rsidR="009F0DE2" w:rsidRPr="00772677">
          <w:rPr>
            <w:rStyle w:val="Hyperlink"/>
            <w:noProof/>
          </w:rPr>
          <w:t>Market Rate Supplements</w:t>
        </w:r>
        <w:r w:rsidR="009F0DE2">
          <w:rPr>
            <w:noProof/>
            <w:webHidden/>
          </w:rPr>
          <w:tab/>
        </w:r>
        <w:r w:rsidR="009F0DE2">
          <w:rPr>
            <w:noProof/>
            <w:webHidden/>
          </w:rPr>
          <w:fldChar w:fldCharType="begin"/>
        </w:r>
        <w:r w:rsidR="009F0DE2">
          <w:rPr>
            <w:noProof/>
            <w:webHidden/>
          </w:rPr>
          <w:instrText xml:space="preserve"> PAGEREF _Toc20479417 \h </w:instrText>
        </w:r>
        <w:r w:rsidR="009F0DE2">
          <w:rPr>
            <w:noProof/>
            <w:webHidden/>
          </w:rPr>
        </w:r>
        <w:r w:rsidR="009F0DE2">
          <w:rPr>
            <w:noProof/>
            <w:webHidden/>
          </w:rPr>
          <w:fldChar w:fldCharType="separate"/>
        </w:r>
        <w:r w:rsidR="00AA088A">
          <w:rPr>
            <w:noProof/>
            <w:webHidden/>
          </w:rPr>
          <w:t>12</w:t>
        </w:r>
        <w:r w:rsidR="009F0DE2">
          <w:rPr>
            <w:noProof/>
            <w:webHidden/>
          </w:rPr>
          <w:fldChar w:fldCharType="end"/>
        </w:r>
      </w:hyperlink>
    </w:p>
    <w:p w14:paraId="713F2A83" w14:textId="7843748C" w:rsidR="009F0DE2" w:rsidRDefault="005613A7" w:rsidP="009F0DE2">
      <w:pPr>
        <w:pStyle w:val="TOC2"/>
        <w:jc w:val="right"/>
        <w:rPr>
          <w:rFonts w:asciiTheme="minorHAnsi" w:eastAsiaTheme="minorEastAsia" w:hAnsiTheme="minorHAnsi" w:cstheme="minorBidi"/>
          <w:noProof/>
          <w:sz w:val="22"/>
          <w:szCs w:val="22"/>
        </w:rPr>
      </w:pPr>
      <w:hyperlink w:anchor="_Toc20479418" w:history="1">
        <w:r w:rsidR="009F0DE2" w:rsidRPr="00772677">
          <w:rPr>
            <w:rStyle w:val="Hyperlink"/>
            <w:noProof/>
          </w:rPr>
          <w:t>Employee Benefits</w:t>
        </w:r>
        <w:r w:rsidR="009F0DE2">
          <w:rPr>
            <w:noProof/>
            <w:webHidden/>
          </w:rPr>
          <w:tab/>
        </w:r>
        <w:r w:rsidR="009F0DE2">
          <w:rPr>
            <w:noProof/>
            <w:webHidden/>
          </w:rPr>
          <w:fldChar w:fldCharType="begin"/>
        </w:r>
        <w:r w:rsidR="009F0DE2">
          <w:rPr>
            <w:noProof/>
            <w:webHidden/>
          </w:rPr>
          <w:instrText xml:space="preserve"> PAGEREF _Toc20479418 \h </w:instrText>
        </w:r>
        <w:r w:rsidR="009F0DE2">
          <w:rPr>
            <w:noProof/>
            <w:webHidden/>
          </w:rPr>
        </w:r>
        <w:r w:rsidR="009F0DE2">
          <w:rPr>
            <w:noProof/>
            <w:webHidden/>
          </w:rPr>
          <w:fldChar w:fldCharType="separate"/>
        </w:r>
        <w:r w:rsidR="00AA088A">
          <w:rPr>
            <w:noProof/>
            <w:webHidden/>
          </w:rPr>
          <w:t>12</w:t>
        </w:r>
        <w:r w:rsidR="009F0DE2">
          <w:rPr>
            <w:noProof/>
            <w:webHidden/>
          </w:rPr>
          <w:fldChar w:fldCharType="end"/>
        </w:r>
      </w:hyperlink>
    </w:p>
    <w:p w14:paraId="1F4ED08A" w14:textId="43E5215B" w:rsidR="009F0DE2" w:rsidRDefault="005613A7" w:rsidP="009F0DE2">
      <w:pPr>
        <w:pStyle w:val="TOC2"/>
        <w:jc w:val="right"/>
        <w:rPr>
          <w:rFonts w:asciiTheme="minorHAnsi" w:eastAsiaTheme="minorEastAsia" w:hAnsiTheme="minorHAnsi" w:cstheme="minorBidi"/>
          <w:noProof/>
          <w:sz w:val="22"/>
          <w:szCs w:val="22"/>
        </w:rPr>
      </w:pPr>
      <w:hyperlink w:anchor="_Toc20479419" w:history="1">
        <w:r w:rsidR="009F0DE2" w:rsidRPr="00772677">
          <w:rPr>
            <w:rStyle w:val="Hyperlink"/>
            <w:noProof/>
          </w:rPr>
          <w:t>Allowances, Expenses and Subscriptions</w:t>
        </w:r>
        <w:r w:rsidR="009F0DE2">
          <w:rPr>
            <w:noProof/>
            <w:webHidden/>
          </w:rPr>
          <w:tab/>
        </w:r>
        <w:r w:rsidR="009F0DE2">
          <w:rPr>
            <w:noProof/>
            <w:webHidden/>
          </w:rPr>
          <w:fldChar w:fldCharType="begin"/>
        </w:r>
        <w:r w:rsidR="009F0DE2">
          <w:rPr>
            <w:noProof/>
            <w:webHidden/>
          </w:rPr>
          <w:instrText xml:space="preserve"> PAGEREF _Toc20479419 \h </w:instrText>
        </w:r>
        <w:r w:rsidR="009F0DE2">
          <w:rPr>
            <w:noProof/>
            <w:webHidden/>
          </w:rPr>
        </w:r>
        <w:r w:rsidR="009F0DE2">
          <w:rPr>
            <w:noProof/>
            <w:webHidden/>
          </w:rPr>
          <w:fldChar w:fldCharType="separate"/>
        </w:r>
        <w:r w:rsidR="00AA088A">
          <w:rPr>
            <w:noProof/>
            <w:webHidden/>
          </w:rPr>
          <w:t>14</w:t>
        </w:r>
        <w:r w:rsidR="009F0DE2">
          <w:rPr>
            <w:noProof/>
            <w:webHidden/>
          </w:rPr>
          <w:fldChar w:fldCharType="end"/>
        </w:r>
      </w:hyperlink>
    </w:p>
    <w:p w14:paraId="2DA2F5CE" w14:textId="7BC1C3F8" w:rsidR="009F0DE2" w:rsidRDefault="005613A7" w:rsidP="009F0DE2">
      <w:pPr>
        <w:pStyle w:val="TOC2"/>
        <w:jc w:val="right"/>
        <w:rPr>
          <w:rFonts w:asciiTheme="minorHAnsi" w:eastAsiaTheme="minorEastAsia" w:hAnsiTheme="minorHAnsi" w:cstheme="minorBidi"/>
          <w:noProof/>
          <w:sz w:val="22"/>
          <w:szCs w:val="22"/>
        </w:rPr>
      </w:pPr>
      <w:hyperlink w:anchor="_Toc20479420" w:history="1">
        <w:r w:rsidR="009F0DE2" w:rsidRPr="00772677">
          <w:rPr>
            <w:rStyle w:val="Hyperlink"/>
            <w:noProof/>
          </w:rPr>
          <w:t>Termination Payments</w:t>
        </w:r>
        <w:r w:rsidR="009F0DE2">
          <w:rPr>
            <w:noProof/>
            <w:webHidden/>
          </w:rPr>
          <w:tab/>
        </w:r>
        <w:r w:rsidR="009F0DE2">
          <w:rPr>
            <w:noProof/>
            <w:webHidden/>
          </w:rPr>
          <w:fldChar w:fldCharType="begin"/>
        </w:r>
        <w:r w:rsidR="009F0DE2">
          <w:rPr>
            <w:noProof/>
            <w:webHidden/>
          </w:rPr>
          <w:instrText xml:space="preserve"> PAGEREF _Toc20479420 \h </w:instrText>
        </w:r>
        <w:r w:rsidR="009F0DE2">
          <w:rPr>
            <w:noProof/>
            <w:webHidden/>
          </w:rPr>
        </w:r>
        <w:r w:rsidR="009F0DE2">
          <w:rPr>
            <w:noProof/>
            <w:webHidden/>
          </w:rPr>
          <w:fldChar w:fldCharType="separate"/>
        </w:r>
        <w:r w:rsidR="00AA088A">
          <w:rPr>
            <w:noProof/>
            <w:webHidden/>
          </w:rPr>
          <w:t>15</w:t>
        </w:r>
        <w:r w:rsidR="009F0DE2">
          <w:rPr>
            <w:noProof/>
            <w:webHidden/>
          </w:rPr>
          <w:fldChar w:fldCharType="end"/>
        </w:r>
      </w:hyperlink>
    </w:p>
    <w:p w14:paraId="5FBCB81A" w14:textId="24B1E642" w:rsidR="009F0DE2" w:rsidRDefault="005613A7" w:rsidP="009F0DE2">
      <w:pPr>
        <w:pStyle w:val="TOC2"/>
        <w:jc w:val="right"/>
        <w:rPr>
          <w:rFonts w:asciiTheme="minorHAnsi" w:eastAsiaTheme="minorEastAsia" w:hAnsiTheme="minorHAnsi" w:cstheme="minorBidi"/>
          <w:noProof/>
          <w:sz w:val="22"/>
          <w:szCs w:val="22"/>
        </w:rPr>
      </w:pPr>
      <w:hyperlink w:anchor="_Toc20479421" w:history="1">
        <w:r w:rsidR="009F0DE2" w:rsidRPr="00772677">
          <w:rPr>
            <w:rStyle w:val="Hyperlink"/>
            <w:noProof/>
          </w:rPr>
          <w:t>Re-employment and Re-engagement</w:t>
        </w:r>
        <w:r w:rsidR="009F0DE2">
          <w:rPr>
            <w:noProof/>
            <w:webHidden/>
          </w:rPr>
          <w:tab/>
        </w:r>
        <w:r w:rsidR="009F0DE2">
          <w:rPr>
            <w:noProof/>
            <w:webHidden/>
          </w:rPr>
          <w:fldChar w:fldCharType="begin"/>
        </w:r>
        <w:r w:rsidR="009F0DE2">
          <w:rPr>
            <w:noProof/>
            <w:webHidden/>
          </w:rPr>
          <w:instrText xml:space="preserve"> PAGEREF _Toc20479421 \h </w:instrText>
        </w:r>
        <w:r w:rsidR="009F0DE2">
          <w:rPr>
            <w:noProof/>
            <w:webHidden/>
          </w:rPr>
        </w:r>
        <w:r w:rsidR="009F0DE2">
          <w:rPr>
            <w:noProof/>
            <w:webHidden/>
          </w:rPr>
          <w:fldChar w:fldCharType="separate"/>
        </w:r>
        <w:r w:rsidR="00AA088A">
          <w:rPr>
            <w:noProof/>
            <w:webHidden/>
          </w:rPr>
          <w:t>15</w:t>
        </w:r>
        <w:r w:rsidR="009F0DE2">
          <w:rPr>
            <w:noProof/>
            <w:webHidden/>
          </w:rPr>
          <w:fldChar w:fldCharType="end"/>
        </w:r>
      </w:hyperlink>
    </w:p>
    <w:p w14:paraId="06406FBA" w14:textId="0D35C4F2" w:rsidR="009F0DE2" w:rsidRDefault="005613A7">
      <w:pPr>
        <w:pStyle w:val="TOC1"/>
        <w:rPr>
          <w:rFonts w:asciiTheme="minorHAnsi" w:eastAsiaTheme="minorEastAsia" w:hAnsiTheme="minorHAnsi" w:cstheme="minorBidi"/>
          <w:noProof/>
          <w:sz w:val="22"/>
          <w:szCs w:val="22"/>
        </w:rPr>
      </w:pPr>
      <w:hyperlink w:anchor="_Toc20479424" w:history="1">
        <w:r w:rsidR="009F0DE2" w:rsidRPr="00772677">
          <w:rPr>
            <w:rStyle w:val="Hyperlink"/>
            <w:noProof/>
          </w:rPr>
          <w:t>APPENDIX 1</w:t>
        </w:r>
        <w:r w:rsidR="009F0DE2">
          <w:rPr>
            <w:noProof/>
            <w:webHidden/>
          </w:rPr>
          <w:tab/>
        </w:r>
        <w:r w:rsidR="009F0DE2">
          <w:rPr>
            <w:noProof/>
            <w:webHidden/>
          </w:rPr>
          <w:fldChar w:fldCharType="begin"/>
        </w:r>
        <w:r w:rsidR="009F0DE2">
          <w:rPr>
            <w:noProof/>
            <w:webHidden/>
          </w:rPr>
          <w:instrText xml:space="preserve"> PAGEREF _Toc20479424 \h </w:instrText>
        </w:r>
        <w:r w:rsidR="009F0DE2">
          <w:rPr>
            <w:noProof/>
            <w:webHidden/>
          </w:rPr>
        </w:r>
        <w:r w:rsidR="009F0DE2">
          <w:rPr>
            <w:noProof/>
            <w:webHidden/>
          </w:rPr>
          <w:fldChar w:fldCharType="separate"/>
        </w:r>
        <w:r w:rsidR="00AA088A">
          <w:rPr>
            <w:noProof/>
            <w:webHidden/>
          </w:rPr>
          <w:t>16</w:t>
        </w:r>
        <w:r w:rsidR="009F0DE2">
          <w:rPr>
            <w:noProof/>
            <w:webHidden/>
          </w:rPr>
          <w:fldChar w:fldCharType="end"/>
        </w:r>
      </w:hyperlink>
    </w:p>
    <w:p w14:paraId="79E2E11C" w14:textId="3D877309" w:rsidR="009175EA" w:rsidRDefault="00E55D31" w:rsidP="000B302C">
      <w:pPr>
        <w:pStyle w:val="TOC2"/>
      </w:pPr>
      <w:r>
        <w:fldChar w:fldCharType="end"/>
      </w:r>
    </w:p>
    <w:p w14:paraId="0FE2DB72" w14:textId="77777777" w:rsidR="003F3C0E" w:rsidRDefault="003F3C0E">
      <w:pPr>
        <w:spacing w:before="0" w:line="240" w:lineRule="auto"/>
        <w:jc w:val="left"/>
      </w:pPr>
      <w:r>
        <w:br w:type="page"/>
      </w:r>
    </w:p>
    <w:bookmarkStart w:id="1" w:name="_Toc348536610" w:displacedByCustomXml="next"/>
    <w:bookmarkStart w:id="2" w:name="_Toc20479398" w:displacedByCustomXml="next"/>
    <w:sdt>
      <w:sdtPr>
        <w:rPr>
          <w:sz w:val="24"/>
          <w:lang w:val="en-GB"/>
        </w:rPr>
        <w:alias w:val="Cannot be deleted or edited"/>
        <w:tag w:val="Cannot be deleted or edited"/>
        <w:id w:val="-1832524915"/>
        <w:lock w:val="sdtContentLocked"/>
        <w:placeholder>
          <w:docPart w:val="F12172C33D9C4F538731B0F01C72517E"/>
        </w:placeholder>
      </w:sdtPr>
      <w:sdtEndPr/>
      <w:sdtContent>
        <w:p w14:paraId="0D096A07" w14:textId="77777777" w:rsidR="006B3339" w:rsidRPr="00DA71A4" w:rsidRDefault="006B3339" w:rsidP="00740E44">
          <w:pPr>
            <w:pStyle w:val="Heading1"/>
            <w:spacing w:line="240" w:lineRule="auto"/>
          </w:pPr>
          <w:r w:rsidRPr="00DA71A4">
            <w:t xml:space="preserve">Document </w:t>
          </w:r>
          <w:bookmarkStart w:id="3" w:name="_Toc348447337"/>
          <w:bookmarkEnd w:id="1"/>
          <w:r w:rsidR="00740E44" w:rsidRPr="00DA71A4">
            <w:t>Details</w:t>
          </w:r>
          <w:bookmarkEnd w:id="2"/>
        </w:p>
        <w:p w14:paraId="3D353834" w14:textId="77777777" w:rsidR="006B3339" w:rsidRPr="00740E44" w:rsidRDefault="006B3339" w:rsidP="00740E44">
          <w:pPr>
            <w:spacing w:line="240" w:lineRule="auto"/>
          </w:pPr>
          <w:r w:rsidRPr="00740E44">
            <w:t>If this Policy &amp; Procedure requires updating or editing prior to the review date please contact the Author.</w:t>
          </w:r>
        </w:p>
        <w:bookmarkEnd w:id="3" w:displacedByCustomXml="next"/>
      </w:sdtContent>
    </w:sdt>
    <w:p w14:paraId="3DB9FC6E" w14:textId="77777777" w:rsidR="006B3339" w:rsidRPr="005E0FFD" w:rsidRDefault="006B3339" w:rsidP="00740E44">
      <w:pPr>
        <w:spacing w:line="240" w:lineRule="auto"/>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127"/>
        <w:gridCol w:w="2268"/>
        <w:gridCol w:w="4760"/>
      </w:tblGrid>
      <w:tr w:rsidR="006B3339" w:rsidRPr="006E38CB" w14:paraId="19DD6323" w14:textId="77777777" w:rsidTr="00F52FD8">
        <w:trPr>
          <w:trHeight w:val="685"/>
        </w:trPr>
        <w:tc>
          <w:tcPr>
            <w:tcW w:w="9155" w:type="dxa"/>
            <w:gridSpan w:val="3"/>
            <w:shd w:val="clear" w:color="auto" w:fill="BFBFBF" w:themeFill="background1" w:themeFillShade="BF"/>
            <w:vAlign w:val="center"/>
          </w:tcPr>
          <w:sdt>
            <w:sdtPr>
              <w:rPr>
                <w:b/>
                <w:sz w:val="28"/>
              </w:rPr>
              <w:alias w:val="Cannot be deleted or edited"/>
              <w:tag w:val="Cannot be deleted or edited"/>
              <w:id w:val="-1646041330"/>
              <w:lock w:val="sdtContentLocked"/>
              <w:placeholder>
                <w:docPart w:val="F12172C33D9C4F538731B0F01C72517E"/>
              </w:placeholder>
            </w:sdtPr>
            <w:sdtEndPr/>
            <w:sdtContent>
              <w:p w14:paraId="2315E420" w14:textId="77777777" w:rsidR="006B3339" w:rsidRPr="00274C7D" w:rsidRDefault="006B3339" w:rsidP="00274C7D">
                <w:pPr>
                  <w:rPr>
                    <w:b/>
                  </w:rPr>
                </w:pPr>
                <w:r w:rsidRPr="005A0833">
                  <w:rPr>
                    <w:b/>
                    <w:sz w:val="28"/>
                  </w:rPr>
                  <w:t>Document Version Control</w:t>
                </w:r>
              </w:p>
            </w:sdtContent>
          </w:sdt>
        </w:tc>
      </w:tr>
      <w:sdt>
        <w:sdtPr>
          <w:rPr>
            <w:b/>
          </w:rPr>
          <w:alias w:val="Cannot be deleted or edited"/>
          <w:tag w:val="Cannot be deleted or edited"/>
          <w:id w:val="-1191993143"/>
          <w:lock w:val="sdtContentLocked"/>
          <w:placeholder>
            <w:docPart w:val="F12172C33D9C4F538731B0F01C72517E"/>
          </w:placeholder>
        </w:sdtPr>
        <w:sdtEndPr/>
        <w:sdtContent>
          <w:tr w:rsidR="006B3339" w:rsidRPr="006E38CB" w14:paraId="3528A5E4" w14:textId="77777777" w:rsidTr="00F52FD8">
            <w:tc>
              <w:tcPr>
                <w:tcW w:w="2127" w:type="dxa"/>
                <w:shd w:val="clear" w:color="auto" w:fill="D9D9D9" w:themeFill="background1" w:themeFillShade="D9"/>
                <w:vAlign w:val="center"/>
              </w:tcPr>
              <w:p w14:paraId="5D310271" w14:textId="77777777" w:rsidR="006B3339" w:rsidRPr="00740E44" w:rsidRDefault="006B3339" w:rsidP="00740E44">
                <w:pPr>
                  <w:rPr>
                    <w:b/>
                  </w:rPr>
                </w:pPr>
                <w:r w:rsidRPr="00740E44">
                  <w:rPr>
                    <w:b/>
                  </w:rPr>
                  <w:t>Document Version</w:t>
                </w:r>
              </w:p>
            </w:tc>
            <w:tc>
              <w:tcPr>
                <w:tcW w:w="2268" w:type="dxa"/>
                <w:shd w:val="clear" w:color="auto" w:fill="D9D9D9" w:themeFill="background1" w:themeFillShade="D9"/>
                <w:vAlign w:val="center"/>
              </w:tcPr>
              <w:p w14:paraId="3C3782E4" w14:textId="77777777" w:rsidR="006B3339" w:rsidRPr="00740E44" w:rsidRDefault="006B3339" w:rsidP="00740E44">
                <w:pPr>
                  <w:rPr>
                    <w:b/>
                  </w:rPr>
                </w:pPr>
                <w:r w:rsidRPr="00740E44">
                  <w:rPr>
                    <w:b/>
                  </w:rPr>
                  <w:t>Date</w:t>
                </w:r>
              </w:p>
            </w:tc>
            <w:tc>
              <w:tcPr>
                <w:tcW w:w="4760" w:type="dxa"/>
                <w:shd w:val="clear" w:color="auto" w:fill="D9D9D9" w:themeFill="background1" w:themeFillShade="D9"/>
                <w:vAlign w:val="center"/>
              </w:tcPr>
              <w:p w14:paraId="38A53680" w14:textId="77777777" w:rsidR="006B3339" w:rsidRPr="006E38CB" w:rsidRDefault="006B3339" w:rsidP="00740E44">
                <w:pPr>
                  <w:rPr>
                    <w:b/>
                  </w:rPr>
                </w:pPr>
                <w:r w:rsidRPr="00740E44">
                  <w:rPr>
                    <w:b/>
                  </w:rPr>
                  <w:t>Author</w:t>
                </w:r>
              </w:p>
            </w:tc>
          </w:tr>
        </w:sdtContent>
      </w:sdt>
      <w:tr w:rsidR="006B3339" w14:paraId="5028B000" w14:textId="77777777" w:rsidTr="00F52FD8">
        <w:tc>
          <w:tcPr>
            <w:tcW w:w="2127" w:type="dxa"/>
            <w:shd w:val="clear" w:color="auto" w:fill="auto"/>
            <w:vAlign w:val="center"/>
          </w:tcPr>
          <w:p w14:paraId="7370EA0D" w14:textId="2BE79489" w:rsidR="006B3339" w:rsidRPr="00740E44" w:rsidRDefault="00586F8A" w:rsidP="004846A5">
            <w:pPr>
              <w:jc w:val="left"/>
            </w:pPr>
            <w:r>
              <w:t>V</w:t>
            </w:r>
            <w:r w:rsidR="001134A2">
              <w:t>1</w:t>
            </w:r>
          </w:p>
        </w:tc>
        <w:sdt>
          <w:sdtPr>
            <w:alias w:val="cannot be deleted"/>
            <w:tag w:val="cannot be deleted"/>
            <w:id w:val="671609061"/>
            <w:lock w:val="sdtLocked"/>
            <w:placeholder>
              <w:docPart w:val="7A6399E295004625A8A3CF67F9E8D702"/>
            </w:placeholder>
            <w:date w:fullDate="2022-03-29T00:00:00Z">
              <w:dateFormat w:val="dd/MM/yyyy"/>
              <w:lid w:val="en-GB"/>
              <w:storeMappedDataAs w:val="dateTime"/>
              <w:calendar w:val="gregorian"/>
            </w:date>
          </w:sdtPr>
          <w:sdtEndPr/>
          <w:sdtContent>
            <w:tc>
              <w:tcPr>
                <w:tcW w:w="2268" w:type="dxa"/>
                <w:shd w:val="clear" w:color="auto" w:fill="auto"/>
                <w:vAlign w:val="center"/>
              </w:tcPr>
              <w:p w14:paraId="4DCFE6D7" w14:textId="0DE6037C" w:rsidR="006B3339" w:rsidRPr="00740E44" w:rsidRDefault="009C1806" w:rsidP="00740E44">
                <w:r>
                  <w:t>29/03/202</w:t>
                </w:r>
                <w:r w:rsidR="009B1660">
                  <w:t>2</w:t>
                </w:r>
              </w:p>
            </w:tc>
          </w:sdtContent>
        </w:sdt>
        <w:tc>
          <w:tcPr>
            <w:tcW w:w="4760" w:type="dxa"/>
            <w:shd w:val="clear" w:color="auto" w:fill="auto"/>
            <w:vAlign w:val="center"/>
          </w:tcPr>
          <w:p w14:paraId="580EF061" w14:textId="22027BC7" w:rsidR="006B3339" w:rsidRDefault="00372DBE" w:rsidP="00816EF4">
            <w:r w:rsidRPr="00372DBE">
              <w:t xml:space="preserve">Ashley Southern, </w:t>
            </w:r>
            <w:r w:rsidR="00816EF4">
              <w:t xml:space="preserve">HR Systems and Information Manager </w:t>
            </w:r>
            <w:r w:rsidRPr="00372DBE">
              <w:t xml:space="preserve"> </w:t>
            </w:r>
          </w:p>
        </w:tc>
      </w:tr>
    </w:tbl>
    <w:p w14:paraId="43F4C605" w14:textId="77777777" w:rsidR="006B3339" w:rsidRDefault="006B3339" w:rsidP="00740E44"/>
    <w:tbl>
      <w:tblPr>
        <w:tblStyle w:val="TableGrid"/>
        <w:tblW w:w="0" w:type="auto"/>
        <w:tblInd w:w="108" w:type="dxa"/>
        <w:tblCellMar>
          <w:left w:w="108" w:type="dxa"/>
          <w:right w:w="108" w:type="dxa"/>
        </w:tblCellMar>
        <w:tblLook w:val="0000" w:firstRow="0" w:lastRow="0" w:firstColumn="0" w:lastColumn="0" w:noHBand="0" w:noVBand="0"/>
      </w:tblPr>
      <w:tblGrid>
        <w:gridCol w:w="3573"/>
        <w:gridCol w:w="5582"/>
      </w:tblGrid>
      <w:tr w:rsidR="006B3339" w14:paraId="3C6CA942" w14:textId="77777777" w:rsidTr="00F52FD8">
        <w:trPr>
          <w:trHeight w:val="584"/>
        </w:trPr>
        <w:tc>
          <w:tcPr>
            <w:tcW w:w="9155" w:type="dxa"/>
            <w:gridSpan w:val="2"/>
            <w:shd w:val="clear" w:color="auto" w:fill="BFBFBF" w:themeFill="background1" w:themeFillShade="BF"/>
            <w:vAlign w:val="top"/>
          </w:tcPr>
          <w:sdt>
            <w:sdtPr>
              <w:alias w:val="Cannot be deleted or edited"/>
              <w:tag w:val="Cannot be deleted or edited"/>
              <w:id w:val="-1030023835"/>
              <w:lock w:val="sdtContentLocked"/>
              <w:placeholder>
                <w:docPart w:val="F12172C33D9C4F538731B0F01C72517E"/>
              </w:placeholder>
            </w:sdtPr>
            <w:sdtEndPr/>
            <w:sdtContent>
              <w:p w14:paraId="205D7560" w14:textId="77777777" w:rsidR="006B3339" w:rsidRPr="00864D41" w:rsidRDefault="00740E44" w:rsidP="005A0833">
                <w:r w:rsidRPr="005A0833">
                  <w:rPr>
                    <w:b/>
                    <w:sz w:val="28"/>
                  </w:rPr>
                  <w:t>Approval P</w:t>
                </w:r>
                <w:r w:rsidR="006B3339" w:rsidRPr="005A0833">
                  <w:rPr>
                    <w:b/>
                    <w:sz w:val="28"/>
                  </w:rPr>
                  <w:t>rocess</w:t>
                </w:r>
              </w:p>
            </w:sdtContent>
          </w:sdt>
        </w:tc>
      </w:tr>
      <w:tr w:rsidR="006B3339" w14:paraId="65F760D1" w14:textId="77777777" w:rsidTr="00D2084A">
        <w:tc>
          <w:tcPr>
            <w:tcW w:w="3573" w:type="dxa"/>
            <w:shd w:val="clear" w:color="auto" w:fill="D9D9D9" w:themeFill="background1" w:themeFillShade="D9"/>
          </w:tcPr>
          <w:sdt>
            <w:sdtPr>
              <w:rPr>
                <w:b/>
              </w:rPr>
              <w:alias w:val="Cannot be deleted or edited"/>
              <w:tag w:val="Cannot be deleted or edited"/>
              <w:id w:val="-519473800"/>
              <w:lock w:val="sdtContentLocked"/>
              <w:placeholder>
                <w:docPart w:val="F12172C33D9C4F538731B0F01C72517E"/>
              </w:placeholder>
            </w:sdtPr>
            <w:sdtEndPr/>
            <w:sdtContent>
              <w:p w14:paraId="2FA62A76" w14:textId="77777777" w:rsidR="006B3339" w:rsidRPr="00740E44" w:rsidRDefault="00526177" w:rsidP="00740E44">
                <w:pPr>
                  <w:rPr>
                    <w:b/>
                  </w:rPr>
                </w:pPr>
                <w:r>
                  <w:rPr>
                    <w:b/>
                  </w:rPr>
                  <w:t>Approval A</w:t>
                </w:r>
                <w:r w:rsidR="006B3339" w:rsidRPr="00740E44">
                  <w:rPr>
                    <w:b/>
                  </w:rPr>
                  <w:t>gency</w:t>
                </w:r>
              </w:p>
            </w:sdtContent>
          </w:sdt>
        </w:tc>
        <w:tc>
          <w:tcPr>
            <w:tcW w:w="5582" w:type="dxa"/>
          </w:tcPr>
          <w:p w14:paraId="14B7B069" w14:textId="77777777" w:rsidR="006B3339" w:rsidRPr="00740E44" w:rsidRDefault="000D5BFF" w:rsidP="006A4524">
            <w:pPr>
              <w:rPr>
                <w:lang w:val="en"/>
              </w:rPr>
            </w:pPr>
            <w:r>
              <w:rPr>
                <w:lang w:val="en"/>
              </w:rPr>
              <w:t xml:space="preserve">GMCA </w:t>
            </w:r>
            <w:r w:rsidR="00586F8A">
              <w:rPr>
                <w:lang w:val="en"/>
              </w:rPr>
              <w:t>Re</w:t>
            </w:r>
            <w:r w:rsidR="006A4524">
              <w:rPr>
                <w:lang w:val="en"/>
              </w:rPr>
              <w:t>sources</w:t>
            </w:r>
            <w:r w:rsidR="00586F8A">
              <w:rPr>
                <w:lang w:val="en"/>
              </w:rPr>
              <w:t xml:space="preserve"> Committee</w:t>
            </w:r>
          </w:p>
        </w:tc>
      </w:tr>
      <w:tr w:rsidR="006B3339" w14:paraId="7C2FCE68" w14:textId="77777777" w:rsidTr="00D2084A">
        <w:tc>
          <w:tcPr>
            <w:tcW w:w="3573" w:type="dxa"/>
            <w:shd w:val="clear" w:color="auto" w:fill="D9D9D9" w:themeFill="background1" w:themeFillShade="D9"/>
          </w:tcPr>
          <w:sdt>
            <w:sdtPr>
              <w:rPr>
                <w:b/>
              </w:rPr>
              <w:alias w:val="Cannot be deleted or edited"/>
              <w:tag w:val="Cannot be deleted or edited"/>
              <w:id w:val="-1929492569"/>
              <w:lock w:val="sdtContentLocked"/>
              <w:placeholder>
                <w:docPart w:val="F12172C33D9C4F538731B0F01C72517E"/>
              </w:placeholder>
            </w:sdtPr>
            <w:sdtEndPr/>
            <w:sdtContent>
              <w:p w14:paraId="5E4A265D" w14:textId="77777777" w:rsidR="006B3339" w:rsidRPr="00740E44" w:rsidRDefault="006B3339" w:rsidP="00740E44">
                <w:pPr>
                  <w:rPr>
                    <w:b/>
                  </w:rPr>
                </w:pPr>
                <w:r w:rsidRPr="00740E44">
                  <w:rPr>
                    <w:b/>
                  </w:rPr>
                  <w:t>Policy Owner</w:t>
                </w:r>
              </w:p>
            </w:sdtContent>
          </w:sdt>
        </w:tc>
        <w:tc>
          <w:tcPr>
            <w:tcW w:w="5582" w:type="dxa"/>
          </w:tcPr>
          <w:p w14:paraId="0F8854F4" w14:textId="5E2D91A5" w:rsidR="00745AFF" w:rsidRPr="00740E44" w:rsidRDefault="009C1806" w:rsidP="009C1806">
            <w:pPr>
              <w:spacing w:before="60"/>
              <w:rPr>
                <w:lang w:val="en"/>
              </w:rPr>
            </w:pPr>
            <w:r>
              <w:rPr>
                <w:lang w:val="en"/>
              </w:rPr>
              <w:t>Amanda Stevens</w:t>
            </w:r>
            <w:r w:rsidR="00932D64">
              <w:rPr>
                <w:lang w:val="en"/>
              </w:rPr>
              <w:t xml:space="preserve">, </w:t>
            </w:r>
            <w:r>
              <w:rPr>
                <w:lang w:val="en"/>
              </w:rPr>
              <w:t>Assistant</w:t>
            </w:r>
            <w:r w:rsidR="009948DE">
              <w:rPr>
                <w:lang w:val="en"/>
              </w:rPr>
              <w:t xml:space="preserve"> </w:t>
            </w:r>
            <w:r w:rsidR="00932D64">
              <w:rPr>
                <w:lang w:val="en"/>
              </w:rPr>
              <w:t xml:space="preserve">Director of </w:t>
            </w:r>
            <w:r>
              <w:rPr>
                <w:lang w:val="en"/>
              </w:rPr>
              <w:t>Workforce Operations</w:t>
            </w:r>
          </w:p>
        </w:tc>
      </w:tr>
      <w:tr w:rsidR="00530221" w14:paraId="053DA4F7" w14:textId="77777777" w:rsidTr="00D2084A">
        <w:tc>
          <w:tcPr>
            <w:tcW w:w="3573" w:type="dxa"/>
            <w:shd w:val="clear" w:color="auto" w:fill="D9D9D9" w:themeFill="background1" w:themeFillShade="D9"/>
          </w:tcPr>
          <w:sdt>
            <w:sdtPr>
              <w:rPr>
                <w:b/>
              </w:rPr>
              <w:alias w:val="Cannot be deleted or edited"/>
              <w:tag w:val="Cannot be deleted or edited"/>
              <w:id w:val="-434517358"/>
              <w:lock w:val="sdtContentLocked"/>
              <w:placeholder>
                <w:docPart w:val="F12172C33D9C4F538731B0F01C72517E"/>
              </w:placeholder>
            </w:sdtPr>
            <w:sdtEndPr/>
            <w:sdtContent>
              <w:p w14:paraId="510E6DB5" w14:textId="77777777" w:rsidR="00530221" w:rsidRPr="00740E44" w:rsidRDefault="00526177" w:rsidP="00740E44">
                <w:pPr>
                  <w:rPr>
                    <w:b/>
                  </w:rPr>
                </w:pPr>
                <w:r>
                  <w:rPr>
                    <w:b/>
                  </w:rPr>
                  <w:t>Evaluation D</w:t>
                </w:r>
                <w:r w:rsidR="00530221">
                  <w:rPr>
                    <w:b/>
                  </w:rPr>
                  <w:t>ate</w:t>
                </w:r>
              </w:p>
            </w:sdtContent>
          </w:sdt>
        </w:tc>
        <w:sdt>
          <w:sdtPr>
            <w:rPr>
              <w:lang w:val="en"/>
            </w:rPr>
            <w:alias w:val="Cannot be deleted"/>
            <w:tag w:val="Cannot be deleted"/>
            <w:id w:val="1570925525"/>
            <w:lock w:val="sdtLocked"/>
            <w:placeholder>
              <w:docPart w:val="6AD67D80773B430197E163FFFBFE235E"/>
            </w:placeholder>
            <w:date w:fullDate="2023-03-31T00:00:00Z">
              <w:dateFormat w:val="dd/MM/yyyy"/>
              <w:lid w:val="en-GB"/>
              <w:storeMappedDataAs w:val="dateTime"/>
              <w:calendar w:val="gregorian"/>
            </w:date>
          </w:sdtPr>
          <w:sdtEndPr/>
          <w:sdtContent>
            <w:tc>
              <w:tcPr>
                <w:tcW w:w="5582" w:type="dxa"/>
              </w:tcPr>
              <w:p w14:paraId="31939165" w14:textId="1025D30E" w:rsidR="00530221" w:rsidRPr="00740E44" w:rsidRDefault="009C1806" w:rsidP="00D2084A">
                <w:pPr>
                  <w:rPr>
                    <w:lang w:val="en"/>
                  </w:rPr>
                </w:pPr>
                <w:r>
                  <w:t>31/03/202</w:t>
                </w:r>
                <w:r w:rsidR="009B1660">
                  <w:t>3</w:t>
                </w:r>
              </w:p>
            </w:tc>
          </w:sdtContent>
        </w:sdt>
      </w:tr>
      <w:tr w:rsidR="00745AFF" w14:paraId="6EBCAEE3" w14:textId="77777777" w:rsidTr="00745AFF">
        <w:tblPrEx>
          <w:tblCellMar>
            <w:left w:w="85" w:type="dxa"/>
            <w:right w:w="85" w:type="dxa"/>
          </w:tblCellMar>
          <w:tblLook w:val="04A0" w:firstRow="1" w:lastRow="0" w:firstColumn="1" w:lastColumn="0" w:noHBand="0" w:noVBand="1"/>
        </w:tblPrEx>
        <w:trPr>
          <w:trHeight w:val="551"/>
        </w:trPr>
        <w:tc>
          <w:tcPr>
            <w:tcW w:w="3573" w:type="dxa"/>
            <w:shd w:val="clear" w:color="auto" w:fill="D9D9D9" w:themeFill="background1" w:themeFillShade="D9"/>
          </w:tcPr>
          <w:p w14:paraId="28EE3FF8" w14:textId="77777777" w:rsidR="00745AFF" w:rsidRDefault="00745AFF" w:rsidP="007352D6">
            <w:pPr>
              <w:jc w:val="left"/>
              <w:rPr>
                <w:b/>
              </w:rPr>
            </w:pPr>
            <w:r w:rsidRPr="00745AFF">
              <w:rPr>
                <w:b/>
              </w:rPr>
              <w:t>Protective marking</w:t>
            </w:r>
          </w:p>
        </w:tc>
        <w:tc>
          <w:tcPr>
            <w:tcW w:w="5582" w:type="dxa"/>
          </w:tcPr>
          <w:p w14:paraId="5718D553" w14:textId="77777777" w:rsidR="00745AFF" w:rsidRDefault="00745AFF" w:rsidP="00E36A60">
            <w:pPr>
              <w:rPr>
                <w:lang w:val="en"/>
              </w:rPr>
            </w:pPr>
            <w:r>
              <w:rPr>
                <w:lang w:val="en"/>
              </w:rPr>
              <w:t>Official</w:t>
            </w:r>
          </w:p>
        </w:tc>
      </w:tr>
      <w:tr w:rsidR="00745AFF" w14:paraId="68530CD8" w14:textId="77777777" w:rsidTr="00745AFF">
        <w:tblPrEx>
          <w:tblCellMar>
            <w:left w:w="85" w:type="dxa"/>
            <w:right w:w="85" w:type="dxa"/>
          </w:tblCellMar>
          <w:tblLook w:val="04A0" w:firstRow="1" w:lastRow="0" w:firstColumn="1" w:lastColumn="0" w:noHBand="0" w:noVBand="1"/>
        </w:tblPrEx>
        <w:trPr>
          <w:trHeight w:val="551"/>
        </w:trPr>
        <w:tc>
          <w:tcPr>
            <w:tcW w:w="3573" w:type="dxa"/>
            <w:shd w:val="clear" w:color="auto" w:fill="D9D9D9" w:themeFill="background1" w:themeFillShade="D9"/>
          </w:tcPr>
          <w:p w14:paraId="578E1D38" w14:textId="77777777" w:rsidR="00745AFF" w:rsidRDefault="00745AFF" w:rsidP="007352D6">
            <w:pPr>
              <w:jc w:val="left"/>
              <w:rPr>
                <w:b/>
              </w:rPr>
            </w:pPr>
            <w:r w:rsidRPr="00745AFF">
              <w:rPr>
                <w:b/>
              </w:rPr>
              <w:t>Date of Approval</w:t>
            </w:r>
          </w:p>
        </w:tc>
        <w:tc>
          <w:tcPr>
            <w:tcW w:w="5582" w:type="dxa"/>
          </w:tcPr>
          <w:p w14:paraId="0203D6C6" w14:textId="60326B89" w:rsidR="00745AFF" w:rsidRDefault="00745AFF" w:rsidP="00E36A60">
            <w:pPr>
              <w:rPr>
                <w:lang w:val="en"/>
              </w:rPr>
            </w:pPr>
          </w:p>
        </w:tc>
      </w:tr>
      <w:tr w:rsidR="00745AFF" w14:paraId="160F4A1F" w14:textId="77777777" w:rsidTr="00745AFF">
        <w:tblPrEx>
          <w:tblCellMar>
            <w:left w:w="85" w:type="dxa"/>
            <w:right w:w="85" w:type="dxa"/>
          </w:tblCellMar>
          <w:tblLook w:val="04A0" w:firstRow="1" w:lastRow="0" w:firstColumn="1" w:lastColumn="0" w:noHBand="0" w:noVBand="1"/>
        </w:tblPrEx>
        <w:trPr>
          <w:trHeight w:val="551"/>
        </w:trPr>
        <w:tc>
          <w:tcPr>
            <w:tcW w:w="3573" w:type="dxa"/>
            <w:shd w:val="clear" w:color="auto" w:fill="D9D9D9" w:themeFill="background1" w:themeFillShade="D9"/>
          </w:tcPr>
          <w:p w14:paraId="5520AD09" w14:textId="77777777" w:rsidR="00745AFF" w:rsidRDefault="00745AFF" w:rsidP="007352D6">
            <w:pPr>
              <w:jc w:val="left"/>
              <w:rPr>
                <w:b/>
              </w:rPr>
            </w:pPr>
            <w:r w:rsidRPr="00745AFF">
              <w:rPr>
                <w:b/>
              </w:rPr>
              <w:t>Review due</w:t>
            </w:r>
          </w:p>
        </w:tc>
        <w:tc>
          <w:tcPr>
            <w:tcW w:w="5582" w:type="dxa"/>
          </w:tcPr>
          <w:p w14:paraId="619B18B2" w14:textId="77777777" w:rsidR="00745AFF" w:rsidRDefault="00745AFF" w:rsidP="00E36A60">
            <w:pPr>
              <w:rPr>
                <w:lang w:val="en"/>
              </w:rPr>
            </w:pPr>
            <w:r>
              <w:rPr>
                <w:lang w:val="en"/>
              </w:rPr>
              <w:t>Annually</w:t>
            </w:r>
          </w:p>
        </w:tc>
      </w:tr>
      <w:tr w:rsidR="007352D6" w14:paraId="3CD5CB8D" w14:textId="77777777" w:rsidTr="00D2084A">
        <w:trPr>
          <w:trHeight w:val="551"/>
        </w:trPr>
        <w:tc>
          <w:tcPr>
            <w:tcW w:w="3573" w:type="dxa"/>
            <w:shd w:val="clear" w:color="auto" w:fill="D9D9D9" w:themeFill="background1" w:themeFillShade="D9"/>
          </w:tcPr>
          <w:p w14:paraId="639B387D" w14:textId="77777777" w:rsidR="007352D6" w:rsidRDefault="007352D6" w:rsidP="007352D6">
            <w:pPr>
              <w:jc w:val="left"/>
              <w:rPr>
                <w:b/>
              </w:rPr>
            </w:pPr>
            <w:r>
              <w:rPr>
                <w:b/>
              </w:rPr>
              <w:t xml:space="preserve">Equality </w:t>
            </w:r>
            <w:r w:rsidR="00526177">
              <w:rPr>
                <w:b/>
              </w:rPr>
              <w:t xml:space="preserve">Analysis and </w:t>
            </w:r>
            <w:r w:rsidRPr="007352D6">
              <w:rPr>
                <w:b/>
              </w:rPr>
              <w:t>Impact Assessment</w:t>
            </w:r>
          </w:p>
        </w:tc>
        <w:tc>
          <w:tcPr>
            <w:tcW w:w="5582" w:type="dxa"/>
          </w:tcPr>
          <w:p w14:paraId="54D2FA36" w14:textId="77777777" w:rsidR="007352D6" w:rsidRDefault="007352D6" w:rsidP="00E36A60">
            <w:pPr>
              <w:rPr>
                <w:lang w:val="en"/>
              </w:rPr>
            </w:pPr>
          </w:p>
        </w:tc>
      </w:tr>
    </w:tbl>
    <w:p w14:paraId="70EEA335" w14:textId="77777777" w:rsidR="00CD7C98" w:rsidRDefault="00CD7C98" w:rsidP="00740E44"/>
    <w:tbl>
      <w:tblPr>
        <w:tblStyle w:val="TableGrid"/>
        <w:tblW w:w="0" w:type="auto"/>
        <w:tblInd w:w="108" w:type="dxa"/>
        <w:tblCellMar>
          <w:left w:w="108" w:type="dxa"/>
          <w:right w:w="108" w:type="dxa"/>
        </w:tblCellMar>
        <w:tblLook w:val="0000" w:firstRow="0" w:lastRow="0" w:firstColumn="0" w:lastColumn="0" w:noHBand="0" w:noVBand="0"/>
      </w:tblPr>
      <w:tblGrid>
        <w:gridCol w:w="4395"/>
        <w:gridCol w:w="4760"/>
      </w:tblGrid>
      <w:tr w:rsidR="006B3339" w14:paraId="00AE4ADD" w14:textId="77777777" w:rsidTr="00F52FD8">
        <w:trPr>
          <w:trHeight w:val="584"/>
        </w:trPr>
        <w:tc>
          <w:tcPr>
            <w:tcW w:w="9155" w:type="dxa"/>
            <w:gridSpan w:val="2"/>
            <w:shd w:val="clear" w:color="auto" w:fill="BFBFBF" w:themeFill="background1" w:themeFillShade="BF"/>
            <w:vAlign w:val="top"/>
          </w:tcPr>
          <w:sdt>
            <w:sdtPr>
              <w:alias w:val="Cannot be deleted or edited"/>
              <w:tag w:val="Cannot be deleted or edited"/>
              <w:id w:val="327183247"/>
              <w:lock w:val="sdtContentLocked"/>
              <w:placeholder>
                <w:docPart w:val="F12172C33D9C4F538731B0F01C72517E"/>
              </w:placeholder>
            </w:sdtPr>
            <w:sdtEndPr/>
            <w:sdtContent>
              <w:p w14:paraId="0DF810EF" w14:textId="77777777" w:rsidR="006B3339" w:rsidRPr="00864D41" w:rsidRDefault="000D5401" w:rsidP="005A0833">
                <w:r w:rsidRPr="005A0833">
                  <w:rPr>
                    <w:b/>
                    <w:sz w:val="28"/>
                  </w:rPr>
                  <w:t>Consultation &amp;</w:t>
                </w:r>
                <w:r w:rsidRPr="005A0833">
                  <w:rPr>
                    <w:sz w:val="28"/>
                  </w:rPr>
                  <w:t xml:space="preserve"> </w:t>
                </w:r>
                <w:r w:rsidRPr="005A0833">
                  <w:rPr>
                    <w:b/>
                    <w:sz w:val="28"/>
                  </w:rPr>
                  <w:t>Engagement</w:t>
                </w:r>
              </w:p>
            </w:sdtContent>
          </w:sdt>
        </w:tc>
      </w:tr>
      <w:sdt>
        <w:sdtPr>
          <w:rPr>
            <w:b/>
          </w:rPr>
          <w:alias w:val="Cannot be deleted or edited"/>
          <w:tag w:val="Cannot be deleted or edited"/>
          <w:id w:val="1811979873"/>
          <w:lock w:val="sdtContentLocked"/>
          <w:placeholder>
            <w:docPart w:val="F12172C33D9C4F538731B0F01C72517E"/>
          </w:placeholder>
        </w:sdtPr>
        <w:sdtEndPr>
          <w:rPr>
            <w:lang w:val="en"/>
          </w:rPr>
        </w:sdtEndPr>
        <w:sdtContent>
          <w:tr w:rsidR="006B3339" w14:paraId="03589B06" w14:textId="77777777" w:rsidTr="007711A6">
            <w:tblPrEx>
              <w:tblCellMar>
                <w:left w:w="85" w:type="dxa"/>
                <w:right w:w="85" w:type="dxa"/>
              </w:tblCellMar>
              <w:tblLook w:val="04A0" w:firstRow="1" w:lastRow="0" w:firstColumn="1" w:lastColumn="0" w:noHBand="0" w:noVBand="1"/>
            </w:tblPrEx>
            <w:tc>
              <w:tcPr>
                <w:tcW w:w="4395" w:type="dxa"/>
                <w:shd w:val="clear" w:color="auto" w:fill="D9D9D9" w:themeFill="background1" w:themeFillShade="D9"/>
                <w:vAlign w:val="top"/>
              </w:tcPr>
              <w:p w14:paraId="397AAFF1" w14:textId="77777777" w:rsidR="006B3339" w:rsidRPr="00740E44" w:rsidRDefault="006B3339" w:rsidP="00740E44">
                <w:pPr>
                  <w:rPr>
                    <w:b/>
                  </w:rPr>
                </w:pPr>
                <w:r w:rsidRPr="00740E44">
                  <w:rPr>
                    <w:b/>
                  </w:rPr>
                  <w:t>Involved</w:t>
                </w:r>
              </w:p>
            </w:tc>
            <w:tc>
              <w:tcPr>
                <w:tcW w:w="4760" w:type="dxa"/>
                <w:shd w:val="clear" w:color="auto" w:fill="D9D9D9" w:themeFill="background1" w:themeFillShade="D9"/>
                <w:vAlign w:val="top"/>
              </w:tcPr>
              <w:p w14:paraId="32BC781C" w14:textId="77777777" w:rsidR="006B3339" w:rsidRPr="00740E44" w:rsidRDefault="006B3339" w:rsidP="00740E44">
                <w:pPr>
                  <w:rPr>
                    <w:b/>
                    <w:lang w:val="en"/>
                  </w:rPr>
                </w:pPr>
                <w:r w:rsidRPr="00740E44">
                  <w:rPr>
                    <w:b/>
                    <w:lang w:val="en"/>
                  </w:rPr>
                  <w:t>Consulted</w:t>
                </w:r>
              </w:p>
            </w:tc>
          </w:tr>
        </w:sdtContent>
      </w:sdt>
      <w:tr w:rsidR="006B3339" w14:paraId="6DBE2F66" w14:textId="77777777" w:rsidTr="007711A6">
        <w:tblPrEx>
          <w:tblCellMar>
            <w:left w:w="85" w:type="dxa"/>
            <w:right w:w="85" w:type="dxa"/>
          </w:tblCellMar>
          <w:tblLook w:val="04A0" w:firstRow="1" w:lastRow="0" w:firstColumn="1" w:lastColumn="0" w:noHBand="0" w:noVBand="1"/>
        </w:tblPrEx>
        <w:tc>
          <w:tcPr>
            <w:tcW w:w="4395" w:type="dxa"/>
            <w:shd w:val="clear" w:color="auto" w:fill="auto"/>
            <w:vAlign w:val="top"/>
          </w:tcPr>
          <w:p w14:paraId="793FE847" w14:textId="77777777" w:rsidR="007711A6" w:rsidRPr="00740E44" w:rsidRDefault="007711A6" w:rsidP="00E36A60"/>
        </w:tc>
        <w:tc>
          <w:tcPr>
            <w:tcW w:w="4760" w:type="dxa"/>
            <w:vAlign w:val="top"/>
          </w:tcPr>
          <w:p w14:paraId="23BEE75A" w14:textId="77777777" w:rsidR="007711A6" w:rsidRPr="00E36A60" w:rsidRDefault="007711A6" w:rsidP="00E36A60">
            <w:pPr>
              <w:rPr>
                <w:lang w:val="en"/>
              </w:rPr>
            </w:pPr>
          </w:p>
        </w:tc>
      </w:tr>
    </w:tbl>
    <w:p w14:paraId="342D55BD" w14:textId="77777777" w:rsidR="0054343B" w:rsidRDefault="0054343B" w:rsidP="00740E44">
      <w:pPr>
        <w:rPr>
          <w:lang w:val="en"/>
        </w:rPr>
      </w:pPr>
    </w:p>
    <w:p w14:paraId="4A3F0CE6" w14:textId="77777777" w:rsidR="00007160" w:rsidRPr="00E6069A" w:rsidRDefault="00007160" w:rsidP="00740E44">
      <w:pPr>
        <w:rPr>
          <w:lang w:val="en"/>
        </w:rPr>
      </w:pPr>
    </w:p>
    <w:tbl>
      <w:tblPr>
        <w:tblStyle w:val="TableGrid"/>
        <w:tblW w:w="0" w:type="auto"/>
        <w:tblInd w:w="108" w:type="dxa"/>
        <w:tblCellMar>
          <w:left w:w="108" w:type="dxa"/>
          <w:right w:w="108" w:type="dxa"/>
        </w:tblCellMar>
        <w:tblLook w:val="0000" w:firstRow="0" w:lastRow="0" w:firstColumn="0" w:lastColumn="0" w:noHBand="0" w:noVBand="0"/>
      </w:tblPr>
      <w:tblGrid>
        <w:gridCol w:w="3544"/>
        <w:gridCol w:w="5611"/>
      </w:tblGrid>
      <w:tr w:rsidR="006B3339" w14:paraId="4E9A573F" w14:textId="77777777" w:rsidTr="00F52FD8">
        <w:trPr>
          <w:trHeight w:val="584"/>
        </w:trPr>
        <w:tc>
          <w:tcPr>
            <w:tcW w:w="9155" w:type="dxa"/>
            <w:gridSpan w:val="2"/>
            <w:shd w:val="clear" w:color="auto" w:fill="BFBFBF" w:themeFill="background1" w:themeFillShade="BF"/>
            <w:vAlign w:val="top"/>
          </w:tcPr>
          <w:sdt>
            <w:sdtPr>
              <w:alias w:val="Cannot be deleted or edited"/>
              <w:tag w:val="Cannot be deleted or edited"/>
              <w:id w:val="-1014308761"/>
              <w:lock w:val="sdtContentLocked"/>
              <w:placeholder>
                <w:docPart w:val="F12172C33D9C4F538731B0F01C72517E"/>
              </w:placeholder>
            </w:sdtPr>
            <w:sdtEndPr/>
            <w:sdtContent>
              <w:p w14:paraId="6FDEBA34" w14:textId="77777777" w:rsidR="006B3339" w:rsidRPr="00864D41" w:rsidRDefault="006B3339" w:rsidP="005A4CC5">
                <w:r w:rsidRPr="005A0833">
                  <w:rPr>
                    <w:b/>
                    <w:sz w:val="28"/>
                  </w:rPr>
                  <w:t>Related Documents</w:t>
                </w:r>
              </w:p>
            </w:sdtContent>
          </w:sdt>
        </w:tc>
      </w:tr>
      <w:tr w:rsidR="006B3339" w14:paraId="3FB9C725" w14:textId="77777777" w:rsidTr="00F52FD8">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1809436419"/>
              <w:lock w:val="sdtContentLocked"/>
              <w:placeholder>
                <w:docPart w:val="F12172C33D9C4F538731B0F01C72517E"/>
              </w:placeholder>
            </w:sdtPr>
            <w:sdtEndPr/>
            <w:sdtContent>
              <w:p w14:paraId="1211FD8E" w14:textId="77777777" w:rsidR="006B3339" w:rsidRPr="00740E44" w:rsidRDefault="006B3339" w:rsidP="00740E44">
                <w:pPr>
                  <w:rPr>
                    <w:b/>
                  </w:rPr>
                </w:pPr>
                <w:r w:rsidRPr="00740E44">
                  <w:rPr>
                    <w:b/>
                  </w:rPr>
                  <w:t>Policy &amp; Procedure</w:t>
                </w:r>
              </w:p>
            </w:sdtContent>
          </w:sdt>
        </w:tc>
        <w:tc>
          <w:tcPr>
            <w:tcW w:w="5611" w:type="dxa"/>
          </w:tcPr>
          <w:p w14:paraId="5738F91E" w14:textId="77777777" w:rsidR="00BE5F63" w:rsidRPr="00740E44" w:rsidRDefault="00BE5F63" w:rsidP="00E03918">
            <w:pPr>
              <w:pStyle w:val="ListParagraph"/>
              <w:numPr>
                <w:ilvl w:val="0"/>
                <w:numId w:val="12"/>
              </w:numPr>
              <w:spacing w:before="0" w:line="276" w:lineRule="auto"/>
            </w:pPr>
          </w:p>
        </w:tc>
      </w:tr>
      <w:tr w:rsidR="006B3339" w14:paraId="0A155674" w14:textId="77777777" w:rsidTr="00F52FD8">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1311909908"/>
              <w:lock w:val="sdtContentLocked"/>
              <w:placeholder>
                <w:docPart w:val="F12172C33D9C4F538731B0F01C72517E"/>
              </w:placeholder>
            </w:sdtPr>
            <w:sdtEndPr/>
            <w:sdtContent>
              <w:p w14:paraId="5519A8B6" w14:textId="77777777" w:rsidR="006B3339" w:rsidRPr="00740E44" w:rsidRDefault="006B3339" w:rsidP="00740E44">
                <w:pPr>
                  <w:rPr>
                    <w:b/>
                  </w:rPr>
                </w:pPr>
                <w:r w:rsidRPr="00740E44">
                  <w:rPr>
                    <w:b/>
                  </w:rPr>
                  <w:t>Guidance</w:t>
                </w:r>
              </w:p>
            </w:sdtContent>
          </w:sdt>
        </w:tc>
        <w:tc>
          <w:tcPr>
            <w:tcW w:w="5611" w:type="dxa"/>
          </w:tcPr>
          <w:p w14:paraId="546A38E4" w14:textId="77777777" w:rsidR="006B3339" w:rsidRPr="005E75B2" w:rsidRDefault="00012B51" w:rsidP="00E03918">
            <w:pPr>
              <w:pStyle w:val="ListParagraph"/>
              <w:numPr>
                <w:ilvl w:val="0"/>
                <w:numId w:val="12"/>
              </w:numPr>
              <w:rPr>
                <w:lang w:val="en"/>
              </w:rPr>
            </w:pPr>
            <w:r>
              <w:rPr>
                <w:lang w:val="en"/>
              </w:rPr>
              <w:t>GMCA</w:t>
            </w:r>
            <w:r w:rsidR="0039251C">
              <w:rPr>
                <w:lang w:val="en"/>
              </w:rPr>
              <w:t xml:space="preserve"> Annual Gender Pay Gap Report </w:t>
            </w:r>
          </w:p>
        </w:tc>
      </w:tr>
      <w:tr w:rsidR="006B3339" w14:paraId="0C30A244" w14:textId="77777777" w:rsidTr="00F52FD8">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1334599556"/>
              <w:lock w:val="sdtContentLocked"/>
              <w:placeholder>
                <w:docPart w:val="F12172C33D9C4F538731B0F01C72517E"/>
              </w:placeholder>
            </w:sdtPr>
            <w:sdtEndPr/>
            <w:sdtContent>
              <w:p w14:paraId="6FA24886" w14:textId="77777777" w:rsidR="006B3339" w:rsidRPr="00740E44" w:rsidRDefault="006B3339" w:rsidP="00740E44">
                <w:pPr>
                  <w:rPr>
                    <w:b/>
                  </w:rPr>
                </w:pPr>
                <w:r w:rsidRPr="00740E44">
                  <w:rPr>
                    <w:b/>
                  </w:rPr>
                  <w:t>External</w:t>
                </w:r>
              </w:p>
            </w:sdtContent>
          </w:sdt>
        </w:tc>
        <w:tc>
          <w:tcPr>
            <w:tcW w:w="5611" w:type="dxa"/>
          </w:tcPr>
          <w:p w14:paraId="3FC53936" w14:textId="77777777" w:rsidR="006B3339" w:rsidRPr="00740E44" w:rsidRDefault="0077169C" w:rsidP="00E03918">
            <w:pPr>
              <w:pStyle w:val="ListParagraph"/>
              <w:numPr>
                <w:ilvl w:val="0"/>
                <w:numId w:val="12"/>
              </w:numPr>
              <w:spacing w:before="0" w:line="276" w:lineRule="auto"/>
            </w:pPr>
            <w:r>
              <w:t>The Localism Act 2011</w:t>
            </w:r>
          </w:p>
        </w:tc>
      </w:tr>
    </w:tbl>
    <w:p w14:paraId="40CDAF6B" w14:textId="77777777" w:rsidR="00BF62C0" w:rsidRPr="002F4813" w:rsidRDefault="00745AFF" w:rsidP="002F4813">
      <w:pPr>
        <w:pStyle w:val="Heading1"/>
        <w:spacing w:after="120"/>
      </w:pPr>
      <w:bookmarkStart w:id="4" w:name="_Toc20479399"/>
      <w:bookmarkStart w:id="5" w:name="_Toc348536611"/>
      <w:r>
        <w:t>I</w:t>
      </w:r>
      <w:r w:rsidR="00BF62C0" w:rsidRPr="002F4813">
        <w:t>ntroduction</w:t>
      </w:r>
      <w:bookmarkEnd w:id="4"/>
    </w:p>
    <w:p w14:paraId="2DCF75DD" w14:textId="77777777" w:rsidR="00BF62C0" w:rsidRPr="002F4813" w:rsidRDefault="00BF62C0" w:rsidP="00BF62C0">
      <w:pPr>
        <w:rPr>
          <w:szCs w:val="21"/>
        </w:rPr>
      </w:pPr>
      <w:r w:rsidRPr="002F4813">
        <w:rPr>
          <w:szCs w:val="21"/>
        </w:rPr>
        <w:lastRenderedPageBreak/>
        <w:t>The purpose of this policy statement is to set out the Greater Manchester Combined Authority’s (GMCA) approach on pay so that it provides direction to both officers and members making detailed decisions on pay and remuneration. Additionally, this Pay Policy Statement also provides assurance to the Greater Manchester (GM) public, through the adoption of a clear set of principles, that public funds are being used effectively and with fairness and transparency.</w:t>
      </w:r>
    </w:p>
    <w:p w14:paraId="0AE95889" w14:textId="77777777" w:rsidR="00BF62C0" w:rsidRPr="002F4813" w:rsidRDefault="00BF62C0" w:rsidP="00BF62C0">
      <w:pPr>
        <w:rPr>
          <w:szCs w:val="21"/>
        </w:rPr>
      </w:pPr>
      <w:r w:rsidRPr="002F4813">
        <w:rPr>
          <w:szCs w:val="21"/>
        </w:rPr>
        <w:t>This Pay Policy Statement sets out, in accordance with statutory requirements, the following:</w:t>
      </w:r>
    </w:p>
    <w:p w14:paraId="34F62A8E" w14:textId="77777777" w:rsidR="00BF62C0" w:rsidRPr="002F4813" w:rsidRDefault="00BF62C0" w:rsidP="002F4813">
      <w:pPr>
        <w:rPr>
          <w:szCs w:val="21"/>
        </w:rPr>
      </w:pPr>
      <w:r w:rsidRPr="002F4813">
        <w:rPr>
          <w:szCs w:val="21"/>
        </w:rPr>
        <w:t>The method by which salaries and other remuneration of all employees are determined</w:t>
      </w:r>
    </w:p>
    <w:p w14:paraId="62CB588F" w14:textId="77777777" w:rsidR="00BF62C0" w:rsidRPr="002F4813" w:rsidRDefault="00BF62C0" w:rsidP="002F4813">
      <w:pPr>
        <w:rPr>
          <w:szCs w:val="21"/>
        </w:rPr>
      </w:pPr>
      <w:r w:rsidRPr="002F4813">
        <w:rPr>
          <w:szCs w:val="21"/>
        </w:rPr>
        <w:t>The detail and level of remuneration of its most senior officers</w:t>
      </w:r>
    </w:p>
    <w:p w14:paraId="2E115106" w14:textId="463E686D" w:rsidR="00BF62C0" w:rsidRPr="002F4813" w:rsidRDefault="00BF62C0" w:rsidP="00BF62C0">
      <w:pPr>
        <w:rPr>
          <w:szCs w:val="21"/>
        </w:rPr>
      </w:pPr>
      <w:r w:rsidRPr="002F4813">
        <w:rPr>
          <w:szCs w:val="21"/>
        </w:rPr>
        <w:t xml:space="preserve">In determining the levels of remuneration, the authority will comply with all relevant legislation, including the Employment Rights Act 1996, Part-time Employment (Prevention of Less Favourable Treatment) Regulations 2000, Transfer of Undertakings (Protection of Employment) Regulations 2006, as amended, and Fixed-term Employees (Prevention of Less Favourable Treatment) </w:t>
      </w:r>
      <w:proofErr w:type="gramStart"/>
      <w:r w:rsidRPr="002F4813">
        <w:rPr>
          <w:szCs w:val="21"/>
        </w:rPr>
        <w:t>Regulations  2002</w:t>
      </w:r>
      <w:proofErr w:type="gramEnd"/>
      <w:r w:rsidRPr="002F4813">
        <w:rPr>
          <w:szCs w:val="21"/>
        </w:rPr>
        <w:t xml:space="preserve">. The authority is also bound by collective bargaining arrangements with its recognised trade unions and contractual </w:t>
      </w:r>
      <w:r w:rsidR="0063331F" w:rsidRPr="002F4813">
        <w:rPr>
          <w:szCs w:val="21"/>
        </w:rPr>
        <w:t>arrangements, which</w:t>
      </w:r>
      <w:r w:rsidRPr="002F4813">
        <w:rPr>
          <w:szCs w:val="21"/>
        </w:rPr>
        <w:t xml:space="preserve"> cannot be changed unilaterally.</w:t>
      </w:r>
    </w:p>
    <w:p w14:paraId="695E1C4F" w14:textId="77777777" w:rsidR="00BF62C0" w:rsidRPr="002F4813" w:rsidRDefault="00BF62C0" w:rsidP="002F4813">
      <w:pPr>
        <w:rPr>
          <w:szCs w:val="21"/>
        </w:rPr>
      </w:pPr>
      <w:r w:rsidRPr="002F4813">
        <w:rPr>
          <w:szCs w:val="21"/>
        </w:rPr>
        <w:t xml:space="preserve">It is the policy of GMCA to ensure that there is no pay discrimination within its pay structures and that all pay differentials can be objectively justified </w:t>
      </w:r>
      <w:proofErr w:type="gramStart"/>
      <w:r w:rsidRPr="002F4813">
        <w:rPr>
          <w:szCs w:val="21"/>
        </w:rPr>
        <w:t>through the use of</w:t>
      </w:r>
      <w:proofErr w:type="gramEnd"/>
      <w:r w:rsidRPr="002F4813">
        <w:rPr>
          <w:szCs w:val="21"/>
        </w:rPr>
        <w:t xml:space="preserve"> job evaluation mechanisms, which directly establish the relative levels of posts in grades according to the requirements, demands and responsibilities of the role.</w:t>
      </w:r>
    </w:p>
    <w:p w14:paraId="5A70E754" w14:textId="77777777" w:rsidR="00CA2ABA" w:rsidRPr="00BF62C0" w:rsidRDefault="00BF62C0" w:rsidP="002F4813">
      <w:pPr>
        <w:rPr>
          <w:szCs w:val="21"/>
        </w:rPr>
      </w:pPr>
      <w:r w:rsidRPr="002F4813">
        <w:rPr>
          <w:szCs w:val="21"/>
        </w:rPr>
        <w:t>The authority is also required by law (The Equality Act 2010 (Specific Duties and Public Authorities) Regulations 2017) to publish an annual Gender Pay Gap Report.</w:t>
      </w:r>
    </w:p>
    <w:bookmarkStart w:id="6" w:name="_Toc20479400" w:displacedByCustomXml="next"/>
    <w:sdt>
      <w:sdtPr>
        <w:alias w:val="Cannot be deleted or edited"/>
        <w:tag w:val="Cannot be deleted or edited"/>
        <w:id w:val="987207830"/>
        <w:lock w:val="sdtContentLocked"/>
        <w:placeholder>
          <w:docPart w:val="F12172C33D9C4F538731B0F01C72517E"/>
        </w:placeholder>
      </w:sdtPr>
      <w:sdtEndPr/>
      <w:sdtContent>
        <w:p w14:paraId="3867592F" w14:textId="77777777" w:rsidR="00AD163E" w:rsidRPr="00C41688" w:rsidRDefault="00AD163E" w:rsidP="00C41688">
          <w:pPr>
            <w:pStyle w:val="Heading1"/>
          </w:pPr>
          <w:r>
            <w:t>Scope</w:t>
          </w:r>
        </w:p>
      </w:sdtContent>
    </w:sdt>
    <w:bookmarkEnd w:id="6" w:displacedByCustomXml="prev"/>
    <w:p w14:paraId="6FD5277A" w14:textId="77777777" w:rsidR="00541BE1" w:rsidRDefault="00586F8A" w:rsidP="00586F8A">
      <w:pPr>
        <w:rPr>
          <w:szCs w:val="21"/>
        </w:rPr>
      </w:pPr>
      <w:bookmarkStart w:id="7" w:name="_Toc348536614"/>
      <w:bookmarkEnd w:id="5"/>
      <w:r w:rsidRPr="00586F8A">
        <w:rPr>
          <w:szCs w:val="21"/>
        </w:rPr>
        <w:t xml:space="preserve">Section 38 of The Localism Act 2011 refers to “Pay Accountability” and sets out the requirement of </w:t>
      </w:r>
      <w:r>
        <w:rPr>
          <w:szCs w:val="21"/>
        </w:rPr>
        <w:t xml:space="preserve">Local Authorities and </w:t>
      </w:r>
      <w:r w:rsidRPr="00586F8A">
        <w:rPr>
          <w:szCs w:val="21"/>
        </w:rPr>
        <w:t xml:space="preserve">Fire and Rescue </w:t>
      </w:r>
      <w:r>
        <w:rPr>
          <w:szCs w:val="21"/>
        </w:rPr>
        <w:t xml:space="preserve">Services </w:t>
      </w:r>
      <w:r w:rsidRPr="00586F8A">
        <w:rPr>
          <w:szCs w:val="21"/>
        </w:rPr>
        <w:t xml:space="preserve">in England and Wales to determine and publish annual Pay Policy Statements.  </w:t>
      </w:r>
      <w:r w:rsidR="00274686">
        <w:rPr>
          <w:szCs w:val="21"/>
        </w:rPr>
        <w:t>Th</w:t>
      </w:r>
      <w:r w:rsidR="001B0DEA">
        <w:rPr>
          <w:szCs w:val="21"/>
        </w:rPr>
        <w:t xml:space="preserve">is Pay Policy Statement relates to employees of GMCA whose </w:t>
      </w:r>
      <w:r w:rsidR="007E60D9">
        <w:rPr>
          <w:szCs w:val="21"/>
        </w:rPr>
        <w:t xml:space="preserve">remuneration </w:t>
      </w:r>
      <w:r w:rsidR="001B0DEA">
        <w:rPr>
          <w:szCs w:val="21"/>
        </w:rPr>
        <w:t>packages, including rate of pay and terms and conditions</w:t>
      </w:r>
      <w:r w:rsidR="0077169C">
        <w:rPr>
          <w:szCs w:val="21"/>
        </w:rPr>
        <w:t>,</w:t>
      </w:r>
      <w:r w:rsidR="001B0DEA">
        <w:rPr>
          <w:szCs w:val="21"/>
        </w:rPr>
        <w:t xml:space="preserve"> are determined by and within the control of the Authority.</w:t>
      </w:r>
    </w:p>
    <w:p w14:paraId="5F58777E" w14:textId="77777777" w:rsidR="00BF62C0" w:rsidRPr="00BF62C0" w:rsidRDefault="00BF62C0" w:rsidP="00BF62C0">
      <w:pPr>
        <w:rPr>
          <w:szCs w:val="21"/>
        </w:rPr>
      </w:pPr>
      <w:r w:rsidRPr="00BF62C0">
        <w:rPr>
          <w:szCs w:val="21"/>
        </w:rPr>
        <w:t>The Pay Policy Statement does not apply to:</w:t>
      </w:r>
    </w:p>
    <w:p w14:paraId="5FED067F" w14:textId="77777777" w:rsidR="00BF62C0" w:rsidRPr="00141F33" w:rsidRDefault="00BF62C0" w:rsidP="002F4813">
      <w:pPr>
        <w:pStyle w:val="ListParagraph"/>
        <w:numPr>
          <w:ilvl w:val="0"/>
          <w:numId w:val="40"/>
        </w:numPr>
        <w:rPr>
          <w:szCs w:val="21"/>
        </w:rPr>
      </w:pPr>
      <w:r w:rsidRPr="00141F33">
        <w:rPr>
          <w:szCs w:val="21"/>
        </w:rPr>
        <w:t>Staff employed by a third party contracted to work for the Combined Authority</w:t>
      </w:r>
    </w:p>
    <w:p w14:paraId="231F1B4B" w14:textId="5A68332F" w:rsidR="00BF62C0" w:rsidRPr="00141F33" w:rsidRDefault="00BF62C0" w:rsidP="002F4813">
      <w:pPr>
        <w:pStyle w:val="ListParagraph"/>
        <w:numPr>
          <w:ilvl w:val="0"/>
          <w:numId w:val="40"/>
        </w:numPr>
        <w:rPr>
          <w:szCs w:val="21"/>
        </w:rPr>
      </w:pPr>
      <w:r w:rsidRPr="00141F33">
        <w:rPr>
          <w:szCs w:val="21"/>
        </w:rPr>
        <w:t xml:space="preserve">Staff on secondment to or from the </w:t>
      </w:r>
      <w:r w:rsidR="00BA50BC">
        <w:rPr>
          <w:szCs w:val="21"/>
        </w:rPr>
        <w:t>A</w:t>
      </w:r>
      <w:r w:rsidRPr="00141F33">
        <w:rPr>
          <w:szCs w:val="21"/>
        </w:rPr>
        <w:t xml:space="preserve">uthority, where their pay and conditions are not determined by the </w:t>
      </w:r>
      <w:r w:rsidR="00BA50BC">
        <w:rPr>
          <w:szCs w:val="21"/>
        </w:rPr>
        <w:t>A</w:t>
      </w:r>
      <w:r w:rsidRPr="00141F33">
        <w:rPr>
          <w:szCs w:val="21"/>
        </w:rPr>
        <w:t>uthority</w:t>
      </w:r>
    </w:p>
    <w:p w14:paraId="7B66C7F6" w14:textId="77777777" w:rsidR="00BF62C0" w:rsidRPr="00141F33" w:rsidRDefault="00BF62C0" w:rsidP="002F4813">
      <w:pPr>
        <w:pStyle w:val="ListParagraph"/>
        <w:numPr>
          <w:ilvl w:val="0"/>
          <w:numId w:val="40"/>
        </w:numPr>
        <w:rPr>
          <w:szCs w:val="21"/>
        </w:rPr>
      </w:pPr>
      <w:r w:rsidRPr="00141F33">
        <w:rPr>
          <w:szCs w:val="21"/>
        </w:rPr>
        <w:t>Unpaid volunteers or individuals on work placement/work experience. Such placements are intended to give individuals valuable experience within a public sector environment.</w:t>
      </w:r>
    </w:p>
    <w:p w14:paraId="4295FB58" w14:textId="77777777" w:rsidR="00402ECC" w:rsidRDefault="00402ECC">
      <w:pPr>
        <w:spacing w:before="0" w:line="240" w:lineRule="auto"/>
        <w:jc w:val="left"/>
        <w:rPr>
          <w:sz w:val="48"/>
          <w:lang w:val="en"/>
        </w:rPr>
      </w:pPr>
      <w:r>
        <w:br w:type="page"/>
      </w:r>
    </w:p>
    <w:bookmarkStart w:id="8" w:name="_Toc20479401" w:displacedByCustomXml="next"/>
    <w:sdt>
      <w:sdtPr>
        <w:alias w:val="Cannot be deleted or edited"/>
        <w:tag w:val="Cannot be deleted or edited"/>
        <w:id w:val="-495181255"/>
        <w:lock w:val="sdtContentLocked"/>
        <w:placeholder>
          <w:docPart w:val="F12172C33D9C4F538731B0F01C72517E"/>
        </w:placeholder>
      </w:sdtPr>
      <w:sdtEndPr/>
      <w:sdtContent>
        <w:p w14:paraId="1F552A1A" w14:textId="0CD0D55D" w:rsidR="006B3339" w:rsidRPr="00AD163E" w:rsidRDefault="006B3339" w:rsidP="002351C9">
          <w:pPr>
            <w:pStyle w:val="Heading1"/>
            <w:spacing w:before="0" w:after="0" w:line="276" w:lineRule="auto"/>
          </w:pPr>
          <w:r w:rsidRPr="00AD163E">
            <w:t>Definitions</w:t>
          </w:r>
        </w:p>
        <w:bookmarkEnd w:id="7" w:displacedByCustomXml="next"/>
      </w:sdtContent>
    </w:sdt>
    <w:bookmarkEnd w:id="8" w:displacedByCustomXml="prev"/>
    <w:p w14:paraId="213CF885" w14:textId="77777777" w:rsidR="00541BE1" w:rsidRDefault="00541BE1" w:rsidP="0077169C">
      <w:pPr>
        <w:spacing w:before="0" w:line="276" w:lineRule="auto"/>
        <w:rPr>
          <w:rFonts w:eastAsia="Calibri"/>
          <w:lang w:eastAsia="en-US"/>
        </w:rPr>
      </w:pPr>
      <w:r>
        <w:rPr>
          <w:rFonts w:eastAsia="Calibri"/>
          <w:lang w:eastAsia="en-US"/>
        </w:rPr>
        <w:t>The Pay Policy Statement relates to the remuneration of our statutory and non-statutory Chief Officers.</w:t>
      </w:r>
    </w:p>
    <w:p w14:paraId="3B16CE53" w14:textId="77777777" w:rsidR="00541BE1" w:rsidRDefault="00541BE1" w:rsidP="0077169C">
      <w:pPr>
        <w:spacing w:before="0" w:line="276" w:lineRule="auto"/>
        <w:rPr>
          <w:rFonts w:eastAsia="Calibri"/>
          <w:lang w:eastAsia="en-US"/>
        </w:rPr>
      </w:pPr>
    </w:p>
    <w:p w14:paraId="74F60EFB" w14:textId="77777777" w:rsidR="0077169C" w:rsidRDefault="0077169C" w:rsidP="00D7256D">
      <w:pPr>
        <w:spacing w:before="0" w:after="120" w:line="276" w:lineRule="auto"/>
        <w:rPr>
          <w:rFonts w:eastAsia="Calibri"/>
          <w:lang w:eastAsia="en-US"/>
        </w:rPr>
      </w:pPr>
      <w:r>
        <w:rPr>
          <w:rFonts w:eastAsia="Calibri"/>
          <w:lang w:eastAsia="en-US"/>
        </w:rPr>
        <w:t>The strict d</w:t>
      </w:r>
      <w:r w:rsidRPr="00740E44">
        <w:rPr>
          <w:rFonts w:eastAsia="Calibri"/>
          <w:lang w:eastAsia="en-US"/>
        </w:rPr>
        <w:t>efinition</w:t>
      </w:r>
      <w:r>
        <w:rPr>
          <w:rFonts w:eastAsia="Calibri"/>
          <w:lang w:eastAsia="en-US"/>
        </w:rPr>
        <w:t xml:space="preserve"> of Chief Officers within the legislation is limited to:</w:t>
      </w:r>
    </w:p>
    <w:p w14:paraId="1EA9A24E" w14:textId="77777777" w:rsidR="0077169C" w:rsidRPr="00082FD9" w:rsidRDefault="0077169C" w:rsidP="0077169C">
      <w:pPr>
        <w:pStyle w:val="ListParagraph"/>
        <w:numPr>
          <w:ilvl w:val="0"/>
          <w:numId w:val="12"/>
        </w:numPr>
        <w:spacing w:before="0" w:line="276" w:lineRule="auto"/>
        <w:rPr>
          <w:rFonts w:eastAsia="Calibri"/>
          <w:lang w:eastAsia="en-US"/>
        </w:rPr>
      </w:pPr>
      <w:r w:rsidRPr="00082FD9">
        <w:rPr>
          <w:rFonts w:eastAsia="Calibri"/>
          <w:lang w:eastAsia="en-US"/>
        </w:rPr>
        <w:t>The Head of Paid Service</w:t>
      </w:r>
    </w:p>
    <w:p w14:paraId="6CC44C32" w14:textId="77777777" w:rsidR="0077169C" w:rsidRPr="00082FD9" w:rsidRDefault="0077169C" w:rsidP="0077169C">
      <w:pPr>
        <w:pStyle w:val="ListParagraph"/>
        <w:numPr>
          <w:ilvl w:val="0"/>
          <w:numId w:val="12"/>
        </w:numPr>
        <w:spacing w:before="0" w:line="276" w:lineRule="auto"/>
        <w:rPr>
          <w:rFonts w:eastAsia="Calibri"/>
          <w:lang w:eastAsia="en-US"/>
        </w:rPr>
      </w:pPr>
      <w:r w:rsidRPr="00082FD9">
        <w:rPr>
          <w:rFonts w:eastAsia="Calibri"/>
          <w:lang w:eastAsia="en-US"/>
        </w:rPr>
        <w:t xml:space="preserve">The Monitoring Officer </w:t>
      </w:r>
    </w:p>
    <w:p w14:paraId="41AC0D67" w14:textId="77777777" w:rsidR="0077169C" w:rsidRPr="00082FD9" w:rsidRDefault="0077169C" w:rsidP="0077169C">
      <w:pPr>
        <w:pStyle w:val="ListParagraph"/>
        <w:numPr>
          <w:ilvl w:val="0"/>
          <w:numId w:val="12"/>
        </w:numPr>
        <w:spacing w:before="0" w:line="276" w:lineRule="auto"/>
        <w:rPr>
          <w:rFonts w:eastAsia="Calibri"/>
          <w:lang w:eastAsia="en-US"/>
        </w:rPr>
      </w:pPr>
      <w:r w:rsidRPr="00082FD9">
        <w:rPr>
          <w:rFonts w:eastAsia="Calibri"/>
          <w:lang w:eastAsia="en-US"/>
        </w:rPr>
        <w:t>The Statutory Chief Officer and non-statutory Chief Officer under Section 2 of the Local Government and Housing Act 1989</w:t>
      </w:r>
    </w:p>
    <w:p w14:paraId="008B1059" w14:textId="77777777" w:rsidR="0077169C" w:rsidRDefault="0077169C" w:rsidP="0077169C">
      <w:pPr>
        <w:pStyle w:val="ListParagraph"/>
        <w:numPr>
          <w:ilvl w:val="0"/>
          <w:numId w:val="12"/>
        </w:numPr>
        <w:spacing w:before="0" w:line="276" w:lineRule="auto"/>
        <w:rPr>
          <w:rFonts w:eastAsia="Calibri"/>
          <w:lang w:eastAsia="en-US"/>
        </w:rPr>
      </w:pPr>
      <w:r w:rsidRPr="00082FD9">
        <w:rPr>
          <w:rFonts w:eastAsia="Calibri"/>
          <w:lang w:eastAsia="en-US"/>
        </w:rPr>
        <w:t>A Deputy Chief Officer mentioned in Section 2 of that Act</w:t>
      </w:r>
    </w:p>
    <w:p w14:paraId="71FED755" w14:textId="77777777" w:rsidR="0077169C" w:rsidRDefault="0077169C" w:rsidP="0077169C">
      <w:pPr>
        <w:spacing w:before="0" w:line="276" w:lineRule="auto"/>
        <w:rPr>
          <w:rFonts w:eastAsia="Calibri"/>
          <w:lang w:eastAsia="en-US"/>
        </w:rPr>
      </w:pPr>
    </w:p>
    <w:p w14:paraId="5897D024" w14:textId="77777777" w:rsidR="0077169C" w:rsidRDefault="0077169C" w:rsidP="0077169C">
      <w:pPr>
        <w:spacing w:before="0" w:line="276" w:lineRule="auto"/>
        <w:rPr>
          <w:rFonts w:eastAsia="Calibri"/>
          <w:lang w:eastAsia="en-US"/>
        </w:rPr>
      </w:pPr>
      <w:r>
        <w:rPr>
          <w:rFonts w:eastAsia="Calibri"/>
          <w:lang w:eastAsia="en-US"/>
        </w:rPr>
        <w:t xml:space="preserve">However, GMCA employs a wider range of senior officers to oversee the functions of the Authority including the Fire and Rescue Service.    </w:t>
      </w:r>
    </w:p>
    <w:p w14:paraId="5318C89F" w14:textId="77777777" w:rsidR="0077169C" w:rsidRDefault="0077169C" w:rsidP="0077169C">
      <w:pPr>
        <w:spacing w:before="0" w:line="276" w:lineRule="auto"/>
        <w:rPr>
          <w:rFonts w:eastAsia="Calibri"/>
          <w:lang w:eastAsia="en-US"/>
        </w:rPr>
      </w:pPr>
    </w:p>
    <w:p w14:paraId="78D569E7" w14:textId="77777777" w:rsidR="0008188F" w:rsidRDefault="0077169C" w:rsidP="00D7256D">
      <w:pPr>
        <w:spacing w:before="0" w:after="120" w:line="276" w:lineRule="auto"/>
        <w:rPr>
          <w:rFonts w:eastAsia="Calibri"/>
          <w:lang w:eastAsia="en-US"/>
        </w:rPr>
      </w:pPr>
      <w:r>
        <w:rPr>
          <w:rFonts w:eastAsia="Calibri"/>
          <w:lang w:eastAsia="en-US"/>
        </w:rPr>
        <w:t xml:space="preserve">These Officers are employed on one of </w:t>
      </w:r>
      <w:r w:rsidR="0008188F">
        <w:rPr>
          <w:rFonts w:eastAsia="Calibri"/>
          <w:lang w:eastAsia="en-US"/>
        </w:rPr>
        <w:t xml:space="preserve">the following </w:t>
      </w:r>
      <w:r>
        <w:rPr>
          <w:rFonts w:eastAsia="Calibri"/>
          <w:lang w:eastAsia="en-US"/>
        </w:rPr>
        <w:t xml:space="preserve">terms and conditions of </w:t>
      </w:r>
      <w:proofErr w:type="gramStart"/>
      <w:r>
        <w:rPr>
          <w:rFonts w:eastAsia="Calibri"/>
          <w:lang w:eastAsia="en-US"/>
        </w:rPr>
        <w:t>service;</w:t>
      </w:r>
      <w:proofErr w:type="gramEnd"/>
      <w:r>
        <w:rPr>
          <w:rFonts w:eastAsia="Calibri"/>
          <w:lang w:eastAsia="en-US"/>
        </w:rPr>
        <w:t xml:space="preserve"> </w:t>
      </w:r>
    </w:p>
    <w:p w14:paraId="2E4CC392" w14:textId="77777777" w:rsidR="0008188F" w:rsidRPr="0008188F" w:rsidRDefault="0008188F" w:rsidP="00391F18">
      <w:pPr>
        <w:pStyle w:val="ListParagraph"/>
        <w:numPr>
          <w:ilvl w:val="0"/>
          <w:numId w:val="30"/>
        </w:numPr>
        <w:spacing w:before="0" w:line="276" w:lineRule="auto"/>
        <w:ind w:left="426" w:hanging="426"/>
        <w:rPr>
          <w:rFonts w:eastAsia="Calibri"/>
          <w:lang w:eastAsia="en-US"/>
        </w:rPr>
      </w:pPr>
      <w:r>
        <w:t>The Joint Negotiating Committee (JNC) for Chief Officers of Local Authorities’ Conditions of Service</w:t>
      </w:r>
      <w:r w:rsidRPr="0008188F">
        <w:rPr>
          <w:rFonts w:eastAsia="Calibri"/>
          <w:lang w:eastAsia="en-US"/>
        </w:rPr>
        <w:t xml:space="preserve"> </w:t>
      </w:r>
    </w:p>
    <w:p w14:paraId="51F78D3B" w14:textId="77777777" w:rsidR="0077169C" w:rsidRPr="0008188F" w:rsidRDefault="0008188F" w:rsidP="00391F18">
      <w:pPr>
        <w:pStyle w:val="ListParagraph"/>
        <w:numPr>
          <w:ilvl w:val="0"/>
          <w:numId w:val="30"/>
        </w:numPr>
        <w:spacing w:before="0" w:line="276" w:lineRule="auto"/>
        <w:ind w:left="426" w:hanging="426"/>
        <w:rPr>
          <w:rFonts w:eastAsia="Calibri"/>
          <w:lang w:eastAsia="en-US"/>
        </w:rPr>
      </w:pPr>
      <w:r w:rsidRPr="0008188F">
        <w:rPr>
          <w:rFonts w:eastAsia="Calibri"/>
          <w:lang w:eastAsia="en-US"/>
        </w:rPr>
        <w:t>T</w:t>
      </w:r>
      <w:r w:rsidR="0077169C" w:rsidRPr="0008188F">
        <w:rPr>
          <w:rFonts w:eastAsia="Calibri"/>
          <w:lang w:eastAsia="en-US"/>
        </w:rPr>
        <w:t xml:space="preserve">he National Joint Council </w:t>
      </w:r>
      <w:r>
        <w:rPr>
          <w:rFonts w:eastAsia="Calibri"/>
          <w:lang w:eastAsia="en-US"/>
        </w:rPr>
        <w:t xml:space="preserve">(NJC) </w:t>
      </w:r>
      <w:r w:rsidR="0077169C" w:rsidRPr="0008188F">
        <w:rPr>
          <w:rFonts w:eastAsia="Calibri"/>
          <w:lang w:eastAsia="en-US"/>
        </w:rPr>
        <w:t xml:space="preserve">for Brigade Managers of Local Authority Fire and Rescue Services </w:t>
      </w:r>
      <w:r w:rsidR="007E60D9">
        <w:rPr>
          <w:rFonts w:eastAsia="Calibri"/>
          <w:lang w:eastAsia="en-US"/>
        </w:rPr>
        <w:t>(known as Gold Book)</w:t>
      </w:r>
    </w:p>
    <w:p w14:paraId="20F1FE6E" w14:textId="77777777" w:rsidR="0008188F" w:rsidRDefault="0008188F" w:rsidP="0008188F">
      <w:pPr>
        <w:spacing w:before="0" w:line="276" w:lineRule="auto"/>
        <w:rPr>
          <w:rFonts w:eastAsia="Calibri"/>
          <w:lang w:eastAsia="en-US"/>
        </w:rPr>
      </w:pPr>
    </w:p>
    <w:p w14:paraId="7EBA8E4F" w14:textId="77777777" w:rsidR="0008188F" w:rsidRDefault="0008188F" w:rsidP="00D7256D">
      <w:pPr>
        <w:spacing w:before="0" w:after="120" w:line="276" w:lineRule="auto"/>
        <w:rPr>
          <w:rFonts w:eastAsia="Calibri"/>
          <w:lang w:eastAsia="en-US"/>
        </w:rPr>
      </w:pPr>
      <w:r>
        <w:rPr>
          <w:rFonts w:eastAsia="Calibri"/>
          <w:lang w:eastAsia="en-US"/>
        </w:rPr>
        <w:t xml:space="preserve">All other employees of GMCA are employed under one of the following terms and conditions of </w:t>
      </w:r>
      <w:proofErr w:type="gramStart"/>
      <w:r>
        <w:rPr>
          <w:rFonts w:eastAsia="Calibri"/>
          <w:lang w:eastAsia="en-US"/>
        </w:rPr>
        <w:t>service;</w:t>
      </w:r>
      <w:proofErr w:type="gramEnd"/>
    </w:p>
    <w:p w14:paraId="55F2706C" w14:textId="77777777" w:rsidR="007E60D9" w:rsidRDefault="007E60D9" w:rsidP="00391F18">
      <w:pPr>
        <w:numPr>
          <w:ilvl w:val="0"/>
          <w:numId w:val="30"/>
        </w:numPr>
        <w:spacing w:before="0" w:line="276" w:lineRule="auto"/>
        <w:ind w:left="426" w:hanging="426"/>
        <w:rPr>
          <w:rFonts w:eastAsia="Calibri"/>
          <w:lang w:eastAsia="en-US"/>
        </w:rPr>
      </w:pPr>
      <w:r>
        <w:rPr>
          <w:rFonts w:eastAsia="Calibri"/>
          <w:lang w:eastAsia="en-US"/>
        </w:rPr>
        <w:t>The National Joint Council (NJC) for Local Authority Fire and Rescue Services (known as Grey Book)</w:t>
      </w:r>
    </w:p>
    <w:p w14:paraId="50CFC5A9" w14:textId="77777777" w:rsidR="007E60D9" w:rsidRDefault="0008188F" w:rsidP="00391F18">
      <w:pPr>
        <w:numPr>
          <w:ilvl w:val="0"/>
          <w:numId w:val="30"/>
        </w:numPr>
        <w:spacing w:before="0" w:line="276" w:lineRule="auto"/>
        <w:ind w:left="426" w:hanging="426"/>
        <w:rPr>
          <w:rFonts w:eastAsia="Calibri"/>
          <w:lang w:eastAsia="en-US"/>
        </w:rPr>
      </w:pPr>
      <w:r w:rsidRPr="007E60D9">
        <w:rPr>
          <w:rFonts w:eastAsia="Calibri"/>
          <w:lang w:eastAsia="en-US"/>
        </w:rPr>
        <w:t xml:space="preserve">The National Joint Council </w:t>
      </w:r>
      <w:r w:rsidR="007E60D9" w:rsidRPr="007E60D9">
        <w:rPr>
          <w:rFonts w:eastAsia="Calibri"/>
          <w:lang w:eastAsia="en-US"/>
        </w:rPr>
        <w:t xml:space="preserve">(NJC) </w:t>
      </w:r>
      <w:r w:rsidRPr="007E60D9">
        <w:rPr>
          <w:rFonts w:eastAsia="Calibri"/>
          <w:lang w:eastAsia="en-US"/>
        </w:rPr>
        <w:t>for Local Government Services</w:t>
      </w:r>
      <w:r w:rsidR="007E60D9">
        <w:rPr>
          <w:rFonts w:eastAsia="Calibri"/>
          <w:lang w:eastAsia="en-US"/>
        </w:rPr>
        <w:t xml:space="preserve"> (known as Green Book)</w:t>
      </w:r>
    </w:p>
    <w:p w14:paraId="76F2616C" w14:textId="77777777" w:rsidR="007E60D9" w:rsidRDefault="007E60D9" w:rsidP="00371A1E">
      <w:pPr>
        <w:numPr>
          <w:ilvl w:val="0"/>
          <w:numId w:val="30"/>
        </w:numPr>
        <w:spacing w:before="0" w:after="120" w:line="276" w:lineRule="auto"/>
        <w:ind w:left="425" w:hanging="425"/>
        <w:rPr>
          <w:rFonts w:eastAsia="Calibri"/>
          <w:lang w:eastAsia="en-US"/>
        </w:rPr>
      </w:pPr>
      <w:r>
        <w:rPr>
          <w:rFonts w:eastAsia="Calibri"/>
          <w:lang w:eastAsia="en-US"/>
        </w:rPr>
        <w:t>Joint Negotiating Committee for Local Authority Craft and Associated Employees (known as Red Book)</w:t>
      </w:r>
    </w:p>
    <w:p w14:paraId="4B905309" w14:textId="77777777" w:rsidR="00EE0ACD" w:rsidRPr="00371A1E" w:rsidRDefault="00EE0ACD" w:rsidP="00371A1E">
      <w:pPr>
        <w:pStyle w:val="Heading1"/>
        <w:spacing w:before="0" w:after="0" w:line="276" w:lineRule="auto"/>
      </w:pPr>
      <w:bookmarkStart w:id="9" w:name="_Toc20479402"/>
      <w:r w:rsidRPr="00371A1E">
        <w:t>Remuneration Strategy</w:t>
      </w:r>
      <w:bookmarkEnd w:id="9"/>
    </w:p>
    <w:p w14:paraId="7ACE6233" w14:textId="07776EC3" w:rsidR="00EE0ACD" w:rsidRPr="00EE0ACD" w:rsidRDefault="00EE0ACD" w:rsidP="00EE0ACD">
      <w:pPr>
        <w:spacing w:before="0" w:after="120" w:line="276" w:lineRule="auto"/>
        <w:rPr>
          <w:rFonts w:eastAsia="Calibri"/>
          <w:lang w:eastAsia="en-US"/>
        </w:rPr>
      </w:pPr>
      <w:r w:rsidRPr="00EE0ACD">
        <w:rPr>
          <w:rFonts w:eastAsia="Calibri"/>
          <w:lang w:eastAsia="en-US"/>
        </w:rPr>
        <w:t xml:space="preserve">Greater Manchester Combined Authority is determined to make full use of the unique devolution settlement – the most advanced deal of any city-region in England – and turn it to the full benefit of its </w:t>
      </w:r>
      <w:r w:rsidR="00CC4A5C">
        <w:rPr>
          <w:rFonts w:eastAsia="Calibri"/>
          <w:lang w:eastAsia="en-US"/>
        </w:rPr>
        <w:t>2.8</w:t>
      </w:r>
      <w:r w:rsidRPr="00EE0ACD">
        <w:rPr>
          <w:rFonts w:eastAsia="Calibri"/>
          <w:lang w:eastAsia="en-US"/>
        </w:rPr>
        <w:t xml:space="preserve"> million residents. As part of this ambitious agenda, it will strive to change the way in which public services work to support people to achieve their full potential and ensure nobody is left behind, through integrating services around people, </w:t>
      </w:r>
      <w:proofErr w:type="gramStart"/>
      <w:r w:rsidRPr="00EE0ACD">
        <w:rPr>
          <w:rFonts w:eastAsia="Calibri"/>
          <w:lang w:eastAsia="en-US"/>
        </w:rPr>
        <w:t>places</w:t>
      </w:r>
      <w:proofErr w:type="gramEnd"/>
      <w:r w:rsidRPr="00EE0ACD">
        <w:rPr>
          <w:rFonts w:eastAsia="Calibri"/>
          <w:lang w:eastAsia="en-US"/>
        </w:rPr>
        <w:t xml:space="preserve"> and their needs, focusing on prevention, developing new models of support and sharing information across the public sector to design and deliver better services.</w:t>
      </w:r>
    </w:p>
    <w:p w14:paraId="5A9A27E0" w14:textId="0F9988A1" w:rsidR="00EE0ACD" w:rsidRPr="00EE0ACD" w:rsidRDefault="00EE0ACD" w:rsidP="00EE0ACD">
      <w:pPr>
        <w:spacing w:before="0" w:after="120" w:line="276" w:lineRule="auto"/>
        <w:rPr>
          <w:rFonts w:eastAsia="Calibri"/>
          <w:lang w:eastAsia="en-US"/>
        </w:rPr>
      </w:pPr>
      <w:r w:rsidRPr="00EE0ACD">
        <w:rPr>
          <w:rFonts w:eastAsia="Calibri"/>
          <w:lang w:eastAsia="en-US"/>
        </w:rPr>
        <w:t xml:space="preserve">The </w:t>
      </w:r>
      <w:r w:rsidR="00BA50BC">
        <w:rPr>
          <w:rFonts w:eastAsia="Calibri"/>
          <w:lang w:eastAsia="en-US"/>
        </w:rPr>
        <w:t>A</w:t>
      </w:r>
      <w:r w:rsidRPr="00EE0ACD">
        <w:rPr>
          <w:rFonts w:eastAsia="Calibri"/>
          <w:lang w:eastAsia="en-US"/>
        </w:rPr>
        <w:t>uthority seeks to bring about change and prosperity within the region in several ways, including:</w:t>
      </w:r>
    </w:p>
    <w:p w14:paraId="0813D195" w14:textId="77777777" w:rsidR="006603BB" w:rsidRDefault="006603BB">
      <w:pPr>
        <w:spacing w:before="0" w:line="240" w:lineRule="auto"/>
        <w:jc w:val="left"/>
        <w:rPr>
          <w:rFonts w:eastAsia="Calibri"/>
          <w:lang w:eastAsia="en-US"/>
        </w:rPr>
      </w:pPr>
      <w:r>
        <w:rPr>
          <w:rFonts w:eastAsia="Calibri"/>
          <w:lang w:eastAsia="en-US"/>
        </w:rPr>
        <w:br w:type="page"/>
      </w:r>
    </w:p>
    <w:p w14:paraId="66F8A533" w14:textId="02B8D6C4" w:rsidR="00EE0ACD" w:rsidRPr="00EE0ACD" w:rsidRDefault="00EE0ACD" w:rsidP="0033655C">
      <w:pPr>
        <w:spacing w:before="0" w:line="276" w:lineRule="auto"/>
        <w:rPr>
          <w:rFonts w:eastAsia="Calibri"/>
          <w:lang w:eastAsia="en-US"/>
        </w:rPr>
      </w:pPr>
      <w:r w:rsidRPr="00EE0ACD">
        <w:rPr>
          <w:rFonts w:eastAsia="Calibri"/>
          <w:lang w:eastAsia="en-US"/>
        </w:rPr>
        <w:lastRenderedPageBreak/>
        <w:t>Greater Manchester Strategy</w:t>
      </w:r>
    </w:p>
    <w:p w14:paraId="6BE673C9" w14:textId="5A788864" w:rsidR="00EE0ACD" w:rsidRPr="00141F33" w:rsidRDefault="000A5413" w:rsidP="00491251">
      <w:pPr>
        <w:pStyle w:val="ListParagraph"/>
        <w:numPr>
          <w:ilvl w:val="0"/>
          <w:numId w:val="12"/>
        </w:numPr>
        <w:spacing w:before="0" w:after="120" w:line="276" w:lineRule="auto"/>
        <w:ind w:left="357" w:hanging="357"/>
        <w:rPr>
          <w:rFonts w:eastAsia="Calibri"/>
          <w:lang w:eastAsia="en-US"/>
        </w:rPr>
      </w:pPr>
      <w:r>
        <w:rPr>
          <w:rFonts w:eastAsia="Calibri"/>
          <w:lang w:eastAsia="en-US"/>
        </w:rPr>
        <w:t xml:space="preserve">The </w:t>
      </w:r>
      <w:r w:rsidR="00CC4A5C" w:rsidRPr="00CC4A5C">
        <w:rPr>
          <w:rFonts w:eastAsia="Calibri"/>
          <w:lang w:eastAsia="en-US"/>
        </w:rPr>
        <w:t xml:space="preserve">Greater Manchester </w:t>
      </w:r>
      <w:r>
        <w:rPr>
          <w:rFonts w:eastAsia="Calibri"/>
          <w:lang w:eastAsia="en-US"/>
        </w:rPr>
        <w:t>Strategy sets out a vision to provide</w:t>
      </w:r>
      <w:r w:rsidR="00CC4A5C" w:rsidRPr="00CC4A5C">
        <w:rPr>
          <w:rFonts w:eastAsia="Calibri"/>
          <w:lang w:eastAsia="en-US"/>
        </w:rPr>
        <w:t xml:space="preserve"> a place where everyone can live a good life, growing up, getting on and growing old in a greener, fairer more prosperous city region.</w:t>
      </w:r>
      <w:r w:rsidR="00EE0ACD" w:rsidRPr="00141F33">
        <w:rPr>
          <w:rFonts w:eastAsia="Calibri"/>
          <w:lang w:eastAsia="en-US"/>
        </w:rPr>
        <w:t xml:space="preserve"> It has been </w:t>
      </w:r>
      <w:r w:rsidR="00BA50BC">
        <w:rPr>
          <w:rFonts w:eastAsia="Calibri"/>
          <w:lang w:eastAsia="en-US"/>
        </w:rPr>
        <w:t>agreed</w:t>
      </w:r>
      <w:r w:rsidR="00BA50BC" w:rsidRPr="00141F33">
        <w:rPr>
          <w:rFonts w:eastAsia="Calibri"/>
          <w:lang w:eastAsia="en-US"/>
        </w:rPr>
        <w:t xml:space="preserve"> </w:t>
      </w:r>
      <w:r w:rsidR="00EE0ACD" w:rsidRPr="00141F33">
        <w:rPr>
          <w:rFonts w:eastAsia="Calibri"/>
          <w:lang w:eastAsia="en-US"/>
        </w:rPr>
        <w:t>by all 10 councils, the Mayor, the NHS,</w:t>
      </w:r>
      <w:r w:rsidR="009948DE">
        <w:rPr>
          <w:rFonts w:eastAsia="Calibri"/>
          <w:lang w:eastAsia="en-US"/>
        </w:rPr>
        <w:t xml:space="preserve"> Transport for Greater Manchester</w:t>
      </w:r>
      <w:r w:rsidR="00EE0ACD" w:rsidRPr="00141F33">
        <w:rPr>
          <w:rFonts w:eastAsia="Calibri"/>
          <w:lang w:eastAsia="en-US"/>
        </w:rPr>
        <w:t>,</w:t>
      </w:r>
      <w:r w:rsidR="0033655C">
        <w:rPr>
          <w:rFonts w:eastAsia="Calibri"/>
          <w:lang w:eastAsia="en-US"/>
        </w:rPr>
        <w:t xml:space="preserve"> </w:t>
      </w:r>
      <w:r w:rsidR="00EE0ACD" w:rsidRPr="00141F33">
        <w:rPr>
          <w:rFonts w:eastAsia="Calibri"/>
          <w:lang w:eastAsia="en-US"/>
        </w:rPr>
        <w:t>the</w:t>
      </w:r>
      <w:r w:rsidR="0033655C">
        <w:rPr>
          <w:rFonts w:eastAsia="Calibri"/>
          <w:lang w:eastAsia="en-US"/>
        </w:rPr>
        <w:t xml:space="preserve"> </w:t>
      </w:r>
      <w:r w:rsidR="009948DE">
        <w:rPr>
          <w:rFonts w:eastAsia="Calibri"/>
          <w:lang w:eastAsia="en-US"/>
        </w:rPr>
        <w:t>Greater Manchester</w:t>
      </w:r>
      <w:r w:rsidR="0033655C">
        <w:rPr>
          <w:rFonts w:eastAsia="Calibri"/>
          <w:lang w:eastAsia="en-US"/>
        </w:rPr>
        <w:t xml:space="preserve"> </w:t>
      </w:r>
      <w:r w:rsidR="009948DE">
        <w:rPr>
          <w:rFonts w:eastAsia="Calibri"/>
          <w:lang w:eastAsia="en-US"/>
        </w:rPr>
        <w:t>P</w:t>
      </w:r>
      <w:r w:rsidR="00EE0ACD" w:rsidRPr="00141F33">
        <w:rPr>
          <w:rFonts w:eastAsia="Calibri"/>
          <w:lang w:eastAsia="en-US"/>
        </w:rPr>
        <w:t xml:space="preserve">olice and the </w:t>
      </w:r>
      <w:r w:rsidR="009948DE">
        <w:rPr>
          <w:rFonts w:eastAsia="Calibri"/>
          <w:lang w:eastAsia="en-US"/>
        </w:rPr>
        <w:t>Greater Manchester F</w:t>
      </w:r>
      <w:r w:rsidR="00EE0ACD" w:rsidRPr="00141F33">
        <w:rPr>
          <w:rFonts w:eastAsia="Calibri"/>
          <w:lang w:eastAsia="en-US"/>
        </w:rPr>
        <w:t xml:space="preserve">ire </w:t>
      </w:r>
      <w:r w:rsidR="00CC4A5C">
        <w:rPr>
          <w:rFonts w:eastAsia="Calibri"/>
          <w:lang w:eastAsia="en-US"/>
        </w:rPr>
        <w:t xml:space="preserve">and Rescue </w:t>
      </w:r>
      <w:r w:rsidR="009948DE">
        <w:rPr>
          <w:rFonts w:eastAsia="Calibri"/>
          <w:lang w:eastAsia="en-US"/>
        </w:rPr>
        <w:t>S</w:t>
      </w:r>
      <w:r w:rsidR="00EE0ACD" w:rsidRPr="00141F33">
        <w:rPr>
          <w:rFonts w:eastAsia="Calibri"/>
          <w:lang w:eastAsia="en-US"/>
        </w:rPr>
        <w:t xml:space="preserve">ervice, with help from businesses, voluntary, community and social enterprise organisations, and members of the public. The plan explains our ambitions for the future of our city-region and the 2.8 million residents who live in the towns, cities, </w:t>
      </w:r>
      <w:proofErr w:type="gramStart"/>
      <w:r w:rsidR="00EE0ACD" w:rsidRPr="00141F33">
        <w:rPr>
          <w:rFonts w:eastAsia="Calibri"/>
          <w:lang w:eastAsia="en-US"/>
        </w:rPr>
        <w:t>communities</w:t>
      </w:r>
      <w:proofErr w:type="gramEnd"/>
      <w:r w:rsidR="00EE0ACD" w:rsidRPr="00141F33">
        <w:rPr>
          <w:rFonts w:eastAsia="Calibri"/>
          <w:lang w:eastAsia="en-US"/>
        </w:rPr>
        <w:t xml:space="preserve"> and neighbourhoods that make up Greater Manchester. It covers health,</w:t>
      </w:r>
      <w:r w:rsidR="0033655C">
        <w:rPr>
          <w:rFonts w:eastAsia="Calibri"/>
          <w:lang w:eastAsia="en-US"/>
        </w:rPr>
        <w:t xml:space="preserve"> </w:t>
      </w:r>
      <w:r w:rsidR="00EE0ACD" w:rsidRPr="00141F33">
        <w:rPr>
          <w:rFonts w:eastAsia="Calibri"/>
          <w:lang w:eastAsia="en-US"/>
        </w:rPr>
        <w:t xml:space="preserve">wellbeing, work and jobs, housing, transport, skills, </w:t>
      </w:r>
      <w:proofErr w:type="gramStart"/>
      <w:r w:rsidR="0033655C">
        <w:rPr>
          <w:rFonts w:eastAsia="Calibri"/>
          <w:lang w:eastAsia="en-US"/>
        </w:rPr>
        <w:t>training</w:t>
      </w:r>
      <w:proofErr w:type="gramEnd"/>
      <w:r w:rsidR="0033655C">
        <w:rPr>
          <w:rFonts w:eastAsia="Calibri"/>
          <w:lang w:eastAsia="en-US"/>
        </w:rPr>
        <w:t xml:space="preserve"> and economic growth</w:t>
      </w:r>
      <w:r w:rsidR="00EE0ACD" w:rsidRPr="00141F33">
        <w:rPr>
          <w:rFonts w:eastAsia="Calibri"/>
          <w:lang w:eastAsia="en-US"/>
        </w:rPr>
        <w:t xml:space="preserve">. We believe when we look at these things together </w:t>
      </w:r>
      <w:r w:rsidR="0063331F">
        <w:rPr>
          <w:rFonts w:eastAsia="Calibri"/>
          <w:lang w:eastAsia="en-US"/>
        </w:rPr>
        <w:t xml:space="preserve">that </w:t>
      </w:r>
      <w:r w:rsidR="00EE0ACD" w:rsidRPr="00141F33">
        <w:rPr>
          <w:rFonts w:eastAsia="Calibri"/>
          <w:lang w:eastAsia="en-US"/>
        </w:rPr>
        <w:t>we can make real changes.</w:t>
      </w:r>
    </w:p>
    <w:p w14:paraId="02F4D332" w14:textId="77777777" w:rsidR="00EE0ACD" w:rsidRPr="00141F33" w:rsidRDefault="00EE0ACD" w:rsidP="0033655C">
      <w:pPr>
        <w:spacing w:before="0" w:after="80" w:line="276" w:lineRule="auto"/>
        <w:rPr>
          <w:rFonts w:eastAsia="Calibri"/>
          <w:lang w:eastAsia="en-US"/>
        </w:rPr>
      </w:pPr>
      <w:r w:rsidRPr="00EE0ACD">
        <w:rPr>
          <w:rFonts w:eastAsia="Calibri"/>
          <w:lang w:eastAsia="en-US"/>
        </w:rPr>
        <w:t>The Greater Manchester Model</w:t>
      </w:r>
    </w:p>
    <w:p w14:paraId="0556CB4E" w14:textId="0CBBB4E4" w:rsidR="00EE0ACD" w:rsidRPr="00371A1E" w:rsidRDefault="00EE0ACD" w:rsidP="00371A1E">
      <w:pPr>
        <w:pStyle w:val="ListParagraph"/>
        <w:numPr>
          <w:ilvl w:val="0"/>
          <w:numId w:val="30"/>
        </w:numPr>
        <w:spacing w:before="0" w:after="120" w:line="276" w:lineRule="auto"/>
        <w:ind w:left="425" w:hanging="425"/>
      </w:pPr>
      <w:r w:rsidRPr="00371A1E">
        <w:t xml:space="preserve">The Greater Manchester Model outlines how public service delivery works in Greater Manchester. It will enable the region </w:t>
      </w:r>
      <w:r w:rsidR="00BA50BC">
        <w:t xml:space="preserve">to </w:t>
      </w:r>
      <w:r w:rsidRPr="00371A1E">
        <w:t>embed the principles of placed-based working and deliver the Greater Manchester Strategy.</w:t>
      </w:r>
    </w:p>
    <w:p w14:paraId="6DC23445" w14:textId="77777777" w:rsidR="00EE0ACD" w:rsidRPr="00141F33" w:rsidRDefault="00EE0ACD" w:rsidP="0033655C">
      <w:pPr>
        <w:spacing w:before="0" w:after="80" w:line="276" w:lineRule="auto"/>
        <w:rPr>
          <w:rFonts w:eastAsia="Calibri"/>
          <w:lang w:eastAsia="en-US"/>
        </w:rPr>
      </w:pPr>
      <w:r w:rsidRPr="00141F33">
        <w:rPr>
          <w:rFonts w:eastAsia="Calibri"/>
          <w:lang w:eastAsia="en-US"/>
        </w:rPr>
        <w:t xml:space="preserve">The Good Employment Charter. </w:t>
      </w:r>
    </w:p>
    <w:p w14:paraId="4E5C3018" w14:textId="77777777" w:rsidR="00EE0ACD" w:rsidRPr="00371A1E" w:rsidRDefault="00EE0ACD" w:rsidP="00371A1E">
      <w:pPr>
        <w:pStyle w:val="ListParagraph"/>
        <w:numPr>
          <w:ilvl w:val="0"/>
          <w:numId w:val="30"/>
        </w:numPr>
        <w:spacing w:before="0" w:after="120" w:line="276" w:lineRule="auto"/>
        <w:ind w:left="425" w:hanging="425"/>
      </w:pPr>
      <w:r w:rsidRPr="00371A1E">
        <w:t xml:space="preserve">The city-region’s Good Employment Charter encourages and supports employers to develop good jobs, deliver opportunities for people to progress, and help employers in the city-region grow and succeed. The Greater Manchester Good Employment Charter Supporters’ Network, the first of its kind in the UK, launched in July 2019 with more than 60 businesses signing up to the aims of the Charter. Employers will be supported to raise standards across </w:t>
      </w:r>
      <w:proofErr w:type="gramStart"/>
      <w:r w:rsidRPr="00371A1E">
        <w:t>a number of</w:t>
      </w:r>
      <w:proofErr w:type="gramEnd"/>
      <w:r w:rsidRPr="00371A1E">
        <w:t xml:space="preserve"> areas, including secure work, a real living wage and excellent recruitment and progression, with a tiered approach to help them progress.</w:t>
      </w:r>
    </w:p>
    <w:p w14:paraId="41ADEF25" w14:textId="77777777" w:rsidR="00EE0ACD" w:rsidRPr="00141F33" w:rsidRDefault="00EE0ACD" w:rsidP="0033655C">
      <w:pPr>
        <w:spacing w:before="0" w:after="80" w:line="276" w:lineRule="auto"/>
        <w:rPr>
          <w:rFonts w:eastAsia="Calibri"/>
          <w:lang w:eastAsia="en-US"/>
        </w:rPr>
      </w:pPr>
      <w:r w:rsidRPr="00141F33">
        <w:rPr>
          <w:rFonts w:eastAsia="Calibri"/>
          <w:lang w:eastAsia="en-US"/>
        </w:rPr>
        <w:t>The GMCA’s strategy for the region also informs its approach to employment policies and practices for its own staff, including in matters of pay.</w:t>
      </w:r>
    </w:p>
    <w:p w14:paraId="48BC43E5" w14:textId="3AB07B82" w:rsidR="00EE0ACD" w:rsidRPr="00141F33" w:rsidRDefault="00EE0ACD" w:rsidP="00371A1E">
      <w:pPr>
        <w:numPr>
          <w:ilvl w:val="0"/>
          <w:numId w:val="30"/>
        </w:numPr>
        <w:spacing w:before="0" w:line="276" w:lineRule="auto"/>
        <w:ind w:left="426" w:hanging="426"/>
        <w:rPr>
          <w:rFonts w:eastAsia="Calibri"/>
          <w:lang w:eastAsia="en-US"/>
        </w:rPr>
      </w:pPr>
      <w:r w:rsidRPr="00141F33">
        <w:rPr>
          <w:rFonts w:eastAsia="Calibri"/>
          <w:lang w:eastAsia="en-US"/>
        </w:rPr>
        <w:t xml:space="preserve">The </w:t>
      </w:r>
      <w:r w:rsidR="00BA50BC">
        <w:rPr>
          <w:rFonts w:eastAsia="Calibri"/>
          <w:lang w:eastAsia="en-US"/>
        </w:rPr>
        <w:t>A</w:t>
      </w:r>
      <w:r w:rsidRPr="00141F33">
        <w:rPr>
          <w:rFonts w:eastAsia="Calibri"/>
          <w:lang w:eastAsia="en-US"/>
        </w:rPr>
        <w:t>uthority’s remuneration strategy strives to balance the need for prudence in the use of the public purse and the ability to attract and retain highly skilled and motivated staff to deliver its pan GM objectives</w:t>
      </w:r>
    </w:p>
    <w:p w14:paraId="79857FC8" w14:textId="66299FA9" w:rsidR="00EE0ACD" w:rsidRPr="00141F33" w:rsidRDefault="00EE0ACD" w:rsidP="00371A1E">
      <w:pPr>
        <w:numPr>
          <w:ilvl w:val="0"/>
          <w:numId w:val="30"/>
        </w:numPr>
        <w:spacing w:before="0" w:line="276" w:lineRule="auto"/>
        <w:ind w:left="426" w:hanging="426"/>
        <w:rPr>
          <w:rFonts w:eastAsia="Calibri"/>
          <w:lang w:eastAsia="en-US"/>
        </w:rPr>
      </w:pPr>
      <w:r w:rsidRPr="00141F33">
        <w:rPr>
          <w:rFonts w:eastAsia="Calibri"/>
          <w:lang w:eastAsia="en-US"/>
        </w:rPr>
        <w:t xml:space="preserve">The </w:t>
      </w:r>
      <w:r w:rsidR="00BA50BC">
        <w:rPr>
          <w:rFonts w:eastAsia="Calibri"/>
          <w:lang w:eastAsia="en-US"/>
        </w:rPr>
        <w:t>A</w:t>
      </w:r>
      <w:r w:rsidRPr="00141F33">
        <w:rPr>
          <w:rFonts w:eastAsia="Calibri"/>
          <w:lang w:eastAsia="en-US"/>
        </w:rPr>
        <w:t xml:space="preserve">uthority recognises that remuneration is not the only determinant of a talent attraction strategy and hence seeks to deliver a package of reward and benefits that enhance the employee experience and allow skilled staff to develop to their full potential. </w:t>
      </w:r>
    </w:p>
    <w:p w14:paraId="11840276" w14:textId="535E4ED6" w:rsidR="00EE0ACD" w:rsidRPr="00141F33" w:rsidRDefault="00EE0ACD" w:rsidP="00371A1E">
      <w:pPr>
        <w:numPr>
          <w:ilvl w:val="0"/>
          <w:numId w:val="30"/>
        </w:numPr>
        <w:spacing w:before="0" w:line="276" w:lineRule="auto"/>
        <w:ind w:left="426" w:hanging="426"/>
        <w:rPr>
          <w:rFonts w:eastAsia="Calibri"/>
          <w:lang w:eastAsia="en-US"/>
        </w:rPr>
      </w:pPr>
      <w:r w:rsidRPr="00141F33">
        <w:rPr>
          <w:rFonts w:eastAsia="Calibri"/>
          <w:lang w:eastAsia="en-US"/>
        </w:rPr>
        <w:t xml:space="preserve">The </w:t>
      </w:r>
      <w:r w:rsidR="00BA50BC">
        <w:rPr>
          <w:rFonts w:eastAsia="Calibri"/>
          <w:lang w:eastAsia="en-US"/>
        </w:rPr>
        <w:t>A</w:t>
      </w:r>
      <w:r w:rsidRPr="00141F33">
        <w:rPr>
          <w:rFonts w:eastAsia="Calibri"/>
          <w:lang w:eastAsia="en-US"/>
        </w:rPr>
        <w:t xml:space="preserve">uthority is committed to being seen as an employer of choice and adopt modern, </w:t>
      </w:r>
      <w:proofErr w:type="gramStart"/>
      <w:r w:rsidRPr="00141F33">
        <w:rPr>
          <w:rFonts w:eastAsia="Calibri"/>
          <w:lang w:eastAsia="en-US"/>
        </w:rPr>
        <w:t>agile</w:t>
      </w:r>
      <w:proofErr w:type="gramEnd"/>
      <w:r w:rsidRPr="00141F33">
        <w:rPr>
          <w:rFonts w:eastAsia="Calibri"/>
          <w:lang w:eastAsia="en-US"/>
        </w:rPr>
        <w:t xml:space="preserve"> and flexible employment arrangements to maximise the delivery of its business objectives, along with the well-being of its employees.</w:t>
      </w:r>
    </w:p>
    <w:p w14:paraId="105F2470" w14:textId="664BC1AB" w:rsidR="00EE0ACD" w:rsidRPr="00141F33" w:rsidRDefault="00EE0ACD" w:rsidP="00371A1E">
      <w:pPr>
        <w:numPr>
          <w:ilvl w:val="0"/>
          <w:numId w:val="30"/>
        </w:numPr>
        <w:spacing w:before="0" w:line="276" w:lineRule="auto"/>
        <w:ind w:left="426" w:hanging="426"/>
        <w:rPr>
          <w:rFonts w:eastAsia="Calibri"/>
          <w:lang w:eastAsia="en-US"/>
        </w:rPr>
      </w:pPr>
      <w:r w:rsidRPr="00141F33">
        <w:rPr>
          <w:rFonts w:eastAsia="Calibri"/>
          <w:lang w:eastAsia="en-US"/>
        </w:rPr>
        <w:t xml:space="preserve">The </w:t>
      </w:r>
      <w:r w:rsidR="00BA50BC">
        <w:rPr>
          <w:rFonts w:eastAsia="Calibri"/>
          <w:lang w:eastAsia="en-US"/>
        </w:rPr>
        <w:t>A</w:t>
      </w:r>
      <w:r w:rsidRPr="00141F33">
        <w:rPr>
          <w:rFonts w:eastAsia="Calibri"/>
          <w:lang w:eastAsia="en-US"/>
        </w:rPr>
        <w:t>uthority’s employment practices are based on the principles of fairness and equality, maintaining the dignity of the individual.</w:t>
      </w:r>
    </w:p>
    <w:p w14:paraId="2D059FAD" w14:textId="199B2724" w:rsidR="00EE0ACD" w:rsidRPr="00141F33" w:rsidRDefault="00EE0ACD" w:rsidP="007F678C">
      <w:pPr>
        <w:numPr>
          <w:ilvl w:val="0"/>
          <w:numId w:val="30"/>
        </w:numPr>
        <w:spacing w:before="0" w:line="276" w:lineRule="auto"/>
        <w:ind w:left="425" w:hanging="425"/>
        <w:rPr>
          <w:rFonts w:eastAsia="Calibri"/>
          <w:lang w:eastAsia="en-US"/>
        </w:rPr>
      </w:pPr>
      <w:r w:rsidRPr="00141F33">
        <w:rPr>
          <w:rFonts w:eastAsia="Calibri"/>
          <w:lang w:eastAsia="en-US"/>
        </w:rPr>
        <w:t xml:space="preserve">Is committed to collaboration with its partner organisations in making the most effective use of its people resources </w:t>
      </w:r>
      <w:proofErr w:type="gramStart"/>
      <w:r w:rsidR="0063331F" w:rsidRPr="00141F33">
        <w:rPr>
          <w:rFonts w:eastAsia="Calibri"/>
          <w:lang w:eastAsia="en-US"/>
        </w:rPr>
        <w:t>e.g.</w:t>
      </w:r>
      <w:proofErr w:type="gramEnd"/>
      <w:r w:rsidRPr="00141F33">
        <w:rPr>
          <w:rFonts w:eastAsia="Calibri"/>
          <w:lang w:eastAsia="en-US"/>
        </w:rPr>
        <w:t xml:space="preserve"> shared roles with Transport for Greater Manchester (Chief Executive Officer</w:t>
      </w:r>
      <w:r w:rsidR="00C62D4C">
        <w:rPr>
          <w:rFonts w:eastAsia="Calibri"/>
          <w:lang w:eastAsia="en-US"/>
        </w:rPr>
        <w:t xml:space="preserve">, </w:t>
      </w:r>
      <w:r w:rsidRPr="00141F33">
        <w:rPr>
          <w:rFonts w:eastAsia="Calibri"/>
          <w:lang w:eastAsia="en-US"/>
        </w:rPr>
        <w:t>Head of Audit and Assurance</w:t>
      </w:r>
      <w:r w:rsidR="00C62D4C">
        <w:rPr>
          <w:rFonts w:eastAsia="Calibri"/>
          <w:lang w:eastAsia="en-US"/>
        </w:rPr>
        <w:t xml:space="preserve"> and Assistant </w:t>
      </w:r>
      <w:r w:rsidR="00C62D4C">
        <w:rPr>
          <w:rFonts w:eastAsia="Calibri"/>
          <w:lang w:eastAsia="en-US"/>
        </w:rPr>
        <w:lastRenderedPageBreak/>
        <w:t>Director of Information Governance</w:t>
      </w:r>
      <w:r w:rsidRPr="00141F33">
        <w:rPr>
          <w:rFonts w:eastAsia="Calibri"/>
          <w:lang w:eastAsia="en-US"/>
        </w:rPr>
        <w:t>), sharing Director of Communications with the NHS etc.</w:t>
      </w:r>
    </w:p>
    <w:bookmarkStart w:id="10" w:name="_Toc20479403" w:displacedByCustomXml="next"/>
    <w:sdt>
      <w:sdtPr>
        <w:alias w:val="Cannot be deleted or edited"/>
        <w:tag w:val="Cannot be deleted or edited"/>
        <w:id w:val="-503741189"/>
        <w:lock w:val="sdtContentLocked"/>
        <w:placeholder>
          <w:docPart w:val="F12172C33D9C4F538731B0F01C72517E"/>
        </w:placeholder>
      </w:sdtPr>
      <w:sdtEndPr/>
      <w:sdtContent>
        <w:p w14:paraId="4BCB7229" w14:textId="77777777" w:rsidR="00AD163E" w:rsidRPr="00DA71A4" w:rsidRDefault="00AD163E" w:rsidP="002351C9">
          <w:pPr>
            <w:pStyle w:val="Heading1"/>
            <w:spacing w:before="0" w:after="0" w:line="276" w:lineRule="auto"/>
          </w:pPr>
          <w:r w:rsidRPr="00DA71A4">
            <w:t>Policy Statement</w:t>
          </w:r>
        </w:p>
      </w:sdtContent>
    </w:sdt>
    <w:bookmarkEnd w:id="10" w:displacedByCustomXml="prev"/>
    <w:p w14:paraId="56E75F37" w14:textId="6B5E94DC" w:rsidR="00DB2DAD" w:rsidRDefault="00117F91" w:rsidP="00107399">
      <w:pPr>
        <w:spacing w:before="0" w:after="120" w:line="276" w:lineRule="auto"/>
      </w:pPr>
      <w:r>
        <w:t xml:space="preserve">The purpose of the </w:t>
      </w:r>
      <w:r w:rsidR="00985326">
        <w:t xml:space="preserve">Statement is to provide transparency </w:t>
      </w:r>
      <w:proofErr w:type="gramStart"/>
      <w:r w:rsidR="00985326">
        <w:t>with regard to</w:t>
      </w:r>
      <w:proofErr w:type="gramEnd"/>
      <w:r w:rsidR="00985326">
        <w:t xml:space="preserve"> the Authority’s approach to setting the pay of its employees</w:t>
      </w:r>
      <w:r w:rsidR="00565B92">
        <w:t>, during the period 1</w:t>
      </w:r>
      <w:r w:rsidR="00565B92" w:rsidRPr="00565B92">
        <w:rPr>
          <w:vertAlign w:val="superscript"/>
        </w:rPr>
        <w:t>st</w:t>
      </w:r>
      <w:r w:rsidR="00142F87">
        <w:t xml:space="preserve"> April 20</w:t>
      </w:r>
      <w:r w:rsidR="00C62D4C">
        <w:t>2</w:t>
      </w:r>
      <w:r w:rsidR="009B1660">
        <w:t>1</w:t>
      </w:r>
      <w:r w:rsidR="00565B92">
        <w:t xml:space="preserve"> to 31</w:t>
      </w:r>
      <w:r w:rsidR="00565B92" w:rsidRPr="00565B92">
        <w:rPr>
          <w:vertAlign w:val="superscript"/>
        </w:rPr>
        <w:t>st</w:t>
      </w:r>
      <w:r w:rsidR="00142F87">
        <w:t xml:space="preserve"> March 202</w:t>
      </w:r>
      <w:r w:rsidR="009B1660">
        <w:t>2.</w:t>
      </w:r>
    </w:p>
    <w:p w14:paraId="053CB666" w14:textId="77777777" w:rsidR="00985326" w:rsidRDefault="00985326" w:rsidP="00107399">
      <w:pPr>
        <w:spacing w:before="0" w:after="120" w:line="276" w:lineRule="auto"/>
      </w:pPr>
      <w:r>
        <w:t xml:space="preserve">In determining the pay and salary packages of </w:t>
      </w:r>
      <w:proofErr w:type="gramStart"/>
      <w:r>
        <w:t>all of</w:t>
      </w:r>
      <w:proofErr w:type="gramEnd"/>
      <w:r>
        <w:t xml:space="preserve"> its employees, the Authority will comply with all relevant employment legislation.</w:t>
      </w:r>
    </w:p>
    <w:p w14:paraId="052E0C5F" w14:textId="77777777" w:rsidR="00985326" w:rsidRDefault="00985326" w:rsidP="00107399">
      <w:pPr>
        <w:spacing w:before="0" w:after="120" w:line="276" w:lineRule="auto"/>
      </w:pPr>
      <w:r>
        <w:t xml:space="preserve">It is the policy of GMCA to ensure that </w:t>
      </w:r>
      <w:r w:rsidR="008416DD">
        <w:t xml:space="preserve">there is </w:t>
      </w:r>
      <w:r>
        <w:t xml:space="preserve">no pay discrimination within its pay structures and that all pay differentials can be objectively justified </w:t>
      </w:r>
      <w:proofErr w:type="gramStart"/>
      <w:r>
        <w:t>through the use of</w:t>
      </w:r>
      <w:proofErr w:type="gramEnd"/>
      <w:r>
        <w:t xml:space="preserve"> job evaluation mechanisms, which directly establish the relative levels of posts in grades according to the requirements, demands and responsibilities of the role.</w:t>
      </w:r>
    </w:p>
    <w:p w14:paraId="529D5D85" w14:textId="77777777" w:rsidR="00985326" w:rsidRDefault="00985326" w:rsidP="00107399">
      <w:pPr>
        <w:spacing w:before="0" w:after="120" w:line="276" w:lineRule="auto"/>
      </w:pPr>
      <w:r>
        <w:t>The Aut</w:t>
      </w:r>
      <w:r w:rsidR="008416DD">
        <w:t xml:space="preserve">hority is </w:t>
      </w:r>
      <w:r w:rsidR="000D5BFF">
        <w:t xml:space="preserve">also </w:t>
      </w:r>
      <w:r w:rsidR="008416DD">
        <w:t>required by law (The Equality Act 2010 (Specific Duties and Public Authorities) Regulations 2017) to publish an annual Gender Pay Gap Report</w:t>
      </w:r>
      <w:r w:rsidR="00C935FD">
        <w:t>,</w:t>
      </w:r>
      <w:r w:rsidR="008416DD">
        <w:t xml:space="preserve"> </w:t>
      </w:r>
      <w:r w:rsidR="00391F18">
        <w:t xml:space="preserve">the first of which </w:t>
      </w:r>
      <w:r w:rsidR="0039251C">
        <w:t xml:space="preserve">for GMFRS </w:t>
      </w:r>
      <w:r w:rsidR="00E36A60">
        <w:t>was published in April 2018.</w:t>
      </w:r>
    </w:p>
    <w:p w14:paraId="7A199C51" w14:textId="77777777" w:rsidR="00DB2DAD" w:rsidRDefault="00DB2DAD" w:rsidP="00DB2DAD"/>
    <w:bookmarkStart w:id="11" w:name="_Toc20479404" w:displacedByCustomXml="next"/>
    <w:sdt>
      <w:sdtPr>
        <w:alias w:val="Cannot be deleted or edited"/>
        <w:tag w:val="Cannot be deleted or edited"/>
        <w:id w:val="-1410613167"/>
        <w:lock w:val="sdtContentLocked"/>
        <w:placeholder>
          <w:docPart w:val="F12172C33D9C4F538731B0F01C72517E"/>
        </w:placeholder>
      </w:sdtPr>
      <w:sdtEndPr/>
      <w:sdtContent>
        <w:p w14:paraId="438EC9EF" w14:textId="77777777" w:rsidR="001E7EDA" w:rsidRPr="00DA71A4" w:rsidRDefault="001E7EDA" w:rsidP="002351C9">
          <w:pPr>
            <w:pStyle w:val="Heading1"/>
            <w:spacing w:before="0" w:after="0" w:line="276" w:lineRule="auto"/>
          </w:pPr>
          <w:r w:rsidRPr="00DA71A4">
            <w:t>Principles</w:t>
          </w:r>
        </w:p>
      </w:sdtContent>
    </w:sdt>
    <w:bookmarkEnd w:id="11" w:displacedByCustomXml="prev"/>
    <w:p w14:paraId="57E5AF10" w14:textId="77777777" w:rsidR="00107399" w:rsidRDefault="008416DD" w:rsidP="00107399">
      <w:pPr>
        <w:pStyle w:val="ListParagraph"/>
        <w:numPr>
          <w:ilvl w:val="0"/>
          <w:numId w:val="33"/>
        </w:numPr>
        <w:spacing w:before="0" w:after="120"/>
        <w:ind w:left="567" w:hanging="578"/>
        <w:contextualSpacing w:val="0"/>
      </w:pPr>
      <w:r>
        <w:t xml:space="preserve">The </w:t>
      </w:r>
      <w:r w:rsidR="00012B51">
        <w:t>Authority</w:t>
      </w:r>
      <w:r>
        <w:t xml:space="preserve"> currently operates its pay structures in line with that agreed nationally for staff employed under </w:t>
      </w:r>
      <w:r w:rsidR="0008188F" w:rsidRPr="005326CF">
        <w:t xml:space="preserve">The Joint Negotiating Committee (JNC) </w:t>
      </w:r>
      <w:r w:rsidR="005326CF">
        <w:t xml:space="preserve">and The </w:t>
      </w:r>
      <w:r w:rsidR="00C935FD">
        <w:t>National Joint Council (NJC) Terms and C</w:t>
      </w:r>
      <w:r>
        <w:t>onditions of service.</w:t>
      </w:r>
    </w:p>
    <w:p w14:paraId="2179DF77" w14:textId="77777777" w:rsidR="008416DD" w:rsidRDefault="008416DD" w:rsidP="00107399">
      <w:pPr>
        <w:pStyle w:val="ListParagraph"/>
        <w:numPr>
          <w:ilvl w:val="0"/>
          <w:numId w:val="33"/>
        </w:numPr>
        <w:tabs>
          <w:tab w:val="left" w:pos="567"/>
        </w:tabs>
        <w:spacing w:before="0"/>
        <w:ind w:left="567" w:hanging="567"/>
      </w:pPr>
      <w:r>
        <w:t xml:space="preserve">The </w:t>
      </w:r>
      <w:r w:rsidR="00012B51">
        <w:t>Authority</w:t>
      </w:r>
      <w:r>
        <w:t xml:space="preserve"> adopts the national pay bargaining arrangements in respect of the establishment and revision of all pay structures.  For example, through any agreed annual</w:t>
      </w:r>
      <w:r w:rsidR="00C935FD">
        <w:t xml:space="preserve"> pay increases negotiated with joint Trade U</w:t>
      </w:r>
      <w:r>
        <w:t>nions.</w:t>
      </w:r>
    </w:p>
    <w:p w14:paraId="5B7EAC39" w14:textId="77777777" w:rsidR="00107399" w:rsidRDefault="00107399" w:rsidP="00107399">
      <w:pPr>
        <w:pStyle w:val="ListParagraph"/>
        <w:tabs>
          <w:tab w:val="left" w:pos="567"/>
        </w:tabs>
        <w:spacing w:before="0"/>
        <w:ind w:left="567"/>
      </w:pPr>
    </w:p>
    <w:bookmarkStart w:id="12" w:name="_Toc20479405" w:displacedByCustomXml="next"/>
    <w:sdt>
      <w:sdtPr>
        <w:rPr>
          <w:b/>
        </w:rPr>
        <w:alias w:val="Cannot be deleted or edited"/>
        <w:tag w:val="Cannot be deleted or edited"/>
        <w:id w:val="-672270615"/>
        <w:lock w:val="sdtContentLocked"/>
        <w:placeholder>
          <w:docPart w:val="F12172C33D9C4F538731B0F01C72517E"/>
        </w:placeholder>
      </w:sdtPr>
      <w:sdtEndPr/>
      <w:sdtContent>
        <w:p w14:paraId="25A1F84D" w14:textId="77777777" w:rsidR="00E03918" w:rsidRPr="00DA71A4" w:rsidRDefault="00E03918" w:rsidP="000C0E09">
          <w:pPr>
            <w:pStyle w:val="Heading1"/>
            <w:rPr>
              <w:b/>
            </w:rPr>
          </w:pPr>
          <w:r w:rsidRPr="00DA71A4">
            <w:t>Roles &amp; Responsibilities</w:t>
          </w:r>
        </w:p>
      </w:sdtContent>
    </w:sdt>
    <w:bookmarkEnd w:id="12" w:displacedByCustomXml="prev"/>
    <w:p w14:paraId="51BF6389" w14:textId="3F9328E1" w:rsidR="008416DD" w:rsidRDefault="00C62D4C" w:rsidP="00107399">
      <w:bookmarkStart w:id="13" w:name="_Toc348536615"/>
      <w:r>
        <w:rPr>
          <w:b/>
        </w:rPr>
        <w:t>People Services</w:t>
      </w:r>
      <w:r w:rsidR="00605E01" w:rsidRPr="007077C0">
        <w:rPr>
          <w:b/>
        </w:rPr>
        <w:t xml:space="preserve"> </w:t>
      </w:r>
      <w:r w:rsidR="008416DD" w:rsidRPr="007077C0">
        <w:rPr>
          <w:b/>
        </w:rPr>
        <w:t>Directorate</w:t>
      </w:r>
      <w:r w:rsidR="008416DD">
        <w:rPr>
          <w:b/>
        </w:rPr>
        <w:t xml:space="preserve"> </w:t>
      </w:r>
      <w:r w:rsidR="005326CF">
        <w:t xml:space="preserve">are </w:t>
      </w:r>
      <w:r w:rsidR="008416DD">
        <w:t>responsible for reviewing and updating this Policy &amp; Procedure on an annual basis.</w:t>
      </w:r>
    </w:p>
    <w:p w14:paraId="365A5623" w14:textId="77777777" w:rsidR="008416DD" w:rsidRDefault="008416DD" w:rsidP="00107399">
      <w:r w:rsidRPr="008906FE">
        <w:rPr>
          <w:b/>
        </w:rPr>
        <w:t>GM</w:t>
      </w:r>
      <w:r>
        <w:rPr>
          <w:b/>
        </w:rPr>
        <w:t xml:space="preserve">CA </w:t>
      </w:r>
      <w:r w:rsidR="00706C1B" w:rsidRPr="00706C1B">
        <w:rPr>
          <w:b/>
        </w:rPr>
        <w:t xml:space="preserve">Resources </w:t>
      </w:r>
      <w:r>
        <w:rPr>
          <w:b/>
        </w:rPr>
        <w:t xml:space="preserve">Committee </w:t>
      </w:r>
      <w:r w:rsidR="005326CF">
        <w:t xml:space="preserve">is </w:t>
      </w:r>
      <w:r>
        <w:t xml:space="preserve">responsible for reviewing the Policy and the salary levels </w:t>
      </w:r>
      <w:r w:rsidR="005326CF">
        <w:t>contained within it.</w:t>
      </w:r>
    </w:p>
    <w:p w14:paraId="42A74E9D" w14:textId="77777777" w:rsidR="00EF3FAF" w:rsidRPr="00EF3FAF" w:rsidRDefault="00EF3FAF" w:rsidP="00107399">
      <w:r w:rsidRPr="00EF3FAF">
        <w:rPr>
          <w:b/>
        </w:rPr>
        <w:t>GMCA</w:t>
      </w:r>
      <w:r>
        <w:rPr>
          <w:b/>
        </w:rPr>
        <w:t xml:space="preserve"> </w:t>
      </w:r>
      <w:r>
        <w:t xml:space="preserve">should ensure that the document is publicly available through its website.  That the Policy is applied fairly and consistently throughout the </w:t>
      </w:r>
      <w:r w:rsidR="00012B51">
        <w:t>Authority.</w:t>
      </w:r>
    </w:p>
    <w:p w14:paraId="277FA4F8" w14:textId="77777777" w:rsidR="00107399" w:rsidRDefault="00107399">
      <w:pPr>
        <w:spacing w:before="0" w:line="240" w:lineRule="auto"/>
        <w:jc w:val="left"/>
      </w:pPr>
      <w:r>
        <w:br w:type="page"/>
      </w:r>
    </w:p>
    <w:bookmarkStart w:id="14" w:name="_Toc20479406" w:displacedByCustomXml="next"/>
    <w:sdt>
      <w:sdtPr>
        <w:alias w:val="Cannot be deleted or edited"/>
        <w:tag w:val="Cannot be deleted or edited"/>
        <w:id w:val="-338236445"/>
        <w:lock w:val="sdtContentLocked"/>
        <w:placeholder>
          <w:docPart w:val="F12172C33D9C4F538731B0F01C72517E"/>
        </w:placeholder>
      </w:sdtPr>
      <w:sdtEndPr/>
      <w:sdtContent>
        <w:p w14:paraId="66E87FF4" w14:textId="77777777" w:rsidR="00E24E4F" w:rsidRPr="00DA71A4" w:rsidRDefault="00E24E4F" w:rsidP="002351C9">
          <w:pPr>
            <w:pStyle w:val="Heading1"/>
            <w:spacing w:before="0" w:after="0" w:line="276" w:lineRule="auto"/>
          </w:pPr>
          <w:r w:rsidRPr="00DA71A4">
            <w:t>Procedure</w:t>
          </w:r>
        </w:p>
        <w:bookmarkEnd w:id="13" w:displacedByCustomXml="next"/>
      </w:sdtContent>
    </w:sdt>
    <w:bookmarkEnd w:id="14" w:displacedByCustomXml="prev"/>
    <w:p w14:paraId="0081A6E2" w14:textId="77777777" w:rsidR="00E458C0" w:rsidRPr="008D2616" w:rsidRDefault="005326CF" w:rsidP="008D2616">
      <w:pPr>
        <w:pStyle w:val="Heading2"/>
      </w:pPr>
      <w:bookmarkStart w:id="15" w:name="_Toc20479407"/>
      <w:r>
        <w:t>Pay Structure</w:t>
      </w:r>
      <w:bookmarkEnd w:id="15"/>
      <w:r>
        <w:t xml:space="preserve"> </w:t>
      </w:r>
    </w:p>
    <w:p w14:paraId="08EBED85" w14:textId="77777777" w:rsidR="000E31E7" w:rsidRDefault="00391F18" w:rsidP="007F678C">
      <w:pPr>
        <w:pStyle w:val="ListParagraph"/>
        <w:numPr>
          <w:ilvl w:val="0"/>
          <w:numId w:val="32"/>
        </w:numPr>
        <w:spacing w:before="0" w:after="120" w:line="276" w:lineRule="auto"/>
        <w:ind w:left="641" w:hanging="357"/>
        <w:contextualSpacing w:val="0"/>
      </w:pPr>
      <w:r>
        <w:t xml:space="preserve">The Authority uses nationally negotiated pay rates, which determines the salaries of </w:t>
      </w:r>
      <w:proofErr w:type="gramStart"/>
      <w:r>
        <w:t>the large majority of</w:t>
      </w:r>
      <w:proofErr w:type="gramEnd"/>
      <w:r>
        <w:t xml:space="preserve"> its employees.</w:t>
      </w:r>
      <w:r w:rsidR="00141F33" w:rsidRPr="00141F33">
        <w:t xml:space="preserve"> Jobs are assigned appropriate grades based on job evaluation schemes such as the NJC Scheme, the LGA Scheme being applied to non-operational roles. Operational roles for the Fire and Rescue Service are maintained as per the Grey Book provisions.</w:t>
      </w:r>
      <w:r>
        <w:t xml:space="preserve"> </w:t>
      </w:r>
    </w:p>
    <w:p w14:paraId="5E03AA62" w14:textId="77777777" w:rsidR="00391F18" w:rsidRDefault="00B9340D" w:rsidP="00107399">
      <w:pPr>
        <w:pStyle w:val="ListParagraph"/>
        <w:numPr>
          <w:ilvl w:val="0"/>
          <w:numId w:val="32"/>
        </w:numPr>
        <w:spacing w:before="0" w:after="120" w:line="276" w:lineRule="auto"/>
        <w:ind w:left="641" w:hanging="357"/>
        <w:contextualSpacing w:val="0"/>
      </w:pPr>
      <w:r>
        <w:t>The Authority adopts the national pay bargaining arrangements in respect of the establishment and revision of pay rates, for example through any agreed annual pay i</w:t>
      </w:r>
      <w:r w:rsidR="00C935FD">
        <w:t>ncreases negotiated with joint Trade U</w:t>
      </w:r>
      <w:r>
        <w:t>nions, subject to any local agreements in place.</w:t>
      </w:r>
    </w:p>
    <w:p w14:paraId="4DAC573E" w14:textId="3675DF41" w:rsidR="007102E9" w:rsidRPr="00491251" w:rsidRDefault="00141F33" w:rsidP="00141F33">
      <w:pPr>
        <w:pStyle w:val="ListParagraph"/>
        <w:numPr>
          <w:ilvl w:val="0"/>
          <w:numId w:val="32"/>
        </w:numPr>
        <w:spacing w:before="0" w:after="120" w:line="276" w:lineRule="auto"/>
        <w:ind w:left="641" w:hanging="357"/>
        <w:contextualSpacing w:val="0"/>
      </w:pPr>
      <w:r w:rsidRPr="00491251">
        <w:t xml:space="preserve">Where a nationally negotiated pay rate does not apply, the Authority will determine the salary rate through a relevant job </w:t>
      </w:r>
      <w:r w:rsidRPr="00A550DA">
        <w:t>evaluation process, benchmarking and local negotiation</w:t>
      </w:r>
      <w:r w:rsidRPr="007F678C">
        <w:t xml:space="preserve"> and agreement</w:t>
      </w:r>
      <w:r w:rsidRPr="00491251">
        <w:t>.</w:t>
      </w:r>
    </w:p>
    <w:p w14:paraId="679BBB64" w14:textId="77777777" w:rsidR="007102E9" w:rsidRDefault="007102E9" w:rsidP="00107399">
      <w:pPr>
        <w:pStyle w:val="ListParagraph"/>
        <w:numPr>
          <w:ilvl w:val="0"/>
          <w:numId w:val="32"/>
        </w:numPr>
        <w:spacing w:before="0" w:after="120" w:line="276" w:lineRule="auto"/>
        <w:ind w:left="641" w:hanging="357"/>
        <w:contextualSpacing w:val="0"/>
      </w:pPr>
      <w:r>
        <w:t>All other pay related issues are the subject of either nationally or locally negotiated rates, having been determined from time to time in accordance with collective bargaining machinery.</w:t>
      </w:r>
    </w:p>
    <w:p w14:paraId="5C70CB4F" w14:textId="4383E8A3" w:rsidR="007102E9" w:rsidRDefault="007102E9" w:rsidP="00107399">
      <w:pPr>
        <w:pStyle w:val="ListParagraph"/>
        <w:numPr>
          <w:ilvl w:val="0"/>
          <w:numId w:val="32"/>
        </w:numPr>
        <w:spacing w:before="0" w:after="120" w:line="276" w:lineRule="auto"/>
        <w:ind w:left="641" w:hanging="357"/>
        <w:contextualSpacing w:val="0"/>
      </w:pPr>
      <w:r w:rsidRPr="000B302C">
        <w:t xml:space="preserve">In determining its grading structure and setting salary packages for any posts which fall outside of the scope of the national pay bargaining arrangements, the Authority takes account of the need to ensure value for money in respect of the use of public expenditure, balanced against the need to recruit and retain employees who </w:t>
      </w:r>
      <w:proofErr w:type="gramStart"/>
      <w:r w:rsidRPr="000B302C">
        <w:t>are able to</w:t>
      </w:r>
      <w:proofErr w:type="gramEnd"/>
      <w:r w:rsidRPr="000B302C">
        <w:t xml:space="preserve"> meet the requirements of providing high quality services to the community.</w:t>
      </w:r>
      <w:r w:rsidR="00CC0C8A">
        <w:t xml:space="preserve">  </w:t>
      </w:r>
    </w:p>
    <w:p w14:paraId="6E3489B0" w14:textId="77777777" w:rsidR="006464B2" w:rsidRDefault="00603648" w:rsidP="00107399">
      <w:pPr>
        <w:pStyle w:val="ListParagraph"/>
        <w:numPr>
          <w:ilvl w:val="0"/>
          <w:numId w:val="32"/>
        </w:numPr>
        <w:spacing w:after="120"/>
        <w:ind w:left="641" w:hanging="357"/>
        <w:contextualSpacing w:val="0"/>
      </w:pPr>
      <w:r w:rsidRPr="00603648">
        <w:t>There are circumstances where the terms of Transfer of Undertakings Protection of Employees (TUPE) may determine the eligibility of pay awards for employees who transfer into the Authority.</w:t>
      </w:r>
    </w:p>
    <w:p w14:paraId="709305AB" w14:textId="78CF6B04" w:rsidR="00141F33" w:rsidRDefault="00141F33" w:rsidP="007F678C">
      <w:pPr>
        <w:pStyle w:val="ListParagraph"/>
        <w:numPr>
          <w:ilvl w:val="0"/>
          <w:numId w:val="32"/>
        </w:numPr>
        <w:spacing w:before="0" w:after="120" w:line="276" w:lineRule="auto"/>
        <w:ind w:left="641" w:hanging="357"/>
        <w:contextualSpacing w:val="0"/>
      </w:pPr>
      <w:r>
        <w:t xml:space="preserve">From time to </w:t>
      </w:r>
      <w:r w:rsidR="0063331F">
        <w:t>time,</w:t>
      </w:r>
      <w:r>
        <w:t xml:space="preserve"> it may be necessary to take account of the external pay levels in the labour market </w:t>
      </w:r>
      <w:proofErr w:type="gramStart"/>
      <w:r>
        <w:t>in order to</w:t>
      </w:r>
      <w:proofErr w:type="gramEnd"/>
      <w:r>
        <w:t xml:space="preserve"> attract and retain employees with particular experience, skills and capacity.  Where necessary, the </w:t>
      </w:r>
      <w:r w:rsidR="0080503C">
        <w:t>A</w:t>
      </w:r>
      <w:r>
        <w:t xml:space="preserve">uthority will ensure the requirement for such is objectively justified by reference to clear sources available from within the public sector and outside as appropriate. </w:t>
      </w:r>
    </w:p>
    <w:p w14:paraId="534D5E24" w14:textId="77777777" w:rsidR="00141F33" w:rsidRDefault="00141F33" w:rsidP="007F678C">
      <w:pPr>
        <w:pStyle w:val="ListParagraph"/>
        <w:numPr>
          <w:ilvl w:val="0"/>
          <w:numId w:val="32"/>
        </w:numPr>
        <w:spacing w:before="0" w:after="120" w:line="276" w:lineRule="auto"/>
        <w:ind w:left="641" w:hanging="357"/>
        <w:contextualSpacing w:val="0"/>
      </w:pPr>
      <w:r>
        <w:t>In instances where a temporary market rate supplement is applied, this will be reviewed on a regular basis by the appropriate authority.</w:t>
      </w:r>
    </w:p>
    <w:p w14:paraId="5A217001" w14:textId="77777777" w:rsidR="00141F33" w:rsidRDefault="00141F33" w:rsidP="007F678C">
      <w:pPr>
        <w:pStyle w:val="ListParagraph"/>
        <w:numPr>
          <w:ilvl w:val="0"/>
          <w:numId w:val="32"/>
        </w:numPr>
        <w:spacing w:before="0" w:after="120" w:line="276" w:lineRule="auto"/>
        <w:ind w:left="641" w:hanging="357"/>
        <w:contextualSpacing w:val="0"/>
      </w:pPr>
      <w:r>
        <w:t xml:space="preserve">In determining its grading structure and setting salary packages for any posts which fall outside of the scope of the national pay bargaining arrangements, the Authority takes account of the need to ensure value for money in respect of the use of public expenditure, balanced against the need to recruit and retain employees who </w:t>
      </w:r>
      <w:proofErr w:type="gramStart"/>
      <w:r>
        <w:t>are able to</w:t>
      </w:r>
      <w:proofErr w:type="gramEnd"/>
      <w:r>
        <w:t xml:space="preserve"> meet the requirements of providing high quality services to the community.</w:t>
      </w:r>
    </w:p>
    <w:p w14:paraId="2A54ABFF" w14:textId="77777777" w:rsidR="000B302C" w:rsidRDefault="000B302C">
      <w:pPr>
        <w:spacing w:before="0" w:line="240" w:lineRule="auto"/>
        <w:jc w:val="left"/>
        <w:rPr>
          <w:b/>
          <w:sz w:val="28"/>
          <w:lang w:val="en"/>
        </w:rPr>
      </w:pPr>
      <w:r>
        <w:br w:type="page"/>
      </w:r>
    </w:p>
    <w:p w14:paraId="4FD2C9E7" w14:textId="24D213F7" w:rsidR="009A7F84" w:rsidRDefault="009A7F84" w:rsidP="009A7F84">
      <w:pPr>
        <w:pStyle w:val="Heading2"/>
      </w:pPr>
      <w:bookmarkStart w:id="16" w:name="_Toc20479408"/>
      <w:r>
        <w:lastRenderedPageBreak/>
        <w:t>Collective Bargaining</w:t>
      </w:r>
      <w:bookmarkEnd w:id="16"/>
      <w:r>
        <w:t xml:space="preserve"> </w:t>
      </w:r>
    </w:p>
    <w:p w14:paraId="64988034" w14:textId="77777777" w:rsidR="009A7F84" w:rsidRDefault="009A7F84" w:rsidP="007F678C">
      <w:pPr>
        <w:pStyle w:val="ListParagraph"/>
        <w:numPr>
          <w:ilvl w:val="0"/>
          <w:numId w:val="32"/>
        </w:numPr>
        <w:spacing w:before="0" w:after="120" w:line="276" w:lineRule="auto"/>
        <w:ind w:left="641" w:hanging="357"/>
        <w:contextualSpacing w:val="0"/>
      </w:pPr>
      <w:r>
        <w:t xml:space="preserve">The authority has a strong commitment to working with its recognised trade unions in all aspects of its employment practices, including pay arrangements. It remains committed to national pay bargaining and national pay structures. </w:t>
      </w:r>
    </w:p>
    <w:p w14:paraId="497B2A33" w14:textId="5835C9EE" w:rsidR="009A7F84" w:rsidRPr="005F45EF" w:rsidRDefault="009A7F84" w:rsidP="007F678C">
      <w:pPr>
        <w:pStyle w:val="ListParagraph"/>
        <w:numPr>
          <w:ilvl w:val="0"/>
          <w:numId w:val="32"/>
        </w:numPr>
        <w:spacing w:before="0" w:after="120" w:line="276" w:lineRule="auto"/>
        <w:ind w:left="641" w:hanging="357"/>
        <w:contextualSpacing w:val="0"/>
      </w:pPr>
      <w:r w:rsidRPr="005F45EF">
        <w:t xml:space="preserve">In April </w:t>
      </w:r>
      <w:r w:rsidR="0063331F" w:rsidRPr="005F45EF">
        <w:t>2018,</w:t>
      </w:r>
      <w:r w:rsidRPr="005F45EF">
        <w:t xml:space="preserve"> agreement was reached between National Employers and TUC Trade Union side on </w:t>
      </w:r>
      <w:r w:rsidR="00C62D4C">
        <w:t xml:space="preserve">the </w:t>
      </w:r>
      <w:r w:rsidRPr="005F45EF">
        <w:t xml:space="preserve">implementation of a new NJC pay spine in 2019/20. This required changes to the </w:t>
      </w:r>
      <w:r w:rsidR="0080503C" w:rsidRPr="005F45EF">
        <w:t>A</w:t>
      </w:r>
      <w:r w:rsidRPr="005F45EF">
        <w:t>uthority’s grading structure for Grades 1 - 11. The authority worked closely with its trade unions</w:t>
      </w:r>
      <w:r w:rsidR="00C62D4C">
        <w:t>, during this time, to</w:t>
      </w:r>
      <w:r w:rsidRPr="005F45EF">
        <w:t xml:space="preserve"> implement the required changes. </w:t>
      </w:r>
      <w:r w:rsidR="00C62D4C" w:rsidRPr="005F45EF">
        <w:t>The 202</w:t>
      </w:r>
      <w:r w:rsidR="009B1660">
        <w:t>1</w:t>
      </w:r>
      <w:r w:rsidR="001134A2" w:rsidRPr="005F45EF">
        <w:t>/2</w:t>
      </w:r>
      <w:r w:rsidR="009B1660">
        <w:t>2</w:t>
      </w:r>
      <w:r w:rsidRPr="005F45EF">
        <w:t xml:space="preserve"> pay and grading structure is attached as Appendix 1 to this statement.</w:t>
      </w:r>
    </w:p>
    <w:p w14:paraId="0A61F262" w14:textId="77777777" w:rsidR="001B4AD0" w:rsidRDefault="001B4AD0" w:rsidP="00D76CF8">
      <w:pPr>
        <w:pStyle w:val="Heading2"/>
      </w:pPr>
      <w:bookmarkStart w:id="17" w:name="_Toc20479409"/>
      <w:r>
        <w:t>Job Evaluation</w:t>
      </w:r>
      <w:bookmarkEnd w:id="17"/>
      <w:r>
        <w:t xml:space="preserve"> </w:t>
      </w:r>
    </w:p>
    <w:p w14:paraId="6A9C3E3D" w14:textId="77777777" w:rsidR="001B4AD0" w:rsidRDefault="001B4AD0" w:rsidP="00107399">
      <w:pPr>
        <w:pStyle w:val="ListParagraph"/>
        <w:numPr>
          <w:ilvl w:val="0"/>
          <w:numId w:val="32"/>
        </w:numPr>
        <w:spacing w:before="0" w:after="120"/>
        <w:ind w:left="641" w:hanging="357"/>
        <w:contextualSpacing w:val="0"/>
        <w:rPr>
          <w:lang w:val="en"/>
        </w:rPr>
      </w:pPr>
      <w:r>
        <w:rPr>
          <w:lang w:val="en"/>
        </w:rPr>
        <w:t>All new posts under the NJC terms and conditions of service are job evaluated under the Gauge System to ensure consistency and parity.</w:t>
      </w:r>
    </w:p>
    <w:p w14:paraId="070CA38C" w14:textId="77777777" w:rsidR="00D76CF8" w:rsidRPr="00D76CF8" w:rsidRDefault="001B4AD0" w:rsidP="00107399">
      <w:pPr>
        <w:pStyle w:val="ListParagraph"/>
        <w:numPr>
          <w:ilvl w:val="0"/>
          <w:numId w:val="32"/>
        </w:numPr>
        <w:spacing w:before="0" w:after="120"/>
        <w:ind w:left="641" w:hanging="357"/>
        <w:contextualSpacing w:val="0"/>
        <w:rPr>
          <w:lang w:val="en"/>
        </w:rPr>
      </w:pPr>
      <w:r>
        <w:rPr>
          <w:rFonts w:eastAsia="Calibri"/>
          <w:lang w:eastAsia="en-US"/>
        </w:rPr>
        <w:t xml:space="preserve">Local Authority Fire and Rescue Services (NJC) </w:t>
      </w:r>
      <w:r w:rsidR="00C935FD">
        <w:rPr>
          <w:rFonts w:eastAsia="Calibri"/>
          <w:lang w:eastAsia="en-US"/>
        </w:rPr>
        <w:t>Terms and C</w:t>
      </w:r>
      <w:r w:rsidR="00D76CF8">
        <w:rPr>
          <w:rFonts w:eastAsia="Calibri"/>
          <w:lang w:eastAsia="en-US"/>
        </w:rPr>
        <w:t>onditions are contained within nationally agreed role profiles.</w:t>
      </w:r>
    </w:p>
    <w:p w14:paraId="0AEAEF3B" w14:textId="77777777" w:rsidR="009760DC" w:rsidRDefault="001B4AD0" w:rsidP="009760DC">
      <w:pPr>
        <w:pStyle w:val="Heading2"/>
      </w:pPr>
      <w:r w:rsidRPr="00D76CF8">
        <w:rPr>
          <w:rFonts w:eastAsia="Calibri"/>
          <w:lang w:eastAsia="en-US"/>
        </w:rPr>
        <w:t xml:space="preserve"> </w:t>
      </w:r>
      <w:bookmarkStart w:id="18" w:name="_Toc20479410"/>
      <w:r w:rsidR="00D76CF8">
        <w:t xml:space="preserve">The </w:t>
      </w:r>
      <w:r w:rsidR="005D61A0">
        <w:t xml:space="preserve">Foundation </w:t>
      </w:r>
      <w:r w:rsidR="00D76CF8">
        <w:t>Living Wage</w:t>
      </w:r>
      <w:bookmarkEnd w:id="18"/>
    </w:p>
    <w:p w14:paraId="71E854D7" w14:textId="77777777" w:rsidR="009760DC" w:rsidRDefault="005D61A0" w:rsidP="007F678C">
      <w:pPr>
        <w:pStyle w:val="ListParagraph"/>
        <w:numPr>
          <w:ilvl w:val="0"/>
          <w:numId w:val="32"/>
        </w:numPr>
        <w:spacing w:before="0" w:after="120" w:line="276" w:lineRule="auto"/>
        <w:ind w:left="641" w:hanging="357"/>
        <w:contextualSpacing w:val="0"/>
        <w:rPr>
          <w:lang w:val="en"/>
        </w:rPr>
      </w:pPr>
      <w:r>
        <w:rPr>
          <w:lang w:val="en"/>
        </w:rPr>
        <w:t xml:space="preserve">Foundation </w:t>
      </w:r>
      <w:r w:rsidR="009760DC">
        <w:rPr>
          <w:lang w:val="en"/>
        </w:rPr>
        <w:t>Living Wage rates are based on Minimum Income Standards methodology and seek to take account of real living costs for essential goods and services</w:t>
      </w:r>
      <w:r w:rsidR="00AB4E75">
        <w:rPr>
          <w:lang w:val="en"/>
        </w:rPr>
        <w:t xml:space="preserve"> T</w:t>
      </w:r>
      <w:r w:rsidR="00AB4E75" w:rsidRPr="007F678C">
        <w:rPr>
          <w:lang w:val="en"/>
        </w:rPr>
        <w:t>he Foundation Living Wage Rate is reviewed and announced by the Living Wage Foundation on 1 November each year.  The provision for the Foundation Living Wage will be kept under review</w:t>
      </w:r>
      <w:r w:rsidR="009760DC">
        <w:rPr>
          <w:lang w:val="en"/>
        </w:rPr>
        <w:t>.</w:t>
      </w:r>
    </w:p>
    <w:p w14:paraId="5D11108F" w14:textId="77777777" w:rsidR="00603648" w:rsidRDefault="009760DC" w:rsidP="00AD1E4F">
      <w:pPr>
        <w:pStyle w:val="ListParagraph"/>
        <w:numPr>
          <w:ilvl w:val="0"/>
          <w:numId w:val="32"/>
        </w:numPr>
        <w:spacing w:before="0" w:after="120" w:line="276" w:lineRule="auto"/>
        <w:ind w:left="641" w:hanging="357"/>
        <w:contextualSpacing w:val="0"/>
        <w:rPr>
          <w:lang w:val="en"/>
        </w:rPr>
      </w:pPr>
      <w:r w:rsidRPr="009760DC">
        <w:rPr>
          <w:lang w:val="en"/>
        </w:rPr>
        <w:t xml:space="preserve">Through the Pay Policy Statement, the Authority is committed to and pays the </w:t>
      </w:r>
      <w:r w:rsidR="005D61A0">
        <w:rPr>
          <w:lang w:val="en"/>
        </w:rPr>
        <w:t xml:space="preserve">Foundation </w:t>
      </w:r>
      <w:r w:rsidRPr="009760DC">
        <w:rPr>
          <w:lang w:val="en"/>
        </w:rPr>
        <w:t xml:space="preserve">Living Wage </w:t>
      </w:r>
      <w:r>
        <w:rPr>
          <w:lang w:val="en"/>
        </w:rPr>
        <w:t>for all employees.</w:t>
      </w:r>
    </w:p>
    <w:p w14:paraId="6E6FB325" w14:textId="51417EAB" w:rsidR="001D63D8" w:rsidRPr="005F45EF" w:rsidRDefault="001D63D8" w:rsidP="000B302C">
      <w:pPr>
        <w:pStyle w:val="ListParagraph"/>
        <w:numPr>
          <w:ilvl w:val="0"/>
          <w:numId w:val="32"/>
        </w:numPr>
        <w:spacing w:before="0" w:after="120" w:line="276" w:lineRule="auto"/>
        <w:ind w:left="641" w:hanging="357"/>
        <w:contextualSpacing w:val="0"/>
        <w:rPr>
          <w:lang w:val="en"/>
        </w:rPr>
      </w:pPr>
      <w:r w:rsidRPr="005F45EF">
        <w:rPr>
          <w:lang w:val="en"/>
        </w:rPr>
        <w:t xml:space="preserve">The </w:t>
      </w:r>
      <w:r w:rsidR="00142F87" w:rsidRPr="005F45EF">
        <w:rPr>
          <w:lang w:val="en"/>
        </w:rPr>
        <w:t>20</w:t>
      </w:r>
      <w:r w:rsidR="00C62D4C">
        <w:rPr>
          <w:lang w:val="en"/>
        </w:rPr>
        <w:t>2</w:t>
      </w:r>
      <w:r w:rsidR="005E76CC">
        <w:rPr>
          <w:lang w:val="en"/>
        </w:rPr>
        <w:t>1</w:t>
      </w:r>
      <w:r w:rsidR="00142F87" w:rsidRPr="005F45EF">
        <w:rPr>
          <w:lang w:val="en"/>
        </w:rPr>
        <w:t>/2</w:t>
      </w:r>
      <w:r w:rsidR="005E76CC">
        <w:rPr>
          <w:lang w:val="en"/>
        </w:rPr>
        <w:t>2</w:t>
      </w:r>
      <w:r w:rsidRPr="005F45EF">
        <w:rPr>
          <w:lang w:val="en"/>
        </w:rPr>
        <w:t xml:space="preserve"> Foundation Living Wage rate, set in November 20</w:t>
      </w:r>
      <w:r w:rsidR="009B1660">
        <w:rPr>
          <w:lang w:val="en"/>
        </w:rPr>
        <w:t>2</w:t>
      </w:r>
      <w:r w:rsidR="00432457">
        <w:rPr>
          <w:lang w:val="en"/>
        </w:rPr>
        <w:t>0</w:t>
      </w:r>
      <w:r w:rsidRPr="005F45EF">
        <w:rPr>
          <w:lang w:val="en"/>
        </w:rPr>
        <w:t>, is £9.</w:t>
      </w:r>
      <w:r w:rsidR="00164294">
        <w:rPr>
          <w:lang w:val="en"/>
        </w:rPr>
        <w:t>5</w:t>
      </w:r>
      <w:r w:rsidR="009B1660">
        <w:rPr>
          <w:lang w:val="en"/>
        </w:rPr>
        <w:t>0</w:t>
      </w:r>
      <w:r w:rsidRPr="005F45EF">
        <w:rPr>
          <w:lang w:val="en"/>
        </w:rPr>
        <w:t xml:space="preserve"> per hour outside London</w:t>
      </w:r>
      <w:r w:rsidR="00DD0D0E">
        <w:rPr>
          <w:lang w:val="en"/>
        </w:rPr>
        <w:t>.</w:t>
      </w:r>
    </w:p>
    <w:p w14:paraId="4E388621" w14:textId="1C5FAFC9" w:rsidR="001D63D8" w:rsidRPr="005F45EF" w:rsidRDefault="001D63D8" w:rsidP="001D63D8">
      <w:pPr>
        <w:pStyle w:val="ListParagraph"/>
        <w:numPr>
          <w:ilvl w:val="0"/>
          <w:numId w:val="32"/>
        </w:numPr>
        <w:spacing w:before="0" w:after="120" w:line="276" w:lineRule="auto"/>
        <w:ind w:left="641" w:hanging="357"/>
        <w:contextualSpacing w:val="0"/>
        <w:rPr>
          <w:lang w:val="en"/>
        </w:rPr>
      </w:pPr>
      <w:r w:rsidRPr="005F45EF">
        <w:rPr>
          <w:lang w:val="en"/>
        </w:rPr>
        <w:t xml:space="preserve">The </w:t>
      </w:r>
      <w:r w:rsidR="00DD0D0E">
        <w:rPr>
          <w:lang w:val="en"/>
        </w:rPr>
        <w:t xml:space="preserve">changes to </w:t>
      </w:r>
      <w:r w:rsidR="00142F87" w:rsidRPr="005F45EF">
        <w:rPr>
          <w:lang w:val="en"/>
        </w:rPr>
        <w:t>2019/20</w:t>
      </w:r>
      <w:r w:rsidRPr="005F45EF">
        <w:rPr>
          <w:lang w:val="en"/>
        </w:rPr>
        <w:t xml:space="preserve"> NJC pay spine enable</w:t>
      </w:r>
      <w:r w:rsidR="00142F87" w:rsidRPr="005F45EF">
        <w:rPr>
          <w:lang w:val="en"/>
        </w:rPr>
        <w:t>d</w:t>
      </w:r>
      <w:r w:rsidRPr="005F45EF">
        <w:rPr>
          <w:lang w:val="en"/>
        </w:rPr>
        <w:t xml:space="preserve"> the GMCA to stay aligned with the any future increases to the ‘Real’ living wage. SCP </w:t>
      </w:r>
      <w:r w:rsidR="005E76CC">
        <w:rPr>
          <w:lang w:val="en"/>
        </w:rPr>
        <w:t>1</w:t>
      </w:r>
      <w:r w:rsidRPr="005F45EF">
        <w:rPr>
          <w:lang w:val="en"/>
        </w:rPr>
        <w:t>, the lowest S</w:t>
      </w:r>
      <w:r w:rsidR="00142F87" w:rsidRPr="005F45EF">
        <w:rPr>
          <w:lang w:val="en"/>
        </w:rPr>
        <w:t>CP in the GMCA pay spine equated</w:t>
      </w:r>
      <w:r w:rsidRPr="005F45EF">
        <w:rPr>
          <w:lang w:val="en"/>
        </w:rPr>
        <w:t xml:space="preserve"> to £</w:t>
      </w:r>
      <w:r w:rsidR="005E76CC">
        <w:rPr>
          <w:lang w:val="en"/>
        </w:rPr>
        <w:t>9.69</w:t>
      </w:r>
      <w:r w:rsidRPr="005F45EF">
        <w:rPr>
          <w:lang w:val="en"/>
        </w:rPr>
        <w:t xml:space="preserve"> per hour</w:t>
      </w:r>
      <w:r w:rsidR="00DD0D0E">
        <w:rPr>
          <w:lang w:val="en"/>
        </w:rPr>
        <w:t xml:space="preserve"> in 202</w:t>
      </w:r>
      <w:r w:rsidR="00164294">
        <w:rPr>
          <w:lang w:val="en"/>
        </w:rPr>
        <w:t>1</w:t>
      </w:r>
      <w:r w:rsidR="00DD0D0E">
        <w:rPr>
          <w:lang w:val="en"/>
        </w:rPr>
        <w:t>/2</w:t>
      </w:r>
      <w:r w:rsidR="00164294">
        <w:rPr>
          <w:lang w:val="en"/>
        </w:rPr>
        <w:t>2</w:t>
      </w:r>
      <w:r w:rsidRPr="005F45EF">
        <w:rPr>
          <w:lang w:val="en"/>
        </w:rPr>
        <w:t>.</w:t>
      </w:r>
    </w:p>
    <w:p w14:paraId="2F483B67" w14:textId="77777777" w:rsidR="006603BB" w:rsidRDefault="006603BB">
      <w:pPr>
        <w:spacing w:before="0" w:line="240" w:lineRule="auto"/>
        <w:jc w:val="left"/>
        <w:rPr>
          <w:b/>
          <w:sz w:val="28"/>
          <w:lang w:val="en"/>
        </w:rPr>
      </w:pPr>
      <w:r>
        <w:br w:type="page"/>
      </w:r>
    </w:p>
    <w:p w14:paraId="6AFCD8F4" w14:textId="40E1BE24" w:rsidR="006A0A94" w:rsidRPr="006A0A94" w:rsidRDefault="006A0A94" w:rsidP="00AD1E4F">
      <w:pPr>
        <w:pStyle w:val="Heading2"/>
      </w:pPr>
      <w:bookmarkStart w:id="19" w:name="_Toc20479411"/>
      <w:r w:rsidRPr="006A0A94">
        <w:lastRenderedPageBreak/>
        <w:t>Chief Executive Officer (GMCA and TfGM)</w:t>
      </w:r>
      <w:bookmarkEnd w:id="19"/>
      <w:r w:rsidRPr="006A0A94">
        <w:t xml:space="preserve"> </w:t>
      </w:r>
    </w:p>
    <w:p w14:paraId="011C06F9" w14:textId="7094340D" w:rsidR="006A0A94" w:rsidRPr="008F4AFD" w:rsidRDefault="006A0A94" w:rsidP="00AD1E4F">
      <w:pPr>
        <w:pStyle w:val="ListParagraph"/>
        <w:numPr>
          <w:ilvl w:val="0"/>
          <w:numId w:val="32"/>
        </w:numPr>
        <w:spacing w:before="0" w:after="120"/>
        <w:ind w:left="641" w:hanging="357"/>
        <w:contextualSpacing w:val="0"/>
        <w:rPr>
          <w:lang w:val="en"/>
        </w:rPr>
      </w:pPr>
      <w:r w:rsidRPr="008F4AFD">
        <w:rPr>
          <w:lang w:val="en"/>
        </w:rPr>
        <w:t xml:space="preserve">The GMCA Resources Committee, </w:t>
      </w:r>
      <w:r w:rsidR="0080503C">
        <w:rPr>
          <w:lang w:val="en"/>
        </w:rPr>
        <w:t>o</w:t>
      </w:r>
      <w:r w:rsidR="0080503C" w:rsidRPr="008F4AFD">
        <w:rPr>
          <w:lang w:val="en"/>
        </w:rPr>
        <w:t xml:space="preserve">n </w:t>
      </w:r>
      <w:r w:rsidRPr="008F4AFD">
        <w:rPr>
          <w:lang w:val="en"/>
        </w:rPr>
        <w:t>29</w:t>
      </w:r>
      <w:r w:rsidR="0080503C" w:rsidRPr="00E00EF1">
        <w:rPr>
          <w:vertAlign w:val="superscript"/>
          <w:lang w:val="en"/>
        </w:rPr>
        <w:t>th</w:t>
      </w:r>
      <w:r w:rsidR="0080503C">
        <w:rPr>
          <w:lang w:val="en"/>
        </w:rPr>
        <w:t xml:space="preserve"> </w:t>
      </w:r>
      <w:r w:rsidRPr="008F4AFD">
        <w:rPr>
          <w:lang w:val="en"/>
        </w:rPr>
        <w:t xml:space="preserve">March 2019, approved the establishment of a joint Chief Executive Officer (CEO) role covering executive leadership of the GMCA and TfGM and made the recommendation to the GMCA that the Chief Executive - GMCA be appointed to the joint role of CEO GMCA and TfGM. Korn Ferry were tasked with determining a suitable remuneration level for this </w:t>
      </w:r>
      <w:r w:rsidR="004846A5">
        <w:rPr>
          <w:lang w:val="en"/>
        </w:rPr>
        <w:t xml:space="preserve">new </w:t>
      </w:r>
      <w:r w:rsidRPr="008F4AFD">
        <w:rPr>
          <w:lang w:val="en"/>
        </w:rPr>
        <w:t>role.</w:t>
      </w:r>
    </w:p>
    <w:p w14:paraId="36C33209" w14:textId="77777777" w:rsidR="009760DC" w:rsidRDefault="009760DC" w:rsidP="009760DC">
      <w:pPr>
        <w:pStyle w:val="Heading2"/>
      </w:pPr>
      <w:bookmarkStart w:id="20" w:name="_Toc20479412"/>
      <w:r>
        <w:t>Senior Management Salary</w:t>
      </w:r>
      <w:bookmarkEnd w:id="20"/>
      <w:r>
        <w:t xml:space="preserve"> </w:t>
      </w:r>
    </w:p>
    <w:p w14:paraId="7963437B" w14:textId="77777777" w:rsidR="009760DC" w:rsidRDefault="009C3CBB" w:rsidP="00107399">
      <w:pPr>
        <w:pStyle w:val="ListParagraph"/>
        <w:numPr>
          <w:ilvl w:val="0"/>
          <w:numId w:val="32"/>
        </w:numPr>
        <w:spacing w:before="0" w:after="120"/>
        <w:ind w:left="641" w:hanging="357"/>
        <w:contextualSpacing w:val="0"/>
        <w:rPr>
          <w:lang w:val="en"/>
        </w:rPr>
      </w:pPr>
      <w:r>
        <w:rPr>
          <w:lang w:val="en"/>
        </w:rPr>
        <w:t xml:space="preserve">The Localism Act refers to Chief Officers and Deputies, however it should be noted that the definition is very broad, therefore for the purposes of this Policy Senior Management is considered by GMCA to be those posts named below: </w:t>
      </w:r>
    </w:p>
    <w:tbl>
      <w:tblPr>
        <w:tblStyle w:val="TableGrid"/>
        <w:tblW w:w="9524" w:type="dxa"/>
        <w:jc w:val="center"/>
        <w:tblLook w:val="04A0" w:firstRow="1" w:lastRow="0" w:firstColumn="1" w:lastColumn="0" w:noHBand="0" w:noVBand="1"/>
      </w:tblPr>
      <w:tblGrid>
        <w:gridCol w:w="7083"/>
        <w:gridCol w:w="2441"/>
      </w:tblGrid>
      <w:tr w:rsidR="00A34945" w14:paraId="2B8CBE3C" w14:textId="77777777" w:rsidTr="004301ED">
        <w:trPr>
          <w:trHeight w:val="703"/>
          <w:jc w:val="center"/>
        </w:trPr>
        <w:tc>
          <w:tcPr>
            <w:tcW w:w="7083" w:type="dxa"/>
            <w:shd w:val="clear" w:color="auto" w:fill="D9D9D9" w:themeFill="background1" w:themeFillShade="D9"/>
          </w:tcPr>
          <w:p w14:paraId="7020B912" w14:textId="77777777" w:rsidR="00AC5E7E" w:rsidRPr="00FC167E" w:rsidRDefault="00AC5E7E" w:rsidP="00A34945">
            <w:pPr>
              <w:spacing w:after="120"/>
              <w:jc w:val="center"/>
              <w:rPr>
                <w:b/>
                <w:highlight w:val="lightGray"/>
                <w:lang w:val="en"/>
              </w:rPr>
            </w:pPr>
            <w:r w:rsidRPr="00FC167E">
              <w:rPr>
                <w:b/>
                <w:highlight w:val="lightGray"/>
                <w:lang w:val="en"/>
              </w:rPr>
              <w:t>Job Title</w:t>
            </w:r>
          </w:p>
        </w:tc>
        <w:tc>
          <w:tcPr>
            <w:tcW w:w="2441" w:type="dxa"/>
            <w:shd w:val="clear" w:color="auto" w:fill="D9D9D9" w:themeFill="background1" w:themeFillShade="D9"/>
          </w:tcPr>
          <w:p w14:paraId="3268DD41" w14:textId="77777777" w:rsidR="00DC6AAC" w:rsidRDefault="00DC6AAC" w:rsidP="00DC6AAC">
            <w:pPr>
              <w:spacing w:before="0"/>
              <w:jc w:val="center"/>
              <w:rPr>
                <w:b/>
                <w:lang w:val="en"/>
              </w:rPr>
            </w:pPr>
            <w:r>
              <w:rPr>
                <w:b/>
                <w:lang w:val="en"/>
              </w:rPr>
              <w:t xml:space="preserve">Full Time </w:t>
            </w:r>
          </w:p>
          <w:p w14:paraId="7BFCC7DF" w14:textId="77777777" w:rsidR="00AC5E7E" w:rsidRPr="00A34945" w:rsidRDefault="00AC5E7E" w:rsidP="00DC6AAC">
            <w:pPr>
              <w:spacing w:before="0"/>
              <w:jc w:val="center"/>
              <w:rPr>
                <w:b/>
                <w:lang w:val="en"/>
              </w:rPr>
            </w:pPr>
            <w:r w:rsidRPr="00A34945">
              <w:rPr>
                <w:b/>
                <w:lang w:val="en"/>
              </w:rPr>
              <w:t>Salary £</w:t>
            </w:r>
            <w:r w:rsidR="0039251C" w:rsidRPr="00A34945">
              <w:rPr>
                <w:b/>
                <w:lang w:val="en"/>
              </w:rPr>
              <w:t xml:space="preserve"> (PA)</w:t>
            </w:r>
          </w:p>
        </w:tc>
      </w:tr>
      <w:tr w:rsidR="00A34945" w14:paraId="525A2B3A" w14:textId="77777777" w:rsidTr="004301ED">
        <w:trPr>
          <w:trHeight w:val="340"/>
          <w:jc w:val="center"/>
        </w:trPr>
        <w:tc>
          <w:tcPr>
            <w:tcW w:w="7083" w:type="dxa"/>
            <w:vAlign w:val="top"/>
          </w:tcPr>
          <w:p w14:paraId="57699BCA" w14:textId="77777777" w:rsidR="00DD0D0E" w:rsidRDefault="009961C9" w:rsidP="00DD0D0E">
            <w:pPr>
              <w:spacing w:after="240" w:line="240" w:lineRule="auto"/>
              <w:rPr>
                <w:rFonts w:cs="Arial"/>
                <w:lang w:val="en"/>
              </w:rPr>
            </w:pPr>
            <w:r w:rsidRPr="00417419">
              <w:rPr>
                <w:rFonts w:cs="Arial"/>
                <w:lang w:val="en"/>
              </w:rPr>
              <w:t xml:space="preserve">The GMCA Chief Executive - this role took on combined responsibilities as Chief Executive Officer, GMCA &amp; Transport for Greater Manchester (TfGM) </w:t>
            </w:r>
            <w:r w:rsidR="000D0606">
              <w:rPr>
                <w:rFonts w:cs="Arial"/>
                <w:lang w:val="en"/>
              </w:rPr>
              <w:t>as of 26</w:t>
            </w:r>
            <w:r w:rsidR="000D0606" w:rsidRPr="000D0606">
              <w:rPr>
                <w:rFonts w:cs="Arial"/>
                <w:vertAlign w:val="superscript"/>
                <w:lang w:val="en"/>
              </w:rPr>
              <w:t>th</w:t>
            </w:r>
            <w:r w:rsidR="000D0606">
              <w:rPr>
                <w:rFonts w:cs="Arial"/>
                <w:lang w:val="en"/>
              </w:rPr>
              <w:t xml:space="preserve"> November 2018</w:t>
            </w:r>
            <w:r w:rsidR="004301ED">
              <w:rPr>
                <w:rFonts w:cs="Arial"/>
                <w:lang w:val="en"/>
              </w:rPr>
              <w:t xml:space="preserve">. </w:t>
            </w:r>
          </w:p>
          <w:p w14:paraId="1F0F1C27" w14:textId="34E1D9B4" w:rsidR="000D0606" w:rsidRPr="004301ED" w:rsidRDefault="000D0606" w:rsidP="00DD0D0E">
            <w:pPr>
              <w:spacing w:after="240" w:line="240" w:lineRule="auto"/>
              <w:rPr>
                <w:rFonts w:cs="Arial"/>
                <w:i/>
                <w:lang w:val="en"/>
              </w:rPr>
            </w:pPr>
            <w:proofErr w:type="gramStart"/>
            <w:r w:rsidRPr="004301ED">
              <w:rPr>
                <w:rFonts w:cs="Arial"/>
                <w:i/>
                <w:lang w:val="en"/>
              </w:rPr>
              <w:t>For the purpose of</w:t>
            </w:r>
            <w:proofErr w:type="gramEnd"/>
            <w:r w:rsidRPr="004301ED">
              <w:rPr>
                <w:rFonts w:cs="Arial"/>
                <w:i/>
                <w:lang w:val="en"/>
              </w:rPr>
              <w:t xml:space="preserve"> the GMCA Pay </w:t>
            </w:r>
            <w:r w:rsidR="003B6EF3" w:rsidRPr="004301ED">
              <w:rPr>
                <w:rFonts w:cs="Arial"/>
                <w:i/>
                <w:lang w:val="en"/>
              </w:rPr>
              <w:t>Policy,</w:t>
            </w:r>
            <w:r w:rsidRPr="004301ED">
              <w:rPr>
                <w:rFonts w:cs="Arial"/>
                <w:i/>
                <w:lang w:val="en"/>
              </w:rPr>
              <w:t xml:space="preserve"> the Full time Salary used for this role </w:t>
            </w:r>
            <w:r w:rsidR="003B6EF3" w:rsidRPr="004301ED">
              <w:rPr>
                <w:rFonts w:cs="Arial"/>
                <w:i/>
                <w:lang w:val="en"/>
              </w:rPr>
              <w:t xml:space="preserve">excludes the increase to reflect the </w:t>
            </w:r>
            <w:r w:rsidRPr="004301ED">
              <w:rPr>
                <w:rFonts w:cs="Arial"/>
                <w:i/>
                <w:lang w:val="en"/>
              </w:rPr>
              <w:t>additional responsibility for TfGM. Th</w:t>
            </w:r>
            <w:r w:rsidR="003B6EF3" w:rsidRPr="004301ED">
              <w:rPr>
                <w:rFonts w:cs="Arial"/>
                <w:i/>
                <w:lang w:val="en"/>
              </w:rPr>
              <w:t>is</w:t>
            </w:r>
            <w:r w:rsidRPr="004301ED">
              <w:rPr>
                <w:rFonts w:cs="Arial"/>
                <w:i/>
                <w:lang w:val="en"/>
              </w:rPr>
              <w:t xml:space="preserve"> decision was taken as this Pay Policy is for the GMCA only and excludes TfGM. </w:t>
            </w:r>
          </w:p>
        </w:tc>
        <w:tc>
          <w:tcPr>
            <w:tcW w:w="2441" w:type="dxa"/>
            <w:vAlign w:val="top"/>
          </w:tcPr>
          <w:p w14:paraId="21B7D77E" w14:textId="52C3ED78" w:rsidR="004A43DE" w:rsidRDefault="00DB7F08" w:rsidP="009F0DE2">
            <w:pPr>
              <w:spacing w:before="60" w:after="180"/>
              <w:jc w:val="center"/>
              <w:rPr>
                <w:lang w:val="en"/>
              </w:rPr>
            </w:pPr>
            <w:r>
              <w:rPr>
                <w:lang w:val="en"/>
              </w:rPr>
              <w:t>(</w:t>
            </w:r>
            <w:r w:rsidR="006603BB">
              <w:rPr>
                <w:lang w:val="en"/>
              </w:rPr>
              <w:t>Full time salary for GMCA &amp; TFGM</w:t>
            </w:r>
            <w:r>
              <w:rPr>
                <w:lang w:val="en"/>
              </w:rPr>
              <w:t xml:space="preserve"> </w:t>
            </w:r>
            <w:r w:rsidR="006603BB">
              <w:rPr>
                <w:lang w:val="en"/>
              </w:rPr>
              <w:t>£</w:t>
            </w:r>
            <w:r w:rsidR="00B73AFD">
              <w:rPr>
                <w:lang w:val="en"/>
              </w:rPr>
              <w:t>229,440.80</w:t>
            </w:r>
            <w:r>
              <w:rPr>
                <w:lang w:val="en"/>
              </w:rPr>
              <w:t>)</w:t>
            </w:r>
          </w:p>
          <w:p w14:paraId="07887431" w14:textId="77777777" w:rsidR="004301ED" w:rsidRDefault="004301ED" w:rsidP="00DC6AAC">
            <w:pPr>
              <w:spacing w:before="60" w:after="60"/>
              <w:jc w:val="center"/>
              <w:rPr>
                <w:lang w:val="en"/>
              </w:rPr>
            </w:pPr>
          </w:p>
          <w:p w14:paraId="41A959F5" w14:textId="1BBEF34C" w:rsidR="004A43DE" w:rsidRDefault="003B6EF3" w:rsidP="00DC6AAC">
            <w:pPr>
              <w:spacing w:before="60" w:after="60"/>
              <w:jc w:val="center"/>
              <w:rPr>
                <w:lang w:val="en"/>
              </w:rPr>
            </w:pPr>
            <w:r>
              <w:rPr>
                <w:lang w:val="en"/>
              </w:rPr>
              <w:t>Full time</w:t>
            </w:r>
            <w:r w:rsidR="004A43DE">
              <w:rPr>
                <w:lang w:val="en"/>
              </w:rPr>
              <w:t xml:space="preserve"> Salary</w:t>
            </w:r>
            <w:r w:rsidR="006603BB">
              <w:rPr>
                <w:lang w:val="en"/>
              </w:rPr>
              <w:t xml:space="preserve"> for GMCA role</w:t>
            </w:r>
          </w:p>
          <w:p w14:paraId="18ECE000" w14:textId="7BF26F11" w:rsidR="00DB7F08" w:rsidRDefault="006603BB" w:rsidP="00F14060">
            <w:pPr>
              <w:spacing w:before="60" w:after="60"/>
              <w:jc w:val="center"/>
              <w:rPr>
                <w:lang w:val="en"/>
              </w:rPr>
            </w:pPr>
            <w:r>
              <w:rPr>
                <w:lang w:val="en"/>
              </w:rPr>
              <w:t>£</w:t>
            </w:r>
            <w:r w:rsidR="00B73AFD">
              <w:rPr>
                <w:lang w:val="en"/>
              </w:rPr>
              <w:t>195,308.36</w:t>
            </w:r>
          </w:p>
        </w:tc>
      </w:tr>
      <w:tr w:rsidR="00710B80" w14:paraId="2C343D43" w14:textId="77777777" w:rsidTr="004301ED">
        <w:trPr>
          <w:trHeight w:val="340"/>
          <w:jc w:val="center"/>
        </w:trPr>
        <w:tc>
          <w:tcPr>
            <w:tcW w:w="7083" w:type="dxa"/>
          </w:tcPr>
          <w:p w14:paraId="683937FE" w14:textId="169287C9" w:rsidR="00710B80" w:rsidRDefault="00710B80" w:rsidP="00710B80">
            <w:pPr>
              <w:spacing w:before="60" w:after="60"/>
              <w:jc w:val="left"/>
              <w:rPr>
                <w:lang w:val="en"/>
              </w:rPr>
            </w:pPr>
            <w:r>
              <w:rPr>
                <w:lang w:val="en"/>
              </w:rPr>
              <w:t>Chief Fire Officer</w:t>
            </w:r>
          </w:p>
        </w:tc>
        <w:tc>
          <w:tcPr>
            <w:tcW w:w="2441" w:type="dxa"/>
            <w:vAlign w:val="bottom"/>
          </w:tcPr>
          <w:p w14:paraId="76260900" w14:textId="72A47574" w:rsidR="00710B80" w:rsidRDefault="00710B80" w:rsidP="00710B80">
            <w:pPr>
              <w:spacing w:before="60" w:after="60"/>
              <w:jc w:val="center"/>
              <w:rPr>
                <w:lang w:val="en"/>
              </w:rPr>
            </w:pPr>
            <w:r>
              <w:rPr>
                <w:lang w:val="en"/>
              </w:rPr>
              <w:t>£</w:t>
            </w:r>
            <w:r w:rsidR="00B73AFD">
              <w:rPr>
                <w:lang w:val="en"/>
              </w:rPr>
              <w:t>172,205.15</w:t>
            </w:r>
          </w:p>
        </w:tc>
      </w:tr>
      <w:tr w:rsidR="00710B80" w14:paraId="13CC6A04" w14:textId="77777777" w:rsidTr="004301ED">
        <w:trPr>
          <w:trHeight w:val="340"/>
          <w:jc w:val="center"/>
        </w:trPr>
        <w:tc>
          <w:tcPr>
            <w:tcW w:w="7083" w:type="dxa"/>
          </w:tcPr>
          <w:p w14:paraId="6B1EFB58" w14:textId="5E4EA3E6" w:rsidR="00710B80" w:rsidRPr="009961C9" w:rsidRDefault="00710B80" w:rsidP="00710B80">
            <w:pPr>
              <w:spacing w:before="60" w:after="60"/>
              <w:jc w:val="left"/>
              <w:rPr>
                <w:lang w:val="en"/>
              </w:rPr>
            </w:pPr>
            <w:r>
              <w:rPr>
                <w:lang w:val="en"/>
              </w:rPr>
              <w:t>GMCA Solicitor and Monitoring Officer</w:t>
            </w:r>
          </w:p>
        </w:tc>
        <w:tc>
          <w:tcPr>
            <w:tcW w:w="2441" w:type="dxa"/>
            <w:vAlign w:val="bottom"/>
          </w:tcPr>
          <w:p w14:paraId="1E9D4E2A" w14:textId="74C91D4F" w:rsidR="00710B80" w:rsidRPr="009961C9" w:rsidRDefault="00710B80" w:rsidP="00710B80">
            <w:pPr>
              <w:spacing w:before="60" w:after="60"/>
              <w:jc w:val="center"/>
              <w:rPr>
                <w:lang w:val="en"/>
              </w:rPr>
            </w:pPr>
            <w:r>
              <w:rPr>
                <w:lang w:val="en"/>
              </w:rPr>
              <w:t>£</w:t>
            </w:r>
            <w:r w:rsidR="00B73AFD">
              <w:rPr>
                <w:lang w:val="en"/>
              </w:rPr>
              <w:t>142,925.54</w:t>
            </w:r>
          </w:p>
        </w:tc>
      </w:tr>
      <w:tr w:rsidR="00710B80" w14:paraId="2AFABCDC" w14:textId="77777777" w:rsidTr="004301ED">
        <w:trPr>
          <w:trHeight w:val="340"/>
          <w:jc w:val="center"/>
        </w:trPr>
        <w:tc>
          <w:tcPr>
            <w:tcW w:w="7083" w:type="dxa"/>
          </w:tcPr>
          <w:p w14:paraId="240BDD3E" w14:textId="293F3950" w:rsidR="00710B80" w:rsidRDefault="00710B80" w:rsidP="00710B80">
            <w:pPr>
              <w:spacing w:before="60" w:after="60"/>
              <w:jc w:val="left"/>
              <w:rPr>
                <w:lang w:val="en"/>
              </w:rPr>
            </w:pPr>
            <w:r>
              <w:rPr>
                <w:lang w:val="en"/>
              </w:rPr>
              <w:t>Deputy Chief Executive</w:t>
            </w:r>
          </w:p>
        </w:tc>
        <w:tc>
          <w:tcPr>
            <w:tcW w:w="2441" w:type="dxa"/>
            <w:vAlign w:val="bottom"/>
          </w:tcPr>
          <w:p w14:paraId="7633596E" w14:textId="31C9DCBF" w:rsidR="00710B80" w:rsidRDefault="00710B80" w:rsidP="00710B80">
            <w:pPr>
              <w:spacing w:before="60" w:after="60"/>
              <w:jc w:val="center"/>
              <w:rPr>
                <w:lang w:val="en"/>
              </w:rPr>
            </w:pPr>
            <w:r>
              <w:rPr>
                <w:lang w:val="en"/>
              </w:rPr>
              <w:t>£</w:t>
            </w:r>
            <w:r w:rsidR="00B73AFD">
              <w:rPr>
                <w:lang w:val="en"/>
              </w:rPr>
              <w:t>142,466.55</w:t>
            </w:r>
          </w:p>
        </w:tc>
      </w:tr>
      <w:tr w:rsidR="00710B80" w14:paraId="00513AA0" w14:textId="77777777" w:rsidTr="004301ED">
        <w:trPr>
          <w:trHeight w:val="340"/>
          <w:jc w:val="center"/>
        </w:trPr>
        <w:tc>
          <w:tcPr>
            <w:tcW w:w="7083" w:type="dxa"/>
          </w:tcPr>
          <w:p w14:paraId="702C0CF9" w14:textId="4E8B07EA" w:rsidR="00710B80" w:rsidRDefault="00710B80" w:rsidP="00710B80">
            <w:pPr>
              <w:spacing w:before="60" w:after="60"/>
              <w:jc w:val="left"/>
              <w:rPr>
                <w:lang w:val="en"/>
              </w:rPr>
            </w:pPr>
            <w:r>
              <w:rPr>
                <w:lang w:val="en"/>
              </w:rPr>
              <w:t xml:space="preserve">GMCA Treasurer </w:t>
            </w:r>
          </w:p>
        </w:tc>
        <w:tc>
          <w:tcPr>
            <w:tcW w:w="2441" w:type="dxa"/>
            <w:vAlign w:val="bottom"/>
          </w:tcPr>
          <w:p w14:paraId="64FAB07B" w14:textId="75B3EF76" w:rsidR="00710B80" w:rsidRDefault="00710B80" w:rsidP="00710B80">
            <w:pPr>
              <w:spacing w:before="60" w:after="60"/>
              <w:jc w:val="center"/>
              <w:rPr>
                <w:lang w:val="en"/>
              </w:rPr>
            </w:pPr>
            <w:r>
              <w:rPr>
                <w:lang w:val="en"/>
              </w:rPr>
              <w:t>£</w:t>
            </w:r>
            <w:r w:rsidR="00B73AFD">
              <w:rPr>
                <w:lang w:val="en"/>
              </w:rPr>
              <w:t>141,836.10</w:t>
            </w:r>
          </w:p>
        </w:tc>
      </w:tr>
    </w:tbl>
    <w:p w14:paraId="058A1936" w14:textId="77777777" w:rsidR="00603648" w:rsidRPr="00603648" w:rsidRDefault="009760DC" w:rsidP="00A34945">
      <w:pPr>
        <w:pStyle w:val="ListParagraph"/>
        <w:numPr>
          <w:ilvl w:val="0"/>
          <w:numId w:val="34"/>
        </w:numPr>
        <w:spacing w:before="40" w:line="276" w:lineRule="auto"/>
        <w:ind w:left="357" w:hanging="357"/>
        <w:rPr>
          <w:i/>
          <w:sz w:val="18"/>
          <w:szCs w:val="18"/>
        </w:rPr>
      </w:pPr>
      <w:r w:rsidRPr="00F623BA">
        <w:rPr>
          <w:i/>
          <w:sz w:val="18"/>
          <w:szCs w:val="18"/>
        </w:rPr>
        <w:t xml:space="preserve">The above represents gross annual salary and does not include </w:t>
      </w:r>
      <w:r>
        <w:rPr>
          <w:i/>
          <w:sz w:val="18"/>
          <w:szCs w:val="18"/>
        </w:rPr>
        <w:t>‘</w:t>
      </w:r>
      <w:r w:rsidRPr="00F623BA">
        <w:rPr>
          <w:i/>
          <w:sz w:val="18"/>
          <w:szCs w:val="18"/>
        </w:rPr>
        <w:t xml:space="preserve">on </w:t>
      </w:r>
      <w:proofErr w:type="gramStart"/>
      <w:r w:rsidRPr="00F623BA">
        <w:rPr>
          <w:i/>
          <w:sz w:val="18"/>
          <w:szCs w:val="18"/>
        </w:rPr>
        <w:t>costs</w:t>
      </w:r>
      <w:r>
        <w:rPr>
          <w:i/>
          <w:sz w:val="18"/>
          <w:szCs w:val="18"/>
        </w:rPr>
        <w:t>’</w:t>
      </w:r>
      <w:proofErr w:type="gramEnd"/>
      <w:r w:rsidRPr="00F623BA">
        <w:rPr>
          <w:i/>
          <w:sz w:val="18"/>
          <w:szCs w:val="18"/>
        </w:rPr>
        <w:t xml:space="preserve"> or additional allowances </w:t>
      </w:r>
      <w:r w:rsidR="00D90A38">
        <w:rPr>
          <w:i/>
          <w:sz w:val="18"/>
          <w:szCs w:val="18"/>
        </w:rPr>
        <w:t xml:space="preserve">which may be </w:t>
      </w:r>
      <w:r w:rsidRPr="00F623BA">
        <w:rPr>
          <w:i/>
          <w:sz w:val="18"/>
          <w:szCs w:val="18"/>
        </w:rPr>
        <w:t>associated with the role</w:t>
      </w:r>
      <w:bookmarkStart w:id="21" w:name="_Toc473712844"/>
    </w:p>
    <w:p w14:paraId="1DF5DD40" w14:textId="77777777" w:rsidR="002546EA" w:rsidRPr="002546EA" w:rsidRDefault="002546EA" w:rsidP="002546EA">
      <w:pPr>
        <w:pStyle w:val="Heading2"/>
      </w:pPr>
      <w:bookmarkStart w:id="22" w:name="_Toc20479413"/>
      <w:r w:rsidRPr="002546EA">
        <w:t>Remuneration of the lowest paid employees</w:t>
      </w:r>
      <w:bookmarkEnd w:id="21"/>
      <w:bookmarkEnd w:id="22"/>
      <w:r w:rsidRPr="002546EA">
        <w:t xml:space="preserve">  </w:t>
      </w:r>
    </w:p>
    <w:p w14:paraId="7C358F4D" w14:textId="2DA9D62C" w:rsidR="002546EA" w:rsidRPr="002546EA" w:rsidRDefault="002546EA" w:rsidP="00107399">
      <w:pPr>
        <w:pStyle w:val="ListParagraph"/>
        <w:numPr>
          <w:ilvl w:val="0"/>
          <w:numId w:val="32"/>
        </w:numPr>
        <w:spacing w:before="0" w:after="120" w:line="276" w:lineRule="auto"/>
        <w:ind w:left="641" w:hanging="357"/>
        <w:contextualSpacing w:val="0"/>
      </w:pPr>
      <w:r w:rsidRPr="002546EA">
        <w:t xml:space="preserve">For those in operational roles covered by (Grey Book Terms and Conditions), the lowest paid roles are the Trainee </w:t>
      </w:r>
      <w:r w:rsidR="00D90A38">
        <w:t xml:space="preserve">(Apprentice) </w:t>
      </w:r>
      <w:r w:rsidRPr="002546EA">
        <w:t>Fire-fighters who are paid a ‘training rate’ whilst undertaking the recruit course Phase 1</w:t>
      </w:r>
      <w:r w:rsidR="00D90A38">
        <w:t xml:space="preserve"> currently £</w:t>
      </w:r>
      <w:r w:rsidR="00B73AFD">
        <w:t>24,191.00</w:t>
      </w:r>
      <w:r w:rsidRPr="002546EA">
        <w:t xml:space="preserve">.  They subsequently progress on the successful completion of their initial training to a ‘development rate’ for the duration of Phase </w:t>
      </w:r>
      <w:r w:rsidR="009C3CBB">
        <w:t>2</w:t>
      </w:r>
      <w:r w:rsidRPr="002546EA">
        <w:t xml:space="preserve"> and finally a ‘competent rate’ subject to passing the relevant assessments.</w:t>
      </w:r>
    </w:p>
    <w:p w14:paraId="2DC77FE0" w14:textId="36FE3A61" w:rsidR="002546EA" w:rsidRPr="002546EA" w:rsidRDefault="002546EA" w:rsidP="00107399">
      <w:pPr>
        <w:pStyle w:val="ListParagraph"/>
        <w:numPr>
          <w:ilvl w:val="0"/>
          <w:numId w:val="32"/>
        </w:numPr>
        <w:spacing w:before="0" w:after="120" w:line="276" w:lineRule="auto"/>
        <w:ind w:left="641" w:hanging="357"/>
        <w:contextualSpacing w:val="0"/>
      </w:pPr>
      <w:r w:rsidRPr="002546EA">
        <w:t>For those on Green Book conditions, the lowest paid employees of GM</w:t>
      </w:r>
      <w:r w:rsidR="00D90A38">
        <w:t>CA</w:t>
      </w:r>
      <w:r w:rsidRPr="002546EA">
        <w:t xml:space="preserve"> are defined as those on the lowest point of the pay scale (currently aligned to Grade </w:t>
      </w:r>
      <w:r w:rsidR="00E710C1">
        <w:t>1</w:t>
      </w:r>
      <w:r w:rsidR="009C3CBB">
        <w:t xml:space="preserve"> </w:t>
      </w:r>
      <w:r w:rsidR="008E29DD">
        <w:t xml:space="preserve">SCP </w:t>
      </w:r>
      <w:r w:rsidR="009C1806">
        <w:t>2</w:t>
      </w:r>
      <w:r w:rsidRPr="002546EA">
        <w:t>) which equates to an annual salary of £</w:t>
      </w:r>
      <w:r w:rsidR="008E29DD">
        <w:t>1</w:t>
      </w:r>
      <w:r w:rsidR="009C1806">
        <w:t>8,</w:t>
      </w:r>
      <w:r w:rsidR="00B73AFD">
        <w:t>333.00</w:t>
      </w:r>
      <w:r w:rsidRPr="002546EA">
        <w:t xml:space="preserve"> and is compliant with the </w:t>
      </w:r>
      <w:r w:rsidR="005D61A0">
        <w:t xml:space="preserve">foundation </w:t>
      </w:r>
      <w:r w:rsidRPr="002546EA">
        <w:t xml:space="preserve">living wage. These lowest paid roles having been evaluated using the National Joint Council Job Evaluation scheme reflect the low level of accountability and responsibility relative to other roles in the Authority.  Benchmark evaluations </w:t>
      </w:r>
      <w:r w:rsidRPr="002546EA">
        <w:lastRenderedPageBreak/>
        <w:t xml:space="preserve">and grade assignments are authorised jointly by union and management </w:t>
      </w:r>
      <w:proofErr w:type="gramStart"/>
      <w:r w:rsidRPr="002546EA">
        <w:t>representatives, and</w:t>
      </w:r>
      <w:proofErr w:type="gramEnd"/>
      <w:r w:rsidRPr="002546EA">
        <w:t xml:space="preserve"> show adherence to equality legislation. </w:t>
      </w:r>
    </w:p>
    <w:p w14:paraId="59817470" w14:textId="5F036A25" w:rsidR="002546EA" w:rsidRPr="002546EA" w:rsidRDefault="009C3CBB" w:rsidP="00107399">
      <w:pPr>
        <w:numPr>
          <w:ilvl w:val="0"/>
          <w:numId w:val="32"/>
        </w:numPr>
        <w:spacing w:before="0" w:after="120" w:line="276" w:lineRule="auto"/>
        <w:ind w:left="641" w:hanging="357"/>
      </w:pPr>
      <w:r>
        <w:t>GMCA</w:t>
      </w:r>
      <w:r w:rsidR="002546EA" w:rsidRPr="002546EA">
        <w:t xml:space="preserve"> also employ a small number of Craft Workers whose terms and conditions are set by the Joint Negotiating Committee for Local Authority Craft and Associated Employees (known as the Red Book). </w:t>
      </w:r>
      <w:r>
        <w:t xml:space="preserve">The lowest annual salary of which is </w:t>
      </w:r>
      <w:r w:rsidRPr="008E29DD">
        <w:t>currently £</w:t>
      </w:r>
      <w:r w:rsidR="00C11803">
        <w:t>24,615.55</w:t>
      </w:r>
    </w:p>
    <w:p w14:paraId="565CD224" w14:textId="77777777" w:rsidR="002546EA" w:rsidRPr="002546EA" w:rsidRDefault="002546EA" w:rsidP="002546EA">
      <w:pPr>
        <w:pStyle w:val="Heading2"/>
      </w:pPr>
      <w:bookmarkStart w:id="23" w:name="_Toc473712845"/>
      <w:bookmarkStart w:id="24" w:name="_Toc20479414"/>
      <w:r w:rsidRPr="002546EA">
        <w:t>Relationsh</w:t>
      </w:r>
      <w:r w:rsidR="008D6F2E">
        <w:t>ip between the remuneration of Chief O</w:t>
      </w:r>
      <w:r w:rsidRPr="002546EA">
        <w:t>fficers and other officers</w:t>
      </w:r>
      <w:bookmarkEnd w:id="23"/>
      <w:bookmarkEnd w:id="24"/>
    </w:p>
    <w:p w14:paraId="41F686AB" w14:textId="77777777" w:rsidR="002546EA" w:rsidRPr="002546EA" w:rsidRDefault="002546EA" w:rsidP="00107399">
      <w:pPr>
        <w:numPr>
          <w:ilvl w:val="0"/>
          <w:numId w:val="32"/>
        </w:numPr>
        <w:spacing w:before="0" w:line="276" w:lineRule="auto"/>
        <w:ind w:left="646" w:hanging="357"/>
      </w:pPr>
      <w:r w:rsidRPr="002546EA">
        <w:t>It is a requirement of the Localism Act, 2011 that the Authority produce a statement each year on pay multiples for senior officers.   The ‘Hutton Review of Fair Pay’ which provided</w:t>
      </w:r>
      <w:r w:rsidR="00D90A38">
        <w:t xml:space="preserve"> the genesis of the legislation</w:t>
      </w:r>
      <w:r w:rsidRPr="002546EA">
        <w:t xml:space="preserve"> here, identified that most top to bottom pay multiples in the public sector are in the region of 8:1 to 12:1.  </w:t>
      </w:r>
      <w:r w:rsidR="00DA6345">
        <w:t>T</w:t>
      </w:r>
      <w:r w:rsidRPr="002546EA">
        <w:t xml:space="preserve">he current pay multiples for the </w:t>
      </w:r>
      <w:r w:rsidR="007016E5" w:rsidRPr="00DC6AAC">
        <w:rPr>
          <w:lang w:val="en"/>
        </w:rPr>
        <w:t>Ch</w:t>
      </w:r>
      <w:r w:rsidR="007016E5">
        <w:rPr>
          <w:lang w:val="en"/>
        </w:rPr>
        <w:t xml:space="preserve">ief Executive Officer GMCA &amp; TFGM </w:t>
      </w:r>
      <w:r w:rsidR="0001228D">
        <w:t xml:space="preserve">and the lowest paid member of staff </w:t>
      </w:r>
      <w:r w:rsidRPr="002546EA">
        <w:t>are as follows:</w:t>
      </w:r>
    </w:p>
    <w:p w14:paraId="299934ED" w14:textId="0727635F" w:rsidR="0001228D" w:rsidRPr="0001228D" w:rsidRDefault="002546EA" w:rsidP="00107399">
      <w:pPr>
        <w:numPr>
          <w:ilvl w:val="1"/>
          <w:numId w:val="35"/>
        </w:numPr>
        <w:spacing w:before="0" w:line="276" w:lineRule="auto"/>
        <w:ind w:hanging="357"/>
        <w:rPr>
          <w:color w:val="FF0000"/>
        </w:rPr>
      </w:pPr>
      <w:r w:rsidRPr="00D90A38">
        <w:t xml:space="preserve">Between the </w:t>
      </w:r>
      <w:r w:rsidR="007016E5" w:rsidRPr="00DC6AAC">
        <w:rPr>
          <w:lang w:val="en"/>
        </w:rPr>
        <w:t>Ch</w:t>
      </w:r>
      <w:r w:rsidR="007016E5">
        <w:rPr>
          <w:lang w:val="en"/>
        </w:rPr>
        <w:t xml:space="preserve">ief Executive Officer GMCA &amp; TFGM </w:t>
      </w:r>
      <w:r w:rsidRPr="00D90A38">
        <w:t>and the lowest paid</w:t>
      </w:r>
      <w:r w:rsidR="00D90A38">
        <w:t xml:space="preserve"> member of staff the multiple is</w:t>
      </w:r>
      <w:r w:rsidR="0001228D">
        <w:t xml:space="preserve"> </w:t>
      </w:r>
      <w:r w:rsidR="00271F63">
        <w:t>10</w:t>
      </w:r>
      <w:r w:rsidR="00C25C52">
        <w:t>.</w:t>
      </w:r>
      <w:r w:rsidR="00AB7A0C">
        <w:t>65</w:t>
      </w:r>
      <w:r w:rsidR="008E29DD">
        <w:t>:1</w:t>
      </w:r>
    </w:p>
    <w:p w14:paraId="759023AA" w14:textId="304ECCC3" w:rsidR="002546EA" w:rsidRPr="0001228D" w:rsidRDefault="002546EA" w:rsidP="00FE7E81">
      <w:pPr>
        <w:numPr>
          <w:ilvl w:val="1"/>
          <w:numId w:val="35"/>
        </w:numPr>
        <w:spacing w:before="0" w:after="120" w:line="276" w:lineRule="auto"/>
        <w:rPr>
          <w:color w:val="FF0000"/>
        </w:rPr>
      </w:pPr>
      <w:r w:rsidRPr="005E7802">
        <w:t xml:space="preserve">Between the </w:t>
      </w:r>
      <w:r w:rsidR="007016E5" w:rsidRPr="00DC6AAC">
        <w:rPr>
          <w:lang w:val="en"/>
        </w:rPr>
        <w:t>Ch</w:t>
      </w:r>
      <w:r w:rsidR="007016E5">
        <w:rPr>
          <w:lang w:val="en"/>
        </w:rPr>
        <w:t xml:space="preserve">ief Executive Officer GMCA &amp; TFGM </w:t>
      </w:r>
      <w:r w:rsidRPr="005E7802">
        <w:t>and the av</w:t>
      </w:r>
      <w:r w:rsidR="00D90A38" w:rsidRPr="005E7802">
        <w:t>erage earnings</w:t>
      </w:r>
      <w:r w:rsidR="001B3A33">
        <w:t xml:space="preserve"> at £</w:t>
      </w:r>
      <w:r w:rsidR="00C11803">
        <w:t>3</w:t>
      </w:r>
      <w:r w:rsidR="00AB7A0C">
        <w:t>5,583.29</w:t>
      </w:r>
      <w:r w:rsidR="00FE7E81">
        <w:t xml:space="preserve"> </w:t>
      </w:r>
      <w:r w:rsidR="008E29DD">
        <w:t>per annum,</w:t>
      </w:r>
      <w:r w:rsidR="00D90A38" w:rsidRPr="005E7802">
        <w:t xml:space="preserve"> the </w:t>
      </w:r>
      <w:r w:rsidR="001B3A33">
        <w:t>multiple is</w:t>
      </w:r>
      <w:r w:rsidR="00D56711">
        <w:t xml:space="preserve"> </w:t>
      </w:r>
      <w:r w:rsidR="00FE7E81">
        <w:t>5</w:t>
      </w:r>
      <w:r w:rsidR="001B3A33">
        <w:t>.</w:t>
      </w:r>
      <w:r w:rsidR="00AB7A0C">
        <w:t>49</w:t>
      </w:r>
      <w:r w:rsidR="008E29DD">
        <w:t>:1</w:t>
      </w:r>
    </w:p>
    <w:p w14:paraId="35B51A1C" w14:textId="46D65291" w:rsidR="002546EA" w:rsidRPr="00151FC1" w:rsidRDefault="002546EA" w:rsidP="00151FC1">
      <w:pPr>
        <w:numPr>
          <w:ilvl w:val="0"/>
          <w:numId w:val="32"/>
        </w:numPr>
        <w:spacing w:before="0" w:line="276" w:lineRule="auto"/>
        <w:ind w:left="646" w:hanging="357"/>
      </w:pPr>
      <w:r w:rsidRPr="00D90A38">
        <w:t>The ratio in GM</w:t>
      </w:r>
      <w:r w:rsidR="00D90A38">
        <w:t>CA</w:t>
      </w:r>
      <w:r w:rsidRPr="00D90A38">
        <w:t xml:space="preserve">, between the </w:t>
      </w:r>
      <w:r w:rsidR="007016E5" w:rsidRPr="00151FC1">
        <w:t xml:space="preserve">Chief Executive Officer GMCA &amp; TFGM </w:t>
      </w:r>
      <w:r w:rsidRPr="00D90A38">
        <w:t>and</w:t>
      </w:r>
      <w:r w:rsidR="005E7802">
        <w:t xml:space="preserve"> the lowest paid member of staff</w:t>
      </w:r>
      <w:r w:rsidRPr="00D90A38">
        <w:t xml:space="preserve"> at </w:t>
      </w:r>
      <w:r w:rsidR="00271F63">
        <w:t>10.</w:t>
      </w:r>
      <w:r w:rsidR="00AB7A0C">
        <w:t>65</w:t>
      </w:r>
      <w:r w:rsidR="008E29DD">
        <w:t>:1</w:t>
      </w:r>
      <w:r w:rsidR="0001228D">
        <w:t xml:space="preserve"> </w:t>
      </w:r>
      <w:r w:rsidRPr="00D90A38">
        <w:t xml:space="preserve">is </w:t>
      </w:r>
      <w:r w:rsidR="008E29DD">
        <w:t xml:space="preserve">within the </w:t>
      </w:r>
      <w:r w:rsidR="0001228D">
        <w:t xml:space="preserve">range </w:t>
      </w:r>
      <w:r w:rsidRPr="00D90A38">
        <w:t>contained within the ‘Hutton Review of Fair Pay’ report.</w:t>
      </w:r>
    </w:p>
    <w:p w14:paraId="7FB766A1" w14:textId="1D0EED9C" w:rsidR="00DA6345" w:rsidRDefault="00C9561B" w:rsidP="008C1FF2">
      <w:pPr>
        <w:pStyle w:val="Heading2"/>
      </w:pPr>
      <w:bookmarkStart w:id="25" w:name="_Toc20479415"/>
      <w:r>
        <w:t>Recruitment of Chief Officers</w:t>
      </w:r>
      <w:bookmarkEnd w:id="25"/>
      <w:r>
        <w:t xml:space="preserve"> </w:t>
      </w:r>
    </w:p>
    <w:p w14:paraId="39E9331D" w14:textId="77777777" w:rsidR="00C9561B" w:rsidRPr="00F93A53" w:rsidRDefault="00C9561B" w:rsidP="00F93A53">
      <w:pPr>
        <w:numPr>
          <w:ilvl w:val="0"/>
          <w:numId w:val="32"/>
        </w:numPr>
        <w:spacing w:before="0" w:line="276" w:lineRule="auto"/>
        <w:ind w:left="646" w:hanging="357"/>
      </w:pPr>
      <w:r w:rsidRPr="00F93A53">
        <w:t>When recruiting to all posts, the Authority will take full and proper account of all provisions of relevant employment law and its own Recruitment and Selection and Redeployment Policies.</w:t>
      </w:r>
    </w:p>
    <w:p w14:paraId="2AB20A23" w14:textId="77777777" w:rsidR="008C1FF2" w:rsidRPr="00F52FD8" w:rsidRDefault="008C1FF2" w:rsidP="00F52FD8">
      <w:pPr>
        <w:pStyle w:val="Heading2"/>
      </w:pPr>
      <w:bookmarkStart w:id="26" w:name="_Toc473712850"/>
      <w:bookmarkStart w:id="27" w:name="_Toc20479416"/>
      <w:r w:rsidRPr="008C1FF2">
        <w:t>Legislation Covering Remuneration</w:t>
      </w:r>
      <w:bookmarkEnd w:id="26"/>
      <w:bookmarkEnd w:id="27"/>
      <w:r w:rsidRPr="008C1FF2">
        <w:t xml:space="preserve"> </w:t>
      </w:r>
    </w:p>
    <w:p w14:paraId="0B3BBCCE" w14:textId="16EE759C" w:rsidR="008C1FF2" w:rsidRPr="00F93A53" w:rsidRDefault="008C1FF2" w:rsidP="00F93A53">
      <w:pPr>
        <w:numPr>
          <w:ilvl w:val="0"/>
          <w:numId w:val="32"/>
        </w:numPr>
        <w:spacing w:before="0" w:line="276" w:lineRule="auto"/>
        <w:ind w:left="646" w:hanging="357"/>
      </w:pPr>
      <w:r w:rsidRPr="00F93A53">
        <w:t xml:space="preserve">In determining the pay and remuneration of </w:t>
      </w:r>
      <w:proofErr w:type="gramStart"/>
      <w:r w:rsidRPr="00F93A53">
        <w:t>all of</w:t>
      </w:r>
      <w:proofErr w:type="gramEnd"/>
      <w:r w:rsidRPr="00F93A53">
        <w:t xml:space="preserve"> its employees, the </w:t>
      </w:r>
      <w:r w:rsidR="00585B67" w:rsidRPr="00F93A53">
        <w:t xml:space="preserve">Authority </w:t>
      </w:r>
      <w:r w:rsidRPr="00F93A53">
        <w:t xml:space="preserve">will comply with all relevant employment legislation.  This includes legislation such as the Equality Act 2010, Part Time Employment (Prevention of Less </w:t>
      </w:r>
      <w:r w:rsidR="00EA13CD" w:rsidRPr="00F93A53">
        <w:t>Favourable</w:t>
      </w:r>
      <w:r w:rsidRPr="00F93A53">
        <w:t xml:space="preserve"> Treatment) Regulations 2000</w:t>
      </w:r>
      <w:r w:rsidR="00287572" w:rsidRPr="00F93A53">
        <w:t>.</w:t>
      </w:r>
      <w:r w:rsidRPr="00F93A53">
        <w:t xml:space="preserve"> </w:t>
      </w:r>
    </w:p>
    <w:p w14:paraId="407553D0" w14:textId="77777777" w:rsidR="00812CE8" w:rsidRDefault="00812CE8">
      <w:pPr>
        <w:spacing w:before="0" w:line="240" w:lineRule="auto"/>
        <w:jc w:val="left"/>
        <w:rPr>
          <w:b/>
          <w:sz w:val="28"/>
          <w:lang w:val="en"/>
        </w:rPr>
      </w:pPr>
      <w:bookmarkStart w:id="28" w:name="_Toc473712851"/>
      <w:r>
        <w:br w:type="page"/>
      </w:r>
    </w:p>
    <w:p w14:paraId="0DC6E762" w14:textId="7E208403" w:rsidR="00F44A75" w:rsidRDefault="00F44A75" w:rsidP="00F93A53">
      <w:pPr>
        <w:pStyle w:val="Heading2"/>
      </w:pPr>
      <w:bookmarkStart w:id="29" w:name="_Toc20479417"/>
      <w:r>
        <w:lastRenderedPageBreak/>
        <w:t>Market Rate Supplements</w:t>
      </w:r>
      <w:bookmarkEnd w:id="29"/>
      <w:r>
        <w:t xml:space="preserve"> </w:t>
      </w:r>
    </w:p>
    <w:p w14:paraId="22A74517" w14:textId="44B38D03" w:rsidR="002866D6" w:rsidRPr="00812CE8" w:rsidRDefault="002866D6" w:rsidP="00812CE8">
      <w:pPr>
        <w:numPr>
          <w:ilvl w:val="0"/>
          <w:numId w:val="32"/>
        </w:numPr>
        <w:spacing w:before="0" w:line="276" w:lineRule="auto"/>
      </w:pPr>
      <w:r w:rsidRPr="00812CE8">
        <w:t xml:space="preserve">The Authority acknowledges that our employees are our best asset and that due to external factors market allowances will be required for some posts </w:t>
      </w:r>
      <w:proofErr w:type="gramStart"/>
      <w:r w:rsidRPr="00812CE8">
        <w:t>in order to</w:t>
      </w:r>
      <w:proofErr w:type="gramEnd"/>
      <w:r w:rsidRPr="00812CE8">
        <w:t xml:space="preserve"> attract and retain </w:t>
      </w:r>
      <w:r w:rsidR="00A550DA">
        <w:t>employees</w:t>
      </w:r>
      <w:r w:rsidR="00A550DA" w:rsidRPr="00A550DA">
        <w:t xml:space="preserve"> with particular experience, skills and capacity.</w:t>
      </w:r>
      <w:r w:rsidRPr="00812CE8">
        <w:t xml:space="preserve"> </w:t>
      </w:r>
    </w:p>
    <w:p w14:paraId="06123676" w14:textId="77777777" w:rsidR="002866D6" w:rsidRPr="00812CE8" w:rsidRDefault="002866D6" w:rsidP="00812CE8">
      <w:pPr>
        <w:numPr>
          <w:ilvl w:val="0"/>
          <w:numId w:val="32"/>
        </w:numPr>
        <w:spacing w:before="0" w:line="276" w:lineRule="auto"/>
        <w:ind w:left="646" w:hanging="357"/>
      </w:pPr>
      <w:r w:rsidRPr="00812CE8">
        <w:t xml:space="preserve">Market allowances are linked to the post, not the person. They cannot be paid to someone because of their level of skill or experience. A market allowance is deemed suitable where there is evidence of one or more of the following: </w:t>
      </w:r>
    </w:p>
    <w:p w14:paraId="03BFFBB4" w14:textId="77777777" w:rsidR="002866D6" w:rsidRPr="00812CE8" w:rsidRDefault="002866D6" w:rsidP="00812CE8">
      <w:pPr>
        <w:numPr>
          <w:ilvl w:val="0"/>
          <w:numId w:val="52"/>
        </w:numPr>
        <w:spacing w:before="0" w:line="276" w:lineRule="auto"/>
      </w:pPr>
      <w:r w:rsidRPr="00812CE8">
        <w:t xml:space="preserve">The post has been advertised on more than one occasion and a suitable applicant could not be recruited. </w:t>
      </w:r>
    </w:p>
    <w:p w14:paraId="7727C9A8" w14:textId="77777777" w:rsidR="002866D6" w:rsidRPr="00812CE8" w:rsidRDefault="002866D6" w:rsidP="00812CE8">
      <w:pPr>
        <w:numPr>
          <w:ilvl w:val="0"/>
          <w:numId w:val="52"/>
        </w:numPr>
        <w:spacing w:before="0" w:line="276" w:lineRule="auto"/>
      </w:pPr>
      <w:r w:rsidRPr="00812CE8">
        <w:t xml:space="preserve">Pay benchmarking exercises show that similar organisations offer market allowances or a higher salary for the same work. </w:t>
      </w:r>
    </w:p>
    <w:p w14:paraId="4C7024BF" w14:textId="77777777" w:rsidR="002866D6" w:rsidRPr="00812CE8" w:rsidRDefault="002866D6" w:rsidP="00812CE8">
      <w:pPr>
        <w:numPr>
          <w:ilvl w:val="0"/>
          <w:numId w:val="52"/>
        </w:numPr>
        <w:spacing w:before="0" w:line="276" w:lineRule="auto"/>
      </w:pPr>
      <w:r w:rsidRPr="00812CE8">
        <w:t xml:space="preserve">A national /local skills shortage where the Authority is competing with </w:t>
      </w:r>
      <w:proofErr w:type="gramStart"/>
      <w:r w:rsidRPr="00812CE8">
        <w:t>a number of</w:t>
      </w:r>
      <w:proofErr w:type="gramEnd"/>
      <w:r w:rsidRPr="00812CE8">
        <w:t xml:space="preserve"> other employers for applicants. </w:t>
      </w:r>
    </w:p>
    <w:p w14:paraId="053E90D4" w14:textId="77777777" w:rsidR="002866D6" w:rsidRPr="00812CE8" w:rsidRDefault="002866D6" w:rsidP="00812CE8">
      <w:pPr>
        <w:numPr>
          <w:ilvl w:val="0"/>
          <w:numId w:val="52"/>
        </w:numPr>
        <w:spacing w:before="0" w:line="276" w:lineRule="auto"/>
      </w:pPr>
      <w:r w:rsidRPr="00812CE8">
        <w:t>The post is highly specialised with a limited number of potential candidates available in the market</w:t>
      </w:r>
    </w:p>
    <w:p w14:paraId="4C46B589" w14:textId="03D1030F" w:rsidR="00107399" w:rsidRPr="00812CE8" w:rsidRDefault="00A550DA" w:rsidP="00812CE8">
      <w:pPr>
        <w:numPr>
          <w:ilvl w:val="0"/>
          <w:numId w:val="32"/>
        </w:numPr>
        <w:spacing w:before="0" w:line="276" w:lineRule="auto"/>
        <w:ind w:left="646" w:hanging="357"/>
      </w:pPr>
      <w:r w:rsidRPr="00A550DA">
        <w:t xml:space="preserve">In instances where a temporary market rate supplement is applied, </w:t>
      </w:r>
      <w:r w:rsidR="00EA13CD" w:rsidRPr="00A550DA">
        <w:t xml:space="preserve">the appropriate </w:t>
      </w:r>
      <w:r w:rsidR="00466C50">
        <w:t>a</w:t>
      </w:r>
      <w:r w:rsidR="00EA13CD" w:rsidRPr="00A550DA">
        <w:t>uthority will review this on a regular basis</w:t>
      </w:r>
      <w:r w:rsidRPr="00A550DA">
        <w:t xml:space="preserve">. </w:t>
      </w:r>
    </w:p>
    <w:p w14:paraId="4FAF1C2A" w14:textId="77777777" w:rsidR="008C1FF2" w:rsidRDefault="002866D6" w:rsidP="00F52FD8">
      <w:pPr>
        <w:pStyle w:val="Heading2"/>
      </w:pPr>
      <w:bookmarkStart w:id="30" w:name="_Toc20479418"/>
      <w:r>
        <w:t xml:space="preserve">Employee </w:t>
      </w:r>
      <w:r w:rsidR="008C1FF2" w:rsidRPr="008C1FF2">
        <w:t>Benefits</w:t>
      </w:r>
      <w:bookmarkEnd w:id="28"/>
      <w:bookmarkEnd w:id="30"/>
      <w:r w:rsidR="008C1FF2" w:rsidRPr="008C1FF2">
        <w:t xml:space="preserve"> </w:t>
      </w:r>
    </w:p>
    <w:p w14:paraId="0BD85778" w14:textId="77777777" w:rsidR="002866D6" w:rsidRPr="004846A5" w:rsidRDefault="002866D6" w:rsidP="00812CE8">
      <w:pPr>
        <w:spacing w:after="120"/>
      </w:pPr>
      <w:r w:rsidRPr="002866D6">
        <w:rPr>
          <w:lang w:val="en"/>
        </w:rPr>
        <w:t>The Authority provides access to the following benefits to its employees:</w:t>
      </w:r>
    </w:p>
    <w:p w14:paraId="05A052C4" w14:textId="77777777" w:rsidR="008C1FF2" w:rsidRPr="00FE7E81" w:rsidRDefault="008C1FF2" w:rsidP="00350593">
      <w:pPr>
        <w:numPr>
          <w:ilvl w:val="0"/>
          <w:numId w:val="32"/>
        </w:numPr>
        <w:autoSpaceDE w:val="0"/>
        <w:autoSpaceDN w:val="0"/>
        <w:adjustRightInd w:val="0"/>
        <w:spacing w:before="0" w:after="120" w:line="240" w:lineRule="auto"/>
        <w:ind w:left="641" w:hanging="357"/>
        <w:rPr>
          <w:rFonts w:cs="Arial"/>
        </w:rPr>
      </w:pPr>
      <w:r w:rsidRPr="00287572">
        <w:rPr>
          <w:rFonts w:cs="Arial"/>
          <w:b/>
        </w:rPr>
        <w:t xml:space="preserve">Credit Union </w:t>
      </w:r>
      <w:proofErr w:type="spellStart"/>
      <w:r w:rsidRPr="00287572">
        <w:rPr>
          <w:rFonts w:cs="Arial"/>
          <w:b/>
        </w:rPr>
        <w:t>Flamesavers</w:t>
      </w:r>
      <w:proofErr w:type="spellEnd"/>
      <w:r w:rsidRPr="00FE7E81">
        <w:rPr>
          <w:rFonts w:cs="Arial"/>
        </w:rPr>
        <w:t>: G</w:t>
      </w:r>
      <w:r w:rsidR="00287572" w:rsidRPr="00FE7E81">
        <w:rPr>
          <w:rFonts w:cs="Arial"/>
        </w:rPr>
        <w:t>MCA’s</w:t>
      </w:r>
      <w:r w:rsidRPr="00FE7E81">
        <w:rPr>
          <w:rFonts w:cs="Arial"/>
        </w:rPr>
        <w:t xml:space="preserve"> current and retired employees can become members of the </w:t>
      </w:r>
      <w:proofErr w:type="spellStart"/>
      <w:r w:rsidRPr="00FE7E81">
        <w:rPr>
          <w:rFonts w:cs="Arial"/>
        </w:rPr>
        <w:t>Flamesavers</w:t>
      </w:r>
      <w:proofErr w:type="spellEnd"/>
      <w:r w:rsidRPr="00FE7E81">
        <w:rPr>
          <w:rFonts w:cs="Arial"/>
        </w:rPr>
        <w:t xml:space="preserve"> Credit Union, which offers savings and loans through a not-for-profit financial co-operative.  </w:t>
      </w:r>
    </w:p>
    <w:p w14:paraId="7293D735" w14:textId="153060FC" w:rsidR="002866D6" w:rsidRPr="00167506" w:rsidRDefault="002866D6" w:rsidP="00350593">
      <w:pPr>
        <w:numPr>
          <w:ilvl w:val="0"/>
          <w:numId w:val="32"/>
        </w:numPr>
        <w:autoSpaceDE w:val="0"/>
        <w:autoSpaceDN w:val="0"/>
        <w:adjustRightInd w:val="0"/>
        <w:spacing w:before="0" w:after="120" w:line="240" w:lineRule="auto"/>
        <w:ind w:left="641" w:hanging="357"/>
        <w:rPr>
          <w:rFonts w:cs="Arial"/>
          <w:b/>
        </w:rPr>
      </w:pPr>
      <w:proofErr w:type="spellStart"/>
      <w:r w:rsidRPr="00350593">
        <w:rPr>
          <w:rFonts w:cs="Arial"/>
          <w:b/>
        </w:rPr>
        <w:t>MiRewards</w:t>
      </w:r>
      <w:proofErr w:type="spellEnd"/>
      <w:r w:rsidR="00167506" w:rsidRPr="00167506">
        <w:rPr>
          <w:rFonts w:cs="Arial"/>
          <w:b/>
        </w:rPr>
        <w:t xml:space="preserve">: </w:t>
      </w:r>
      <w:r w:rsidR="00167506" w:rsidRPr="00350593">
        <w:rPr>
          <w:rFonts w:cs="Arial"/>
        </w:rPr>
        <w:t xml:space="preserve">The </w:t>
      </w:r>
      <w:proofErr w:type="spellStart"/>
      <w:r w:rsidR="00167506" w:rsidRPr="00350593">
        <w:rPr>
          <w:rFonts w:cs="Arial"/>
        </w:rPr>
        <w:t>MiRewards</w:t>
      </w:r>
      <w:proofErr w:type="spellEnd"/>
      <w:r w:rsidR="00167506" w:rsidRPr="00350593">
        <w:rPr>
          <w:rFonts w:cs="Arial"/>
        </w:rPr>
        <w:t xml:space="preserve"> platform gives </w:t>
      </w:r>
      <w:r w:rsidR="000150C4">
        <w:rPr>
          <w:rFonts w:cs="Arial"/>
        </w:rPr>
        <w:t xml:space="preserve">employees </w:t>
      </w:r>
      <w:r w:rsidR="00167506" w:rsidRPr="00350593">
        <w:rPr>
          <w:rFonts w:cs="Arial"/>
        </w:rPr>
        <w:t>access to a range of benefits and discounts on travel, shopping, eating out, cinema tickets, health, beauty, and motoring.</w:t>
      </w:r>
      <w:r w:rsidR="00167506" w:rsidRPr="00167506">
        <w:rPr>
          <w:rFonts w:cs="Arial"/>
        </w:rPr>
        <w:t xml:space="preserve"> </w:t>
      </w:r>
      <w:r w:rsidR="00167506" w:rsidRPr="00350593">
        <w:rPr>
          <w:rFonts w:cs="Arial"/>
        </w:rPr>
        <w:t xml:space="preserve">Benefits </w:t>
      </w:r>
      <w:proofErr w:type="gramStart"/>
      <w:r w:rsidR="00167506" w:rsidRPr="00350593">
        <w:rPr>
          <w:rFonts w:cs="Arial"/>
        </w:rPr>
        <w:t>include,</w:t>
      </w:r>
      <w:proofErr w:type="gramEnd"/>
      <w:r w:rsidR="00167506" w:rsidRPr="00350593">
        <w:rPr>
          <w:rFonts w:cs="Arial"/>
        </w:rPr>
        <w:t xml:space="preserve"> corporate transport and </w:t>
      </w:r>
      <w:proofErr w:type="spellStart"/>
      <w:r w:rsidR="00167506" w:rsidRPr="00350593">
        <w:rPr>
          <w:rFonts w:cs="Arial"/>
        </w:rPr>
        <w:t>Cyclescheme</w:t>
      </w:r>
      <w:proofErr w:type="spellEnd"/>
    </w:p>
    <w:p w14:paraId="2CB3FA53" w14:textId="398F2763" w:rsidR="008C1FF2" w:rsidRPr="008C1FF2" w:rsidRDefault="008C1FF2" w:rsidP="00107399">
      <w:pPr>
        <w:numPr>
          <w:ilvl w:val="0"/>
          <w:numId w:val="32"/>
        </w:numPr>
        <w:autoSpaceDE w:val="0"/>
        <w:autoSpaceDN w:val="0"/>
        <w:adjustRightInd w:val="0"/>
        <w:spacing w:before="0" w:after="120" w:line="240" w:lineRule="auto"/>
        <w:ind w:left="641" w:hanging="357"/>
        <w:rPr>
          <w:rFonts w:cs="Arial"/>
        </w:rPr>
      </w:pPr>
      <w:r w:rsidRPr="008C1FF2">
        <w:rPr>
          <w:rFonts w:cs="Arial"/>
          <w:b/>
        </w:rPr>
        <w:t>Employee Assistance Programme</w:t>
      </w:r>
      <w:r w:rsidRPr="008C1FF2">
        <w:rPr>
          <w:rFonts w:cs="Arial"/>
        </w:rPr>
        <w:t xml:space="preserve">: As part of a wider health and wellbeing strategy, and in response to a high level of ongoing change within the organisation, </w:t>
      </w:r>
      <w:r w:rsidR="000150C4">
        <w:rPr>
          <w:rFonts w:cs="Arial"/>
        </w:rPr>
        <w:t xml:space="preserve">including Covid -19, </w:t>
      </w:r>
      <w:r w:rsidRPr="008C1FF2">
        <w:rPr>
          <w:rFonts w:cs="Arial"/>
        </w:rPr>
        <w:t>an Employee Assistance Programme (EAP) is a benefit provided to GM</w:t>
      </w:r>
      <w:r w:rsidR="00287572">
        <w:rPr>
          <w:rFonts w:cs="Arial"/>
        </w:rPr>
        <w:t>CA</w:t>
      </w:r>
      <w:r w:rsidRPr="008C1FF2">
        <w:rPr>
          <w:rFonts w:cs="Arial"/>
        </w:rPr>
        <w:t xml:space="preserve"> employees.  </w:t>
      </w:r>
    </w:p>
    <w:p w14:paraId="0F97158D" w14:textId="3D18031D" w:rsidR="008C1FF2" w:rsidRPr="008C1FF2" w:rsidRDefault="008C1FF2" w:rsidP="00107399">
      <w:pPr>
        <w:numPr>
          <w:ilvl w:val="0"/>
          <w:numId w:val="32"/>
        </w:numPr>
        <w:autoSpaceDE w:val="0"/>
        <w:autoSpaceDN w:val="0"/>
        <w:adjustRightInd w:val="0"/>
        <w:spacing w:before="0" w:after="120" w:line="240" w:lineRule="auto"/>
        <w:ind w:left="641" w:hanging="357"/>
        <w:rPr>
          <w:rFonts w:cs="Arial"/>
        </w:rPr>
      </w:pPr>
      <w:r w:rsidRPr="008C1FF2">
        <w:rPr>
          <w:rFonts w:cs="Arial"/>
          <w:b/>
        </w:rPr>
        <w:t>Salary Sacrifice Scheme:</w:t>
      </w:r>
      <w:r w:rsidRPr="008C1FF2">
        <w:rPr>
          <w:rFonts w:cs="Arial"/>
        </w:rPr>
        <w:t xml:space="preserve"> Childcare</w:t>
      </w:r>
      <w:r w:rsidR="00D56C98">
        <w:rPr>
          <w:rFonts w:cs="Arial"/>
        </w:rPr>
        <w:t>, Cycle to Work</w:t>
      </w:r>
      <w:r w:rsidR="00E47524">
        <w:rPr>
          <w:rFonts w:cs="Arial"/>
        </w:rPr>
        <w:t>, Electric Lease Cars</w:t>
      </w:r>
      <w:r w:rsidR="00D56C98">
        <w:rPr>
          <w:rFonts w:cs="Arial"/>
        </w:rPr>
        <w:t xml:space="preserve"> and Additional Annual Leave </w:t>
      </w:r>
      <w:r w:rsidRPr="008C1FF2">
        <w:rPr>
          <w:rFonts w:cs="Arial"/>
        </w:rPr>
        <w:t>schemes are in operation at GM</w:t>
      </w:r>
      <w:r w:rsidR="00287572">
        <w:rPr>
          <w:rFonts w:cs="Arial"/>
        </w:rPr>
        <w:t>CA</w:t>
      </w:r>
      <w:r w:rsidRPr="008C1FF2">
        <w:rPr>
          <w:rFonts w:cs="Arial"/>
        </w:rPr>
        <w:t xml:space="preserve"> to enable both tax and national insurance savings for both </w:t>
      </w:r>
      <w:r w:rsidR="00287572">
        <w:rPr>
          <w:rFonts w:cs="Arial"/>
        </w:rPr>
        <w:t xml:space="preserve">its employees and </w:t>
      </w:r>
      <w:r w:rsidRPr="008C1FF2">
        <w:rPr>
          <w:rFonts w:cs="Arial"/>
        </w:rPr>
        <w:t>GM</w:t>
      </w:r>
      <w:r w:rsidR="00287572">
        <w:rPr>
          <w:rFonts w:cs="Arial"/>
        </w:rPr>
        <w:t>CA</w:t>
      </w:r>
      <w:r w:rsidRPr="008C1FF2">
        <w:rPr>
          <w:rFonts w:cs="Arial"/>
        </w:rPr>
        <w:t>.</w:t>
      </w:r>
    </w:p>
    <w:p w14:paraId="32227C12" w14:textId="66E46FD7" w:rsidR="002866D6" w:rsidRPr="005F45EF" w:rsidRDefault="002866D6" w:rsidP="00350593">
      <w:pPr>
        <w:numPr>
          <w:ilvl w:val="0"/>
          <w:numId w:val="32"/>
        </w:numPr>
        <w:autoSpaceDE w:val="0"/>
        <w:autoSpaceDN w:val="0"/>
        <w:adjustRightInd w:val="0"/>
        <w:spacing w:before="0" w:after="120" w:line="240" w:lineRule="auto"/>
        <w:ind w:left="641" w:hanging="357"/>
        <w:rPr>
          <w:rFonts w:cs="Arial"/>
          <w:b/>
        </w:rPr>
      </w:pPr>
      <w:r w:rsidRPr="00350593">
        <w:rPr>
          <w:rFonts w:cs="Arial"/>
          <w:b/>
        </w:rPr>
        <w:t>Travel loans /discounted travel</w:t>
      </w:r>
      <w:r w:rsidR="00167506" w:rsidRPr="00167506">
        <w:rPr>
          <w:rFonts w:cs="Arial"/>
          <w:b/>
        </w:rPr>
        <w:t xml:space="preserve">: </w:t>
      </w:r>
      <w:r w:rsidR="00167506" w:rsidRPr="00350593">
        <w:rPr>
          <w:rFonts w:cs="Arial"/>
        </w:rPr>
        <w:t xml:space="preserve">The GMCA purchases the ticket for staff and the loan is then repaid through monthly reductions from </w:t>
      </w:r>
      <w:r w:rsidR="00466C50">
        <w:rPr>
          <w:rFonts w:cs="Arial"/>
        </w:rPr>
        <w:t>the employee’s</w:t>
      </w:r>
      <w:r w:rsidR="00466C50" w:rsidRPr="00350593">
        <w:rPr>
          <w:rFonts w:cs="Arial"/>
        </w:rPr>
        <w:t xml:space="preserve"> </w:t>
      </w:r>
      <w:r w:rsidR="00167506" w:rsidRPr="00350593">
        <w:rPr>
          <w:rFonts w:cs="Arial"/>
        </w:rPr>
        <w:t>salary.</w:t>
      </w:r>
      <w:r w:rsidR="00167506">
        <w:rPr>
          <w:rFonts w:cs="Arial"/>
        </w:rPr>
        <w:t xml:space="preserve"> </w:t>
      </w:r>
      <w:r w:rsidR="00167506" w:rsidRPr="00350593">
        <w:rPr>
          <w:rFonts w:cs="Arial"/>
        </w:rPr>
        <w:t xml:space="preserve">By using the scheme staff get 52 weeks of travel for the price of 40 and it is paid back in easy monthly repayments direct from </w:t>
      </w:r>
      <w:r w:rsidR="00466C50">
        <w:rPr>
          <w:rFonts w:cs="Arial"/>
        </w:rPr>
        <w:t>the employee’s</w:t>
      </w:r>
      <w:r w:rsidR="00167506" w:rsidRPr="00350593">
        <w:rPr>
          <w:rFonts w:cs="Arial"/>
        </w:rPr>
        <w:t xml:space="preserve"> salary. </w:t>
      </w:r>
    </w:p>
    <w:p w14:paraId="64A366BE" w14:textId="43E6E1CF" w:rsidR="005F45EF" w:rsidRPr="000150C4" w:rsidRDefault="005F45EF" w:rsidP="005F45EF">
      <w:pPr>
        <w:numPr>
          <w:ilvl w:val="0"/>
          <w:numId w:val="32"/>
        </w:numPr>
        <w:autoSpaceDE w:val="0"/>
        <w:autoSpaceDN w:val="0"/>
        <w:adjustRightInd w:val="0"/>
        <w:spacing w:before="0" w:after="120" w:line="240" w:lineRule="auto"/>
        <w:ind w:left="641" w:hanging="357"/>
        <w:rPr>
          <w:rFonts w:cs="Arial"/>
        </w:rPr>
      </w:pPr>
      <w:r w:rsidRPr="005F45EF">
        <w:rPr>
          <w:rFonts w:cs="Arial"/>
          <w:b/>
        </w:rPr>
        <w:t>Financial Wellbeing Support</w:t>
      </w:r>
      <w:r>
        <w:t xml:space="preserve"> - simple savings, access to salary as it is earned and affordable loans – all underpinned by accessible and engaging financial education to improve your financial wellbeing.</w:t>
      </w:r>
    </w:p>
    <w:p w14:paraId="0B71A675" w14:textId="47D7AD94" w:rsidR="000150C4" w:rsidRPr="005F45EF" w:rsidRDefault="000150C4" w:rsidP="005F45EF">
      <w:pPr>
        <w:numPr>
          <w:ilvl w:val="0"/>
          <w:numId w:val="32"/>
        </w:numPr>
        <w:autoSpaceDE w:val="0"/>
        <w:autoSpaceDN w:val="0"/>
        <w:adjustRightInd w:val="0"/>
        <w:spacing w:before="0" w:after="120" w:line="240" w:lineRule="auto"/>
        <w:ind w:left="641" w:hanging="357"/>
        <w:rPr>
          <w:rFonts w:cs="Arial"/>
        </w:rPr>
      </w:pPr>
      <w:r>
        <w:rPr>
          <w:rFonts w:cs="Arial"/>
          <w:b/>
        </w:rPr>
        <w:t xml:space="preserve">Salary Finance </w:t>
      </w:r>
      <w:r>
        <w:rPr>
          <w:rFonts w:cs="Arial"/>
        </w:rPr>
        <w:t xml:space="preserve">– provides financial products and services (loans, advances, </w:t>
      </w:r>
      <w:proofErr w:type="gramStart"/>
      <w:r>
        <w:rPr>
          <w:rFonts w:cs="Arial"/>
        </w:rPr>
        <w:t>savings</w:t>
      </w:r>
      <w:proofErr w:type="gramEnd"/>
      <w:r>
        <w:rPr>
          <w:rFonts w:cs="Arial"/>
        </w:rPr>
        <w:t xml:space="preserve"> and financial education) offered via GMCA, which is linked to the employee’s salary and tailored to the individual’s circumstances.  Allowing the employee to take control of their finances.</w:t>
      </w:r>
    </w:p>
    <w:p w14:paraId="3EFB2FBC" w14:textId="73A2D800" w:rsidR="008B376D" w:rsidRPr="005F45EF" w:rsidRDefault="008C1FF2" w:rsidP="005F45EF">
      <w:pPr>
        <w:numPr>
          <w:ilvl w:val="0"/>
          <w:numId w:val="32"/>
        </w:numPr>
        <w:autoSpaceDE w:val="0"/>
        <w:autoSpaceDN w:val="0"/>
        <w:adjustRightInd w:val="0"/>
        <w:spacing w:before="0" w:after="120" w:line="240" w:lineRule="auto"/>
        <w:ind w:left="641" w:hanging="357"/>
        <w:rPr>
          <w:rFonts w:cs="Arial"/>
        </w:rPr>
      </w:pPr>
      <w:r w:rsidRPr="008C1FF2">
        <w:rPr>
          <w:rFonts w:cs="Arial"/>
          <w:b/>
        </w:rPr>
        <w:lastRenderedPageBreak/>
        <w:t>Pension Contributions:</w:t>
      </w:r>
      <w:r w:rsidRPr="008C1FF2">
        <w:rPr>
          <w:rFonts w:cs="Arial"/>
        </w:rPr>
        <w:t xml:space="preserve"> employer pension contributions are paid to the Local Government Pension Scheme</w:t>
      </w:r>
      <w:r w:rsidR="00DE07E1">
        <w:rPr>
          <w:rFonts w:cs="Arial"/>
        </w:rPr>
        <w:t xml:space="preserve"> (LGPS)</w:t>
      </w:r>
      <w:r w:rsidRPr="008C1FF2">
        <w:rPr>
          <w:rFonts w:cs="Arial"/>
        </w:rPr>
        <w:t xml:space="preserve">, </w:t>
      </w:r>
      <w:r w:rsidR="00DE07E1">
        <w:rPr>
          <w:rFonts w:cs="Arial"/>
        </w:rPr>
        <w:t xml:space="preserve">the </w:t>
      </w:r>
      <w:r w:rsidR="00DE07E1" w:rsidRPr="008C1FF2">
        <w:rPr>
          <w:rFonts w:cs="Arial"/>
        </w:rPr>
        <w:t>Firefighter Pension Scheme 2015</w:t>
      </w:r>
      <w:r w:rsidR="00DE07E1">
        <w:rPr>
          <w:rFonts w:cs="Arial"/>
        </w:rPr>
        <w:t xml:space="preserve">, </w:t>
      </w:r>
      <w:r w:rsidRPr="008C1FF2">
        <w:rPr>
          <w:rFonts w:cs="Arial"/>
        </w:rPr>
        <w:t>the F</w:t>
      </w:r>
      <w:r w:rsidR="00DE07E1">
        <w:rPr>
          <w:rFonts w:cs="Arial"/>
        </w:rPr>
        <w:t xml:space="preserve">irefighter Pensions Scheme </w:t>
      </w:r>
      <w:proofErr w:type="gramStart"/>
      <w:r w:rsidR="00DE07E1">
        <w:rPr>
          <w:rFonts w:cs="Arial"/>
        </w:rPr>
        <w:t>1992</w:t>
      </w:r>
      <w:proofErr w:type="gramEnd"/>
      <w:r w:rsidR="00DE07E1">
        <w:rPr>
          <w:rFonts w:cs="Arial"/>
        </w:rPr>
        <w:t xml:space="preserve"> and</w:t>
      </w:r>
      <w:r w:rsidRPr="008C1FF2">
        <w:rPr>
          <w:rFonts w:cs="Arial"/>
        </w:rPr>
        <w:t xml:space="preserve"> the Fire</w:t>
      </w:r>
      <w:r w:rsidR="00DE07E1">
        <w:rPr>
          <w:rFonts w:cs="Arial"/>
        </w:rPr>
        <w:t>-fighter Pension Scheme 2006.</w:t>
      </w:r>
    </w:p>
    <w:p w14:paraId="10B64620" w14:textId="77777777" w:rsidR="002A6753" w:rsidRPr="002A6753" w:rsidRDefault="002A6753" w:rsidP="002A6753">
      <w:pPr>
        <w:ind w:left="644"/>
        <w:rPr>
          <w:rFonts w:ascii="Times New Roman" w:hAnsi="Times New Roman"/>
          <w:b/>
          <w:sz w:val="36"/>
          <w:szCs w:val="36"/>
          <w:lang w:val="en"/>
        </w:rPr>
      </w:pPr>
      <w:r w:rsidRPr="002A6753">
        <w:rPr>
          <w:lang w:val="en"/>
        </w:rPr>
        <w:t xml:space="preserve">Where Green Book employees have exercised their statutory right to become members of the Local Government Pension Scheme, GMCA is required to </w:t>
      </w:r>
      <w:proofErr w:type="gramStart"/>
      <w:r w:rsidRPr="002A6753">
        <w:rPr>
          <w:lang w:val="en"/>
        </w:rPr>
        <w:t>make a contribution</w:t>
      </w:r>
      <w:proofErr w:type="gramEnd"/>
      <w:r w:rsidRPr="002A6753">
        <w:rPr>
          <w:lang w:val="en"/>
        </w:rPr>
        <w:t xml:space="preserve"> to the scheme representing a percentage of the pensionable remuneration due under the contract of employment of that employee.  The rate of contribution is set by Actuaries advising the Greater Manchester Pension Fund and reviewed on a triennial basis </w:t>
      </w:r>
      <w:proofErr w:type="gramStart"/>
      <w:r w:rsidRPr="002A6753">
        <w:rPr>
          <w:lang w:val="en"/>
        </w:rPr>
        <w:t>in order to</w:t>
      </w:r>
      <w:proofErr w:type="gramEnd"/>
      <w:r w:rsidRPr="002A6753">
        <w:rPr>
          <w:lang w:val="en"/>
        </w:rPr>
        <w:t xml:space="preserve"> ensure the scheme is appropriately funded.  The current rates are detailed below:</w:t>
      </w:r>
    </w:p>
    <w:p w14:paraId="3BAD017B" w14:textId="0A19989B" w:rsidR="002A6753" w:rsidRPr="002A6753" w:rsidRDefault="00271F63" w:rsidP="002A6753">
      <w:pPr>
        <w:ind w:left="644"/>
        <w:rPr>
          <w:b/>
          <w:lang w:val="en"/>
        </w:rPr>
      </w:pPr>
      <w:r>
        <w:rPr>
          <w:b/>
          <w:lang w:val="en"/>
        </w:rPr>
        <w:t>LGPS Rates from April 20</w:t>
      </w:r>
      <w:r w:rsidR="00963ABB">
        <w:rPr>
          <w:b/>
          <w:lang w:val="en"/>
        </w:rPr>
        <w:t>2</w:t>
      </w:r>
      <w:r w:rsidR="00AB7A0C">
        <w:rPr>
          <w:b/>
          <w:lang w:val="en"/>
        </w:rPr>
        <w:t>1</w:t>
      </w:r>
    </w:p>
    <w:p w14:paraId="771EACF0" w14:textId="77777777" w:rsidR="002A6753" w:rsidRPr="002A6753" w:rsidRDefault="002A6753" w:rsidP="002A6753">
      <w:pPr>
        <w:ind w:left="644"/>
        <w:rPr>
          <w:b/>
          <w:lang w:val="en"/>
        </w:rPr>
      </w:pPr>
      <w:r w:rsidRPr="002A6753">
        <w:rPr>
          <w:b/>
        </w:rPr>
        <w:t>Pay bands for the main pension scheme and 50/50 option</w:t>
      </w:r>
    </w:p>
    <w:tbl>
      <w:tblPr>
        <w:tblW w:w="0" w:type="auto"/>
        <w:tblCellSpacing w:w="15" w:type="dxa"/>
        <w:tblInd w:w="644" w:type="dxa"/>
        <w:tblCellMar>
          <w:top w:w="15" w:type="dxa"/>
          <w:left w:w="15" w:type="dxa"/>
          <w:bottom w:w="15" w:type="dxa"/>
          <w:right w:w="15" w:type="dxa"/>
        </w:tblCellMar>
        <w:tblLook w:val="04A0" w:firstRow="1" w:lastRow="0" w:firstColumn="1" w:lastColumn="0" w:noHBand="0" w:noVBand="1"/>
      </w:tblPr>
      <w:tblGrid>
        <w:gridCol w:w="8195"/>
      </w:tblGrid>
      <w:tr w:rsidR="002A6753" w:rsidRPr="00595204" w14:paraId="42480F53" w14:textId="77777777" w:rsidTr="002A6753">
        <w:trPr>
          <w:trHeight w:val="2268"/>
          <w:tblHeader/>
          <w:tblCellSpacing w:w="15" w:type="dxa"/>
        </w:trPr>
        <w:tc>
          <w:tcPr>
            <w:tcW w:w="0" w:type="auto"/>
            <w:tcBorders>
              <w:top w:val="nil"/>
              <w:left w:val="nil"/>
              <w:bottom w:val="nil"/>
              <w:right w:val="nil"/>
            </w:tcBorders>
            <w:vAlign w:val="center"/>
            <w:hideMark/>
          </w:tcPr>
          <w:tbl>
            <w:tblPr>
              <w:tblStyle w:val="TableGrid"/>
              <w:tblW w:w="8095" w:type="dxa"/>
              <w:jc w:val="center"/>
              <w:tblLook w:val="04A0" w:firstRow="1" w:lastRow="0" w:firstColumn="1" w:lastColumn="0" w:noHBand="0" w:noVBand="1"/>
            </w:tblPr>
            <w:tblGrid>
              <w:gridCol w:w="1123"/>
              <w:gridCol w:w="2858"/>
              <w:gridCol w:w="2126"/>
              <w:gridCol w:w="1988"/>
            </w:tblGrid>
            <w:tr w:rsidR="002A6753" w14:paraId="1E7C33E5" w14:textId="77777777" w:rsidTr="00FC167E">
              <w:trPr>
                <w:trHeight w:val="454"/>
                <w:jc w:val="center"/>
              </w:trPr>
              <w:tc>
                <w:tcPr>
                  <w:tcW w:w="1123" w:type="dxa"/>
                  <w:shd w:val="clear" w:color="auto" w:fill="D9D9D9" w:themeFill="background1" w:themeFillShade="D9"/>
                </w:tcPr>
                <w:p w14:paraId="6EDD6A8C" w14:textId="77777777" w:rsidR="002A6753" w:rsidRPr="00C543B2" w:rsidRDefault="002A6753" w:rsidP="005D032E">
                  <w:pPr>
                    <w:spacing w:before="0"/>
                    <w:jc w:val="center"/>
                  </w:pPr>
                  <w:r w:rsidRPr="00C543B2">
                    <w:rPr>
                      <w:b/>
                    </w:rPr>
                    <w:t>Band</w:t>
                  </w:r>
                </w:p>
              </w:tc>
              <w:tc>
                <w:tcPr>
                  <w:tcW w:w="2858" w:type="dxa"/>
                  <w:shd w:val="clear" w:color="auto" w:fill="D9D9D9" w:themeFill="background1" w:themeFillShade="D9"/>
                </w:tcPr>
                <w:p w14:paraId="3F4D6456" w14:textId="77777777" w:rsidR="002A6753" w:rsidRPr="00C543B2" w:rsidRDefault="002A6753" w:rsidP="005D032E">
                  <w:pPr>
                    <w:spacing w:before="0"/>
                    <w:jc w:val="center"/>
                  </w:pPr>
                  <w:r w:rsidRPr="00C543B2">
                    <w:rPr>
                      <w:b/>
                    </w:rPr>
                    <w:t>Yearly pay</w:t>
                  </w:r>
                </w:p>
              </w:tc>
              <w:tc>
                <w:tcPr>
                  <w:tcW w:w="2126" w:type="dxa"/>
                  <w:shd w:val="clear" w:color="auto" w:fill="D9D9D9" w:themeFill="background1" w:themeFillShade="D9"/>
                </w:tcPr>
                <w:p w14:paraId="170F0B3D" w14:textId="77777777" w:rsidR="002A6753" w:rsidRPr="00C543B2" w:rsidRDefault="002A6753" w:rsidP="00FC167E">
                  <w:pPr>
                    <w:spacing w:before="0"/>
                    <w:jc w:val="center"/>
                  </w:pPr>
                  <w:r w:rsidRPr="00C543B2">
                    <w:rPr>
                      <w:b/>
                    </w:rPr>
                    <w:t>Main scheme</w:t>
                  </w:r>
                </w:p>
              </w:tc>
              <w:tc>
                <w:tcPr>
                  <w:tcW w:w="1988" w:type="dxa"/>
                  <w:shd w:val="clear" w:color="auto" w:fill="D9D9D9" w:themeFill="background1" w:themeFillShade="D9"/>
                </w:tcPr>
                <w:p w14:paraId="372EEE64" w14:textId="77777777" w:rsidR="002A6753" w:rsidRPr="00C543B2" w:rsidRDefault="002A6753" w:rsidP="00FC167E">
                  <w:pPr>
                    <w:spacing w:before="0"/>
                    <w:jc w:val="center"/>
                  </w:pPr>
                  <w:r w:rsidRPr="00C543B2">
                    <w:rPr>
                      <w:b/>
                    </w:rPr>
                    <w:t>50/50 option</w:t>
                  </w:r>
                </w:p>
              </w:tc>
            </w:tr>
            <w:tr w:rsidR="002A6753" w14:paraId="6D2B5F20" w14:textId="77777777" w:rsidTr="00FC167E">
              <w:trPr>
                <w:trHeight w:val="340"/>
                <w:jc w:val="center"/>
              </w:trPr>
              <w:tc>
                <w:tcPr>
                  <w:tcW w:w="1123" w:type="dxa"/>
                </w:tcPr>
                <w:p w14:paraId="1DDF8932" w14:textId="77777777" w:rsidR="002A6753" w:rsidRPr="00595204" w:rsidRDefault="002A6753" w:rsidP="00FC167E">
                  <w:pPr>
                    <w:spacing w:before="0"/>
                    <w:jc w:val="center"/>
                  </w:pPr>
                  <w:r w:rsidRPr="00595204">
                    <w:t>1</w:t>
                  </w:r>
                </w:p>
              </w:tc>
              <w:tc>
                <w:tcPr>
                  <w:tcW w:w="2858" w:type="dxa"/>
                </w:tcPr>
                <w:p w14:paraId="239F1510" w14:textId="52985F46" w:rsidR="002A6753" w:rsidRPr="00C543B2" w:rsidRDefault="00271F63" w:rsidP="00FC167E">
                  <w:pPr>
                    <w:spacing w:before="0"/>
                    <w:jc w:val="left"/>
                  </w:pPr>
                  <w:r>
                    <w:t>Up to £14,</w:t>
                  </w:r>
                  <w:r w:rsidR="00C11803">
                    <w:t>600</w:t>
                  </w:r>
                </w:p>
              </w:tc>
              <w:tc>
                <w:tcPr>
                  <w:tcW w:w="2126" w:type="dxa"/>
                </w:tcPr>
                <w:p w14:paraId="28F7CEBF" w14:textId="77777777" w:rsidR="002A6753" w:rsidRPr="00595204" w:rsidRDefault="002A6753" w:rsidP="00FC167E">
                  <w:pPr>
                    <w:spacing w:before="0"/>
                    <w:jc w:val="center"/>
                  </w:pPr>
                  <w:r w:rsidRPr="00595204">
                    <w:t>5.5%</w:t>
                  </w:r>
                </w:p>
              </w:tc>
              <w:tc>
                <w:tcPr>
                  <w:tcW w:w="1988" w:type="dxa"/>
                </w:tcPr>
                <w:p w14:paraId="45C33740" w14:textId="77777777" w:rsidR="002A6753" w:rsidRPr="00595204" w:rsidRDefault="002A6753" w:rsidP="00FC167E">
                  <w:pPr>
                    <w:spacing w:before="0"/>
                    <w:jc w:val="center"/>
                  </w:pPr>
                  <w:r w:rsidRPr="00595204">
                    <w:t>2.75%</w:t>
                  </w:r>
                </w:p>
              </w:tc>
            </w:tr>
            <w:tr w:rsidR="002A6753" w14:paraId="36C303B0" w14:textId="77777777" w:rsidTr="00FC167E">
              <w:trPr>
                <w:trHeight w:val="340"/>
                <w:jc w:val="center"/>
              </w:trPr>
              <w:tc>
                <w:tcPr>
                  <w:tcW w:w="1123" w:type="dxa"/>
                </w:tcPr>
                <w:p w14:paraId="33ED3667" w14:textId="77777777" w:rsidR="002A6753" w:rsidRPr="00595204" w:rsidRDefault="002A6753" w:rsidP="00FC167E">
                  <w:pPr>
                    <w:spacing w:before="0"/>
                    <w:jc w:val="center"/>
                  </w:pPr>
                  <w:r w:rsidRPr="00595204">
                    <w:t>2</w:t>
                  </w:r>
                </w:p>
              </w:tc>
              <w:tc>
                <w:tcPr>
                  <w:tcW w:w="2858" w:type="dxa"/>
                </w:tcPr>
                <w:p w14:paraId="2E4CD6ED" w14:textId="4AECA497" w:rsidR="002A6753" w:rsidRPr="00595204" w:rsidRDefault="00271F63" w:rsidP="00A044EF">
                  <w:pPr>
                    <w:spacing w:before="0"/>
                    <w:jc w:val="left"/>
                  </w:pPr>
                  <w:r>
                    <w:t>£14,</w:t>
                  </w:r>
                  <w:r w:rsidR="00C11803">
                    <w:t>6</w:t>
                  </w:r>
                  <w:r w:rsidR="005C69CC">
                    <w:t>01 - £22,</w:t>
                  </w:r>
                  <w:r w:rsidR="00C11803">
                    <w:t>8</w:t>
                  </w:r>
                  <w:r w:rsidR="00A044EF">
                    <w:t>0</w:t>
                  </w:r>
                  <w:r w:rsidR="005C69CC">
                    <w:t>0</w:t>
                  </w:r>
                </w:p>
              </w:tc>
              <w:tc>
                <w:tcPr>
                  <w:tcW w:w="2126" w:type="dxa"/>
                </w:tcPr>
                <w:p w14:paraId="54DDFCD7" w14:textId="77777777" w:rsidR="002A6753" w:rsidRPr="00595204" w:rsidRDefault="002A6753" w:rsidP="00FC167E">
                  <w:pPr>
                    <w:spacing w:before="0"/>
                    <w:jc w:val="center"/>
                  </w:pPr>
                  <w:r w:rsidRPr="00595204">
                    <w:t>5.8%</w:t>
                  </w:r>
                </w:p>
              </w:tc>
              <w:tc>
                <w:tcPr>
                  <w:tcW w:w="1988" w:type="dxa"/>
                </w:tcPr>
                <w:p w14:paraId="6339AD87" w14:textId="77777777" w:rsidR="002A6753" w:rsidRPr="00595204" w:rsidRDefault="002A6753" w:rsidP="00FC167E">
                  <w:pPr>
                    <w:spacing w:before="0"/>
                    <w:jc w:val="center"/>
                  </w:pPr>
                  <w:r w:rsidRPr="00595204">
                    <w:t>2.9%</w:t>
                  </w:r>
                </w:p>
              </w:tc>
            </w:tr>
            <w:tr w:rsidR="002A6753" w14:paraId="146114E1" w14:textId="77777777" w:rsidTr="00FC167E">
              <w:trPr>
                <w:trHeight w:val="340"/>
                <w:jc w:val="center"/>
              </w:trPr>
              <w:tc>
                <w:tcPr>
                  <w:tcW w:w="1123" w:type="dxa"/>
                </w:tcPr>
                <w:p w14:paraId="72714323" w14:textId="77777777" w:rsidR="002A6753" w:rsidRPr="00595204" w:rsidRDefault="002A6753" w:rsidP="00FC167E">
                  <w:pPr>
                    <w:spacing w:before="0"/>
                    <w:jc w:val="center"/>
                  </w:pPr>
                  <w:r w:rsidRPr="00595204">
                    <w:t>3</w:t>
                  </w:r>
                </w:p>
              </w:tc>
              <w:tc>
                <w:tcPr>
                  <w:tcW w:w="2858" w:type="dxa"/>
                </w:tcPr>
                <w:p w14:paraId="7E298B80" w14:textId="5B53514C" w:rsidR="002A6753" w:rsidRPr="00595204" w:rsidRDefault="005C69CC" w:rsidP="00A044EF">
                  <w:pPr>
                    <w:spacing w:before="0"/>
                    <w:jc w:val="left"/>
                  </w:pPr>
                  <w:r>
                    <w:t>£22,</w:t>
                  </w:r>
                  <w:r w:rsidR="00C11803">
                    <w:t>8</w:t>
                  </w:r>
                  <w:r>
                    <w:t>01 - £3</w:t>
                  </w:r>
                  <w:r w:rsidR="00C11803">
                    <w:t>7</w:t>
                  </w:r>
                  <w:r>
                    <w:t>,</w:t>
                  </w:r>
                  <w:r w:rsidR="00C11803">
                    <w:t>1</w:t>
                  </w:r>
                  <w:r>
                    <w:t>00</w:t>
                  </w:r>
                </w:p>
              </w:tc>
              <w:tc>
                <w:tcPr>
                  <w:tcW w:w="2126" w:type="dxa"/>
                </w:tcPr>
                <w:p w14:paraId="1AD99C06" w14:textId="77777777" w:rsidR="002A6753" w:rsidRPr="00595204" w:rsidRDefault="002A6753" w:rsidP="00FC167E">
                  <w:pPr>
                    <w:spacing w:before="0"/>
                    <w:jc w:val="center"/>
                  </w:pPr>
                  <w:r w:rsidRPr="00595204">
                    <w:t>6.5%</w:t>
                  </w:r>
                </w:p>
              </w:tc>
              <w:tc>
                <w:tcPr>
                  <w:tcW w:w="1988" w:type="dxa"/>
                </w:tcPr>
                <w:p w14:paraId="294342A9" w14:textId="77777777" w:rsidR="002A6753" w:rsidRPr="00595204" w:rsidRDefault="002A6753" w:rsidP="00FC167E">
                  <w:pPr>
                    <w:spacing w:before="0"/>
                    <w:jc w:val="center"/>
                  </w:pPr>
                  <w:r w:rsidRPr="00595204">
                    <w:t>3.25%</w:t>
                  </w:r>
                </w:p>
              </w:tc>
            </w:tr>
            <w:tr w:rsidR="002A6753" w14:paraId="310A2F58" w14:textId="77777777" w:rsidTr="00FC167E">
              <w:trPr>
                <w:trHeight w:val="340"/>
                <w:jc w:val="center"/>
              </w:trPr>
              <w:tc>
                <w:tcPr>
                  <w:tcW w:w="1123" w:type="dxa"/>
                </w:tcPr>
                <w:p w14:paraId="6B6ABA27" w14:textId="77777777" w:rsidR="002A6753" w:rsidRPr="00595204" w:rsidRDefault="002A6753" w:rsidP="00FC167E">
                  <w:pPr>
                    <w:spacing w:before="0"/>
                    <w:jc w:val="center"/>
                  </w:pPr>
                  <w:r w:rsidRPr="00595204">
                    <w:t>4</w:t>
                  </w:r>
                </w:p>
              </w:tc>
              <w:tc>
                <w:tcPr>
                  <w:tcW w:w="2858" w:type="dxa"/>
                </w:tcPr>
                <w:p w14:paraId="78744FC5" w14:textId="55140E97" w:rsidR="002A6753" w:rsidRPr="00595204" w:rsidRDefault="005C69CC" w:rsidP="00A044EF">
                  <w:pPr>
                    <w:spacing w:before="0"/>
                    <w:jc w:val="left"/>
                  </w:pPr>
                  <w:r>
                    <w:t>£3</w:t>
                  </w:r>
                  <w:r w:rsidR="00C11803">
                    <w:t>7</w:t>
                  </w:r>
                  <w:r>
                    <w:t>,</w:t>
                  </w:r>
                  <w:r w:rsidR="00C11803">
                    <w:t>1</w:t>
                  </w:r>
                  <w:r>
                    <w:t>01 - £</w:t>
                  </w:r>
                  <w:r w:rsidR="00A044EF">
                    <w:t>46,</w:t>
                  </w:r>
                  <w:r w:rsidR="00963ABB">
                    <w:t>9</w:t>
                  </w:r>
                  <w:r>
                    <w:t>00</w:t>
                  </w:r>
                </w:p>
              </w:tc>
              <w:tc>
                <w:tcPr>
                  <w:tcW w:w="2126" w:type="dxa"/>
                </w:tcPr>
                <w:p w14:paraId="21251E19" w14:textId="77777777" w:rsidR="002A6753" w:rsidRPr="00595204" w:rsidRDefault="002A6753" w:rsidP="00FC167E">
                  <w:pPr>
                    <w:spacing w:before="0"/>
                    <w:jc w:val="center"/>
                  </w:pPr>
                  <w:r w:rsidRPr="00595204">
                    <w:t>6.8%</w:t>
                  </w:r>
                </w:p>
              </w:tc>
              <w:tc>
                <w:tcPr>
                  <w:tcW w:w="1988" w:type="dxa"/>
                </w:tcPr>
                <w:p w14:paraId="28005D5B" w14:textId="77777777" w:rsidR="002A6753" w:rsidRPr="00595204" w:rsidRDefault="002A6753" w:rsidP="00FC167E">
                  <w:pPr>
                    <w:spacing w:before="0"/>
                    <w:jc w:val="center"/>
                  </w:pPr>
                  <w:r w:rsidRPr="00595204">
                    <w:t>3.4%</w:t>
                  </w:r>
                </w:p>
              </w:tc>
            </w:tr>
            <w:tr w:rsidR="002A6753" w14:paraId="174AE819" w14:textId="77777777" w:rsidTr="00FC167E">
              <w:trPr>
                <w:trHeight w:val="340"/>
                <w:jc w:val="center"/>
              </w:trPr>
              <w:tc>
                <w:tcPr>
                  <w:tcW w:w="1123" w:type="dxa"/>
                </w:tcPr>
                <w:p w14:paraId="6EC72127" w14:textId="77777777" w:rsidR="002A6753" w:rsidRPr="00595204" w:rsidRDefault="002A6753" w:rsidP="00FC167E">
                  <w:pPr>
                    <w:spacing w:before="0"/>
                    <w:jc w:val="center"/>
                  </w:pPr>
                  <w:r w:rsidRPr="00595204">
                    <w:t>5</w:t>
                  </w:r>
                </w:p>
              </w:tc>
              <w:tc>
                <w:tcPr>
                  <w:tcW w:w="2858" w:type="dxa"/>
                </w:tcPr>
                <w:p w14:paraId="684FBB5E" w14:textId="1D0C3A2D" w:rsidR="002A6753" w:rsidRPr="00595204" w:rsidRDefault="005C69CC" w:rsidP="00A044EF">
                  <w:pPr>
                    <w:spacing w:before="0"/>
                    <w:jc w:val="left"/>
                  </w:pPr>
                  <w:r>
                    <w:t>£4</w:t>
                  </w:r>
                  <w:r w:rsidR="00A044EF">
                    <w:t>6</w:t>
                  </w:r>
                  <w:r>
                    <w:t>,</w:t>
                  </w:r>
                  <w:r w:rsidR="00963ABB">
                    <w:t>9</w:t>
                  </w:r>
                  <w:r>
                    <w:t>01 - £6</w:t>
                  </w:r>
                  <w:r w:rsidR="00963ABB">
                    <w:t>5</w:t>
                  </w:r>
                  <w:r>
                    <w:t>,</w:t>
                  </w:r>
                  <w:r w:rsidR="00A044EF">
                    <w:t>6</w:t>
                  </w:r>
                  <w:r>
                    <w:t>00</w:t>
                  </w:r>
                </w:p>
              </w:tc>
              <w:tc>
                <w:tcPr>
                  <w:tcW w:w="2126" w:type="dxa"/>
                </w:tcPr>
                <w:p w14:paraId="55D3FC0F" w14:textId="77777777" w:rsidR="002A6753" w:rsidRPr="00595204" w:rsidRDefault="002A6753" w:rsidP="00FC167E">
                  <w:pPr>
                    <w:spacing w:before="0"/>
                    <w:jc w:val="center"/>
                  </w:pPr>
                  <w:r w:rsidRPr="00595204">
                    <w:t>8.5%</w:t>
                  </w:r>
                </w:p>
              </w:tc>
              <w:tc>
                <w:tcPr>
                  <w:tcW w:w="1988" w:type="dxa"/>
                </w:tcPr>
                <w:p w14:paraId="4079AF67" w14:textId="77777777" w:rsidR="002A6753" w:rsidRPr="00595204" w:rsidRDefault="002A6753" w:rsidP="00FC167E">
                  <w:pPr>
                    <w:spacing w:before="0"/>
                    <w:jc w:val="center"/>
                  </w:pPr>
                  <w:r w:rsidRPr="00595204">
                    <w:t>4.25%</w:t>
                  </w:r>
                </w:p>
              </w:tc>
            </w:tr>
            <w:tr w:rsidR="002A6753" w14:paraId="0D63A167" w14:textId="77777777" w:rsidTr="00FC167E">
              <w:trPr>
                <w:trHeight w:val="340"/>
                <w:jc w:val="center"/>
              </w:trPr>
              <w:tc>
                <w:tcPr>
                  <w:tcW w:w="1123" w:type="dxa"/>
                </w:tcPr>
                <w:p w14:paraId="2FB6CD37" w14:textId="77777777" w:rsidR="002A6753" w:rsidRPr="00595204" w:rsidRDefault="002A6753" w:rsidP="00FC167E">
                  <w:pPr>
                    <w:spacing w:before="0"/>
                    <w:jc w:val="center"/>
                  </w:pPr>
                  <w:r w:rsidRPr="00595204">
                    <w:t>6</w:t>
                  </w:r>
                </w:p>
              </w:tc>
              <w:tc>
                <w:tcPr>
                  <w:tcW w:w="2858" w:type="dxa"/>
                </w:tcPr>
                <w:p w14:paraId="12EB916C" w14:textId="626CB72F" w:rsidR="002A6753" w:rsidRPr="00595204" w:rsidRDefault="00A30F50" w:rsidP="00A044EF">
                  <w:pPr>
                    <w:spacing w:before="0"/>
                    <w:jc w:val="left"/>
                  </w:pPr>
                  <w:r>
                    <w:t>£6</w:t>
                  </w:r>
                  <w:r w:rsidR="00963ABB">
                    <w:t>5</w:t>
                  </w:r>
                  <w:r>
                    <w:t>,</w:t>
                  </w:r>
                  <w:r w:rsidR="00A044EF">
                    <w:t>6</w:t>
                  </w:r>
                  <w:r>
                    <w:t>01 - £</w:t>
                  </w:r>
                  <w:r w:rsidR="00A044EF">
                    <w:t>9</w:t>
                  </w:r>
                  <w:r w:rsidR="00963ABB">
                    <w:t>3</w:t>
                  </w:r>
                  <w:r>
                    <w:t>,</w:t>
                  </w:r>
                  <w:r w:rsidR="00963ABB">
                    <w:t>0</w:t>
                  </w:r>
                  <w:r>
                    <w:t>00</w:t>
                  </w:r>
                </w:p>
              </w:tc>
              <w:tc>
                <w:tcPr>
                  <w:tcW w:w="2126" w:type="dxa"/>
                </w:tcPr>
                <w:p w14:paraId="723698EC" w14:textId="77777777" w:rsidR="002A6753" w:rsidRPr="00595204" w:rsidRDefault="002A6753" w:rsidP="00FC167E">
                  <w:pPr>
                    <w:spacing w:before="0"/>
                    <w:jc w:val="center"/>
                  </w:pPr>
                  <w:r w:rsidRPr="00595204">
                    <w:t>9.9%</w:t>
                  </w:r>
                </w:p>
              </w:tc>
              <w:tc>
                <w:tcPr>
                  <w:tcW w:w="1988" w:type="dxa"/>
                </w:tcPr>
                <w:p w14:paraId="33959AE2" w14:textId="77777777" w:rsidR="002A6753" w:rsidRPr="00595204" w:rsidRDefault="002A6753" w:rsidP="00FC167E">
                  <w:pPr>
                    <w:spacing w:before="0"/>
                    <w:jc w:val="center"/>
                  </w:pPr>
                  <w:r w:rsidRPr="00595204">
                    <w:t>4.95%</w:t>
                  </w:r>
                </w:p>
              </w:tc>
            </w:tr>
            <w:tr w:rsidR="002A6753" w14:paraId="68B179C8" w14:textId="77777777" w:rsidTr="00FC167E">
              <w:trPr>
                <w:trHeight w:val="340"/>
                <w:jc w:val="center"/>
              </w:trPr>
              <w:tc>
                <w:tcPr>
                  <w:tcW w:w="1123" w:type="dxa"/>
                </w:tcPr>
                <w:p w14:paraId="4233A2F7" w14:textId="77777777" w:rsidR="002A6753" w:rsidRPr="00595204" w:rsidRDefault="002A6753" w:rsidP="00FC167E">
                  <w:pPr>
                    <w:spacing w:before="0"/>
                    <w:jc w:val="center"/>
                  </w:pPr>
                  <w:r w:rsidRPr="00595204">
                    <w:t>7</w:t>
                  </w:r>
                </w:p>
              </w:tc>
              <w:tc>
                <w:tcPr>
                  <w:tcW w:w="2858" w:type="dxa"/>
                </w:tcPr>
                <w:p w14:paraId="51FFC08F" w14:textId="504C4CB4" w:rsidR="002A6753" w:rsidRPr="00595204" w:rsidRDefault="00A30F50" w:rsidP="00A044EF">
                  <w:pPr>
                    <w:spacing w:before="0"/>
                    <w:jc w:val="left"/>
                  </w:pPr>
                  <w:r>
                    <w:t>£</w:t>
                  </w:r>
                  <w:r w:rsidR="00A044EF">
                    <w:t>9</w:t>
                  </w:r>
                  <w:r w:rsidR="00963ABB">
                    <w:t>3</w:t>
                  </w:r>
                  <w:r w:rsidR="00A044EF">
                    <w:t>,</w:t>
                  </w:r>
                  <w:r w:rsidR="00963ABB">
                    <w:t>0</w:t>
                  </w:r>
                  <w:r>
                    <w:t>01 - £10</w:t>
                  </w:r>
                  <w:r w:rsidR="00963ABB">
                    <w:t>9</w:t>
                  </w:r>
                  <w:r>
                    <w:t>,</w:t>
                  </w:r>
                  <w:r w:rsidR="00963ABB">
                    <w:t>5</w:t>
                  </w:r>
                  <w:r>
                    <w:t>00</w:t>
                  </w:r>
                </w:p>
              </w:tc>
              <w:tc>
                <w:tcPr>
                  <w:tcW w:w="2126" w:type="dxa"/>
                </w:tcPr>
                <w:p w14:paraId="5B8B1E31" w14:textId="77777777" w:rsidR="002A6753" w:rsidRPr="00595204" w:rsidRDefault="002A6753" w:rsidP="00FC167E">
                  <w:pPr>
                    <w:spacing w:before="0"/>
                    <w:jc w:val="center"/>
                  </w:pPr>
                  <w:r w:rsidRPr="00595204">
                    <w:t>10.5%</w:t>
                  </w:r>
                </w:p>
              </w:tc>
              <w:tc>
                <w:tcPr>
                  <w:tcW w:w="1988" w:type="dxa"/>
                </w:tcPr>
                <w:p w14:paraId="03121B64" w14:textId="77777777" w:rsidR="002A6753" w:rsidRPr="00595204" w:rsidRDefault="002A6753" w:rsidP="00FC167E">
                  <w:pPr>
                    <w:spacing w:before="0"/>
                    <w:jc w:val="center"/>
                  </w:pPr>
                  <w:r w:rsidRPr="00595204">
                    <w:t>5.25%</w:t>
                  </w:r>
                </w:p>
              </w:tc>
            </w:tr>
            <w:tr w:rsidR="002A6753" w14:paraId="10D8B721" w14:textId="77777777" w:rsidTr="00FC167E">
              <w:trPr>
                <w:trHeight w:val="340"/>
                <w:jc w:val="center"/>
              </w:trPr>
              <w:tc>
                <w:tcPr>
                  <w:tcW w:w="1123" w:type="dxa"/>
                </w:tcPr>
                <w:p w14:paraId="7B99DF2C" w14:textId="77777777" w:rsidR="002A6753" w:rsidRPr="00595204" w:rsidRDefault="002A6753" w:rsidP="00FC167E">
                  <w:pPr>
                    <w:spacing w:before="0"/>
                    <w:jc w:val="center"/>
                  </w:pPr>
                  <w:r w:rsidRPr="00595204">
                    <w:t>8</w:t>
                  </w:r>
                </w:p>
              </w:tc>
              <w:tc>
                <w:tcPr>
                  <w:tcW w:w="2858" w:type="dxa"/>
                </w:tcPr>
                <w:p w14:paraId="591392F2" w14:textId="2C049A3F" w:rsidR="002A6753" w:rsidRPr="00595204" w:rsidRDefault="00A30F50" w:rsidP="00A044EF">
                  <w:pPr>
                    <w:spacing w:before="0"/>
                    <w:jc w:val="left"/>
                  </w:pPr>
                  <w:r>
                    <w:t>£10</w:t>
                  </w:r>
                  <w:r w:rsidR="00963ABB">
                    <w:t>9</w:t>
                  </w:r>
                  <w:r>
                    <w:t>,</w:t>
                  </w:r>
                  <w:r w:rsidR="00963ABB">
                    <w:t>5</w:t>
                  </w:r>
                  <w:r>
                    <w:t>01 - £1</w:t>
                  </w:r>
                  <w:r w:rsidR="00A044EF">
                    <w:t>6</w:t>
                  </w:r>
                  <w:r w:rsidR="00963ABB">
                    <w:t>4</w:t>
                  </w:r>
                  <w:r>
                    <w:t>,</w:t>
                  </w:r>
                  <w:r w:rsidR="00963ABB">
                    <w:t>2</w:t>
                  </w:r>
                  <w:r>
                    <w:t>00</w:t>
                  </w:r>
                </w:p>
              </w:tc>
              <w:tc>
                <w:tcPr>
                  <w:tcW w:w="2126" w:type="dxa"/>
                </w:tcPr>
                <w:p w14:paraId="5EF92069" w14:textId="77777777" w:rsidR="002A6753" w:rsidRPr="00595204" w:rsidRDefault="002A6753" w:rsidP="00FC167E">
                  <w:pPr>
                    <w:spacing w:before="0"/>
                    <w:jc w:val="center"/>
                  </w:pPr>
                  <w:r w:rsidRPr="00595204">
                    <w:t>11.4%</w:t>
                  </w:r>
                </w:p>
              </w:tc>
              <w:tc>
                <w:tcPr>
                  <w:tcW w:w="1988" w:type="dxa"/>
                </w:tcPr>
                <w:p w14:paraId="165D3576" w14:textId="77777777" w:rsidR="002A6753" w:rsidRPr="00595204" w:rsidRDefault="002A6753" w:rsidP="00FC167E">
                  <w:pPr>
                    <w:spacing w:before="0"/>
                    <w:jc w:val="center"/>
                  </w:pPr>
                  <w:r w:rsidRPr="00595204">
                    <w:t>5.7%</w:t>
                  </w:r>
                </w:p>
              </w:tc>
            </w:tr>
            <w:tr w:rsidR="002A6753" w14:paraId="1524CCC7" w14:textId="77777777" w:rsidTr="00FC167E">
              <w:trPr>
                <w:trHeight w:val="340"/>
                <w:jc w:val="center"/>
              </w:trPr>
              <w:tc>
                <w:tcPr>
                  <w:tcW w:w="1123" w:type="dxa"/>
                </w:tcPr>
                <w:p w14:paraId="64F6167F" w14:textId="77777777" w:rsidR="002A6753" w:rsidRPr="00595204" w:rsidRDefault="002A6753" w:rsidP="00FC167E">
                  <w:pPr>
                    <w:spacing w:before="0"/>
                    <w:jc w:val="center"/>
                  </w:pPr>
                  <w:r w:rsidRPr="00595204">
                    <w:t>9</w:t>
                  </w:r>
                </w:p>
              </w:tc>
              <w:tc>
                <w:tcPr>
                  <w:tcW w:w="2858" w:type="dxa"/>
                </w:tcPr>
                <w:p w14:paraId="4FC9F81A" w14:textId="023FB242" w:rsidR="002A6753" w:rsidRPr="00595204" w:rsidRDefault="00A30F50" w:rsidP="00A044EF">
                  <w:pPr>
                    <w:spacing w:before="0"/>
                    <w:jc w:val="left"/>
                  </w:pPr>
                  <w:r>
                    <w:t>£1</w:t>
                  </w:r>
                  <w:r w:rsidR="00A044EF">
                    <w:t>6</w:t>
                  </w:r>
                  <w:r w:rsidR="00963ABB">
                    <w:t>4</w:t>
                  </w:r>
                  <w:r>
                    <w:t>,</w:t>
                  </w:r>
                  <w:r w:rsidR="00963ABB">
                    <w:t>2</w:t>
                  </w:r>
                  <w:r>
                    <w:t>01 or more</w:t>
                  </w:r>
                </w:p>
              </w:tc>
              <w:tc>
                <w:tcPr>
                  <w:tcW w:w="2126" w:type="dxa"/>
                </w:tcPr>
                <w:p w14:paraId="123FE1DA" w14:textId="77777777" w:rsidR="002A6753" w:rsidRPr="00595204" w:rsidRDefault="002A6753" w:rsidP="00FC167E">
                  <w:pPr>
                    <w:spacing w:before="0"/>
                    <w:jc w:val="center"/>
                  </w:pPr>
                  <w:r w:rsidRPr="00595204">
                    <w:t>12.5%</w:t>
                  </w:r>
                </w:p>
              </w:tc>
              <w:tc>
                <w:tcPr>
                  <w:tcW w:w="1988" w:type="dxa"/>
                </w:tcPr>
                <w:p w14:paraId="37C82AF5" w14:textId="77777777" w:rsidR="002A6753" w:rsidRPr="00595204" w:rsidRDefault="002A6753" w:rsidP="00FC167E">
                  <w:pPr>
                    <w:spacing w:before="0"/>
                    <w:jc w:val="center"/>
                  </w:pPr>
                  <w:r w:rsidRPr="00595204">
                    <w:t>6.25%</w:t>
                  </w:r>
                </w:p>
              </w:tc>
            </w:tr>
          </w:tbl>
          <w:p w14:paraId="3FD0A49E" w14:textId="77777777" w:rsidR="002A6753" w:rsidRPr="00595204" w:rsidRDefault="002A6753" w:rsidP="002A6753"/>
        </w:tc>
      </w:tr>
    </w:tbl>
    <w:p w14:paraId="22553428" w14:textId="652AC1C8" w:rsidR="002A6753" w:rsidRPr="002A6753" w:rsidRDefault="002A6753" w:rsidP="004C74B2">
      <w:pPr>
        <w:spacing w:before="0" w:line="240" w:lineRule="auto"/>
        <w:ind w:left="720"/>
        <w:jc w:val="left"/>
      </w:pPr>
      <w:r w:rsidRPr="002A6753">
        <w:t xml:space="preserve">Where Grey Book employees have exercised their statutory right to become members of the Firefighter’s Pension Scheme, GMCA is required to </w:t>
      </w:r>
      <w:proofErr w:type="gramStart"/>
      <w:r w:rsidRPr="002A6753">
        <w:t>make a contribution</w:t>
      </w:r>
      <w:proofErr w:type="gramEnd"/>
      <w:r w:rsidRPr="002A6753">
        <w:t xml:space="preserve"> to the scheme representing a percentage of the pensionable remuneration due under the contract of employment of that employee. The current rates are detailed below:</w:t>
      </w:r>
    </w:p>
    <w:p w14:paraId="39BE9B8D" w14:textId="77777777" w:rsidR="002A6753" w:rsidRPr="005F45EF" w:rsidRDefault="002A6753" w:rsidP="002A6753">
      <w:pPr>
        <w:ind w:left="644"/>
        <w:rPr>
          <w:b/>
          <w:lang w:val="en"/>
        </w:rPr>
      </w:pPr>
      <w:r w:rsidRPr="005F45EF">
        <w:rPr>
          <w:b/>
          <w:lang w:val="en"/>
        </w:rPr>
        <w:t>Firefighters Pension Scheme 2015</w:t>
      </w:r>
    </w:p>
    <w:p w14:paraId="606252D4" w14:textId="5FF22CC4" w:rsidR="002A6753" w:rsidRPr="002A6753" w:rsidRDefault="002A6753" w:rsidP="002A6753">
      <w:pPr>
        <w:ind w:left="644"/>
      </w:pPr>
      <w:r w:rsidRPr="002A6753">
        <w:t>Contribution rate</w:t>
      </w:r>
      <w:r w:rsidR="009A64A3">
        <w:t>s</w:t>
      </w:r>
      <w:r w:rsidR="002115C8">
        <w:t xml:space="preserve"> from 1 April 20</w:t>
      </w:r>
      <w:r w:rsidR="008B376D">
        <w:t>20</w:t>
      </w:r>
      <w:r w:rsidRPr="002A6753">
        <w:t xml:space="preserve"> to 31 March 20</w:t>
      </w:r>
      <w:r w:rsidR="008B376D">
        <w:t>21</w:t>
      </w:r>
      <w:r w:rsidRPr="002A6753">
        <w:t xml:space="preserve"> (percentage of pensionable pay).</w:t>
      </w:r>
    </w:p>
    <w:tbl>
      <w:tblPr>
        <w:tblStyle w:val="TableGrid"/>
        <w:tblW w:w="8423" w:type="dxa"/>
        <w:tblInd w:w="644" w:type="dxa"/>
        <w:tblLook w:val="04A0" w:firstRow="1" w:lastRow="0" w:firstColumn="1" w:lastColumn="0" w:noHBand="0" w:noVBand="1"/>
      </w:tblPr>
      <w:tblGrid>
        <w:gridCol w:w="5872"/>
        <w:gridCol w:w="2551"/>
      </w:tblGrid>
      <w:tr w:rsidR="002A6753" w:rsidRPr="000274F2" w14:paraId="4F05D5A3" w14:textId="77777777" w:rsidTr="00996624">
        <w:trPr>
          <w:trHeight w:val="454"/>
        </w:trPr>
        <w:tc>
          <w:tcPr>
            <w:tcW w:w="5872" w:type="dxa"/>
            <w:shd w:val="clear" w:color="auto" w:fill="D9D9D9" w:themeFill="background1" w:themeFillShade="D9"/>
          </w:tcPr>
          <w:p w14:paraId="37106A5B" w14:textId="77777777" w:rsidR="002A6753" w:rsidRPr="000274F2" w:rsidRDefault="002A6753" w:rsidP="005D032E">
            <w:pPr>
              <w:spacing w:before="0"/>
              <w:jc w:val="center"/>
              <w:rPr>
                <w:b/>
              </w:rPr>
            </w:pPr>
            <w:r w:rsidRPr="000274F2">
              <w:rPr>
                <w:b/>
              </w:rPr>
              <w:t>Pensionable pay</w:t>
            </w:r>
          </w:p>
        </w:tc>
        <w:tc>
          <w:tcPr>
            <w:tcW w:w="2551" w:type="dxa"/>
            <w:shd w:val="clear" w:color="auto" w:fill="D9D9D9" w:themeFill="background1" w:themeFillShade="D9"/>
          </w:tcPr>
          <w:p w14:paraId="0BCCE8A6" w14:textId="77777777" w:rsidR="002A6753" w:rsidRPr="000274F2" w:rsidRDefault="002A6753" w:rsidP="005D032E">
            <w:pPr>
              <w:spacing w:before="0"/>
              <w:jc w:val="center"/>
              <w:rPr>
                <w:b/>
              </w:rPr>
            </w:pPr>
            <w:r w:rsidRPr="000274F2">
              <w:rPr>
                <w:b/>
              </w:rPr>
              <w:t>FPS 2015</w:t>
            </w:r>
          </w:p>
        </w:tc>
      </w:tr>
      <w:tr w:rsidR="002A6753" w:rsidRPr="000274F2" w14:paraId="6C6515E1" w14:textId="77777777" w:rsidTr="00996624">
        <w:trPr>
          <w:trHeight w:val="340"/>
        </w:trPr>
        <w:tc>
          <w:tcPr>
            <w:tcW w:w="5872" w:type="dxa"/>
          </w:tcPr>
          <w:p w14:paraId="2DE1A3EF" w14:textId="718E4A16" w:rsidR="002A6753" w:rsidRPr="000274F2" w:rsidRDefault="001134A2" w:rsidP="005D032E">
            <w:pPr>
              <w:spacing w:before="0"/>
              <w:jc w:val="left"/>
            </w:pPr>
            <w:r>
              <w:t>Up to £27,818</w:t>
            </w:r>
          </w:p>
        </w:tc>
        <w:tc>
          <w:tcPr>
            <w:tcW w:w="2551" w:type="dxa"/>
          </w:tcPr>
          <w:p w14:paraId="445AD9DF" w14:textId="77777777" w:rsidR="002A6753" w:rsidRPr="000274F2" w:rsidRDefault="002A6753" w:rsidP="005D032E">
            <w:pPr>
              <w:spacing w:before="0"/>
              <w:jc w:val="center"/>
            </w:pPr>
            <w:r w:rsidRPr="000274F2">
              <w:t>11.0%</w:t>
            </w:r>
          </w:p>
        </w:tc>
      </w:tr>
      <w:tr w:rsidR="002A6753" w:rsidRPr="000274F2" w14:paraId="483D520F" w14:textId="77777777" w:rsidTr="00996624">
        <w:trPr>
          <w:trHeight w:val="340"/>
        </w:trPr>
        <w:tc>
          <w:tcPr>
            <w:tcW w:w="5872" w:type="dxa"/>
          </w:tcPr>
          <w:p w14:paraId="7D0538B8" w14:textId="77777777" w:rsidR="002A6753" w:rsidRPr="000274F2" w:rsidRDefault="002A6753" w:rsidP="005D032E">
            <w:pPr>
              <w:spacing w:before="0"/>
              <w:jc w:val="left"/>
            </w:pPr>
            <w:r w:rsidRPr="000274F2">
              <w:t>£27,819 to £51,515</w:t>
            </w:r>
          </w:p>
        </w:tc>
        <w:tc>
          <w:tcPr>
            <w:tcW w:w="2551" w:type="dxa"/>
          </w:tcPr>
          <w:p w14:paraId="4C5DDEE8" w14:textId="77777777" w:rsidR="002A6753" w:rsidRPr="000274F2" w:rsidRDefault="002A6753" w:rsidP="005D032E">
            <w:pPr>
              <w:spacing w:before="0"/>
              <w:jc w:val="center"/>
            </w:pPr>
            <w:r w:rsidRPr="000274F2">
              <w:t>12.9%</w:t>
            </w:r>
          </w:p>
        </w:tc>
      </w:tr>
      <w:tr w:rsidR="002A6753" w:rsidRPr="000274F2" w14:paraId="1B970DFF" w14:textId="77777777" w:rsidTr="00996624">
        <w:trPr>
          <w:trHeight w:val="340"/>
        </w:trPr>
        <w:tc>
          <w:tcPr>
            <w:tcW w:w="5872" w:type="dxa"/>
          </w:tcPr>
          <w:p w14:paraId="7381D2E0" w14:textId="77777777" w:rsidR="002A6753" w:rsidRPr="000274F2" w:rsidRDefault="002A6753" w:rsidP="005D032E">
            <w:pPr>
              <w:spacing w:before="0"/>
              <w:jc w:val="left"/>
            </w:pPr>
            <w:r w:rsidRPr="000274F2">
              <w:t>£51,516 to £142,500</w:t>
            </w:r>
          </w:p>
        </w:tc>
        <w:tc>
          <w:tcPr>
            <w:tcW w:w="2551" w:type="dxa"/>
          </w:tcPr>
          <w:p w14:paraId="5683DBE0" w14:textId="77777777" w:rsidR="002A6753" w:rsidRPr="000274F2" w:rsidRDefault="002A6753" w:rsidP="005D032E">
            <w:pPr>
              <w:spacing w:before="0"/>
              <w:jc w:val="center"/>
            </w:pPr>
            <w:r w:rsidRPr="000274F2">
              <w:t>13.5%</w:t>
            </w:r>
          </w:p>
        </w:tc>
      </w:tr>
      <w:tr w:rsidR="002A6753" w:rsidRPr="000274F2" w14:paraId="09A2CC35" w14:textId="77777777" w:rsidTr="00996624">
        <w:trPr>
          <w:trHeight w:val="340"/>
        </w:trPr>
        <w:tc>
          <w:tcPr>
            <w:tcW w:w="5872" w:type="dxa"/>
          </w:tcPr>
          <w:p w14:paraId="0D00BF84" w14:textId="77777777" w:rsidR="002A6753" w:rsidRPr="000274F2" w:rsidRDefault="002A6753" w:rsidP="005D032E">
            <w:pPr>
              <w:spacing w:before="0"/>
              <w:jc w:val="left"/>
            </w:pPr>
            <w:r w:rsidRPr="000274F2">
              <w:t>£142,501 or more</w:t>
            </w:r>
          </w:p>
        </w:tc>
        <w:tc>
          <w:tcPr>
            <w:tcW w:w="2551" w:type="dxa"/>
          </w:tcPr>
          <w:p w14:paraId="70BFD031" w14:textId="77777777" w:rsidR="002A6753" w:rsidRPr="000274F2" w:rsidRDefault="002A6753" w:rsidP="005D032E">
            <w:pPr>
              <w:spacing w:before="0"/>
              <w:jc w:val="center"/>
            </w:pPr>
            <w:r w:rsidRPr="000274F2">
              <w:t>14.5%</w:t>
            </w:r>
          </w:p>
        </w:tc>
      </w:tr>
    </w:tbl>
    <w:p w14:paraId="4580D004" w14:textId="77777777" w:rsidR="002A6753" w:rsidRPr="002A6753" w:rsidRDefault="002A6753" w:rsidP="002A6753">
      <w:pPr>
        <w:ind w:left="644"/>
      </w:pPr>
      <w:r w:rsidRPr="002A6753">
        <w:t>Some existing members of the Firefighter’s Pension Scheme have not yet transitioned into the Firefighter’s Pension Scheme 2015, the relevant contributions rates are detailed below:</w:t>
      </w:r>
    </w:p>
    <w:p w14:paraId="79B8FD38" w14:textId="77777777" w:rsidR="00E32A09" w:rsidRDefault="00E32A09">
      <w:pPr>
        <w:spacing w:before="0" w:line="240" w:lineRule="auto"/>
        <w:jc w:val="left"/>
        <w:rPr>
          <w:b/>
        </w:rPr>
      </w:pPr>
      <w:r>
        <w:rPr>
          <w:b/>
        </w:rPr>
        <w:br w:type="page"/>
      </w:r>
    </w:p>
    <w:p w14:paraId="48D75065" w14:textId="77777777" w:rsidR="002A6753" w:rsidRPr="005F45EF" w:rsidRDefault="002A6753" w:rsidP="002A6753">
      <w:pPr>
        <w:ind w:left="644"/>
        <w:rPr>
          <w:b/>
          <w:lang w:val="en"/>
        </w:rPr>
      </w:pPr>
      <w:r w:rsidRPr="005F45EF">
        <w:rPr>
          <w:b/>
          <w:lang w:val="en"/>
        </w:rPr>
        <w:lastRenderedPageBreak/>
        <w:t>Firefighter Pension Scheme 1992 scheme</w:t>
      </w:r>
    </w:p>
    <w:p w14:paraId="073400B2" w14:textId="0AFECFBB" w:rsidR="002A6753" w:rsidRPr="009A64A3" w:rsidRDefault="009A64A3" w:rsidP="009A64A3">
      <w:pPr>
        <w:ind w:left="644"/>
      </w:pPr>
      <w:r w:rsidRPr="002A6753">
        <w:t xml:space="preserve">Contribution </w:t>
      </w:r>
      <w:r>
        <w:t>r</w:t>
      </w:r>
      <w:r w:rsidRPr="002A6753">
        <w:t>ates</w:t>
      </w:r>
      <w:r>
        <w:t xml:space="preserve"> </w:t>
      </w:r>
      <w:r w:rsidR="001134A2">
        <w:rPr>
          <w:color w:val="000000"/>
        </w:rPr>
        <w:t>from 1 April 20</w:t>
      </w:r>
      <w:r w:rsidR="008B376D">
        <w:rPr>
          <w:color w:val="000000"/>
        </w:rPr>
        <w:t>20</w:t>
      </w:r>
      <w:r w:rsidR="002A6753" w:rsidRPr="002A6753">
        <w:rPr>
          <w:color w:val="000000"/>
        </w:rPr>
        <w:t xml:space="preserve"> to 31 March 20</w:t>
      </w:r>
      <w:r w:rsidR="001134A2">
        <w:rPr>
          <w:color w:val="000000"/>
        </w:rPr>
        <w:t>2</w:t>
      </w:r>
      <w:r w:rsidR="008B376D">
        <w:rPr>
          <w:color w:val="000000"/>
        </w:rPr>
        <w:t>1</w:t>
      </w:r>
      <w:r w:rsidR="002A6753" w:rsidRPr="002A6753">
        <w:rPr>
          <w:color w:val="000000"/>
        </w:rPr>
        <w:t xml:space="preserve"> (percentage of pensionable pay).</w:t>
      </w:r>
    </w:p>
    <w:tbl>
      <w:tblPr>
        <w:tblStyle w:val="TableGrid"/>
        <w:tblW w:w="8423" w:type="dxa"/>
        <w:tblInd w:w="644" w:type="dxa"/>
        <w:tblLook w:val="04A0" w:firstRow="1" w:lastRow="0" w:firstColumn="1" w:lastColumn="0" w:noHBand="0" w:noVBand="1"/>
      </w:tblPr>
      <w:tblGrid>
        <w:gridCol w:w="5872"/>
        <w:gridCol w:w="2551"/>
      </w:tblGrid>
      <w:tr w:rsidR="002A6753" w14:paraId="4EFA3A4B" w14:textId="77777777" w:rsidTr="002A027C">
        <w:tc>
          <w:tcPr>
            <w:tcW w:w="5872" w:type="dxa"/>
            <w:shd w:val="clear" w:color="auto" w:fill="D9D9D9" w:themeFill="background1" w:themeFillShade="D9"/>
          </w:tcPr>
          <w:p w14:paraId="710B6382" w14:textId="77777777" w:rsidR="002A6753" w:rsidRPr="005D032E" w:rsidRDefault="002A6753" w:rsidP="005D032E">
            <w:pPr>
              <w:spacing w:before="0"/>
              <w:jc w:val="center"/>
              <w:rPr>
                <w:b/>
              </w:rPr>
            </w:pPr>
            <w:r w:rsidRPr="005D032E">
              <w:rPr>
                <w:b/>
              </w:rPr>
              <w:t>Pensionable pay</w:t>
            </w:r>
          </w:p>
        </w:tc>
        <w:tc>
          <w:tcPr>
            <w:tcW w:w="2551" w:type="dxa"/>
            <w:shd w:val="clear" w:color="auto" w:fill="D9D9D9" w:themeFill="background1" w:themeFillShade="D9"/>
          </w:tcPr>
          <w:p w14:paraId="5CF570EE" w14:textId="77777777" w:rsidR="002A6753" w:rsidRPr="005D032E" w:rsidRDefault="002A6753" w:rsidP="005D032E">
            <w:pPr>
              <w:spacing w:before="0"/>
              <w:jc w:val="center"/>
              <w:rPr>
                <w:b/>
              </w:rPr>
            </w:pPr>
            <w:r w:rsidRPr="005D032E">
              <w:rPr>
                <w:b/>
              </w:rPr>
              <w:t>FPS 1992 and FPS 2006 Special Members</w:t>
            </w:r>
          </w:p>
        </w:tc>
      </w:tr>
      <w:tr w:rsidR="002A6753" w14:paraId="193C7967" w14:textId="77777777" w:rsidTr="002A027C">
        <w:trPr>
          <w:trHeight w:val="340"/>
        </w:trPr>
        <w:tc>
          <w:tcPr>
            <w:tcW w:w="5872" w:type="dxa"/>
          </w:tcPr>
          <w:p w14:paraId="709B354C" w14:textId="77777777" w:rsidR="002A6753" w:rsidRPr="00B65A45" w:rsidRDefault="002A6753" w:rsidP="005D032E">
            <w:pPr>
              <w:spacing w:before="0"/>
              <w:rPr>
                <w:color w:val="000000"/>
              </w:rPr>
            </w:pPr>
            <w:r w:rsidRPr="00B65A45">
              <w:rPr>
                <w:color w:val="000000"/>
              </w:rPr>
              <w:t xml:space="preserve">Up to and including £15,609 </w:t>
            </w:r>
          </w:p>
        </w:tc>
        <w:tc>
          <w:tcPr>
            <w:tcW w:w="2551" w:type="dxa"/>
          </w:tcPr>
          <w:p w14:paraId="0D588D96" w14:textId="77777777" w:rsidR="002A6753" w:rsidRPr="00B65A45" w:rsidRDefault="002A6753" w:rsidP="005D032E">
            <w:pPr>
              <w:spacing w:before="0"/>
              <w:jc w:val="center"/>
              <w:rPr>
                <w:color w:val="000000"/>
              </w:rPr>
            </w:pPr>
            <w:r>
              <w:rPr>
                <w:color w:val="000000"/>
              </w:rPr>
              <w:t>11.0%</w:t>
            </w:r>
          </w:p>
        </w:tc>
      </w:tr>
      <w:tr w:rsidR="002A6753" w14:paraId="2E8A1053" w14:textId="77777777" w:rsidTr="002A027C">
        <w:trPr>
          <w:trHeight w:val="340"/>
        </w:trPr>
        <w:tc>
          <w:tcPr>
            <w:tcW w:w="5872" w:type="dxa"/>
          </w:tcPr>
          <w:p w14:paraId="400A29F4" w14:textId="77777777" w:rsidR="002A6753" w:rsidRDefault="002A6753" w:rsidP="005D032E">
            <w:pPr>
              <w:spacing w:before="0"/>
              <w:rPr>
                <w:color w:val="000000"/>
              </w:rPr>
            </w:pPr>
            <w:r w:rsidRPr="00211E0B">
              <w:rPr>
                <w:color w:val="000000"/>
              </w:rPr>
              <w:t>More than £15,609 and up to and including £21,852</w:t>
            </w:r>
          </w:p>
        </w:tc>
        <w:tc>
          <w:tcPr>
            <w:tcW w:w="2551" w:type="dxa"/>
          </w:tcPr>
          <w:p w14:paraId="60F83EB2" w14:textId="77777777" w:rsidR="002A6753" w:rsidRDefault="002A6753" w:rsidP="005D032E">
            <w:pPr>
              <w:spacing w:before="0"/>
              <w:jc w:val="center"/>
              <w:rPr>
                <w:color w:val="000000"/>
              </w:rPr>
            </w:pPr>
            <w:r>
              <w:rPr>
                <w:color w:val="000000"/>
              </w:rPr>
              <w:t>12.2%</w:t>
            </w:r>
          </w:p>
        </w:tc>
      </w:tr>
      <w:tr w:rsidR="002A6753" w14:paraId="1B2B3C77" w14:textId="77777777" w:rsidTr="002A027C">
        <w:trPr>
          <w:trHeight w:val="340"/>
        </w:trPr>
        <w:tc>
          <w:tcPr>
            <w:tcW w:w="5872" w:type="dxa"/>
          </w:tcPr>
          <w:p w14:paraId="01A11BF2" w14:textId="77777777" w:rsidR="002A6753" w:rsidRPr="002F4599" w:rsidRDefault="002A6753" w:rsidP="005D032E">
            <w:pPr>
              <w:spacing w:before="0"/>
              <w:rPr>
                <w:color w:val="000000"/>
              </w:rPr>
            </w:pPr>
            <w:r w:rsidRPr="002F4599">
              <w:rPr>
                <w:color w:val="000000"/>
              </w:rPr>
              <w:t xml:space="preserve">More than £21,852 and up to and including £31,218 </w:t>
            </w:r>
          </w:p>
        </w:tc>
        <w:tc>
          <w:tcPr>
            <w:tcW w:w="2551" w:type="dxa"/>
          </w:tcPr>
          <w:p w14:paraId="1CB9B396" w14:textId="77777777" w:rsidR="002A6753" w:rsidRDefault="002A6753" w:rsidP="005D032E">
            <w:pPr>
              <w:spacing w:before="0"/>
              <w:jc w:val="center"/>
              <w:rPr>
                <w:color w:val="000000"/>
              </w:rPr>
            </w:pPr>
            <w:r>
              <w:rPr>
                <w:color w:val="000000"/>
              </w:rPr>
              <w:t>14.2%</w:t>
            </w:r>
          </w:p>
        </w:tc>
      </w:tr>
      <w:tr w:rsidR="002A6753" w14:paraId="50D6D6F9" w14:textId="77777777" w:rsidTr="002A027C">
        <w:trPr>
          <w:trHeight w:val="340"/>
        </w:trPr>
        <w:tc>
          <w:tcPr>
            <w:tcW w:w="5872" w:type="dxa"/>
          </w:tcPr>
          <w:p w14:paraId="64BB5E55" w14:textId="77777777" w:rsidR="002A6753" w:rsidRPr="002F4599" w:rsidRDefault="002A6753" w:rsidP="005D032E">
            <w:pPr>
              <w:spacing w:before="0"/>
              <w:rPr>
                <w:color w:val="000000"/>
              </w:rPr>
            </w:pPr>
            <w:r w:rsidRPr="002F4599">
              <w:rPr>
                <w:color w:val="000000"/>
              </w:rPr>
              <w:t xml:space="preserve">More than £31,218 and up to and including £41,624 </w:t>
            </w:r>
          </w:p>
        </w:tc>
        <w:tc>
          <w:tcPr>
            <w:tcW w:w="2551" w:type="dxa"/>
          </w:tcPr>
          <w:p w14:paraId="031ED4D0" w14:textId="77777777" w:rsidR="002A6753" w:rsidRDefault="002A6753" w:rsidP="005D032E">
            <w:pPr>
              <w:spacing w:before="0"/>
              <w:jc w:val="center"/>
              <w:rPr>
                <w:color w:val="000000"/>
              </w:rPr>
            </w:pPr>
            <w:r>
              <w:rPr>
                <w:color w:val="000000"/>
              </w:rPr>
              <w:t>14.7%</w:t>
            </w:r>
          </w:p>
        </w:tc>
      </w:tr>
      <w:tr w:rsidR="002A6753" w14:paraId="55718272" w14:textId="77777777" w:rsidTr="002A027C">
        <w:trPr>
          <w:trHeight w:val="340"/>
        </w:trPr>
        <w:tc>
          <w:tcPr>
            <w:tcW w:w="5872" w:type="dxa"/>
          </w:tcPr>
          <w:p w14:paraId="5D01FD21" w14:textId="77777777" w:rsidR="002A6753" w:rsidRPr="002F4599" w:rsidRDefault="002A6753" w:rsidP="005D032E">
            <w:pPr>
              <w:spacing w:before="0"/>
              <w:rPr>
                <w:color w:val="000000"/>
              </w:rPr>
            </w:pPr>
            <w:r w:rsidRPr="002F4599">
              <w:rPr>
                <w:color w:val="000000"/>
              </w:rPr>
              <w:t xml:space="preserve">More than £41,624 and up to and including £52,030 </w:t>
            </w:r>
          </w:p>
        </w:tc>
        <w:tc>
          <w:tcPr>
            <w:tcW w:w="2551" w:type="dxa"/>
          </w:tcPr>
          <w:p w14:paraId="3058B055" w14:textId="77777777" w:rsidR="002A6753" w:rsidRDefault="002A6753" w:rsidP="005D032E">
            <w:pPr>
              <w:spacing w:before="0"/>
              <w:jc w:val="center"/>
              <w:rPr>
                <w:color w:val="000000"/>
              </w:rPr>
            </w:pPr>
            <w:r>
              <w:rPr>
                <w:color w:val="000000"/>
              </w:rPr>
              <w:t>15.2%</w:t>
            </w:r>
          </w:p>
        </w:tc>
      </w:tr>
      <w:tr w:rsidR="002A6753" w14:paraId="204EC1A3" w14:textId="77777777" w:rsidTr="002A027C">
        <w:trPr>
          <w:trHeight w:val="340"/>
        </w:trPr>
        <w:tc>
          <w:tcPr>
            <w:tcW w:w="5872" w:type="dxa"/>
          </w:tcPr>
          <w:p w14:paraId="7EA639E2" w14:textId="77777777" w:rsidR="002A6753" w:rsidRPr="002F4599" w:rsidRDefault="002A6753" w:rsidP="005D032E">
            <w:pPr>
              <w:spacing w:before="0"/>
              <w:rPr>
                <w:color w:val="000000"/>
              </w:rPr>
            </w:pPr>
            <w:r w:rsidRPr="002F4599">
              <w:rPr>
                <w:color w:val="000000"/>
              </w:rPr>
              <w:t xml:space="preserve">More than £52,030 and up to and including £62,436 </w:t>
            </w:r>
          </w:p>
        </w:tc>
        <w:tc>
          <w:tcPr>
            <w:tcW w:w="2551" w:type="dxa"/>
          </w:tcPr>
          <w:p w14:paraId="4A079793" w14:textId="77777777" w:rsidR="002A6753" w:rsidRDefault="002A6753" w:rsidP="005D032E">
            <w:pPr>
              <w:spacing w:before="0"/>
              <w:jc w:val="center"/>
              <w:rPr>
                <w:color w:val="000000"/>
              </w:rPr>
            </w:pPr>
            <w:r>
              <w:rPr>
                <w:color w:val="000000"/>
              </w:rPr>
              <w:t>15.5%</w:t>
            </w:r>
          </w:p>
        </w:tc>
      </w:tr>
      <w:tr w:rsidR="002A6753" w14:paraId="7757E768" w14:textId="77777777" w:rsidTr="002A027C">
        <w:trPr>
          <w:trHeight w:val="340"/>
        </w:trPr>
        <w:tc>
          <w:tcPr>
            <w:tcW w:w="5872" w:type="dxa"/>
          </w:tcPr>
          <w:p w14:paraId="08675EE3" w14:textId="77777777" w:rsidR="002A6753" w:rsidRPr="002F4599" w:rsidRDefault="002A6753" w:rsidP="005D032E">
            <w:pPr>
              <w:spacing w:before="0"/>
              <w:rPr>
                <w:color w:val="000000"/>
              </w:rPr>
            </w:pPr>
            <w:r w:rsidRPr="002F4599">
              <w:rPr>
                <w:color w:val="000000"/>
              </w:rPr>
              <w:t xml:space="preserve">More than £62,436 and up to and including £104,060 </w:t>
            </w:r>
          </w:p>
        </w:tc>
        <w:tc>
          <w:tcPr>
            <w:tcW w:w="2551" w:type="dxa"/>
          </w:tcPr>
          <w:p w14:paraId="00AFE7AF" w14:textId="77777777" w:rsidR="002A6753" w:rsidRDefault="002A6753" w:rsidP="005D032E">
            <w:pPr>
              <w:spacing w:before="0"/>
              <w:jc w:val="center"/>
              <w:rPr>
                <w:color w:val="000000"/>
              </w:rPr>
            </w:pPr>
            <w:r>
              <w:rPr>
                <w:color w:val="000000"/>
              </w:rPr>
              <w:t>16.0%</w:t>
            </w:r>
          </w:p>
        </w:tc>
      </w:tr>
      <w:tr w:rsidR="002A6753" w14:paraId="203F6161" w14:textId="77777777" w:rsidTr="002A027C">
        <w:trPr>
          <w:trHeight w:val="340"/>
        </w:trPr>
        <w:tc>
          <w:tcPr>
            <w:tcW w:w="5872" w:type="dxa"/>
          </w:tcPr>
          <w:p w14:paraId="025581E3" w14:textId="77777777" w:rsidR="002A6753" w:rsidRPr="002F4599" w:rsidRDefault="002A6753" w:rsidP="005D032E">
            <w:pPr>
              <w:spacing w:before="0"/>
              <w:rPr>
                <w:color w:val="000000"/>
              </w:rPr>
            </w:pPr>
            <w:r w:rsidRPr="002F4599">
              <w:rPr>
                <w:color w:val="000000"/>
              </w:rPr>
              <w:t xml:space="preserve">More than £104,060 and up to and including £124,872 </w:t>
            </w:r>
          </w:p>
        </w:tc>
        <w:tc>
          <w:tcPr>
            <w:tcW w:w="2551" w:type="dxa"/>
          </w:tcPr>
          <w:p w14:paraId="25649F48" w14:textId="77777777" w:rsidR="002A6753" w:rsidRDefault="002A6753" w:rsidP="005D032E">
            <w:pPr>
              <w:spacing w:before="0"/>
              <w:jc w:val="center"/>
              <w:rPr>
                <w:color w:val="000000"/>
              </w:rPr>
            </w:pPr>
            <w:r>
              <w:rPr>
                <w:color w:val="000000"/>
              </w:rPr>
              <w:t>16.5%</w:t>
            </w:r>
          </w:p>
        </w:tc>
      </w:tr>
      <w:tr w:rsidR="002A6753" w14:paraId="1F23F3CF" w14:textId="77777777" w:rsidTr="002A027C">
        <w:trPr>
          <w:trHeight w:val="340"/>
        </w:trPr>
        <w:tc>
          <w:tcPr>
            <w:tcW w:w="5872" w:type="dxa"/>
          </w:tcPr>
          <w:p w14:paraId="3A879703" w14:textId="77777777" w:rsidR="002A6753" w:rsidRDefault="002A6753" w:rsidP="005D032E">
            <w:pPr>
              <w:spacing w:before="0"/>
            </w:pPr>
            <w:r w:rsidRPr="002F4599">
              <w:rPr>
                <w:color w:val="000000"/>
              </w:rPr>
              <w:t xml:space="preserve">More than £124,872 </w:t>
            </w:r>
          </w:p>
        </w:tc>
        <w:tc>
          <w:tcPr>
            <w:tcW w:w="2551" w:type="dxa"/>
          </w:tcPr>
          <w:p w14:paraId="7EB92095" w14:textId="77777777" w:rsidR="002A6753" w:rsidRDefault="002A6753" w:rsidP="005D032E">
            <w:pPr>
              <w:spacing w:before="0"/>
              <w:jc w:val="center"/>
              <w:rPr>
                <w:color w:val="000000"/>
              </w:rPr>
            </w:pPr>
            <w:r>
              <w:rPr>
                <w:color w:val="000000"/>
              </w:rPr>
              <w:t>17.0%</w:t>
            </w:r>
          </w:p>
        </w:tc>
      </w:tr>
    </w:tbl>
    <w:p w14:paraId="4FBC37D7" w14:textId="77777777" w:rsidR="002A6753" w:rsidRPr="005F45EF" w:rsidRDefault="002A6753" w:rsidP="005F45EF">
      <w:pPr>
        <w:ind w:left="644"/>
        <w:rPr>
          <w:b/>
          <w:lang w:val="en"/>
        </w:rPr>
      </w:pPr>
      <w:r w:rsidRPr="005F45EF">
        <w:rPr>
          <w:b/>
          <w:lang w:val="en"/>
        </w:rPr>
        <w:t>Firefighters Pension Scheme 2006</w:t>
      </w:r>
    </w:p>
    <w:p w14:paraId="02B71783" w14:textId="7C13CD71" w:rsidR="002A6753" w:rsidRPr="002A6753" w:rsidRDefault="002A6753" w:rsidP="002A6753">
      <w:pPr>
        <w:ind w:left="644"/>
      </w:pPr>
      <w:r w:rsidRPr="002A6753">
        <w:t>Contribution rate</w:t>
      </w:r>
      <w:r w:rsidR="009A64A3">
        <w:t>s</w:t>
      </w:r>
      <w:r w:rsidR="001134A2">
        <w:t xml:space="preserve"> from 1 April 20</w:t>
      </w:r>
      <w:r w:rsidR="008B376D">
        <w:t>20</w:t>
      </w:r>
      <w:r w:rsidRPr="002A6753">
        <w:t xml:space="preserve"> to 31 March 20</w:t>
      </w:r>
      <w:r w:rsidR="001134A2">
        <w:t>2</w:t>
      </w:r>
      <w:r w:rsidR="008B376D">
        <w:t>1</w:t>
      </w:r>
      <w:r w:rsidRPr="002A6753">
        <w:t xml:space="preserve"> (percentage of pensionable pay).</w:t>
      </w:r>
    </w:p>
    <w:tbl>
      <w:tblPr>
        <w:tblStyle w:val="TableGrid"/>
        <w:tblW w:w="8423" w:type="dxa"/>
        <w:tblInd w:w="644" w:type="dxa"/>
        <w:tblLook w:val="04A0" w:firstRow="1" w:lastRow="0" w:firstColumn="1" w:lastColumn="0" w:noHBand="0" w:noVBand="1"/>
      </w:tblPr>
      <w:tblGrid>
        <w:gridCol w:w="6014"/>
        <w:gridCol w:w="2409"/>
      </w:tblGrid>
      <w:tr w:rsidR="002A6753" w:rsidRPr="00C72CA9" w14:paraId="3A5BCFEC" w14:textId="77777777" w:rsidTr="002A027C">
        <w:trPr>
          <w:trHeight w:val="454"/>
        </w:trPr>
        <w:tc>
          <w:tcPr>
            <w:tcW w:w="6014" w:type="dxa"/>
            <w:shd w:val="clear" w:color="auto" w:fill="D9D9D9" w:themeFill="background1" w:themeFillShade="D9"/>
          </w:tcPr>
          <w:p w14:paraId="450DBF5A" w14:textId="77777777" w:rsidR="002A6753" w:rsidRPr="00C72CA9" w:rsidRDefault="002A6753" w:rsidP="00996624">
            <w:pPr>
              <w:spacing w:before="0"/>
              <w:jc w:val="center"/>
              <w:rPr>
                <w:b/>
              </w:rPr>
            </w:pPr>
            <w:r w:rsidRPr="00C72CA9">
              <w:rPr>
                <w:b/>
              </w:rPr>
              <w:t>Pensionable pay</w:t>
            </w:r>
          </w:p>
        </w:tc>
        <w:tc>
          <w:tcPr>
            <w:tcW w:w="2409" w:type="dxa"/>
            <w:shd w:val="clear" w:color="auto" w:fill="D9D9D9" w:themeFill="background1" w:themeFillShade="D9"/>
          </w:tcPr>
          <w:p w14:paraId="3B72B378" w14:textId="77777777" w:rsidR="002A6753" w:rsidRPr="00C72CA9" w:rsidRDefault="002A6753" w:rsidP="00996624">
            <w:pPr>
              <w:spacing w:before="0"/>
              <w:jc w:val="center"/>
              <w:rPr>
                <w:b/>
              </w:rPr>
            </w:pPr>
            <w:r w:rsidRPr="00C72CA9">
              <w:rPr>
                <w:b/>
              </w:rPr>
              <w:t>FPS</w:t>
            </w:r>
            <w:r w:rsidR="002A027C">
              <w:rPr>
                <w:b/>
              </w:rPr>
              <w:t xml:space="preserve"> </w:t>
            </w:r>
            <w:r w:rsidRPr="00C72CA9">
              <w:rPr>
                <w:b/>
              </w:rPr>
              <w:t>(England) 2006</w:t>
            </w:r>
          </w:p>
        </w:tc>
      </w:tr>
      <w:tr w:rsidR="002A6753" w:rsidRPr="00CF5477" w14:paraId="7AE3F00D" w14:textId="77777777" w:rsidTr="002A027C">
        <w:trPr>
          <w:trHeight w:val="340"/>
        </w:trPr>
        <w:tc>
          <w:tcPr>
            <w:tcW w:w="6014" w:type="dxa"/>
          </w:tcPr>
          <w:p w14:paraId="6F445597" w14:textId="77777777" w:rsidR="002A6753" w:rsidRPr="00CF5477" w:rsidRDefault="002A6753" w:rsidP="002A027C">
            <w:pPr>
              <w:spacing w:before="0"/>
              <w:jc w:val="left"/>
              <w:rPr>
                <w:color w:val="000000"/>
              </w:rPr>
            </w:pPr>
            <w:r w:rsidRPr="00CF5477">
              <w:rPr>
                <w:color w:val="000000"/>
              </w:rPr>
              <w:t>Up to and including £15,609</w:t>
            </w:r>
          </w:p>
        </w:tc>
        <w:tc>
          <w:tcPr>
            <w:tcW w:w="2409" w:type="dxa"/>
          </w:tcPr>
          <w:p w14:paraId="2B947F49" w14:textId="77777777" w:rsidR="002A6753" w:rsidRPr="00CF5477" w:rsidRDefault="002A6753" w:rsidP="002A027C">
            <w:pPr>
              <w:spacing w:before="0"/>
              <w:jc w:val="center"/>
              <w:rPr>
                <w:color w:val="000000"/>
              </w:rPr>
            </w:pPr>
            <w:r w:rsidRPr="00CF5477">
              <w:rPr>
                <w:color w:val="000000"/>
              </w:rPr>
              <w:t>8.5%</w:t>
            </w:r>
          </w:p>
        </w:tc>
      </w:tr>
      <w:tr w:rsidR="002A6753" w:rsidRPr="00CF5477" w14:paraId="37A5C570" w14:textId="77777777" w:rsidTr="002A027C">
        <w:trPr>
          <w:trHeight w:val="340"/>
        </w:trPr>
        <w:tc>
          <w:tcPr>
            <w:tcW w:w="6014" w:type="dxa"/>
          </w:tcPr>
          <w:p w14:paraId="157D2F71" w14:textId="77777777" w:rsidR="002A6753" w:rsidRPr="00CF5477" w:rsidRDefault="002A6753" w:rsidP="002A027C">
            <w:pPr>
              <w:spacing w:before="0"/>
              <w:jc w:val="left"/>
              <w:rPr>
                <w:color w:val="000000"/>
              </w:rPr>
            </w:pPr>
            <w:r w:rsidRPr="00CF5477">
              <w:rPr>
                <w:color w:val="000000"/>
              </w:rPr>
              <w:t>More than £15,609 and up to and including £21,852</w:t>
            </w:r>
          </w:p>
        </w:tc>
        <w:tc>
          <w:tcPr>
            <w:tcW w:w="2409" w:type="dxa"/>
          </w:tcPr>
          <w:p w14:paraId="7E91BA52" w14:textId="77777777" w:rsidR="002A6753" w:rsidRPr="00CF5477" w:rsidRDefault="002A6753" w:rsidP="002A027C">
            <w:pPr>
              <w:spacing w:before="0"/>
              <w:jc w:val="center"/>
              <w:rPr>
                <w:color w:val="000000"/>
              </w:rPr>
            </w:pPr>
            <w:r w:rsidRPr="00CF5477">
              <w:rPr>
                <w:color w:val="000000"/>
              </w:rPr>
              <w:t>9.4%</w:t>
            </w:r>
          </w:p>
        </w:tc>
      </w:tr>
      <w:tr w:rsidR="002A6753" w:rsidRPr="00CF5477" w14:paraId="36757E76" w14:textId="77777777" w:rsidTr="002A027C">
        <w:trPr>
          <w:trHeight w:val="340"/>
        </w:trPr>
        <w:tc>
          <w:tcPr>
            <w:tcW w:w="6014" w:type="dxa"/>
          </w:tcPr>
          <w:p w14:paraId="6D943805" w14:textId="77777777" w:rsidR="002A6753" w:rsidRPr="00CF5477" w:rsidRDefault="002A6753" w:rsidP="002A027C">
            <w:pPr>
              <w:spacing w:before="0"/>
              <w:jc w:val="left"/>
              <w:rPr>
                <w:color w:val="000000"/>
              </w:rPr>
            </w:pPr>
            <w:r w:rsidRPr="00CF5477">
              <w:rPr>
                <w:color w:val="000000"/>
              </w:rPr>
              <w:t>More than £21,852 and up to and including £31,218</w:t>
            </w:r>
          </w:p>
        </w:tc>
        <w:tc>
          <w:tcPr>
            <w:tcW w:w="2409" w:type="dxa"/>
          </w:tcPr>
          <w:p w14:paraId="6A360BF4" w14:textId="77777777" w:rsidR="002A6753" w:rsidRPr="00CF5477" w:rsidRDefault="002A6753" w:rsidP="002A027C">
            <w:pPr>
              <w:spacing w:before="0"/>
              <w:jc w:val="center"/>
              <w:rPr>
                <w:color w:val="000000"/>
              </w:rPr>
            </w:pPr>
            <w:r w:rsidRPr="00CF5477">
              <w:rPr>
                <w:color w:val="000000"/>
              </w:rPr>
              <w:t>10.4%</w:t>
            </w:r>
          </w:p>
        </w:tc>
      </w:tr>
      <w:tr w:rsidR="002A6753" w:rsidRPr="00CF5477" w14:paraId="70B91BC6" w14:textId="77777777" w:rsidTr="002A027C">
        <w:trPr>
          <w:trHeight w:val="340"/>
        </w:trPr>
        <w:tc>
          <w:tcPr>
            <w:tcW w:w="6014" w:type="dxa"/>
          </w:tcPr>
          <w:p w14:paraId="54814125" w14:textId="77777777" w:rsidR="002A6753" w:rsidRPr="00CF5477" w:rsidRDefault="002A6753" w:rsidP="002A027C">
            <w:pPr>
              <w:spacing w:before="0"/>
              <w:jc w:val="left"/>
              <w:rPr>
                <w:color w:val="000000"/>
              </w:rPr>
            </w:pPr>
            <w:r w:rsidRPr="00CF5477">
              <w:rPr>
                <w:color w:val="000000"/>
              </w:rPr>
              <w:t>More than £31,218 and up to and including £41,624</w:t>
            </w:r>
          </w:p>
        </w:tc>
        <w:tc>
          <w:tcPr>
            <w:tcW w:w="2409" w:type="dxa"/>
          </w:tcPr>
          <w:p w14:paraId="7DACFED5" w14:textId="77777777" w:rsidR="002A6753" w:rsidRPr="00CF5477" w:rsidRDefault="002A6753" w:rsidP="002A027C">
            <w:pPr>
              <w:spacing w:before="0"/>
              <w:jc w:val="center"/>
              <w:rPr>
                <w:color w:val="000000"/>
              </w:rPr>
            </w:pPr>
            <w:r w:rsidRPr="00CF5477">
              <w:rPr>
                <w:color w:val="000000"/>
              </w:rPr>
              <w:t>10.9%</w:t>
            </w:r>
          </w:p>
        </w:tc>
      </w:tr>
      <w:tr w:rsidR="002A6753" w:rsidRPr="00CF5477" w14:paraId="529A5060" w14:textId="77777777" w:rsidTr="002A027C">
        <w:trPr>
          <w:trHeight w:val="340"/>
        </w:trPr>
        <w:tc>
          <w:tcPr>
            <w:tcW w:w="6014" w:type="dxa"/>
          </w:tcPr>
          <w:p w14:paraId="086B7870" w14:textId="77777777" w:rsidR="002A6753" w:rsidRPr="00CF5477" w:rsidRDefault="002A6753" w:rsidP="002A027C">
            <w:pPr>
              <w:spacing w:before="0"/>
              <w:jc w:val="left"/>
              <w:rPr>
                <w:color w:val="000000"/>
              </w:rPr>
            </w:pPr>
            <w:r w:rsidRPr="00CF5477">
              <w:rPr>
                <w:color w:val="000000"/>
              </w:rPr>
              <w:t>More than £41,624 and up to and including £52,030</w:t>
            </w:r>
          </w:p>
        </w:tc>
        <w:tc>
          <w:tcPr>
            <w:tcW w:w="2409" w:type="dxa"/>
          </w:tcPr>
          <w:p w14:paraId="1DF81DC2" w14:textId="77777777" w:rsidR="002A6753" w:rsidRPr="00CF5477" w:rsidRDefault="002A6753" w:rsidP="002A027C">
            <w:pPr>
              <w:spacing w:before="0"/>
              <w:jc w:val="center"/>
              <w:rPr>
                <w:color w:val="000000"/>
              </w:rPr>
            </w:pPr>
            <w:r w:rsidRPr="00CF5477">
              <w:rPr>
                <w:color w:val="000000"/>
              </w:rPr>
              <w:t>11.2%</w:t>
            </w:r>
          </w:p>
        </w:tc>
      </w:tr>
      <w:tr w:rsidR="002A6753" w:rsidRPr="00CF5477" w14:paraId="42A55A38" w14:textId="77777777" w:rsidTr="002A027C">
        <w:trPr>
          <w:trHeight w:val="340"/>
        </w:trPr>
        <w:tc>
          <w:tcPr>
            <w:tcW w:w="6014" w:type="dxa"/>
          </w:tcPr>
          <w:p w14:paraId="050A55DC" w14:textId="77777777" w:rsidR="002A6753" w:rsidRPr="00CF5477" w:rsidRDefault="002A6753" w:rsidP="002A027C">
            <w:pPr>
              <w:spacing w:before="0"/>
              <w:jc w:val="left"/>
              <w:rPr>
                <w:color w:val="000000"/>
              </w:rPr>
            </w:pPr>
            <w:r w:rsidRPr="00CF5477">
              <w:rPr>
                <w:color w:val="000000"/>
              </w:rPr>
              <w:t>More than £52,030 and up to and including £62,436</w:t>
            </w:r>
          </w:p>
        </w:tc>
        <w:tc>
          <w:tcPr>
            <w:tcW w:w="2409" w:type="dxa"/>
          </w:tcPr>
          <w:p w14:paraId="788C8A5F" w14:textId="77777777" w:rsidR="002A6753" w:rsidRPr="00CF5477" w:rsidRDefault="002A6753" w:rsidP="002A027C">
            <w:pPr>
              <w:spacing w:before="0"/>
              <w:jc w:val="center"/>
              <w:rPr>
                <w:color w:val="000000"/>
              </w:rPr>
            </w:pPr>
            <w:r w:rsidRPr="00CF5477">
              <w:rPr>
                <w:color w:val="000000"/>
              </w:rPr>
              <w:t>11.3%</w:t>
            </w:r>
          </w:p>
        </w:tc>
      </w:tr>
      <w:tr w:rsidR="002A6753" w:rsidRPr="00CF5477" w14:paraId="229FAAE7" w14:textId="77777777" w:rsidTr="002A027C">
        <w:trPr>
          <w:trHeight w:val="340"/>
        </w:trPr>
        <w:tc>
          <w:tcPr>
            <w:tcW w:w="6014" w:type="dxa"/>
          </w:tcPr>
          <w:p w14:paraId="5C82EBFC" w14:textId="77777777" w:rsidR="002A6753" w:rsidRPr="00CF5477" w:rsidRDefault="002A6753" w:rsidP="002A027C">
            <w:pPr>
              <w:spacing w:before="0"/>
              <w:jc w:val="left"/>
              <w:rPr>
                <w:color w:val="000000"/>
              </w:rPr>
            </w:pPr>
            <w:r w:rsidRPr="00CF5477">
              <w:rPr>
                <w:color w:val="000000"/>
              </w:rPr>
              <w:t>More than £62,436 and up to and including £104,060</w:t>
            </w:r>
          </w:p>
        </w:tc>
        <w:tc>
          <w:tcPr>
            <w:tcW w:w="2409" w:type="dxa"/>
          </w:tcPr>
          <w:p w14:paraId="25A413FE" w14:textId="77777777" w:rsidR="002A6753" w:rsidRPr="00CF5477" w:rsidRDefault="002A6753" w:rsidP="002A027C">
            <w:pPr>
              <w:spacing w:before="0"/>
              <w:jc w:val="center"/>
              <w:rPr>
                <w:color w:val="000000"/>
              </w:rPr>
            </w:pPr>
            <w:r w:rsidRPr="00CF5477">
              <w:rPr>
                <w:color w:val="000000"/>
              </w:rPr>
              <w:t>11.7%</w:t>
            </w:r>
          </w:p>
        </w:tc>
      </w:tr>
      <w:tr w:rsidR="002A6753" w:rsidRPr="00CF5477" w14:paraId="038A31C2" w14:textId="77777777" w:rsidTr="002A027C">
        <w:trPr>
          <w:trHeight w:val="340"/>
        </w:trPr>
        <w:tc>
          <w:tcPr>
            <w:tcW w:w="6014" w:type="dxa"/>
          </w:tcPr>
          <w:p w14:paraId="626C1929" w14:textId="77777777" w:rsidR="002A6753" w:rsidRPr="00CF5477" w:rsidRDefault="002A6753" w:rsidP="002A027C">
            <w:pPr>
              <w:spacing w:before="0"/>
              <w:jc w:val="left"/>
              <w:rPr>
                <w:color w:val="000000"/>
              </w:rPr>
            </w:pPr>
            <w:r w:rsidRPr="00CF5477">
              <w:rPr>
                <w:color w:val="000000"/>
              </w:rPr>
              <w:t>More than £104,060 and up to and including £124,872</w:t>
            </w:r>
          </w:p>
        </w:tc>
        <w:tc>
          <w:tcPr>
            <w:tcW w:w="2409" w:type="dxa"/>
          </w:tcPr>
          <w:p w14:paraId="680E3167" w14:textId="77777777" w:rsidR="002A6753" w:rsidRPr="00CF5477" w:rsidRDefault="002A6753" w:rsidP="002A027C">
            <w:pPr>
              <w:spacing w:before="0"/>
              <w:jc w:val="center"/>
              <w:rPr>
                <w:color w:val="000000"/>
              </w:rPr>
            </w:pPr>
            <w:r w:rsidRPr="00CF5477">
              <w:rPr>
                <w:color w:val="000000"/>
              </w:rPr>
              <w:t>12.1%</w:t>
            </w:r>
          </w:p>
        </w:tc>
      </w:tr>
      <w:tr w:rsidR="002A6753" w:rsidRPr="00CF5477" w14:paraId="7410354D" w14:textId="77777777" w:rsidTr="002A027C">
        <w:trPr>
          <w:trHeight w:val="340"/>
        </w:trPr>
        <w:tc>
          <w:tcPr>
            <w:tcW w:w="6014" w:type="dxa"/>
          </w:tcPr>
          <w:p w14:paraId="67A3A42F" w14:textId="77777777" w:rsidR="002A6753" w:rsidRPr="00CF5477" w:rsidRDefault="002A6753" w:rsidP="002A027C">
            <w:pPr>
              <w:spacing w:before="0"/>
              <w:jc w:val="left"/>
              <w:rPr>
                <w:color w:val="000000"/>
              </w:rPr>
            </w:pPr>
            <w:r w:rsidRPr="00CF5477">
              <w:rPr>
                <w:color w:val="000000"/>
              </w:rPr>
              <w:t>More than £124,872</w:t>
            </w:r>
          </w:p>
        </w:tc>
        <w:tc>
          <w:tcPr>
            <w:tcW w:w="2409" w:type="dxa"/>
          </w:tcPr>
          <w:p w14:paraId="0BDE8E92" w14:textId="77777777" w:rsidR="002A6753" w:rsidRPr="00CF5477" w:rsidRDefault="002A6753" w:rsidP="002A027C">
            <w:pPr>
              <w:spacing w:before="0"/>
              <w:jc w:val="center"/>
              <w:rPr>
                <w:color w:val="000000"/>
              </w:rPr>
            </w:pPr>
            <w:r w:rsidRPr="00CF5477">
              <w:rPr>
                <w:color w:val="000000"/>
              </w:rPr>
              <w:t>12.5%</w:t>
            </w:r>
          </w:p>
        </w:tc>
      </w:tr>
    </w:tbl>
    <w:p w14:paraId="2CD9C901" w14:textId="77777777" w:rsidR="00CC0C8A" w:rsidRPr="00EF3FAF" w:rsidRDefault="00CC0C8A" w:rsidP="00CC0C8A">
      <w:pPr>
        <w:autoSpaceDE w:val="0"/>
        <w:autoSpaceDN w:val="0"/>
        <w:adjustRightInd w:val="0"/>
        <w:spacing w:before="0" w:line="240" w:lineRule="auto"/>
        <w:contextualSpacing/>
        <w:rPr>
          <w:rFonts w:cs="Arial"/>
        </w:rPr>
      </w:pPr>
    </w:p>
    <w:p w14:paraId="3A00F2EC" w14:textId="77777777" w:rsidR="008C1FF2" w:rsidRPr="00585B67" w:rsidRDefault="00287572" w:rsidP="00B31C77">
      <w:pPr>
        <w:numPr>
          <w:ilvl w:val="0"/>
          <w:numId w:val="32"/>
        </w:numPr>
        <w:autoSpaceDE w:val="0"/>
        <w:autoSpaceDN w:val="0"/>
        <w:adjustRightInd w:val="0"/>
        <w:spacing w:before="0" w:after="120" w:line="240" w:lineRule="auto"/>
        <w:ind w:left="641" w:hanging="357"/>
        <w:rPr>
          <w:rFonts w:cs="Arial"/>
        </w:rPr>
      </w:pPr>
      <w:r w:rsidRPr="00585B67">
        <w:rPr>
          <w:rFonts w:cs="Arial"/>
        </w:rPr>
        <w:t>The Authority will automatically enrol all eligible employees into the relevant pension scheme</w:t>
      </w:r>
      <w:r w:rsidR="00B64416">
        <w:rPr>
          <w:rFonts w:cs="Arial"/>
        </w:rPr>
        <w:t xml:space="preserve">, with the option to opt out, </w:t>
      </w:r>
      <w:r w:rsidRPr="00585B67">
        <w:rPr>
          <w:rFonts w:cs="Arial"/>
        </w:rPr>
        <w:t xml:space="preserve">and is required to </w:t>
      </w:r>
      <w:proofErr w:type="gramStart"/>
      <w:r w:rsidRPr="00585B67">
        <w:rPr>
          <w:rFonts w:cs="Arial"/>
        </w:rPr>
        <w:t>make a contribution</w:t>
      </w:r>
      <w:proofErr w:type="gramEnd"/>
      <w:r w:rsidRPr="00585B67">
        <w:rPr>
          <w:rFonts w:cs="Arial"/>
        </w:rPr>
        <w:t xml:space="preserve"> to the scheme representing a percentage of the pensionable salary due under the contract of employment of the employee.</w:t>
      </w:r>
      <w:r w:rsidR="00B64416">
        <w:rPr>
          <w:rFonts w:cs="Arial"/>
        </w:rPr>
        <w:t xml:space="preserve"> </w:t>
      </w:r>
    </w:p>
    <w:p w14:paraId="51740D1E" w14:textId="77777777" w:rsidR="008C1FF2" w:rsidRPr="005F45EF" w:rsidRDefault="008C1FF2" w:rsidP="00F52FD8">
      <w:pPr>
        <w:pStyle w:val="Heading2"/>
      </w:pPr>
      <w:bookmarkStart w:id="31" w:name="_Toc473712852"/>
      <w:bookmarkStart w:id="32" w:name="_Toc20479419"/>
      <w:r w:rsidRPr="005F45EF">
        <w:t>Allowances, Expenses and Subscriptions</w:t>
      </w:r>
      <w:bookmarkEnd w:id="31"/>
      <w:bookmarkEnd w:id="32"/>
    </w:p>
    <w:p w14:paraId="6C281961" w14:textId="3D9238EE" w:rsidR="008C1FF2" w:rsidRPr="005F45EF" w:rsidRDefault="008C1FF2" w:rsidP="002A027C">
      <w:pPr>
        <w:numPr>
          <w:ilvl w:val="0"/>
          <w:numId w:val="32"/>
        </w:numPr>
        <w:autoSpaceDE w:val="0"/>
        <w:autoSpaceDN w:val="0"/>
        <w:adjustRightInd w:val="0"/>
        <w:spacing w:before="0" w:after="120" w:line="240" w:lineRule="auto"/>
        <w:ind w:left="641" w:hanging="357"/>
        <w:rPr>
          <w:rFonts w:cs="Arial"/>
        </w:rPr>
      </w:pPr>
      <w:r w:rsidRPr="005F45EF">
        <w:rPr>
          <w:rFonts w:cs="Arial"/>
        </w:rPr>
        <w:t xml:space="preserve">Officers </w:t>
      </w:r>
      <w:proofErr w:type="gramStart"/>
      <w:r w:rsidRPr="005F45EF">
        <w:rPr>
          <w:rFonts w:cs="Arial"/>
        </w:rPr>
        <w:t>are able to</w:t>
      </w:r>
      <w:proofErr w:type="gramEnd"/>
      <w:r w:rsidRPr="005F45EF">
        <w:rPr>
          <w:rFonts w:cs="Arial"/>
        </w:rPr>
        <w:t xml:space="preserve"> receive a car user allowance (including mileage allowances) in recompense for the wear and tear on personal </w:t>
      </w:r>
      <w:r w:rsidR="0063331F" w:rsidRPr="005F45EF">
        <w:rPr>
          <w:rFonts w:cs="Arial"/>
        </w:rPr>
        <w:t>vehicles, which</w:t>
      </w:r>
      <w:r w:rsidRPr="005F45EF">
        <w:rPr>
          <w:rFonts w:cs="Arial"/>
        </w:rPr>
        <w:t xml:space="preserve"> they are required to provide to enable the full performance of their duties. This could be an essential car user </w:t>
      </w:r>
      <w:r w:rsidR="0063331F" w:rsidRPr="005F45EF">
        <w:rPr>
          <w:rFonts w:cs="Arial"/>
        </w:rPr>
        <w:t>allowance</w:t>
      </w:r>
      <w:r w:rsidRPr="005F45EF">
        <w:rPr>
          <w:rFonts w:cs="Arial"/>
        </w:rPr>
        <w:t xml:space="preserve"> or ‘ad hoc’ car user allowance and is assessed upon requirement of role. This is subject to tax at the rate appropriate to the individual.  </w:t>
      </w:r>
    </w:p>
    <w:p w14:paraId="59628424" w14:textId="77777777" w:rsidR="008C1FF2" w:rsidRPr="005F45EF" w:rsidRDefault="008C1FF2" w:rsidP="002A027C">
      <w:pPr>
        <w:numPr>
          <w:ilvl w:val="0"/>
          <w:numId w:val="32"/>
        </w:numPr>
        <w:autoSpaceDE w:val="0"/>
        <w:autoSpaceDN w:val="0"/>
        <w:adjustRightInd w:val="0"/>
        <w:spacing w:before="0" w:after="120" w:line="240" w:lineRule="auto"/>
        <w:ind w:left="641" w:hanging="357"/>
        <w:rPr>
          <w:rFonts w:cs="Arial"/>
        </w:rPr>
      </w:pPr>
      <w:r w:rsidRPr="005F45EF">
        <w:rPr>
          <w:rFonts w:cs="Arial"/>
        </w:rPr>
        <w:t xml:space="preserve">Officers </w:t>
      </w:r>
      <w:proofErr w:type="gramStart"/>
      <w:r w:rsidRPr="005F45EF">
        <w:rPr>
          <w:rFonts w:cs="Arial"/>
        </w:rPr>
        <w:t>are able to</w:t>
      </w:r>
      <w:proofErr w:type="gramEnd"/>
      <w:r w:rsidRPr="005F45EF">
        <w:rPr>
          <w:rFonts w:cs="Arial"/>
        </w:rPr>
        <w:t xml:space="preserve"> reclaim a restricted range of legitimate and evidenced </w:t>
      </w:r>
      <w:r w:rsidR="00585B67" w:rsidRPr="005F45EF">
        <w:rPr>
          <w:rFonts w:cs="Arial"/>
        </w:rPr>
        <w:t>‘</w:t>
      </w:r>
      <w:r w:rsidRPr="005F45EF">
        <w:rPr>
          <w:rFonts w:cs="Arial"/>
        </w:rPr>
        <w:t>out of pocket</w:t>
      </w:r>
      <w:r w:rsidR="00585B67" w:rsidRPr="005F45EF">
        <w:rPr>
          <w:rFonts w:cs="Arial"/>
        </w:rPr>
        <w:t>’</w:t>
      </w:r>
      <w:r w:rsidRPr="005F45EF">
        <w:rPr>
          <w:rFonts w:cs="Arial"/>
        </w:rPr>
        <w:t xml:space="preserve"> expenses reasonably incurred in the performance of their roles.  Wherever </w:t>
      </w:r>
      <w:r w:rsidRPr="005F45EF">
        <w:rPr>
          <w:rFonts w:cs="Arial"/>
        </w:rPr>
        <w:lastRenderedPageBreak/>
        <w:t xml:space="preserve">possible the </w:t>
      </w:r>
      <w:r w:rsidR="00012B51" w:rsidRPr="005F45EF">
        <w:rPr>
          <w:rFonts w:cs="Arial"/>
        </w:rPr>
        <w:t>Authority</w:t>
      </w:r>
      <w:r w:rsidRPr="005F45EF">
        <w:rPr>
          <w:rFonts w:cs="Arial"/>
        </w:rPr>
        <w:t xml:space="preserve"> will centrally procure travel and accommodation, </w:t>
      </w:r>
      <w:proofErr w:type="gramStart"/>
      <w:r w:rsidRPr="005F45EF">
        <w:rPr>
          <w:rFonts w:cs="Arial"/>
        </w:rPr>
        <w:t>e.g.</w:t>
      </w:r>
      <w:proofErr w:type="gramEnd"/>
      <w:r w:rsidRPr="005F45EF">
        <w:rPr>
          <w:rFonts w:cs="Arial"/>
        </w:rPr>
        <w:t xml:space="preserve"> rail tickets and hotels, to gain best value and reduce the level of individual claims by officers.</w:t>
      </w:r>
    </w:p>
    <w:p w14:paraId="3374341E" w14:textId="77777777" w:rsidR="008C1FF2" w:rsidRPr="005F45EF" w:rsidRDefault="008C1FF2" w:rsidP="002A027C">
      <w:pPr>
        <w:numPr>
          <w:ilvl w:val="0"/>
          <w:numId w:val="32"/>
        </w:numPr>
        <w:autoSpaceDE w:val="0"/>
        <w:autoSpaceDN w:val="0"/>
        <w:adjustRightInd w:val="0"/>
        <w:spacing w:before="0" w:after="120" w:line="240" w:lineRule="auto"/>
        <w:ind w:left="641" w:hanging="357"/>
        <w:rPr>
          <w:rFonts w:cs="Arial"/>
        </w:rPr>
      </w:pPr>
      <w:r w:rsidRPr="005F45EF">
        <w:rPr>
          <w:rFonts w:cs="Arial"/>
        </w:rPr>
        <w:t>GM</w:t>
      </w:r>
      <w:r w:rsidR="00287572" w:rsidRPr="005F45EF">
        <w:rPr>
          <w:rFonts w:cs="Arial"/>
        </w:rPr>
        <w:t>CA</w:t>
      </w:r>
      <w:r w:rsidRPr="005F45EF">
        <w:rPr>
          <w:rFonts w:cs="Arial"/>
        </w:rPr>
        <w:t xml:space="preserve"> policy on the payment of employee professional subscriptions remains under review.  Currently, the subscriptions of a small number of professional memberships are payable by the Authority on behalf of individuals.</w:t>
      </w:r>
    </w:p>
    <w:p w14:paraId="0C0030FA" w14:textId="77777777" w:rsidR="008C1FF2" w:rsidRPr="00F52FD8" w:rsidRDefault="008C1FF2" w:rsidP="00F52FD8">
      <w:pPr>
        <w:pStyle w:val="Heading2"/>
      </w:pPr>
      <w:bookmarkStart w:id="33" w:name="_Toc473712853"/>
      <w:bookmarkStart w:id="34" w:name="_Toc20479420"/>
      <w:r w:rsidRPr="008C1FF2">
        <w:t>Termination Payments</w:t>
      </w:r>
      <w:bookmarkEnd w:id="33"/>
      <w:bookmarkEnd w:id="34"/>
    </w:p>
    <w:p w14:paraId="7E63A4A2" w14:textId="698DDB2F" w:rsidR="008C1FF2" w:rsidRPr="008C1FF2" w:rsidRDefault="008C1FF2" w:rsidP="002A027C">
      <w:pPr>
        <w:numPr>
          <w:ilvl w:val="0"/>
          <w:numId w:val="32"/>
        </w:numPr>
        <w:autoSpaceDE w:val="0"/>
        <w:autoSpaceDN w:val="0"/>
        <w:adjustRightInd w:val="0"/>
        <w:spacing w:before="0" w:after="120" w:line="240" w:lineRule="auto"/>
        <w:ind w:left="641" w:hanging="357"/>
        <w:rPr>
          <w:rFonts w:cs="Arial"/>
        </w:rPr>
      </w:pPr>
      <w:r w:rsidRPr="008C1FF2">
        <w:rPr>
          <w:rFonts w:cs="Arial"/>
        </w:rPr>
        <w:t xml:space="preserve">Regulation 7 of the Local Government (Early Termination of Employment) (Discretionary Compensation) (England and Wales) Regulations 2006 requires an </w:t>
      </w:r>
      <w:r w:rsidR="00466C50">
        <w:rPr>
          <w:rFonts w:cs="Arial"/>
        </w:rPr>
        <w:t>A</w:t>
      </w:r>
      <w:r w:rsidRPr="008C1FF2">
        <w:rPr>
          <w:rFonts w:cs="Arial"/>
        </w:rPr>
        <w:t>uthority to formulate, review and publish its policy on making discretionary payments on early termination of employment.</w:t>
      </w:r>
    </w:p>
    <w:p w14:paraId="4FAFD56F" w14:textId="60663570" w:rsidR="008C1FF2" w:rsidRPr="008C1FF2" w:rsidRDefault="008C1FF2" w:rsidP="002A027C">
      <w:pPr>
        <w:numPr>
          <w:ilvl w:val="0"/>
          <w:numId w:val="32"/>
        </w:numPr>
        <w:autoSpaceDE w:val="0"/>
        <w:autoSpaceDN w:val="0"/>
        <w:adjustRightInd w:val="0"/>
        <w:spacing w:before="0" w:after="120" w:line="240" w:lineRule="auto"/>
        <w:ind w:left="641" w:hanging="357"/>
        <w:rPr>
          <w:rFonts w:cs="Arial"/>
        </w:rPr>
      </w:pPr>
      <w:r w:rsidRPr="008C1FF2">
        <w:rPr>
          <w:rFonts w:cs="Arial"/>
        </w:rPr>
        <w:t>GM</w:t>
      </w:r>
      <w:r w:rsidR="00287572">
        <w:rPr>
          <w:rFonts w:cs="Arial"/>
        </w:rPr>
        <w:t>CA</w:t>
      </w:r>
      <w:r w:rsidRPr="008C1FF2">
        <w:rPr>
          <w:rFonts w:cs="Arial"/>
        </w:rPr>
        <w:t xml:space="preserve"> has a </w:t>
      </w:r>
      <w:r w:rsidR="00B81030">
        <w:rPr>
          <w:rFonts w:cs="Arial"/>
        </w:rPr>
        <w:t xml:space="preserve">strategy to work towards having a </w:t>
      </w:r>
      <w:r w:rsidRPr="008C1FF2">
        <w:rPr>
          <w:rFonts w:cs="Arial"/>
        </w:rPr>
        <w:t xml:space="preserve">defined policy in place to present employees with several retirement options, enabling them and the </w:t>
      </w:r>
      <w:r w:rsidR="00012B51">
        <w:rPr>
          <w:rFonts w:cs="Arial"/>
        </w:rPr>
        <w:t>Authority</w:t>
      </w:r>
      <w:r w:rsidRPr="008C1FF2">
        <w:rPr>
          <w:rFonts w:cs="Arial"/>
        </w:rPr>
        <w:t xml:space="preserve"> to plan their future workforce needs more effectively</w:t>
      </w:r>
      <w:r w:rsidR="001B7E1D">
        <w:rPr>
          <w:rFonts w:cs="Arial"/>
        </w:rPr>
        <w:t>.</w:t>
      </w:r>
    </w:p>
    <w:p w14:paraId="279BE376" w14:textId="77777777" w:rsidR="008C1FF2" w:rsidRDefault="008C1FF2" w:rsidP="002A027C">
      <w:pPr>
        <w:numPr>
          <w:ilvl w:val="0"/>
          <w:numId w:val="32"/>
        </w:numPr>
        <w:autoSpaceDE w:val="0"/>
        <w:autoSpaceDN w:val="0"/>
        <w:adjustRightInd w:val="0"/>
        <w:spacing w:before="0" w:after="120" w:line="240" w:lineRule="auto"/>
        <w:ind w:left="641" w:hanging="357"/>
        <w:rPr>
          <w:rFonts w:cs="Arial"/>
        </w:rPr>
      </w:pPr>
      <w:r w:rsidRPr="008C1FF2">
        <w:rPr>
          <w:rFonts w:cs="Arial"/>
        </w:rPr>
        <w:t>GM</w:t>
      </w:r>
      <w:r w:rsidR="00B81030" w:rsidRPr="00B81030">
        <w:rPr>
          <w:rFonts w:cs="Arial"/>
        </w:rPr>
        <w:t xml:space="preserve">CA is also striving to have in place </w:t>
      </w:r>
      <w:r w:rsidRPr="008C1FF2">
        <w:rPr>
          <w:rFonts w:cs="Arial"/>
        </w:rPr>
        <w:t>polic</w:t>
      </w:r>
      <w:r w:rsidR="00B81030" w:rsidRPr="00B81030">
        <w:rPr>
          <w:rFonts w:cs="Arial"/>
        </w:rPr>
        <w:t>ies</w:t>
      </w:r>
      <w:r w:rsidRPr="008C1FF2">
        <w:rPr>
          <w:rFonts w:cs="Arial"/>
        </w:rPr>
        <w:t xml:space="preserve"> to outline its discretionary powers in relation to Flexible Retirement, and Voluntary Early Retirement.  There are mutual benefits of a Flexible and Voluntary Early Retirement policy for both employer and employee.  Any financial implications for GM</w:t>
      </w:r>
      <w:r w:rsidR="00B81030" w:rsidRPr="00B81030">
        <w:rPr>
          <w:rFonts w:cs="Arial"/>
        </w:rPr>
        <w:t>CA</w:t>
      </w:r>
      <w:r w:rsidRPr="008C1FF2">
        <w:rPr>
          <w:rFonts w:cs="Arial"/>
        </w:rPr>
        <w:t xml:space="preserve"> with the payment of benefits through flexible and early retirement must be accounted for as part of a business case based on affordability and delivering any identified efficiency savings.  </w:t>
      </w:r>
    </w:p>
    <w:p w14:paraId="2271DB12" w14:textId="735DCC9D" w:rsidR="00333826" w:rsidRDefault="00C566B4" w:rsidP="00C566B4">
      <w:pPr>
        <w:numPr>
          <w:ilvl w:val="0"/>
          <w:numId w:val="32"/>
        </w:numPr>
        <w:autoSpaceDE w:val="0"/>
        <w:autoSpaceDN w:val="0"/>
        <w:adjustRightInd w:val="0"/>
        <w:spacing w:before="0" w:after="120" w:line="240" w:lineRule="auto"/>
        <w:ind w:left="641" w:hanging="357"/>
        <w:rPr>
          <w:rFonts w:cs="Arial"/>
        </w:rPr>
      </w:pPr>
      <w:r>
        <w:rPr>
          <w:rFonts w:cs="Arial"/>
        </w:rPr>
        <w:t>The GMCA a</w:t>
      </w:r>
      <w:r w:rsidRPr="00C566B4">
        <w:rPr>
          <w:rFonts w:cs="Arial"/>
        </w:rPr>
        <w:t xml:space="preserve">re committed to trying to avoid </w:t>
      </w:r>
      <w:r w:rsidR="00466C50">
        <w:rPr>
          <w:rFonts w:cs="Arial"/>
        </w:rPr>
        <w:t xml:space="preserve">compulsory </w:t>
      </w:r>
      <w:r w:rsidRPr="00C566B4">
        <w:rPr>
          <w:rFonts w:cs="Arial"/>
        </w:rPr>
        <w:t>redundancies</w:t>
      </w:r>
      <w:r>
        <w:rPr>
          <w:rFonts w:cs="Arial"/>
        </w:rPr>
        <w:t xml:space="preserve"> but in</w:t>
      </w:r>
      <w:r w:rsidR="008C1FF2" w:rsidRPr="008C1FF2">
        <w:rPr>
          <w:rFonts w:cs="Arial"/>
        </w:rPr>
        <w:t xml:space="preserve"> cases of </w:t>
      </w:r>
      <w:r w:rsidR="00B64416">
        <w:rPr>
          <w:rFonts w:cs="Arial"/>
        </w:rPr>
        <w:t>voluntary severance</w:t>
      </w:r>
      <w:r w:rsidR="008C1FF2" w:rsidRPr="008C1FF2">
        <w:rPr>
          <w:rFonts w:cs="Arial"/>
        </w:rPr>
        <w:t>, payment is calculated based on actual week</w:t>
      </w:r>
      <w:r w:rsidR="00B81030">
        <w:rPr>
          <w:rFonts w:cs="Arial"/>
        </w:rPr>
        <w:t>’</w:t>
      </w:r>
      <w:r w:rsidR="008C1FF2" w:rsidRPr="008C1FF2">
        <w:rPr>
          <w:rFonts w:cs="Arial"/>
        </w:rPr>
        <w:t>s pay</w:t>
      </w:r>
      <w:r w:rsidR="00585B67">
        <w:rPr>
          <w:rFonts w:cs="Arial"/>
        </w:rPr>
        <w:t xml:space="preserve">. </w:t>
      </w:r>
      <w:r w:rsidR="008C1FF2" w:rsidRPr="008C1FF2">
        <w:rPr>
          <w:rFonts w:cs="Arial"/>
        </w:rPr>
        <w:t xml:space="preserve">The current approach agreed by the </w:t>
      </w:r>
      <w:r w:rsidR="00B81030">
        <w:rPr>
          <w:rFonts w:cs="Arial"/>
        </w:rPr>
        <w:t xml:space="preserve">previous </w:t>
      </w:r>
      <w:r w:rsidR="008C1FF2" w:rsidRPr="008C1FF2">
        <w:rPr>
          <w:rFonts w:cs="Arial"/>
        </w:rPr>
        <w:t xml:space="preserve">Fire Authority </w:t>
      </w:r>
      <w:r w:rsidR="00B81030">
        <w:rPr>
          <w:rFonts w:cs="Arial"/>
        </w:rPr>
        <w:t xml:space="preserve">for former employees of </w:t>
      </w:r>
      <w:r w:rsidR="00B81030" w:rsidRPr="00B81030">
        <w:rPr>
          <w:rFonts w:cs="Arial"/>
        </w:rPr>
        <w:t>Greater Manchester Fire &amp; Rescue Service</w:t>
      </w:r>
      <w:r w:rsidR="00B81030">
        <w:rPr>
          <w:rFonts w:cs="Arial"/>
        </w:rPr>
        <w:t xml:space="preserve"> </w:t>
      </w:r>
      <w:r w:rsidR="008C1FF2" w:rsidRPr="008C1FF2">
        <w:rPr>
          <w:rFonts w:cs="Arial"/>
        </w:rPr>
        <w:t xml:space="preserve">is to enhance minimum statutory redundancy pay in a voluntary severance </w:t>
      </w:r>
      <w:r w:rsidR="00B64416">
        <w:rPr>
          <w:rFonts w:cs="Arial"/>
        </w:rPr>
        <w:t xml:space="preserve">circumstance by a factor of 1.5 </w:t>
      </w:r>
      <w:r w:rsidR="0063331F">
        <w:rPr>
          <w:rFonts w:cs="Arial"/>
        </w:rPr>
        <w:t>weeks’</w:t>
      </w:r>
      <w:r w:rsidR="00B64416">
        <w:rPr>
          <w:rFonts w:cs="Arial"/>
        </w:rPr>
        <w:t xml:space="preserve"> pay up to a maximum of 30 weeks.</w:t>
      </w:r>
    </w:p>
    <w:p w14:paraId="04EDF3AC" w14:textId="77777777" w:rsidR="009A4CE7" w:rsidRPr="00CC0C8A" w:rsidRDefault="00333826" w:rsidP="00B31C77">
      <w:pPr>
        <w:numPr>
          <w:ilvl w:val="0"/>
          <w:numId w:val="32"/>
        </w:numPr>
        <w:autoSpaceDE w:val="0"/>
        <w:autoSpaceDN w:val="0"/>
        <w:adjustRightInd w:val="0"/>
        <w:spacing w:before="0" w:after="120" w:line="240" w:lineRule="auto"/>
        <w:ind w:left="641" w:hanging="357"/>
        <w:rPr>
          <w:rFonts w:cs="Arial"/>
        </w:rPr>
      </w:pPr>
      <w:r>
        <w:rPr>
          <w:rFonts w:cs="Arial"/>
        </w:rPr>
        <w:t xml:space="preserve">The current agreed position </w:t>
      </w:r>
      <w:r w:rsidR="001F3D29">
        <w:rPr>
          <w:rFonts w:cs="Arial"/>
        </w:rPr>
        <w:t xml:space="preserve">for GMCA is </w:t>
      </w:r>
      <w:r>
        <w:rPr>
          <w:rFonts w:cs="Arial"/>
        </w:rPr>
        <w:t xml:space="preserve">that </w:t>
      </w:r>
      <w:r w:rsidR="00012B51">
        <w:rPr>
          <w:rFonts w:cs="Arial"/>
        </w:rPr>
        <w:t xml:space="preserve">compulsory </w:t>
      </w:r>
      <w:r>
        <w:rPr>
          <w:rFonts w:cs="Arial"/>
        </w:rPr>
        <w:t>redundancies</w:t>
      </w:r>
      <w:r w:rsidR="001F3D29">
        <w:rPr>
          <w:rFonts w:cs="Arial"/>
        </w:rPr>
        <w:t xml:space="preserve"> will be avoided</w:t>
      </w:r>
      <w:r>
        <w:rPr>
          <w:rFonts w:cs="Arial"/>
        </w:rPr>
        <w:t xml:space="preserve"> where at all possible</w:t>
      </w:r>
      <w:bookmarkStart w:id="35" w:name="_Toc473712854"/>
      <w:r w:rsidR="00CD2121">
        <w:rPr>
          <w:rFonts w:cs="Arial"/>
        </w:rPr>
        <w:t>.</w:t>
      </w:r>
    </w:p>
    <w:p w14:paraId="37A9AE74" w14:textId="77777777" w:rsidR="009A4CE7" w:rsidRPr="00F52FD8" w:rsidRDefault="008C1FF2" w:rsidP="00F52FD8">
      <w:pPr>
        <w:pStyle w:val="Heading2"/>
      </w:pPr>
      <w:bookmarkStart w:id="36" w:name="_Toc20479421"/>
      <w:r w:rsidRPr="008C1FF2">
        <w:t>Re</w:t>
      </w:r>
      <w:r w:rsidR="00EF3FAF">
        <w:t xml:space="preserve">-employment </w:t>
      </w:r>
      <w:r w:rsidRPr="008C1FF2">
        <w:t>and Re-engagement</w:t>
      </w:r>
      <w:bookmarkEnd w:id="35"/>
      <w:bookmarkEnd w:id="36"/>
      <w:r w:rsidR="00585B67">
        <w:t xml:space="preserve"> </w:t>
      </w:r>
    </w:p>
    <w:p w14:paraId="03966EFD" w14:textId="77777777" w:rsidR="009A4CE7" w:rsidRDefault="00EF3FAF" w:rsidP="00B31C77">
      <w:pPr>
        <w:numPr>
          <w:ilvl w:val="0"/>
          <w:numId w:val="32"/>
        </w:numPr>
        <w:autoSpaceDE w:val="0"/>
        <w:autoSpaceDN w:val="0"/>
        <w:adjustRightInd w:val="0"/>
        <w:spacing w:before="0" w:after="120" w:line="240" w:lineRule="auto"/>
        <w:ind w:left="641" w:hanging="357"/>
        <w:rPr>
          <w:rFonts w:cs="Arial"/>
        </w:rPr>
      </w:pPr>
      <w:r w:rsidRPr="00F52FD8">
        <w:rPr>
          <w:rFonts w:cs="Arial"/>
        </w:rPr>
        <w:t xml:space="preserve">The Authority will not re-employ any former employees that have left the Service through early retirement or under </w:t>
      </w:r>
      <w:r w:rsidR="0079678D">
        <w:rPr>
          <w:rFonts w:cs="Arial"/>
        </w:rPr>
        <w:t>V</w:t>
      </w:r>
      <w:r w:rsidRPr="00F52FD8">
        <w:rPr>
          <w:rFonts w:cs="Arial"/>
        </w:rPr>
        <w:t xml:space="preserve">oluntary </w:t>
      </w:r>
      <w:r w:rsidR="0079678D">
        <w:rPr>
          <w:rFonts w:cs="Arial"/>
        </w:rPr>
        <w:t>S</w:t>
      </w:r>
      <w:r w:rsidRPr="00F52FD8">
        <w:rPr>
          <w:rFonts w:cs="Arial"/>
        </w:rPr>
        <w:t>everance</w:t>
      </w:r>
      <w:r w:rsidR="0079678D">
        <w:rPr>
          <w:rFonts w:cs="Arial"/>
        </w:rPr>
        <w:t xml:space="preserve"> </w:t>
      </w:r>
      <w:r w:rsidRPr="00F52FD8">
        <w:rPr>
          <w:rFonts w:cs="Arial"/>
        </w:rPr>
        <w:t>where there has been a cost to the Authority</w:t>
      </w:r>
      <w:r w:rsidR="009A4CE7" w:rsidRPr="00F52FD8">
        <w:rPr>
          <w:rFonts w:cs="Arial"/>
        </w:rPr>
        <w:t xml:space="preserve">.  </w:t>
      </w:r>
    </w:p>
    <w:p w14:paraId="3D2C8107" w14:textId="77777777" w:rsidR="007C7CC4" w:rsidRDefault="007C7CC4" w:rsidP="007C7CC4">
      <w:pPr>
        <w:numPr>
          <w:ilvl w:val="0"/>
          <w:numId w:val="32"/>
        </w:numPr>
        <w:autoSpaceDE w:val="0"/>
        <w:autoSpaceDN w:val="0"/>
        <w:adjustRightInd w:val="0"/>
        <w:spacing w:before="0" w:after="120" w:line="240" w:lineRule="auto"/>
        <w:ind w:left="641" w:hanging="357"/>
        <w:rPr>
          <w:rFonts w:cs="Arial"/>
        </w:rPr>
      </w:pPr>
      <w:r>
        <w:rPr>
          <w:rFonts w:cs="Arial"/>
        </w:rPr>
        <w:t>R</w:t>
      </w:r>
      <w:r w:rsidRPr="00F86B25">
        <w:rPr>
          <w:rFonts w:cs="Arial"/>
        </w:rPr>
        <w:t>e</w:t>
      </w:r>
      <w:r>
        <w:rPr>
          <w:rFonts w:cs="Arial"/>
        </w:rPr>
        <w:t xml:space="preserve">-employment – involves the employee returning to work as if they have never left after early retirement or Voluntary Severance. </w:t>
      </w:r>
    </w:p>
    <w:p w14:paraId="231E0565" w14:textId="77777777" w:rsidR="009247D6" w:rsidRDefault="009A4CE7" w:rsidP="00B31C77">
      <w:pPr>
        <w:numPr>
          <w:ilvl w:val="0"/>
          <w:numId w:val="32"/>
        </w:numPr>
        <w:autoSpaceDE w:val="0"/>
        <w:autoSpaceDN w:val="0"/>
        <w:adjustRightInd w:val="0"/>
        <w:spacing w:before="0" w:after="120" w:line="240" w:lineRule="auto"/>
        <w:ind w:left="641" w:hanging="357"/>
        <w:rPr>
          <w:rFonts w:cs="Arial"/>
        </w:rPr>
      </w:pPr>
      <w:r w:rsidRPr="00F52FD8">
        <w:rPr>
          <w:rFonts w:cs="Arial"/>
        </w:rPr>
        <w:t xml:space="preserve">Re-engagement would only be on an exceptional basis and agreed by the </w:t>
      </w:r>
      <w:r w:rsidR="007016E5" w:rsidRPr="00B31C77">
        <w:rPr>
          <w:rFonts w:cs="Arial"/>
        </w:rPr>
        <w:t xml:space="preserve">Chief Executive Officer GMCA &amp; TFGM </w:t>
      </w:r>
      <w:r w:rsidRPr="00F52FD8">
        <w:rPr>
          <w:rFonts w:cs="Arial"/>
        </w:rPr>
        <w:t xml:space="preserve">and </w:t>
      </w:r>
      <w:r w:rsidR="00EC35B4">
        <w:rPr>
          <w:rFonts w:cs="Arial"/>
        </w:rPr>
        <w:t xml:space="preserve">if it </w:t>
      </w:r>
      <w:r w:rsidR="0079678D">
        <w:rPr>
          <w:rFonts w:cs="Arial"/>
        </w:rPr>
        <w:t xml:space="preserve">pertains to GMFRS </w:t>
      </w:r>
      <w:r w:rsidR="00EC35B4">
        <w:rPr>
          <w:rFonts w:cs="Arial"/>
        </w:rPr>
        <w:t xml:space="preserve">it will </w:t>
      </w:r>
      <w:r w:rsidR="0079678D" w:rsidRPr="00F52FD8">
        <w:rPr>
          <w:rFonts w:cs="Arial"/>
        </w:rPr>
        <w:t xml:space="preserve">only be on an exceptional basis and agreed by the </w:t>
      </w:r>
      <w:r w:rsidRPr="00F52FD8">
        <w:rPr>
          <w:rFonts w:cs="Arial"/>
        </w:rPr>
        <w:t>Chief Fire Officer.</w:t>
      </w:r>
      <w:r w:rsidR="00EF3FAF" w:rsidRPr="00F52FD8">
        <w:rPr>
          <w:rFonts w:cs="Arial"/>
        </w:rPr>
        <w:t xml:space="preserve"> </w:t>
      </w:r>
    </w:p>
    <w:p w14:paraId="5DE26B80" w14:textId="3490AE5E" w:rsidR="00614465" w:rsidRPr="00BE2756" w:rsidRDefault="007C7CC4" w:rsidP="00BE2756">
      <w:pPr>
        <w:numPr>
          <w:ilvl w:val="0"/>
          <w:numId w:val="32"/>
        </w:numPr>
        <w:autoSpaceDE w:val="0"/>
        <w:autoSpaceDN w:val="0"/>
        <w:adjustRightInd w:val="0"/>
        <w:spacing w:before="0" w:after="120" w:line="240" w:lineRule="auto"/>
        <w:ind w:left="641" w:hanging="357"/>
        <w:rPr>
          <w:rFonts w:cs="Arial"/>
        </w:rPr>
      </w:pPr>
      <w:r>
        <w:rPr>
          <w:rFonts w:cs="Arial"/>
        </w:rPr>
        <w:t>R</w:t>
      </w:r>
      <w:r w:rsidR="00F86B25" w:rsidRPr="00F86B25">
        <w:rPr>
          <w:rFonts w:cs="Arial"/>
        </w:rPr>
        <w:t xml:space="preserve">e-engagement involves the employee engaging in employment </w:t>
      </w:r>
      <w:proofErr w:type="gramStart"/>
      <w:r w:rsidR="00F86B25" w:rsidRPr="00F86B25">
        <w:rPr>
          <w:rFonts w:cs="Arial"/>
        </w:rPr>
        <w:t>similar to</w:t>
      </w:r>
      <w:proofErr w:type="gramEnd"/>
      <w:r w:rsidR="00F86B25" w:rsidRPr="00F86B25">
        <w:rPr>
          <w:rFonts w:cs="Arial"/>
        </w:rPr>
        <w:t xml:space="preserve"> their initial job or in other suitable employment</w:t>
      </w:r>
      <w:r w:rsidR="00BE2756">
        <w:rPr>
          <w:rFonts w:cs="Arial"/>
        </w:rPr>
        <w:t>.</w:t>
      </w:r>
      <w:r w:rsidR="00614465">
        <w:br w:type="page"/>
      </w:r>
    </w:p>
    <w:p w14:paraId="52430383" w14:textId="0A8E008D" w:rsidR="00614465" w:rsidRDefault="00614465" w:rsidP="00614465">
      <w:pPr>
        <w:pStyle w:val="Heading1"/>
        <w:spacing w:after="120"/>
      </w:pPr>
      <w:bookmarkStart w:id="37" w:name="_Toc20479424"/>
      <w:r>
        <w:lastRenderedPageBreak/>
        <w:t>APPENDIX 1</w:t>
      </w:r>
      <w:bookmarkEnd w:id="37"/>
    </w:p>
    <w:tbl>
      <w:tblPr>
        <w:tblStyle w:val="TableGrid"/>
        <w:tblW w:w="0" w:type="auto"/>
        <w:tblLook w:val="04A0" w:firstRow="1" w:lastRow="0" w:firstColumn="1" w:lastColumn="0" w:noHBand="0" w:noVBand="1"/>
      </w:tblPr>
      <w:tblGrid>
        <w:gridCol w:w="1274"/>
        <w:gridCol w:w="1272"/>
        <w:gridCol w:w="1372"/>
        <w:gridCol w:w="1372"/>
        <w:gridCol w:w="1277"/>
        <w:gridCol w:w="1277"/>
      </w:tblGrid>
      <w:tr w:rsidR="001134A2" w14:paraId="4820380B" w14:textId="77777777" w:rsidTr="009C1806">
        <w:trPr>
          <w:trHeight w:val="408"/>
          <w:tblHeader/>
        </w:trPr>
        <w:tc>
          <w:tcPr>
            <w:tcW w:w="7844" w:type="dxa"/>
            <w:gridSpan w:val="6"/>
            <w:shd w:val="clear" w:color="auto" w:fill="D9D9D9" w:themeFill="background1" w:themeFillShade="D9"/>
          </w:tcPr>
          <w:p w14:paraId="12D673AC" w14:textId="271D677A" w:rsidR="001134A2" w:rsidRDefault="001134A2" w:rsidP="009C1806">
            <w:pPr>
              <w:spacing w:before="80" w:after="80"/>
              <w:jc w:val="center"/>
              <w:rPr>
                <w:rFonts w:cs="Arial"/>
                <w:b/>
              </w:rPr>
            </w:pPr>
            <w:r>
              <w:rPr>
                <w:rFonts w:cs="Arial"/>
                <w:b/>
              </w:rPr>
              <w:t>20</w:t>
            </w:r>
            <w:r w:rsidR="00963ABB">
              <w:rPr>
                <w:rFonts w:cs="Arial"/>
                <w:b/>
              </w:rPr>
              <w:t>2</w:t>
            </w:r>
            <w:r w:rsidR="00AB7A0C">
              <w:rPr>
                <w:rFonts w:cs="Arial"/>
                <w:b/>
              </w:rPr>
              <w:t>1</w:t>
            </w:r>
            <w:r w:rsidR="00963ABB">
              <w:rPr>
                <w:rFonts w:cs="Arial"/>
                <w:b/>
              </w:rPr>
              <w:t>/2</w:t>
            </w:r>
            <w:r w:rsidR="00AB7A0C">
              <w:rPr>
                <w:rFonts w:cs="Arial"/>
                <w:b/>
              </w:rPr>
              <w:t>2</w:t>
            </w:r>
            <w:r>
              <w:rPr>
                <w:rFonts w:cs="Arial"/>
                <w:b/>
              </w:rPr>
              <w:t xml:space="preserve"> </w:t>
            </w:r>
            <w:r w:rsidRPr="00930F6E">
              <w:rPr>
                <w:rFonts w:cs="Arial"/>
                <w:b/>
              </w:rPr>
              <w:t>Pay Spine</w:t>
            </w:r>
          </w:p>
        </w:tc>
      </w:tr>
      <w:tr w:rsidR="00963ABB" w14:paraId="355809BD" w14:textId="77777777" w:rsidTr="008B376D">
        <w:trPr>
          <w:trHeight w:val="671"/>
          <w:tblHeader/>
        </w:trPr>
        <w:tc>
          <w:tcPr>
            <w:tcW w:w="1274" w:type="dxa"/>
            <w:shd w:val="clear" w:color="auto" w:fill="D9D9D9" w:themeFill="background1" w:themeFillShade="D9"/>
          </w:tcPr>
          <w:p w14:paraId="1712DE6E" w14:textId="77777777" w:rsidR="00963ABB" w:rsidRPr="00930F6E" w:rsidRDefault="00963ABB" w:rsidP="00963ABB">
            <w:pPr>
              <w:spacing w:before="0" w:line="240" w:lineRule="atLeast"/>
              <w:jc w:val="center"/>
              <w:rPr>
                <w:rFonts w:cs="Arial"/>
                <w:b/>
                <w:bCs/>
                <w:color w:val="000000"/>
              </w:rPr>
            </w:pPr>
            <w:r w:rsidRPr="00930F6E">
              <w:rPr>
                <w:rFonts w:cs="Arial"/>
                <w:b/>
                <w:bCs/>
                <w:color w:val="000000"/>
              </w:rPr>
              <w:t>Grade</w:t>
            </w:r>
          </w:p>
        </w:tc>
        <w:tc>
          <w:tcPr>
            <w:tcW w:w="1272" w:type="dxa"/>
            <w:shd w:val="clear" w:color="auto" w:fill="D9D9D9" w:themeFill="background1" w:themeFillShade="D9"/>
            <w:vAlign w:val="top"/>
          </w:tcPr>
          <w:p w14:paraId="49EBF308" w14:textId="7906B76D" w:rsidR="00963ABB" w:rsidRPr="00930F6E" w:rsidRDefault="00963ABB" w:rsidP="00963ABB">
            <w:pPr>
              <w:spacing w:before="0" w:line="240" w:lineRule="atLeast"/>
              <w:jc w:val="center"/>
              <w:rPr>
                <w:rFonts w:cs="Arial"/>
                <w:b/>
                <w:bCs/>
                <w:color w:val="000000"/>
              </w:rPr>
            </w:pPr>
            <w:r w:rsidRPr="00C0649F">
              <w:t>Scale Point</w:t>
            </w:r>
          </w:p>
        </w:tc>
        <w:tc>
          <w:tcPr>
            <w:tcW w:w="1372" w:type="dxa"/>
            <w:shd w:val="clear" w:color="auto" w:fill="D9D9D9" w:themeFill="background1" w:themeFillShade="D9"/>
            <w:vAlign w:val="top"/>
          </w:tcPr>
          <w:p w14:paraId="7BD76846" w14:textId="503A439A" w:rsidR="00963ABB" w:rsidRPr="00930F6E" w:rsidRDefault="00963ABB" w:rsidP="00963ABB">
            <w:pPr>
              <w:spacing w:before="0" w:line="240" w:lineRule="atLeast"/>
              <w:jc w:val="center"/>
              <w:rPr>
                <w:rFonts w:cs="Arial"/>
                <w:b/>
                <w:bCs/>
                <w:color w:val="000000"/>
              </w:rPr>
            </w:pPr>
            <w:r w:rsidRPr="00C0649F">
              <w:t>Annual Salary</w:t>
            </w:r>
          </w:p>
        </w:tc>
        <w:tc>
          <w:tcPr>
            <w:tcW w:w="1372" w:type="dxa"/>
            <w:shd w:val="clear" w:color="auto" w:fill="D9D9D9" w:themeFill="background1" w:themeFillShade="D9"/>
            <w:vAlign w:val="top"/>
          </w:tcPr>
          <w:p w14:paraId="11C834A0" w14:textId="4DBDA09C" w:rsidR="00963ABB" w:rsidRDefault="00963ABB" w:rsidP="00963ABB">
            <w:pPr>
              <w:spacing w:before="0" w:line="240" w:lineRule="atLeast"/>
              <w:jc w:val="center"/>
              <w:rPr>
                <w:rFonts w:cs="Arial"/>
                <w:b/>
                <w:bCs/>
                <w:color w:val="000000"/>
              </w:rPr>
            </w:pPr>
            <w:r w:rsidRPr="00C0649F">
              <w:t>Monthly</w:t>
            </w:r>
          </w:p>
        </w:tc>
        <w:tc>
          <w:tcPr>
            <w:tcW w:w="1277" w:type="dxa"/>
            <w:shd w:val="clear" w:color="auto" w:fill="D9D9D9" w:themeFill="background1" w:themeFillShade="D9"/>
            <w:vAlign w:val="top"/>
          </w:tcPr>
          <w:p w14:paraId="4897A6E1" w14:textId="41020419" w:rsidR="00963ABB" w:rsidRDefault="00963ABB" w:rsidP="00963ABB">
            <w:pPr>
              <w:spacing w:before="0" w:line="240" w:lineRule="atLeast"/>
              <w:jc w:val="center"/>
              <w:rPr>
                <w:rFonts w:cs="Arial"/>
                <w:b/>
                <w:bCs/>
                <w:color w:val="000000"/>
              </w:rPr>
            </w:pPr>
            <w:r w:rsidRPr="00C0649F">
              <w:t>Weekly</w:t>
            </w:r>
          </w:p>
        </w:tc>
        <w:tc>
          <w:tcPr>
            <w:tcW w:w="1277" w:type="dxa"/>
            <w:shd w:val="clear" w:color="auto" w:fill="D9D9D9" w:themeFill="background1" w:themeFillShade="D9"/>
            <w:vAlign w:val="top"/>
          </w:tcPr>
          <w:p w14:paraId="7CE9EDE3" w14:textId="6A7309DA" w:rsidR="00963ABB" w:rsidRDefault="00963ABB" w:rsidP="00963ABB">
            <w:pPr>
              <w:spacing w:before="0" w:line="240" w:lineRule="atLeast"/>
              <w:jc w:val="center"/>
              <w:rPr>
                <w:rFonts w:cs="Arial"/>
                <w:b/>
                <w:bCs/>
                <w:color w:val="000000"/>
              </w:rPr>
            </w:pPr>
            <w:r w:rsidRPr="00C0649F">
              <w:t>Normal Hourly</w:t>
            </w:r>
          </w:p>
        </w:tc>
      </w:tr>
      <w:tr w:rsidR="00AB7A0C" w:rsidRPr="00930F6E" w14:paraId="209D740B" w14:textId="77777777" w:rsidTr="008B376D">
        <w:trPr>
          <w:trHeight w:val="310"/>
        </w:trPr>
        <w:tc>
          <w:tcPr>
            <w:tcW w:w="1274" w:type="dxa"/>
            <w:vMerge w:val="restart"/>
          </w:tcPr>
          <w:p w14:paraId="0D7A5D46" w14:textId="77777777" w:rsidR="00AB7A0C" w:rsidRPr="00930F6E" w:rsidRDefault="00AB7A0C" w:rsidP="00AB7A0C">
            <w:pPr>
              <w:spacing w:before="22" w:after="20"/>
              <w:jc w:val="center"/>
              <w:rPr>
                <w:rFonts w:cs="Arial"/>
                <w:color w:val="000000"/>
              </w:rPr>
            </w:pPr>
            <w:r w:rsidRPr="00930F6E">
              <w:rPr>
                <w:rFonts w:cs="Arial"/>
                <w:color w:val="000000"/>
              </w:rPr>
              <w:t>1</w:t>
            </w:r>
          </w:p>
        </w:tc>
        <w:tc>
          <w:tcPr>
            <w:tcW w:w="1272" w:type="dxa"/>
            <w:vAlign w:val="top"/>
          </w:tcPr>
          <w:p w14:paraId="2A58F017" w14:textId="494C1E14" w:rsidR="00AB7A0C" w:rsidRPr="00E011A8" w:rsidRDefault="00AB7A0C" w:rsidP="00AB7A0C">
            <w:pPr>
              <w:spacing w:before="22" w:after="20" w:line="240" w:lineRule="auto"/>
              <w:jc w:val="center"/>
              <w:rPr>
                <w:rFonts w:cs="Arial"/>
                <w:color w:val="000000"/>
              </w:rPr>
            </w:pPr>
            <w:r w:rsidRPr="001C7F89">
              <w:t>1</w:t>
            </w:r>
          </w:p>
        </w:tc>
        <w:tc>
          <w:tcPr>
            <w:tcW w:w="1372" w:type="dxa"/>
            <w:shd w:val="clear" w:color="auto" w:fill="auto"/>
            <w:vAlign w:val="top"/>
          </w:tcPr>
          <w:p w14:paraId="30FF7BE5" w14:textId="6C764F05" w:rsidR="00AB7A0C" w:rsidRPr="00930F6E" w:rsidRDefault="00AB7A0C" w:rsidP="00AB7A0C">
            <w:pPr>
              <w:spacing w:before="22" w:after="20" w:line="240" w:lineRule="auto"/>
              <w:jc w:val="center"/>
              <w:rPr>
                <w:rFonts w:cs="Arial"/>
                <w:color w:val="000000"/>
              </w:rPr>
            </w:pPr>
            <w:r w:rsidRPr="001C7F89">
              <w:t>£18,333.00</w:t>
            </w:r>
          </w:p>
        </w:tc>
        <w:tc>
          <w:tcPr>
            <w:tcW w:w="1372" w:type="dxa"/>
            <w:shd w:val="clear" w:color="auto" w:fill="auto"/>
            <w:vAlign w:val="top"/>
          </w:tcPr>
          <w:p w14:paraId="5440DC5A" w14:textId="68CF5A80" w:rsidR="00AB7A0C" w:rsidRPr="00930F6E" w:rsidRDefault="00AB7A0C" w:rsidP="00AB7A0C">
            <w:pPr>
              <w:spacing w:before="22" w:after="20" w:line="240" w:lineRule="auto"/>
              <w:jc w:val="center"/>
              <w:rPr>
                <w:rFonts w:cs="Arial"/>
                <w:color w:val="000000"/>
              </w:rPr>
            </w:pPr>
            <w:r w:rsidRPr="001C7F89">
              <w:t>£1,527.75</w:t>
            </w:r>
          </w:p>
        </w:tc>
        <w:tc>
          <w:tcPr>
            <w:tcW w:w="1277" w:type="dxa"/>
            <w:shd w:val="clear" w:color="auto" w:fill="auto"/>
            <w:vAlign w:val="top"/>
          </w:tcPr>
          <w:p w14:paraId="57525291" w14:textId="3E8DFD5F" w:rsidR="00AB7A0C" w:rsidRPr="00930F6E" w:rsidRDefault="00AB7A0C" w:rsidP="00AB7A0C">
            <w:pPr>
              <w:spacing w:before="22" w:after="20" w:line="240" w:lineRule="auto"/>
              <w:jc w:val="center"/>
              <w:rPr>
                <w:rFonts w:cs="Arial"/>
                <w:color w:val="000000"/>
              </w:rPr>
            </w:pPr>
            <w:r w:rsidRPr="001C7F89">
              <w:t>£351.59</w:t>
            </w:r>
          </w:p>
        </w:tc>
        <w:tc>
          <w:tcPr>
            <w:tcW w:w="1277" w:type="dxa"/>
            <w:shd w:val="clear" w:color="auto" w:fill="auto"/>
            <w:vAlign w:val="top"/>
          </w:tcPr>
          <w:p w14:paraId="0C3677C5" w14:textId="2C32401D" w:rsidR="00AB7A0C" w:rsidRPr="00930F6E" w:rsidRDefault="00AB7A0C" w:rsidP="00AB7A0C">
            <w:pPr>
              <w:spacing w:before="22" w:after="20" w:line="240" w:lineRule="auto"/>
              <w:jc w:val="center"/>
              <w:rPr>
                <w:rFonts w:cs="Arial"/>
                <w:color w:val="000000"/>
              </w:rPr>
            </w:pPr>
            <w:r w:rsidRPr="001C7F89">
              <w:t>£9.6990</w:t>
            </w:r>
          </w:p>
        </w:tc>
      </w:tr>
      <w:tr w:rsidR="00AB7A0C" w:rsidRPr="00930F6E" w14:paraId="662A174E" w14:textId="77777777" w:rsidTr="008B376D">
        <w:trPr>
          <w:trHeight w:val="318"/>
        </w:trPr>
        <w:tc>
          <w:tcPr>
            <w:tcW w:w="1274" w:type="dxa"/>
            <w:vMerge/>
            <w:vAlign w:val="bottom"/>
          </w:tcPr>
          <w:p w14:paraId="53799BAB" w14:textId="77777777" w:rsidR="00AB7A0C" w:rsidRPr="00930F6E" w:rsidRDefault="00AB7A0C" w:rsidP="00AB7A0C">
            <w:pPr>
              <w:spacing w:before="22" w:after="20" w:line="240" w:lineRule="auto"/>
              <w:jc w:val="left"/>
              <w:rPr>
                <w:rFonts w:cs="Arial"/>
                <w:color w:val="000000"/>
              </w:rPr>
            </w:pPr>
          </w:p>
        </w:tc>
        <w:tc>
          <w:tcPr>
            <w:tcW w:w="1272" w:type="dxa"/>
            <w:vAlign w:val="top"/>
          </w:tcPr>
          <w:p w14:paraId="7B55C882" w14:textId="0613D13F" w:rsidR="00AB7A0C" w:rsidRPr="00E011A8" w:rsidRDefault="00AB7A0C" w:rsidP="00AB7A0C">
            <w:pPr>
              <w:spacing w:before="22" w:after="20"/>
              <w:jc w:val="center"/>
              <w:rPr>
                <w:rFonts w:cs="Arial"/>
                <w:color w:val="000000"/>
              </w:rPr>
            </w:pPr>
            <w:r w:rsidRPr="001C7F89">
              <w:t>2</w:t>
            </w:r>
          </w:p>
        </w:tc>
        <w:tc>
          <w:tcPr>
            <w:tcW w:w="1372" w:type="dxa"/>
            <w:shd w:val="clear" w:color="auto" w:fill="auto"/>
            <w:vAlign w:val="top"/>
          </w:tcPr>
          <w:p w14:paraId="24FA17D1" w14:textId="11E9A7FE" w:rsidR="00AB7A0C" w:rsidRPr="00930F6E" w:rsidRDefault="00AB7A0C" w:rsidP="00AB7A0C">
            <w:pPr>
              <w:spacing w:before="22" w:after="20"/>
              <w:jc w:val="center"/>
              <w:rPr>
                <w:rFonts w:cs="Arial"/>
                <w:color w:val="000000"/>
              </w:rPr>
            </w:pPr>
            <w:r w:rsidRPr="001C7F89">
              <w:t>£18,516.00</w:t>
            </w:r>
          </w:p>
        </w:tc>
        <w:tc>
          <w:tcPr>
            <w:tcW w:w="1372" w:type="dxa"/>
            <w:shd w:val="clear" w:color="auto" w:fill="auto"/>
            <w:vAlign w:val="top"/>
          </w:tcPr>
          <w:p w14:paraId="297078AE" w14:textId="32D7E48E" w:rsidR="00AB7A0C" w:rsidRPr="00930F6E" w:rsidRDefault="00AB7A0C" w:rsidP="00AB7A0C">
            <w:pPr>
              <w:spacing w:before="22" w:after="20"/>
              <w:jc w:val="center"/>
              <w:rPr>
                <w:rFonts w:cs="Arial"/>
                <w:color w:val="000000"/>
              </w:rPr>
            </w:pPr>
            <w:r w:rsidRPr="001C7F89">
              <w:t>£1,543.00</w:t>
            </w:r>
          </w:p>
        </w:tc>
        <w:tc>
          <w:tcPr>
            <w:tcW w:w="1277" w:type="dxa"/>
            <w:shd w:val="clear" w:color="auto" w:fill="auto"/>
            <w:vAlign w:val="top"/>
          </w:tcPr>
          <w:p w14:paraId="5AD27730" w14:textId="727E656C" w:rsidR="00AB7A0C" w:rsidRPr="00930F6E" w:rsidRDefault="00AB7A0C" w:rsidP="00AB7A0C">
            <w:pPr>
              <w:spacing w:before="22" w:after="20"/>
              <w:jc w:val="center"/>
              <w:rPr>
                <w:rFonts w:cs="Arial"/>
                <w:color w:val="000000"/>
              </w:rPr>
            </w:pPr>
            <w:r w:rsidRPr="001C7F89">
              <w:t>£355.10</w:t>
            </w:r>
          </w:p>
        </w:tc>
        <w:tc>
          <w:tcPr>
            <w:tcW w:w="1277" w:type="dxa"/>
            <w:shd w:val="clear" w:color="auto" w:fill="auto"/>
            <w:vAlign w:val="top"/>
          </w:tcPr>
          <w:p w14:paraId="57334D52" w14:textId="58581344" w:rsidR="00AB7A0C" w:rsidRPr="00930F6E" w:rsidRDefault="00AB7A0C" w:rsidP="00AB7A0C">
            <w:pPr>
              <w:spacing w:before="22" w:after="20"/>
              <w:jc w:val="center"/>
              <w:rPr>
                <w:rFonts w:cs="Arial"/>
                <w:color w:val="000000"/>
              </w:rPr>
            </w:pPr>
            <w:r w:rsidRPr="001C7F89">
              <w:t>£9.7959</w:t>
            </w:r>
          </w:p>
        </w:tc>
      </w:tr>
      <w:tr w:rsidR="00AB7A0C" w:rsidRPr="00930F6E" w14:paraId="6C2FC2BD" w14:textId="77777777" w:rsidTr="00963ABB">
        <w:trPr>
          <w:trHeight w:val="310"/>
        </w:trPr>
        <w:tc>
          <w:tcPr>
            <w:tcW w:w="1274" w:type="dxa"/>
            <w:vMerge w:val="restart"/>
            <w:shd w:val="clear" w:color="auto" w:fill="F2F2F2" w:themeFill="background1" w:themeFillShade="F2"/>
          </w:tcPr>
          <w:p w14:paraId="77CD0757" w14:textId="77777777" w:rsidR="00AB7A0C" w:rsidRPr="00930F6E" w:rsidRDefault="00AB7A0C" w:rsidP="00AB7A0C">
            <w:pPr>
              <w:spacing w:before="22" w:after="20"/>
              <w:jc w:val="center"/>
              <w:rPr>
                <w:rFonts w:cs="Arial"/>
                <w:color w:val="000000"/>
              </w:rPr>
            </w:pPr>
            <w:r w:rsidRPr="00930F6E">
              <w:rPr>
                <w:rFonts w:cs="Arial"/>
                <w:color w:val="000000"/>
              </w:rPr>
              <w:t>2</w:t>
            </w:r>
          </w:p>
        </w:tc>
        <w:tc>
          <w:tcPr>
            <w:tcW w:w="1272" w:type="dxa"/>
            <w:shd w:val="clear" w:color="auto" w:fill="F2F2F2" w:themeFill="background1" w:themeFillShade="F2"/>
            <w:vAlign w:val="top"/>
          </w:tcPr>
          <w:p w14:paraId="0F9F860D" w14:textId="6CFF409E" w:rsidR="00AB7A0C" w:rsidRPr="00E011A8" w:rsidRDefault="00AB7A0C" w:rsidP="00AB7A0C">
            <w:pPr>
              <w:spacing w:before="22" w:after="20" w:line="240" w:lineRule="auto"/>
              <w:jc w:val="center"/>
              <w:rPr>
                <w:rFonts w:cs="Arial"/>
                <w:color w:val="000000"/>
              </w:rPr>
            </w:pPr>
            <w:r w:rsidRPr="001C7F89">
              <w:t>3</w:t>
            </w:r>
          </w:p>
        </w:tc>
        <w:tc>
          <w:tcPr>
            <w:tcW w:w="1372" w:type="dxa"/>
            <w:shd w:val="clear" w:color="auto" w:fill="F2F2F2" w:themeFill="background1" w:themeFillShade="F2"/>
            <w:vAlign w:val="top"/>
          </w:tcPr>
          <w:p w14:paraId="75E6547F" w14:textId="2AF9F64E" w:rsidR="00AB7A0C" w:rsidRPr="00930F6E" w:rsidRDefault="00AB7A0C" w:rsidP="00AB7A0C">
            <w:pPr>
              <w:spacing w:before="22" w:after="20" w:line="240" w:lineRule="auto"/>
              <w:jc w:val="center"/>
              <w:rPr>
                <w:rFonts w:cs="Arial"/>
                <w:color w:val="000000"/>
              </w:rPr>
            </w:pPr>
            <w:r w:rsidRPr="001C7F89">
              <w:t>£18,887.00</w:t>
            </w:r>
          </w:p>
        </w:tc>
        <w:tc>
          <w:tcPr>
            <w:tcW w:w="1372" w:type="dxa"/>
            <w:shd w:val="clear" w:color="auto" w:fill="F2F2F2" w:themeFill="background1" w:themeFillShade="F2"/>
            <w:vAlign w:val="top"/>
          </w:tcPr>
          <w:p w14:paraId="204479AF" w14:textId="66ADE24F" w:rsidR="00AB7A0C" w:rsidRPr="00930F6E" w:rsidRDefault="00AB7A0C" w:rsidP="00AB7A0C">
            <w:pPr>
              <w:spacing w:before="22" w:after="20" w:line="240" w:lineRule="auto"/>
              <w:jc w:val="center"/>
              <w:rPr>
                <w:rFonts w:cs="Arial"/>
                <w:color w:val="000000"/>
              </w:rPr>
            </w:pPr>
            <w:r w:rsidRPr="001C7F89">
              <w:t>£1,573.92</w:t>
            </w:r>
          </w:p>
        </w:tc>
        <w:tc>
          <w:tcPr>
            <w:tcW w:w="1277" w:type="dxa"/>
            <w:shd w:val="clear" w:color="auto" w:fill="F2F2F2" w:themeFill="background1" w:themeFillShade="F2"/>
            <w:vAlign w:val="top"/>
          </w:tcPr>
          <w:p w14:paraId="7DFCF7A0" w14:textId="3A437A2D" w:rsidR="00AB7A0C" w:rsidRPr="00930F6E" w:rsidRDefault="00AB7A0C" w:rsidP="00AB7A0C">
            <w:pPr>
              <w:spacing w:before="22" w:after="20" w:line="240" w:lineRule="auto"/>
              <w:jc w:val="center"/>
              <w:rPr>
                <w:rFonts w:cs="Arial"/>
                <w:color w:val="000000"/>
              </w:rPr>
            </w:pPr>
            <w:r w:rsidRPr="001C7F89">
              <w:t>£362.22</w:t>
            </w:r>
          </w:p>
        </w:tc>
        <w:tc>
          <w:tcPr>
            <w:tcW w:w="1277" w:type="dxa"/>
            <w:shd w:val="clear" w:color="auto" w:fill="F2F2F2" w:themeFill="background1" w:themeFillShade="F2"/>
            <w:vAlign w:val="top"/>
          </w:tcPr>
          <w:p w14:paraId="6CB4B925" w14:textId="6DCC7C42" w:rsidR="00AB7A0C" w:rsidRPr="00930F6E" w:rsidRDefault="00AB7A0C" w:rsidP="00AB7A0C">
            <w:pPr>
              <w:spacing w:before="22" w:after="20" w:line="240" w:lineRule="auto"/>
              <w:jc w:val="center"/>
              <w:rPr>
                <w:rFonts w:cs="Arial"/>
                <w:color w:val="000000"/>
              </w:rPr>
            </w:pPr>
            <w:r w:rsidRPr="001C7F89">
              <w:t>£9.9923</w:t>
            </w:r>
          </w:p>
        </w:tc>
      </w:tr>
      <w:tr w:rsidR="00AB7A0C" w:rsidRPr="00930F6E" w14:paraId="35A0AA38" w14:textId="77777777" w:rsidTr="00963ABB">
        <w:trPr>
          <w:trHeight w:val="318"/>
        </w:trPr>
        <w:tc>
          <w:tcPr>
            <w:tcW w:w="1274" w:type="dxa"/>
            <w:vMerge/>
            <w:vAlign w:val="bottom"/>
          </w:tcPr>
          <w:p w14:paraId="7F4EC810" w14:textId="77777777" w:rsidR="00AB7A0C" w:rsidRPr="00930F6E" w:rsidRDefault="00AB7A0C" w:rsidP="00AB7A0C">
            <w:pPr>
              <w:spacing w:before="22" w:after="20" w:line="240" w:lineRule="auto"/>
              <w:jc w:val="left"/>
              <w:rPr>
                <w:rFonts w:cs="Arial"/>
                <w:color w:val="000000"/>
              </w:rPr>
            </w:pPr>
          </w:p>
        </w:tc>
        <w:tc>
          <w:tcPr>
            <w:tcW w:w="1272" w:type="dxa"/>
            <w:shd w:val="clear" w:color="auto" w:fill="F2F2F2" w:themeFill="background1" w:themeFillShade="F2"/>
            <w:vAlign w:val="top"/>
          </w:tcPr>
          <w:p w14:paraId="0C5E1450" w14:textId="04D53A65" w:rsidR="00AB7A0C" w:rsidRPr="00E011A8" w:rsidRDefault="00AB7A0C" w:rsidP="00AB7A0C">
            <w:pPr>
              <w:spacing w:before="22" w:after="20" w:line="240" w:lineRule="auto"/>
              <w:jc w:val="center"/>
              <w:rPr>
                <w:rFonts w:cs="Arial"/>
                <w:color w:val="000000"/>
              </w:rPr>
            </w:pPr>
            <w:r w:rsidRPr="001C7F89">
              <w:t>4</w:t>
            </w:r>
          </w:p>
        </w:tc>
        <w:tc>
          <w:tcPr>
            <w:tcW w:w="1372" w:type="dxa"/>
            <w:shd w:val="clear" w:color="auto" w:fill="F2F2F2" w:themeFill="background1" w:themeFillShade="F2"/>
            <w:vAlign w:val="top"/>
          </w:tcPr>
          <w:p w14:paraId="103DF657" w14:textId="15A60EF9" w:rsidR="00AB7A0C" w:rsidRPr="00930F6E" w:rsidRDefault="00AB7A0C" w:rsidP="00AB7A0C">
            <w:pPr>
              <w:spacing w:before="22" w:after="20" w:line="240" w:lineRule="auto"/>
              <w:jc w:val="center"/>
              <w:rPr>
                <w:rFonts w:cs="Arial"/>
                <w:color w:val="000000"/>
              </w:rPr>
            </w:pPr>
            <w:r w:rsidRPr="001C7F89">
              <w:t>£19,264.00</w:t>
            </w:r>
          </w:p>
        </w:tc>
        <w:tc>
          <w:tcPr>
            <w:tcW w:w="1372" w:type="dxa"/>
            <w:shd w:val="clear" w:color="auto" w:fill="F2F2F2" w:themeFill="background1" w:themeFillShade="F2"/>
            <w:vAlign w:val="top"/>
          </w:tcPr>
          <w:p w14:paraId="342020B4" w14:textId="752E0FD9" w:rsidR="00AB7A0C" w:rsidRPr="00930F6E" w:rsidRDefault="00AB7A0C" w:rsidP="00AB7A0C">
            <w:pPr>
              <w:spacing w:before="22" w:after="20" w:line="240" w:lineRule="auto"/>
              <w:jc w:val="center"/>
              <w:rPr>
                <w:rFonts w:cs="Arial"/>
                <w:color w:val="000000"/>
              </w:rPr>
            </w:pPr>
            <w:r w:rsidRPr="001C7F89">
              <w:t>£1,605.33</w:t>
            </w:r>
          </w:p>
        </w:tc>
        <w:tc>
          <w:tcPr>
            <w:tcW w:w="1277" w:type="dxa"/>
            <w:shd w:val="clear" w:color="auto" w:fill="F2F2F2" w:themeFill="background1" w:themeFillShade="F2"/>
            <w:vAlign w:val="top"/>
          </w:tcPr>
          <w:p w14:paraId="4F935C9A" w14:textId="6B81B1D4" w:rsidR="00AB7A0C" w:rsidRPr="00930F6E" w:rsidRDefault="00AB7A0C" w:rsidP="00AB7A0C">
            <w:pPr>
              <w:spacing w:before="22" w:after="20" w:line="240" w:lineRule="auto"/>
              <w:jc w:val="center"/>
              <w:rPr>
                <w:rFonts w:cs="Arial"/>
                <w:color w:val="000000"/>
              </w:rPr>
            </w:pPr>
            <w:r w:rsidRPr="001C7F89">
              <w:t>£369.45</w:t>
            </w:r>
          </w:p>
        </w:tc>
        <w:tc>
          <w:tcPr>
            <w:tcW w:w="1277" w:type="dxa"/>
            <w:shd w:val="clear" w:color="auto" w:fill="F2F2F2" w:themeFill="background1" w:themeFillShade="F2"/>
            <w:vAlign w:val="top"/>
          </w:tcPr>
          <w:p w14:paraId="63545729" w14:textId="576B3358" w:rsidR="00AB7A0C" w:rsidRPr="00930F6E" w:rsidRDefault="00AB7A0C" w:rsidP="00AB7A0C">
            <w:pPr>
              <w:spacing w:before="22" w:after="20" w:line="240" w:lineRule="auto"/>
              <w:jc w:val="center"/>
              <w:rPr>
                <w:rFonts w:cs="Arial"/>
                <w:color w:val="000000"/>
              </w:rPr>
            </w:pPr>
            <w:r w:rsidRPr="001C7F89">
              <w:t>£10.1917</w:t>
            </w:r>
          </w:p>
        </w:tc>
      </w:tr>
      <w:tr w:rsidR="00AB7A0C" w:rsidRPr="00930F6E" w14:paraId="51AA2026" w14:textId="77777777" w:rsidTr="008B376D">
        <w:trPr>
          <w:trHeight w:val="128"/>
        </w:trPr>
        <w:tc>
          <w:tcPr>
            <w:tcW w:w="1274" w:type="dxa"/>
            <w:vMerge w:val="restart"/>
          </w:tcPr>
          <w:p w14:paraId="6FAEF684" w14:textId="77777777" w:rsidR="00AB7A0C" w:rsidRPr="00930F6E" w:rsidRDefault="00AB7A0C" w:rsidP="00AB7A0C">
            <w:pPr>
              <w:spacing w:before="22" w:after="20"/>
              <w:jc w:val="center"/>
              <w:rPr>
                <w:rFonts w:cs="Arial"/>
                <w:color w:val="000000"/>
              </w:rPr>
            </w:pPr>
            <w:r w:rsidRPr="00930F6E">
              <w:rPr>
                <w:rFonts w:cs="Arial"/>
                <w:color w:val="000000"/>
              </w:rPr>
              <w:t>3</w:t>
            </w:r>
          </w:p>
        </w:tc>
        <w:tc>
          <w:tcPr>
            <w:tcW w:w="1272" w:type="dxa"/>
            <w:vAlign w:val="top"/>
          </w:tcPr>
          <w:p w14:paraId="26340D6E" w14:textId="24BDD2E6" w:rsidR="00AB7A0C" w:rsidRPr="00930F6E" w:rsidRDefault="00AB7A0C" w:rsidP="00AB7A0C">
            <w:pPr>
              <w:spacing w:before="22" w:after="20" w:line="240" w:lineRule="auto"/>
              <w:jc w:val="center"/>
              <w:rPr>
                <w:rFonts w:cs="Arial"/>
                <w:b/>
                <w:color w:val="000000"/>
              </w:rPr>
            </w:pPr>
            <w:r w:rsidRPr="001C7F89">
              <w:t>5</w:t>
            </w:r>
          </w:p>
        </w:tc>
        <w:tc>
          <w:tcPr>
            <w:tcW w:w="1372" w:type="dxa"/>
            <w:shd w:val="clear" w:color="auto" w:fill="auto"/>
            <w:vAlign w:val="top"/>
          </w:tcPr>
          <w:p w14:paraId="35F408F5" w14:textId="2C46A4CA" w:rsidR="00AB7A0C" w:rsidRPr="00930F6E" w:rsidRDefault="00AB7A0C" w:rsidP="00AB7A0C">
            <w:pPr>
              <w:spacing w:before="22" w:after="20" w:line="240" w:lineRule="auto"/>
              <w:jc w:val="center"/>
              <w:rPr>
                <w:rFonts w:cs="Arial"/>
                <w:color w:val="000000"/>
              </w:rPr>
            </w:pPr>
            <w:r w:rsidRPr="001C7F89">
              <w:t>£19,650.00</w:t>
            </w:r>
          </w:p>
        </w:tc>
        <w:tc>
          <w:tcPr>
            <w:tcW w:w="1372" w:type="dxa"/>
            <w:shd w:val="clear" w:color="auto" w:fill="auto"/>
            <w:vAlign w:val="top"/>
          </w:tcPr>
          <w:p w14:paraId="6E086A3B" w14:textId="221EBA58" w:rsidR="00AB7A0C" w:rsidRPr="00930F6E" w:rsidRDefault="00AB7A0C" w:rsidP="00AB7A0C">
            <w:pPr>
              <w:spacing w:before="22" w:after="20" w:line="240" w:lineRule="auto"/>
              <w:jc w:val="center"/>
              <w:rPr>
                <w:rFonts w:cs="Arial"/>
                <w:color w:val="000000"/>
              </w:rPr>
            </w:pPr>
            <w:r w:rsidRPr="001C7F89">
              <w:t>£1,637.50</w:t>
            </w:r>
          </w:p>
        </w:tc>
        <w:tc>
          <w:tcPr>
            <w:tcW w:w="1277" w:type="dxa"/>
            <w:shd w:val="clear" w:color="auto" w:fill="auto"/>
            <w:vAlign w:val="top"/>
          </w:tcPr>
          <w:p w14:paraId="53E0415C" w14:textId="0E5B1D8B" w:rsidR="00AB7A0C" w:rsidRPr="00930F6E" w:rsidRDefault="00AB7A0C" w:rsidP="00AB7A0C">
            <w:pPr>
              <w:spacing w:before="22" w:after="20" w:line="240" w:lineRule="auto"/>
              <w:jc w:val="center"/>
              <w:rPr>
                <w:rFonts w:cs="Arial"/>
                <w:color w:val="000000"/>
              </w:rPr>
            </w:pPr>
            <w:r w:rsidRPr="001C7F89">
              <w:t>£376.85</w:t>
            </w:r>
          </w:p>
        </w:tc>
        <w:tc>
          <w:tcPr>
            <w:tcW w:w="1277" w:type="dxa"/>
            <w:shd w:val="clear" w:color="auto" w:fill="auto"/>
            <w:vAlign w:val="top"/>
          </w:tcPr>
          <w:p w14:paraId="5D383DDD" w14:textId="1B54A98A" w:rsidR="00AB7A0C" w:rsidRPr="00930F6E" w:rsidRDefault="00AB7A0C" w:rsidP="00AB7A0C">
            <w:pPr>
              <w:spacing w:before="22" w:after="20" w:line="240" w:lineRule="auto"/>
              <w:jc w:val="center"/>
              <w:rPr>
                <w:rFonts w:cs="Arial"/>
                <w:color w:val="000000"/>
              </w:rPr>
            </w:pPr>
            <w:r w:rsidRPr="001C7F89">
              <w:t>£10.3959</w:t>
            </w:r>
          </w:p>
        </w:tc>
      </w:tr>
      <w:tr w:rsidR="00AB7A0C" w:rsidRPr="00930F6E" w14:paraId="49DED0D0" w14:textId="77777777" w:rsidTr="008B376D">
        <w:trPr>
          <w:trHeight w:val="165"/>
        </w:trPr>
        <w:tc>
          <w:tcPr>
            <w:tcW w:w="1274" w:type="dxa"/>
            <w:vMerge/>
            <w:vAlign w:val="bottom"/>
          </w:tcPr>
          <w:p w14:paraId="06A03BFB" w14:textId="77777777" w:rsidR="00AB7A0C" w:rsidRPr="00930F6E" w:rsidRDefault="00AB7A0C" w:rsidP="00AB7A0C">
            <w:pPr>
              <w:spacing w:before="22" w:after="20" w:line="240" w:lineRule="auto"/>
              <w:jc w:val="left"/>
              <w:rPr>
                <w:rFonts w:cs="Arial"/>
                <w:color w:val="000000"/>
              </w:rPr>
            </w:pPr>
          </w:p>
        </w:tc>
        <w:tc>
          <w:tcPr>
            <w:tcW w:w="1272" w:type="dxa"/>
            <w:vAlign w:val="top"/>
          </w:tcPr>
          <w:p w14:paraId="4C29CE6B" w14:textId="7A6363C2" w:rsidR="00AB7A0C" w:rsidRPr="00930F6E" w:rsidRDefault="00AB7A0C" w:rsidP="00AB7A0C">
            <w:pPr>
              <w:spacing w:before="22" w:after="20" w:line="240" w:lineRule="auto"/>
              <w:jc w:val="center"/>
              <w:rPr>
                <w:rFonts w:cs="Arial"/>
                <w:b/>
                <w:color w:val="000000"/>
              </w:rPr>
            </w:pPr>
            <w:r w:rsidRPr="001C7F89">
              <w:t>6</w:t>
            </w:r>
          </w:p>
        </w:tc>
        <w:tc>
          <w:tcPr>
            <w:tcW w:w="1372" w:type="dxa"/>
            <w:shd w:val="clear" w:color="auto" w:fill="auto"/>
            <w:vAlign w:val="top"/>
          </w:tcPr>
          <w:p w14:paraId="7AE0CE96" w14:textId="0EA8399D" w:rsidR="00AB7A0C" w:rsidRPr="00930F6E" w:rsidRDefault="00AB7A0C" w:rsidP="00AB7A0C">
            <w:pPr>
              <w:spacing w:before="22" w:after="20" w:line="240" w:lineRule="auto"/>
              <w:jc w:val="center"/>
              <w:rPr>
                <w:rFonts w:cs="Arial"/>
                <w:color w:val="000000"/>
              </w:rPr>
            </w:pPr>
            <w:r w:rsidRPr="001C7F89">
              <w:t>£20,043.00</w:t>
            </w:r>
          </w:p>
        </w:tc>
        <w:tc>
          <w:tcPr>
            <w:tcW w:w="1372" w:type="dxa"/>
            <w:shd w:val="clear" w:color="auto" w:fill="auto"/>
            <w:vAlign w:val="top"/>
          </w:tcPr>
          <w:p w14:paraId="1D624A07" w14:textId="1162F989" w:rsidR="00AB7A0C" w:rsidRPr="00930F6E" w:rsidRDefault="00AB7A0C" w:rsidP="00AB7A0C">
            <w:pPr>
              <w:spacing w:before="22" w:after="20" w:line="240" w:lineRule="auto"/>
              <w:jc w:val="center"/>
              <w:rPr>
                <w:rFonts w:cs="Arial"/>
                <w:color w:val="000000"/>
              </w:rPr>
            </w:pPr>
            <w:r w:rsidRPr="001C7F89">
              <w:t>£1,670.25</w:t>
            </w:r>
          </w:p>
        </w:tc>
        <w:tc>
          <w:tcPr>
            <w:tcW w:w="1277" w:type="dxa"/>
            <w:shd w:val="clear" w:color="auto" w:fill="auto"/>
            <w:vAlign w:val="top"/>
          </w:tcPr>
          <w:p w14:paraId="5EBEB9FF" w14:textId="646C92F2" w:rsidR="00AB7A0C" w:rsidRPr="00930F6E" w:rsidRDefault="00AB7A0C" w:rsidP="00AB7A0C">
            <w:pPr>
              <w:spacing w:before="22" w:after="20" w:line="240" w:lineRule="auto"/>
              <w:jc w:val="center"/>
              <w:rPr>
                <w:rFonts w:cs="Arial"/>
                <w:color w:val="000000"/>
              </w:rPr>
            </w:pPr>
            <w:r w:rsidRPr="001C7F89">
              <w:t>£384.39</w:t>
            </w:r>
          </w:p>
        </w:tc>
        <w:tc>
          <w:tcPr>
            <w:tcW w:w="1277" w:type="dxa"/>
            <w:shd w:val="clear" w:color="auto" w:fill="auto"/>
            <w:vAlign w:val="top"/>
          </w:tcPr>
          <w:p w14:paraId="55F2421A" w14:textId="3720F439" w:rsidR="00AB7A0C" w:rsidRPr="00930F6E" w:rsidRDefault="00AB7A0C" w:rsidP="00AB7A0C">
            <w:pPr>
              <w:spacing w:before="22" w:after="20" w:line="240" w:lineRule="auto"/>
              <w:jc w:val="center"/>
              <w:rPr>
                <w:rFonts w:cs="Arial"/>
                <w:color w:val="000000"/>
              </w:rPr>
            </w:pPr>
            <w:r w:rsidRPr="001C7F89">
              <w:t>£10.6039</w:t>
            </w:r>
          </w:p>
        </w:tc>
      </w:tr>
      <w:tr w:rsidR="00AB7A0C" w:rsidRPr="00930F6E" w14:paraId="79636B23" w14:textId="77777777" w:rsidTr="008B376D">
        <w:trPr>
          <w:trHeight w:val="85"/>
        </w:trPr>
        <w:tc>
          <w:tcPr>
            <w:tcW w:w="1274" w:type="dxa"/>
            <w:vMerge/>
            <w:vAlign w:val="bottom"/>
          </w:tcPr>
          <w:p w14:paraId="03FD8E96" w14:textId="77777777" w:rsidR="00AB7A0C" w:rsidRPr="00930F6E" w:rsidRDefault="00AB7A0C" w:rsidP="00AB7A0C">
            <w:pPr>
              <w:spacing w:before="22" w:after="20"/>
              <w:rPr>
                <w:rFonts w:cs="Arial"/>
                <w:color w:val="000000"/>
              </w:rPr>
            </w:pPr>
          </w:p>
        </w:tc>
        <w:tc>
          <w:tcPr>
            <w:tcW w:w="1272" w:type="dxa"/>
            <w:vAlign w:val="top"/>
          </w:tcPr>
          <w:p w14:paraId="3153CDDC" w14:textId="473B9A9C" w:rsidR="00AB7A0C" w:rsidRPr="00930F6E" w:rsidRDefault="00AB7A0C" w:rsidP="00AB7A0C">
            <w:pPr>
              <w:spacing w:before="22" w:after="20"/>
              <w:jc w:val="center"/>
              <w:rPr>
                <w:rFonts w:cs="Arial"/>
                <w:b/>
                <w:color w:val="000000"/>
              </w:rPr>
            </w:pPr>
            <w:r w:rsidRPr="001C7F89">
              <w:t>7</w:t>
            </w:r>
          </w:p>
        </w:tc>
        <w:tc>
          <w:tcPr>
            <w:tcW w:w="1372" w:type="dxa"/>
            <w:shd w:val="clear" w:color="auto" w:fill="auto"/>
            <w:vAlign w:val="top"/>
          </w:tcPr>
          <w:p w14:paraId="770D41B1" w14:textId="2C9A0CCE" w:rsidR="00AB7A0C" w:rsidRPr="00930F6E" w:rsidRDefault="00AB7A0C" w:rsidP="00AB7A0C">
            <w:pPr>
              <w:spacing w:before="22" w:after="20"/>
              <w:jc w:val="center"/>
              <w:rPr>
                <w:rFonts w:cs="Arial"/>
                <w:color w:val="000000"/>
              </w:rPr>
            </w:pPr>
            <w:r w:rsidRPr="001C7F89">
              <w:t>£20,444.00</w:t>
            </w:r>
          </w:p>
        </w:tc>
        <w:tc>
          <w:tcPr>
            <w:tcW w:w="1372" w:type="dxa"/>
            <w:shd w:val="clear" w:color="auto" w:fill="auto"/>
            <w:vAlign w:val="top"/>
          </w:tcPr>
          <w:p w14:paraId="529E1C29" w14:textId="2ADA6603" w:rsidR="00AB7A0C" w:rsidRPr="00930F6E" w:rsidRDefault="00AB7A0C" w:rsidP="00AB7A0C">
            <w:pPr>
              <w:spacing w:before="22" w:after="20"/>
              <w:jc w:val="center"/>
              <w:rPr>
                <w:rFonts w:cs="Arial"/>
                <w:color w:val="000000"/>
              </w:rPr>
            </w:pPr>
            <w:r w:rsidRPr="001C7F89">
              <w:t>£1,703.67</w:t>
            </w:r>
          </w:p>
        </w:tc>
        <w:tc>
          <w:tcPr>
            <w:tcW w:w="1277" w:type="dxa"/>
            <w:shd w:val="clear" w:color="auto" w:fill="auto"/>
            <w:vAlign w:val="top"/>
          </w:tcPr>
          <w:p w14:paraId="16AB2A49" w14:textId="64715581" w:rsidR="00AB7A0C" w:rsidRPr="00930F6E" w:rsidRDefault="00AB7A0C" w:rsidP="00AB7A0C">
            <w:pPr>
              <w:spacing w:before="22" w:after="20"/>
              <w:jc w:val="center"/>
              <w:rPr>
                <w:rFonts w:cs="Arial"/>
                <w:color w:val="000000"/>
              </w:rPr>
            </w:pPr>
            <w:r w:rsidRPr="001C7F89">
              <w:t>£392.08</w:t>
            </w:r>
          </w:p>
        </w:tc>
        <w:tc>
          <w:tcPr>
            <w:tcW w:w="1277" w:type="dxa"/>
            <w:shd w:val="clear" w:color="auto" w:fill="auto"/>
            <w:vAlign w:val="top"/>
          </w:tcPr>
          <w:p w14:paraId="3F8200BF" w14:textId="310D16B1" w:rsidR="00AB7A0C" w:rsidRPr="00930F6E" w:rsidRDefault="00AB7A0C" w:rsidP="00AB7A0C">
            <w:pPr>
              <w:spacing w:before="22" w:after="20"/>
              <w:jc w:val="center"/>
              <w:rPr>
                <w:rFonts w:cs="Arial"/>
                <w:color w:val="000000"/>
              </w:rPr>
            </w:pPr>
            <w:r w:rsidRPr="001C7F89">
              <w:t>£10.8160</w:t>
            </w:r>
          </w:p>
        </w:tc>
      </w:tr>
      <w:tr w:rsidR="00AB7A0C" w:rsidRPr="00930F6E" w14:paraId="606F44AC" w14:textId="77777777" w:rsidTr="00963ABB">
        <w:trPr>
          <w:trHeight w:val="227"/>
        </w:trPr>
        <w:tc>
          <w:tcPr>
            <w:tcW w:w="1274" w:type="dxa"/>
            <w:vMerge w:val="restart"/>
            <w:shd w:val="clear" w:color="auto" w:fill="F2F2F2" w:themeFill="background1" w:themeFillShade="F2"/>
          </w:tcPr>
          <w:p w14:paraId="7612100D" w14:textId="77777777" w:rsidR="00AB7A0C" w:rsidRPr="00930F6E" w:rsidRDefault="00AB7A0C" w:rsidP="00AB7A0C">
            <w:pPr>
              <w:spacing w:before="22" w:after="20"/>
              <w:jc w:val="center"/>
              <w:rPr>
                <w:rFonts w:cs="Arial"/>
                <w:color w:val="000000"/>
              </w:rPr>
            </w:pPr>
            <w:r w:rsidRPr="00930F6E">
              <w:rPr>
                <w:rFonts w:cs="Arial"/>
                <w:color w:val="000000"/>
              </w:rPr>
              <w:t>4</w:t>
            </w:r>
          </w:p>
        </w:tc>
        <w:tc>
          <w:tcPr>
            <w:tcW w:w="1272" w:type="dxa"/>
            <w:shd w:val="clear" w:color="auto" w:fill="F2F2F2" w:themeFill="background1" w:themeFillShade="F2"/>
            <w:vAlign w:val="top"/>
          </w:tcPr>
          <w:p w14:paraId="2DFECA1F" w14:textId="6660E58B" w:rsidR="00AB7A0C" w:rsidRPr="00930F6E" w:rsidRDefault="00AB7A0C" w:rsidP="00AB7A0C">
            <w:pPr>
              <w:spacing w:before="22" w:after="20"/>
              <w:jc w:val="center"/>
              <w:rPr>
                <w:rFonts w:cs="Arial"/>
                <w:b/>
                <w:color w:val="000000"/>
              </w:rPr>
            </w:pPr>
            <w:r w:rsidRPr="001C7F89">
              <w:t>8</w:t>
            </w:r>
          </w:p>
        </w:tc>
        <w:tc>
          <w:tcPr>
            <w:tcW w:w="1372" w:type="dxa"/>
            <w:shd w:val="clear" w:color="auto" w:fill="F2F2F2" w:themeFill="background1" w:themeFillShade="F2"/>
            <w:vAlign w:val="top"/>
          </w:tcPr>
          <w:p w14:paraId="229CC36E" w14:textId="3DFDE484" w:rsidR="00AB7A0C" w:rsidRPr="00930F6E" w:rsidRDefault="00AB7A0C" w:rsidP="00AB7A0C">
            <w:pPr>
              <w:spacing w:before="22" w:after="20"/>
              <w:jc w:val="center"/>
              <w:rPr>
                <w:rFonts w:cs="Arial"/>
                <w:color w:val="000000"/>
              </w:rPr>
            </w:pPr>
            <w:r w:rsidRPr="001C7F89">
              <w:t>£20,852.00</w:t>
            </w:r>
          </w:p>
        </w:tc>
        <w:tc>
          <w:tcPr>
            <w:tcW w:w="1372" w:type="dxa"/>
            <w:shd w:val="clear" w:color="auto" w:fill="F2F2F2" w:themeFill="background1" w:themeFillShade="F2"/>
            <w:vAlign w:val="top"/>
          </w:tcPr>
          <w:p w14:paraId="73022754" w14:textId="06DFC6B3" w:rsidR="00AB7A0C" w:rsidRPr="00930F6E" w:rsidRDefault="00AB7A0C" w:rsidP="00AB7A0C">
            <w:pPr>
              <w:spacing w:before="22" w:after="20"/>
              <w:jc w:val="center"/>
              <w:rPr>
                <w:rFonts w:cs="Arial"/>
                <w:color w:val="000000"/>
              </w:rPr>
            </w:pPr>
            <w:r w:rsidRPr="001C7F89">
              <w:t>£1,737.67</w:t>
            </w:r>
          </w:p>
        </w:tc>
        <w:tc>
          <w:tcPr>
            <w:tcW w:w="1277" w:type="dxa"/>
            <w:shd w:val="clear" w:color="auto" w:fill="F2F2F2" w:themeFill="background1" w:themeFillShade="F2"/>
            <w:vAlign w:val="top"/>
          </w:tcPr>
          <w:p w14:paraId="34ABAF96" w14:textId="2A771397" w:rsidR="00AB7A0C" w:rsidRPr="00930F6E" w:rsidRDefault="00AB7A0C" w:rsidP="00AB7A0C">
            <w:pPr>
              <w:spacing w:before="22" w:after="20"/>
              <w:jc w:val="center"/>
              <w:rPr>
                <w:rFonts w:cs="Arial"/>
                <w:color w:val="000000"/>
              </w:rPr>
            </w:pPr>
            <w:r w:rsidRPr="001C7F89">
              <w:t>£399.90</w:t>
            </w:r>
          </w:p>
        </w:tc>
        <w:tc>
          <w:tcPr>
            <w:tcW w:w="1277" w:type="dxa"/>
            <w:shd w:val="clear" w:color="auto" w:fill="F2F2F2" w:themeFill="background1" w:themeFillShade="F2"/>
            <w:vAlign w:val="top"/>
          </w:tcPr>
          <w:p w14:paraId="397BE0E3" w14:textId="25D75BEE" w:rsidR="00AB7A0C" w:rsidRPr="00930F6E" w:rsidRDefault="00AB7A0C" w:rsidP="00AB7A0C">
            <w:pPr>
              <w:spacing w:before="22" w:after="20"/>
              <w:jc w:val="center"/>
              <w:rPr>
                <w:rFonts w:cs="Arial"/>
                <w:color w:val="000000"/>
              </w:rPr>
            </w:pPr>
            <w:r w:rsidRPr="001C7F89">
              <w:t>£11.0317</w:t>
            </w:r>
          </w:p>
        </w:tc>
      </w:tr>
      <w:tr w:rsidR="00AB7A0C" w:rsidRPr="00930F6E" w14:paraId="287EC645" w14:textId="77777777" w:rsidTr="00963ABB">
        <w:trPr>
          <w:trHeight w:val="227"/>
        </w:trPr>
        <w:tc>
          <w:tcPr>
            <w:tcW w:w="1274" w:type="dxa"/>
            <w:vMerge/>
            <w:shd w:val="clear" w:color="auto" w:fill="F2F2F2" w:themeFill="background1" w:themeFillShade="F2"/>
            <w:vAlign w:val="bottom"/>
          </w:tcPr>
          <w:p w14:paraId="27AA5D04" w14:textId="77777777" w:rsidR="00AB7A0C" w:rsidRPr="00930F6E" w:rsidRDefault="00AB7A0C" w:rsidP="00AB7A0C">
            <w:pPr>
              <w:spacing w:before="22" w:after="20" w:line="240" w:lineRule="auto"/>
              <w:jc w:val="left"/>
              <w:rPr>
                <w:rFonts w:cs="Arial"/>
                <w:color w:val="000000"/>
              </w:rPr>
            </w:pPr>
          </w:p>
        </w:tc>
        <w:tc>
          <w:tcPr>
            <w:tcW w:w="1272" w:type="dxa"/>
            <w:shd w:val="clear" w:color="auto" w:fill="F2F2F2" w:themeFill="background1" w:themeFillShade="F2"/>
            <w:vAlign w:val="top"/>
          </w:tcPr>
          <w:p w14:paraId="4DBF36D2" w14:textId="432C40FB" w:rsidR="00AB7A0C" w:rsidRPr="00930F6E" w:rsidRDefault="00AB7A0C" w:rsidP="00AB7A0C">
            <w:pPr>
              <w:spacing w:before="22" w:after="20"/>
              <w:jc w:val="center"/>
              <w:rPr>
                <w:rFonts w:cs="Arial"/>
                <w:b/>
                <w:color w:val="000000"/>
              </w:rPr>
            </w:pPr>
            <w:r w:rsidRPr="001C7F89">
              <w:t>9</w:t>
            </w:r>
          </w:p>
        </w:tc>
        <w:tc>
          <w:tcPr>
            <w:tcW w:w="1372" w:type="dxa"/>
            <w:shd w:val="clear" w:color="auto" w:fill="F2F2F2" w:themeFill="background1" w:themeFillShade="F2"/>
            <w:vAlign w:val="top"/>
          </w:tcPr>
          <w:p w14:paraId="3BA7045C" w14:textId="21B2425F" w:rsidR="00AB7A0C" w:rsidRPr="00930F6E" w:rsidRDefault="00AB7A0C" w:rsidP="00AB7A0C">
            <w:pPr>
              <w:spacing w:before="22" w:after="20"/>
              <w:jc w:val="center"/>
              <w:rPr>
                <w:rFonts w:cs="Arial"/>
                <w:color w:val="000000"/>
              </w:rPr>
            </w:pPr>
            <w:r w:rsidRPr="001C7F89">
              <w:t>£21,269.00</w:t>
            </w:r>
          </w:p>
        </w:tc>
        <w:tc>
          <w:tcPr>
            <w:tcW w:w="1372" w:type="dxa"/>
            <w:shd w:val="clear" w:color="auto" w:fill="F2F2F2" w:themeFill="background1" w:themeFillShade="F2"/>
            <w:vAlign w:val="top"/>
          </w:tcPr>
          <w:p w14:paraId="115F10BF" w14:textId="4632E663" w:rsidR="00AB7A0C" w:rsidRPr="00930F6E" w:rsidRDefault="00AB7A0C" w:rsidP="00AB7A0C">
            <w:pPr>
              <w:spacing w:before="22" w:after="20"/>
              <w:jc w:val="center"/>
              <w:rPr>
                <w:rFonts w:cs="Arial"/>
                <w:color w:val="000000"/>
              </w:rPr>
            </w:pPr>
            <w:r w:rsidRPr="001C7F89">
              <w:t>£1,772.42</w:t>
            </w:r>
          </w:p>
        </w:tc>
        <w:tc>
          <w:tcPr>
            <w:tcW w:w="1277" w:type="dxa"/>
            <w:shd w:val="clear" w:color="auto" w:fill="F2F2F2" w:themeFill="background1" w:themeFillShade="F2"/>
            <w:vAlign w:val="top"/>
          </w:tcPr>
          <w:p w14:paraId="07122244" w14:textId="59F370C9" w:rsidR="00AB7A0C" w:rsidRPr="00930F6E" w:rsidRDefault="00AB7A0C" w:rsidP="00AB7A0C">
            <w:pPr>
              <w:spacing w:before="22" w:after="20"/>
              <w:jc w:val="center"/>
              <w:rPr>
                <w:rFonts w:cs="Arial"/>
                <w:color w:val="000000"/>
              </w:rPr>
            </w:pPr>
            <w:r w:rsidRPr="001C7F89">
              <w:t>£407.90</w:t>
            </w:r>
          </w:p>
        </w:tc>
        <w:tc>
          <w:tcPr>
            <w:tcW w:w="1277" w:type="dxa"/>
            <w:shd w:val="clear" w:color="auto" w:fill="F2F2F2" w:themeFill="background1" w:themeFillShade="F2"/>
            <w:vAlign w:val="top"/>
          </w:tcPr>
          <w:p w14:paraId="5DB94AFD" w14:textId="4649FC20" w:rsidR="00AB7A0C" w:rsidRPr="00930F6E" w:rsidRDefault="00AB7A0C" w:rsidP="00AB7A0C">
            <w:pPr>
              <w:spacing w:before="22" w:after="20"/>
              <w:jc w:val="center"/>
              <w:rPr>
                <w:rFonts w:cs="Arial"/>
                <w:color w:val="000000"/>
              </w:rPr>
            </w:pPr>
            <w:r w:rsidRPr="001C7F89">
              <w:t>£11.2524</w:t>
            </w:r>
          </w:p>
        </w:tc>
      </w:tr>
      <w:tr w:rsidR="00AB7A0C" w:rsidRPr="00930F6E" w14:paraId="28AB8EEF" w14:textId="77777777" w:rsidTr="00963ABB">
        <w:trPr>
          <w:trHeight w:val="227"/>
        </w:trPr>
        <w:tc>
          <w:tcPr>
            <w:tcW w:w="1274" w:type="dxa"/>
            <w:vMerge/>
            <w:shd w:val="clear" w:color="auto" w:fill="F2F2F2" w:themeFill="background1" w:themeFillShade="F2"/>
            <w:vAlign w:val="bottom"/>
          </w:tcPr>
          <w:p w14:paraId="2289104C" w14:textId="77777777" w:rsidR="00AB7A0C" w:rsidRPr="00930F6E" w:rsidRDefault="00AB7A0C" w:rsidP="00AB7A0C">
            <w:pPr>
              <w:spacing w:before="22" w:after="20" w:line="240" w:lineRule="auto"/>
              <w:jc w:val="left"/>
              <w:rPr>
                <w:rFonts w:cs="Arial"/>
                <w:color w:val="000000"/>
              </w:rPr>
            </w:pPr>
          </w:p>
        </w:tc>
        <w:tc>
          <w:tcPr>
            <w:tcW w:w="1272" w:type="dxa"/>
            <w:shd w:val="clear" w:color="auto" w:fill="F2F2F2" w:themeFill="background1" w:themeFillShade="F2"/>
            <w:vAlign w:val="top"/>
          </w:tcPr>
          <w:p w14:paraId="7F42F52B" w14:textId="630E698E" w:rsidR="00AB7A0C" w:rsidRPr="00930F6E" w:rsidRDefault="00AB7A0C" w:rsidP="00AB7A0C">
            <w:pPr>
              <w:spacing w:before="22" w:after="20"/>
              <w:jc w:val="center"/>
              <w:rPr>
                <w:rFonts w:cs="Arial"/>
                <w:b/>
                <w:color w:val="000000"/>
              </w:rPr>
            </w:pPr>
            <w:r w:rsidRPr="001C7F89">
              <w:t>11</w:t>
            </w:r>
          </w:p>
        </w:tc>
        <w:tc>
          <w:tcPr>
            <w:tcW w:w="1372" w:type="dxa"/>
            <w:shd w:val="clear" w:color="auto" w:fill="F2F2F2" w:themeFill="background1" w:themeFillShade="F2"/>
            <w:vAlign w:val="top"/>
          </w:tcPr>
          <w:p w14:paraId="46C4705A" w14:textId="4A833B25" w:rsidR="00AB7A0C" w:rsidRPr="00930F6E" w:rsidRDefault="00AB7A0C" w:rsidP="00AB7A0C">
            <w:pPr>
              <w:spacing w:before="22" w:after="20"/>
              <w:jc w:val="center"/>
              <w:rPr>
                <w:rFonts w:cs="Arial"/>
                <w:color w:val="000000"/>
              </w:rPr>
            </w:pPr>
            <w:r w:rsidRPr="001C7F89">
              <w:t>£22,129.00</w:t>
            </w:r>
          </w:p>
        </w:tc>
        <w:tc>
          <w:tcPr>
            <w:tcW w:w="1372" w:type="dxa"/>
            <w:shd w:val="clear" w:color="auto" w:fill="F2F2F2" w:themeFill="background1" w:themeFillShade="F2"/>
            <w:vAlign w:val="top"/>
          </w:tcPr>
          <w:p w14:paraId="7916FEBD" w14:textId="16060CB1" w:rsidR="00AB7A0C" w:rsidRPr="00930F6E" w:rsidRDefault="00AB7A0C" w:rsidP="00AB7A0C">
            <w:pPr>
              <w:spacing w:before="22" w:after="20"/>
              <w:jc w:val="center"/>
              <w:rPr>
                <w:rFonts w:cs="Arial"/>
                <w:color w:val="000000"/>
              </w:rPr>
            </w:pPr>
            <w:r w:rsidRPr="001C7F89">
              <w:t>£1,844.08</w:t>
            </w:r>
          </w:p>
        </w:tc>
        <w:tc>
          <w:tcPr>
            <w:tcW w:w="1277" w:type="dxa"/>
            <w:shd w:val="clear" w:color="auto" w:fill="F2F2F2" w:themeFill="background1" w:themeFillShade="F2"/>
            <w:vAlign w:val="top"/>
          </w:tcPr>
          <w:p w14:paraId="023794E5" w14:textId="00FFFF05" w:rsidR="00AB7A0C" w:rsidRPr="00930F6E" w:rsidRDefault="00AB7A0C" w:rsidP="00AB7A0C">
            <w:pPr>
              <w:spacing w:before="22" w:after="20"/>
              <w:jc w:val="center"/>
              <w:rPr>
                <w:rFonts w:cs="Arial"/>
                <w:color w:val="000000"/>
              </w:rPr>
            </w:pPr>
            <w:r w:rsidRPr="001C7F89">
              <w:t>£424.39</w:t>
            </w:r>
          </w:p>
        </w:tc>
        <w:tc>
          <w:tcPr>
            <w:tcW w:w="1277" w:type="dxa"/>
            <w:shd w:val="clear" w:color="auto" w:fill="F2F2F2" w:themeFill="background1" w:themeFillShade="F2"/>
            <w:vAlign w:val="top"/>
          </w:tcPr>
          <w:p w14:paraId="2957CEF6" w14:textId="7794154F" w:rsidR="00AB7A0C" w:rsidRPr="00930F6E" w:rsidRDefault="00AB7A0C" w:rsidP="00AB7A0C">
            <w:pPr>
              <w:spacing w:before="22" w:after="20"/>
              <w:jc w:val="center"/>
              <w:rPr>
                <w:rFonts w:cs="Arial"/>
                <w:color w:val="000000"/>
              </w:rPr>
            </w:pPr>
            <w:r w:rsidRPr="001C7F89">
              <w:t>£11.7073</w:t>
            </w:r>
          </w:p>
        </w:tc>
      </w:tr>
      <w:tr w:rsidR="00AB7A0C" w:rsidRPr="00930F6E" w14:paraId="10611668" w14:textId="77777777" w:rsidTr="00963ABB">
        <w:trPr>
          <w:trHeight w:val="227"/>
        </w:trPr>
        <w:tc>
          <w:tcPr>
            <w:tcW w:w="1274" w:type="dxa"/>
            <w:vMerge/>
            <w:shd w:val="clear" w:color="auto" w:fill="F2F2F2" w:themeFill="background1" w:themeFillShade="F2"/>
            <w:vAlign w:val="bottom"/>
          </w:tcPr>
          <w:p w14:paraId="58972FF4" w14:textId="77777777" w:rsidR="00AB7A0C" w:rsidRPr="00930F6E" w:rsidRDefault="00AB7A0C" w:rsidP="00AB7A0C">
            <w:pPr>
              <w:spacing w:before="22" w:after="20" w:line="240" w:lineRule="auto"/>
              <w:jc w:val="left"/>
              <w:rPr>
                <w:rFonts w:cs="Arial"/>
                <w:color w:val="000000"/>
              </w:rPr>
            </w:pPr>
          </w:p>
        </w:tc>
        <w:tc>
          <w:tcPr>
            <w:tcW w:w="1272" w:type="dxa"/>
            <w:shd w:val="clear" w:color="auto" w:fill="F2F2F2" w:themeFill="background1" w:themeFillShade="F2"/>
            <w:vAlign w:val="top"/>
          </w:tcPr>
          <w:p w14:paraId="3B178845" w14:textId="05DE1DBC" w:rsidR="00AB7A0C" w:rsidRPr="00930F6E" w:rsidRDefault="00AB7A0C" w:rsidP="00AB7A0C">
            <w:pPr>
              <w:spacing w:before="22" w:after="20"/>
              <w:jc w:val="center"/>
              <w:rPr>
                <w:rFonts w:cs="Arial"/>
                <w:b/>
                <w:color w:val="000000"/>
              </w:rPr>
            </w:pPr>
            <w:r w:rsidRPr="001C7F89">
              <w:t>12</w:t>
            </w:r>
          </w:p>
        </w:tc>
        <w:tc>
          <w:tcPr>
            <w:tcW w:w="1372" w:type="dxa"/>
            <w:shd w:val="clear" w:color="auto" w:fill="F2F2F2" w:themeFill="background1" w:themeFillShade="F2"/>
            <w:vAlign w:val="top"/>
          </w:tcPr>
          <w:p w14:paraId="10D396BC" w14:textId="4660C947" w:rsidR="00AB7A0C" w:rsidRPr="00930F6E" w:rsidRDefault="00AB7A0C" w:rsidP="00AB7A0C">
            <w:pPr>
              <w:spacing w:before="22" w:after="20"/>
              <w:jc w:val="center"/>
              <w:rPr>
                <w:rFonts w:cs="Arial"/>
                <w:color w:val="000000"/>
              </w:rPr>
            </w:pPr>
            <w:r w:rsidRPr="001C7F89">
              <w:t>£22,571.00</w:t>
            </w:r>
          </w:p>
        </w:tc>
        <w:tc>
          <w:tcPr>
            <w:tcW w:w="1372" w:type="dxa"/>
            <w:shd w:val="clear" w:color="auto" w:fill="F2F2F2" w:themeFill="background1" w:themeFillShade="F2"/>
            <w:vAlign w:val="top"/>
          </w:tcPr>
          <w:p w14:paraId="204A71B5" w14:textId="1F4793E0" w:rsidR="00AB7A0C" w:rsidRPr="00930F6E" w:rsidRDefault="00AB7A0C" w:rsidP="00AB7A0C">
            <w:pPr>
              <w:spacing w:before="22" w:after="20"/>
              <w:jc w:val="center"/>
              <w:rPr>
                <w:rFonts w:cs="Arial"/>
                <w:color w:val="000000"/>
              </w:rPr>
            </w:pPr>
            <w:r w:rsidRPr="001C7F89">
              <w:t>£1,880.92</w:t>
            </w:r>
          </w:p>
        </w:tc>
        <w:tc>
          <w:tcPr>
            <w:tcW w:w="1277" w:type="dxa"/>
            <w:shd w:val="clear" w:color="auto" w:fill="F2F2F2" w:themeFill="background1" w:themeFillShade="F2"/>
            <w:vAlign w:val="top"/>
          </w:tcPr>
          <w:p w14:paraId="62F8E433" w14:textId="6FD898D1" w:rsidR="00AB7A0C" w:rsidRPr="00930F6E" w:rsidRDefault="00AB7A0C" w:rsidP="00AB7A0C">
            <w:pPr>
              <w:spacing w:before="22" w:after="20"/>
              <w:jc w:val="center"/>
              <w:rPr>
                <w:rFonts w:cs="Arial"/>
                <w:color w:val="000000"/>
              </w:rPr>
            </w:pPr>
            <w:r w:rsidRPr="001C7F89">
              <w:t>£432.87</w:t>
            </w:r>
          </w:p>
        </w:tc>
        <w:tc>
          <w:tcPr>
            <w:tcW w:w="1277" w:type="dxa"/>
            <w:shd w:val="clear" w:color="auto" w:fill="F2F2F2" w:themeFill="background1" w:themeFillShade="F2"/>
            <w:vAlign w:val="top"/>
          </w:tcPr>
          <w:p w14:paraId="01576241" w14:textId="2EE9CDCF" w:rsidR="00AB7A0C" w:rsidRPr="00930F6E" w:rsidRDefault="00AB7A0C" w:rsidP="00AB7A0C">
            <w:pPr>
              <w:spacing w:before="22" w:after="20"/>
              <w:jc w:val="center"/>
              <w:rPr>
                <w:rFonts w:cs="Arial"/>
                <w:color w:val="000000"/>
              </w:rPr>
            </w:pPr>
            <w:r w:rsidRPr="001C7F89">
              <w:t>£11.9412</w:t>
            </w:r>
          </w:p>
        </w:tc>
      </w:tr>
      <w:tr w:rsidR="00AB7A0C" w:rsidRPr="00930F6E" w14:paraId="11B2B882" w14:textId="77777777" w:rsidTr="00963ABB">
        <w:trPr>
          <w:trHeight w:val="227"/>
        </w:trPr>
        <w:tc>
          <w:tcPr>
            <w:tcW w:w="1274" w:type="dxa"/>
            <w:vMerge/>
            <w:shd w:val="clear" w:color="auto" w:fill="F2F2F2" w:themeFill="background1" w:themeFillShade="F2"/>
            <w:vAlign w:val="bottom"/>
          </w:tcPr>
          <w:p w14:paraId="77A54F7F" w14:textId="77777777" w:rsidR="00AB7A0C" w:rsidRPr="00930F6E" w:rsidRDefault="00AB7A0C" w:rsidP="00AB7A0C">
            <w:pPr>
              <w:spacing w:before="22" w:after="20"/>
              <w:rPr>
                <w:rFonts w:cs="Arial"/>
                <w:color w:val="000000"/>
              </w:rPr>
            </w:pPr>
          </w:p>
        </w:tc>
        <w:tc>
          <w:tcPr>
            <w:tcW w:w="1272" w:type="dxa"/>
            <w:shd w:val="clear" w:color="auto" w:fill="F2F2F2" w:themeFill="background1" w:themeFillShade="F2"/>
            <w:vAlign w:val="top"/>
          </w:tcPr>
          <w:p w14:paraId="1BE7BDED" w14:textId="609BF978" w:rsidR="00AB7A0C" w:rsidRPr="00930F6E" w:rsidRDefault="00AB7A0C" w:rsidP="00AB7A0C">
            <w:pPr>
              <w:spacing w:before="22" w:after="20"/>
              <w:jc w:val="center"/>
              <w:rPr>
                <w:rFonts w:cs="Arial"/>
                <w:b/>
                <w:color w:val="000000"/>
              </w:rPr>
            </w:pPr>
            <w:r w:rsidRPr="001C7F89">
              <w:t>14</w:t>
            </w:r>
          </w:p>
        </w:tc>
        <w:tc>
          <w:tcPr>
            <w:tcW w:w="1372" w:type="dxa"/>
            <w:shd w:val="clear" w:color="auto" w:fill="F2F2F2" w:themeFill="background1" w:themeFillShade="F2"/>
            <w:vAlign w:val="top"/>
          </w:tcPr>
          <w:p w14:paraId="246DF5DB" w14:textId="539E9A73" w:rsidR="00AB7A0C" w:rsidRPr="00930F6E" w:rsidRDefault="00AB7A0C" w:rsidP="00AB7A0C">
            <w:pPr>
              <w:spacing w:before="22" w:after="20"/>
              <w:jc w:val="center"/>
              <w:rPr>
                <w:rFonts w:cs="Arial"/>
                <w:color w:val="000000"/>
              </w:rPr>
            </w:pPr>
            <w:r w:rsidRPr="001C7F89">
              <w:t>£23,484.00</w:t>
            </w:r>
          </w:p>
        </w:tc>
        <w:tc>
          <w:tcPr>
            <w:tcW w:w="1372" w:type="dxa"/>
            <w:shd w:val="clear" w:color="auto" w:fill="F2F2F2" w:themeFill="background1" w:themeFillShade="F2"/>
            <w:vAlign w:val="top"/>
          </w:tcPr>
          <w:p w14:paraId="297D9459" w14:textId="120722F6" w:rsidR="00AB7A0C" w:rsidRPr="00930F6E" w:rsidRDefault="00AB7A0C" w:rsidP="00AB7A0C">
            <w:pPr>
              <w:spacing w:before="22" w:after="20"/>
              <w:jc w:val="center"/>
              <w:rPr>
                <w:rFonts w:cs="Arial"/>
                <w:color w:val="000000"/>
              </w:rPr>
            </w:pPr>
            <w:r w:rsidRPr="001C7F89">
              <w:t>£1,957.00</w:t>
            </w:r>
          </w:p>
        </w:tc>
        <w:tc>
          <w:tcPr>
            <w:tcW w:w="1277" w:type="dxa"/>
            <w:shd w:val="clear" w:color="auto" w:fill="F2F2F2" w:themeFill="background1" w:themeFillShade="F2"/>
            <w:vAlign w:val="top"/>
          </w:tcPr>
          <w:p w14:paraId="51B0E03D" w14:textId="21B80CD7" w:rsidR="00AB7A0C" w:rsidRPr="00930F6E" w:rsidRDefault="00AB7A0C" w:rsidP="00AB7A0C">
            <w:pPr>
              <w:spacing w:before="22" w:after="20"/>
              <w:jc w:val="center"/>
              <w:rPr>
                <w:rFonts w:cs="Arial"/>
                <w:color w:val="000000"/>
              </w:rPr>
            </w:pPr>
            <w:r w:rsidRPr="001C7F89">
              <w:t>£450.38</w:t>
            </w:r>
          </w:p>
        </w:tc>
        <w:tc>
          <w:tcPr>
            <w:tcW w:w="1277" w:type="dxa"/>
            <w:shd w:val="clear" w:color="auto" w:fill="F2F2F2" w:themeFill="background1" w:themeFillShade="F2"/>
            <w:vAlign w:val="top"/>
          </w:tcPr>
          <w:p w14:paraId="0997700F" w14:textId="770F6A21" w:rsidR="00AB7A0C" w:rsidRPr="00930F6E" w:rsidRDefault="00AB7A0C" w:rsidP="00AB7A0C">
            <w:pPr>
              <w:spacing w:before="22" w:after="20"/>
              <w:jc w:val="center"/>
              <w:rPr>
                <w:rFonts w:cs="Arial"/>
                <w:color w:val="000000"/>
              </w:rPr>
            </w:pPr>
            <w:r w:rsidRPr="001C7F89">
              <w:t>£12.4243</w:t>
            </w:r>
          </w:p>
        </w:tc>
      </w:tr>
      <w:tr w:rsidR="00AB7A0C" w:rsidRPr="00930F6E" w14:paraId="4B06F771" w14:textId="77777777" w:rsidTr="008B376D">
        <w:trPr>
          <w:trHeight w:val="227"/>
        </w:trPr>
        <w:tc>
          <w:tcPr>
            <w:tcW w:w="1274" w:type="dxa"/>
            <w:vMerge w:val="restart"/>
          </w:tcPr>
          <w:p w14:paraId="105D0A87" w14:textId="77777777" w:rsidR="00AB7A0C" w:rsidRPr="00930F6E" w:rsidRDefault="00AB7A0C" w:rsidP="00AB7A0C">
            <w:pPr>
              <w:spacing w:before="22" w:after="20"/>
              <w:jc w:val="center"/>
              <w:rPr>
                <w:rFonts w:cs="Arial"/>
                <w:color w:val="000000"/>
              </w:rPr>
            </w:pPr>
            <w:r w:rsidRPr="00930F6E">
              <w:rPr>
                <w:rFonts w:cs="Arial"/>
                <w:color w:val="000000"/>
              </w:rPr>
              <w:t>5</w:t>
            </w:r>
          </w:p>
        </w:tc>
        <w:tc>
          <w:tcPr>
            <w:tcW w:w="1272" w:type="dxa"/>
            <w:vAlign w:val="top"/>
          </w:tcPr>
          <w:p w14:paraId="5C699277" w14:textId="0C20B624" w:rsidR="00AB7A0C" w:rsidRPr="00930F6E" w:rsidRDefault="00AB7A0C" w:rsidP="00AB7A0C">
            <w:pPr>
              <w:spacing w:before="22" w:after="20"/>
              <w:jc w:val="center"/>
              <w:rPr>
                <w:rFonts w:cs="Arial"/>
                <w:b/>
                <w:color w:val="000000"/>
              </w:rPr>
            </w:pPr>
            <w:r w:rsidRPr="001C7F89">
              <w:t>15</w:t>
            </w:r>
          </w:p>
        </w:tc>
        <w:tc>
          <w:tcPr>
            <w:tcW w:w="1372" w:type="dxa"/>
            <w:shd w:val="clear" w:color="auto" w:fill="auto"/>
            <w:vAlign w:val="top"/>
          </w:tcPr>
          <w:p w14:paraId="5924CCA0" w14:textId="1762CAFA" w:rsidR="00AB7A0C" w:rsidRPr="00930F6E" w:rsidRDefault="00AB7A0C" w:rsidP="00AB7A0C">
            <w:pPr>
              <w:spacing w:before="22" w:after="20"/>
              <w:jc w:val="center"/>
              <w:rPr>
                <w:rFonts w:cs="Arial"/>
                <w:color w:val="000000"/>
              </w:rPr>
            </w:pPr>
            <w:r w:rsidRPr="001C7F89">
              <w:t>£23,953.00</w:t>
            </w:r>
          </w:p>
        </w:tc>
        <w:tc>
          <w:tcPr>
            <w:tcW w:w="1372" w:type="dxa"/>
            <w:shd w:val="clear" w:color="auto" w:fill="auto"/>
            <w:vAlign w:val="top"/>
          </w:tcPr>
          <w:p w14:paraId="73CAF774" w14:textId="6F00FFA2" w:rsidR="00AB7A0C" w:rsidRPr="00930F6E" w:rsidRDefault="00AB7A0C" w:rsidP="00AB7A0C">
            <w:pPr>
              <w:spacing w:before="22" w:after="20"/>
              <w:jc w:val="center"/>
              <w:rPr>
                <w:rFonts w:cs="Arial"/>
                <w:color w:val="000000"/>
              </w:rPr>
            </w:pPr>
            <w:r w:rsidRPr="001C7F89">
              <w:t>£1,996.08</w:t>
            </w:r>
          </w:p>
        </w:tc>
        <w:tc>
          <w:tcPr>
            <w:tcW w:w="1277" w:type="dxa"/>
            <w:shd w:val="clear" w:color="auto" w:fill="auto"/>
            <w:vAlign w:val="top"/>
          </w:tcPr>
          <w:p w14:paraId="4C841B78" w14:textId="24AD92BB" w:rsidR="00AB7A0C" w:rsidRPr="00930F6E" w:rsidRDefault="00AB7A0C" w:rsidP="00AB7A0C">
            <w:pPr>
              <w:spacing w:before="22" w:after="20"/>
              <w:jc w:val="center"/>
              <w:rPr>
                <w:rFonts w:cs="Arial"/>
                <w:color w:val="000000"/>
              </w:rPr>
            </w:pPr>
            <w:r w:rsidRPr="001C7F89">
              <w:t>£459.37</w:t>
            </w:r>
          </w:p>
        </w:tc>
        <w:tc>
          <w:tcPr>
            <w:tcW w:w="1277" w:type="dxa"/>
            <w:shd w:val="clear" w:color="auto" w:fill="auto"/>
            <w:vAlign w:val="top"/>
          </w:tcPr>
          <w:p w14:paraId="031EAE07" w14:textId="64807887" w:rsidR="00AB7A0C" w:rsidRPr="00930F6E" w:rsidRDefault="00AB7A0C" w:rsidP="00AB7A0C">
            <w:pPr>
              <w:spacing w:before="22" w:after="20"/>
              <w:jc w:val="center"/>
              <w:rPr>
                <w:rFonts w:cs="Arial"/>
                <w:color w:val="000000"/>
              </w:rPr>
            </w:pPr>
            <w:r w:rsidRPr="001C7F89">
              <w:t>£12.6723</w:t>
            </w:r>
          </w:p>
        </w:tc>
      </w:tr>
      <w:tr w:rsidR="00AB7A0C" w:rsidRPr="00930F6E" w14:paraId="5F2C70ED" w14:textId="77777777" w:rsidTr="008B376D">
        <w:trPr>
          <w:trHeight w:val="227"/>
        </w:trPr>
        <w:tc>
          <w:tcPr>
            <w:tcW w:w="1274" w:type="dxa"/>
            <w:vMerge/>
            <w:vAlign w:val="bottom"/>
          </w:tcPr>
          <w:p w14:paraId="654F8D08" w14:textId="77777777" w:rsidR="00AB7A0C" w:rsidRPr="00930F6E" w:rsidRDefault="00AB7A0C" w:rsidP="00AB7A0C">
            <w:pPr>
              <w:spacing w:before="22" w:after="20" w:line="240" w:lineRule="auto"/>
              <w:jc w:val="left"/>
              <w:rPr>
                <w:rFonts w:cs="Arial"/>
                <w:color w:val="000000"/>
              </w:rPr>
            </w:pPr>
          </w:p>
        </w:tc>
        <w:tc>
          <w:tcPr>
            <w:tcW w:w="1272" w:type="dxa"/>
            <w:vAlign w:val="top"/>
          </w:tcPr>
          <w:p w14:paraId="37E25ABA" w14:textId="2D21D7EA" w:rsidR="00AB7A0C" w:rsidRPr="00930F6E" w:rsidRDefault="00AB7A0C" w:rsidP="00AB7A0C">
            <w:pPr>
              <w:spacing w:before="22" w:after="20"/>
              <w:jc w:val="center"/>
              <w:rPr>
                <w:rFonts w:cs="Arial"/>
                <w:b/>
                <w:color w:val="000000"/>
              </w:rPr>
            </w:pPr>
            <w:r w:rsidRPr="001C7F89">
              <w:t>17</w:t>
            </w:r>
          </w:p>
        </w:tc>
        <w:tc>
          <w:tcPr>
            <w:tcW w:w="1372" w:type="dxa"/>
            <w:shd w:val="clear" w:color="auto" w:fill="auto"/>
            <w:vAlign w:val="top"/>
          </w:tcPr>
          <w:p w14:paraId="01BF5DDA" w14:textId="6C1CCD52" w:rsidR="00AB7A0C" w:rsidRPr="00930F6E" w:rsidRDefault="00AB7A0C" w:rsidP="00AB7A0C">
            <w:pPr>
              <w:spacing w:before="22" w:after="20"/>
              <w:jc w:val="center"/>
              <w:rPr>
                <w:rFonts w:cs="Arial"/>
                <w:color w:val="000000"/>
              </w:rPr>
            </w:pPr>
            <w:r w:rsidRPr="001C7F89">
              <w:t>£24,920.00</w:t>
            </w:r>
          </w:p>
        </w:tc>
        <w:tc>
          <w:tcPr>
            <w:tcW w:w="1372" w:type="dxa"/>
            <w:shd w:val="clear" w:color="auto" w:fill="auto"/>
            <w:vAlign w:val="top"/>
          </w:tcPr>
          <w:p w14:paraId="2580243A" w14:textId="4C28C7B7" w:rsidR="00AB7A0C" w:rsidRPr="00930F6E" w:rsidRDefault="00AB7A0C" w:rsidP="00AB7A0C">
            <w:pPr>
              <w:spacing w:before="22" w:after="20"/>
              <w:jc w:val="center"/>
              <w:rPr>
                <w:rFonts w:cs="Arial"/>
                <w:color w:val="000000"/>
              </w:rPr>
            </w:pPr>
            <w:r w:rsidRPr="001C7F89">
              <w:t>£2,076.67</w:t>
            </w:r>
          </w:p>
        </w:tc>
        <w:tc>
          <w:tcPr>
            <w:tcW w:w="1277" w:type="dxa"/>
            <w:shd w:val="clear" w:color="auto" w:fill="auto"/>
            <w:vAlign w:val="top"/>
          </w:tcPr>
          <w:p w14:paraId="3FFA891C" w14:textId="51B1F81C" w:rsidR="00AB7A0C" w:rsidRPr="00930F6E" w:rsidRDefault="00AB7A0C" w:rsidP="00AB7A0C">
            <w:pPr>
              <w:spacing w:before="22" w:after="20"/>
              <w:jc w:val="center"/>
              <w:rPr>
                <w:rFonts w:cs="Arial"/>
                <w:color w:val="000000"/>
              </w:rPr>
            </w:pPr>
            <w:r w:rsidRPr="001C7F89">
              <w:t>£477.92</w:t>
            </w:r>
          </w:p>
        </w:tc>
        <w:tc>
          <w:tcPr>
            <w:tcW w:w="1277" w:type="dxa"/>
            <w:shd w:val="clear" w:color="auto" w:fill="auto"/>
            <w:vAlign w:val="top"/>
          </w:tcPr>
          <w:p w14:paraId="096ABEF5" w14:textId="08C639AC" w:rsidR="00AB7A0C" w:rsidRPr="00930F6E" w:rsidRDefault="00AB7A0C" w:rsidP="00AB7A0C">
            <w:pPr>
              <w:spacing w:before="22" w:after="20"/>
              <w:jc w:val="center"/>
              <w:rPr>
                <w:rFonts w:cs="Arial"/>
                <w:color w:val="000000"/>
              </w:rPr>
            </w:pPr>
            <w:r w:rsidRPr="001C7F89">
              <w:t>£13.1840</w:t>
            </w:r>
          </w:p>
        </w:tc>
      </w:tr>
      <w:tr w:rsidR="00AB7A0C" w:rsidRPr="00930F6E" w14:paraId="006FD3EE" w14:textId="77777777" w:rsidTr="008B376D">
        <w:trPr>
          <w:trHeight w:val="227"/>
        </w:trPr>
        <w:tc>
          <w:tcPr>
            <w:tcW w:w="1274" w:type="dxa"/>
            <w:vMerge/>
            <w:vAlign w:val="bottom"/>
          </w:tcPr>
          <w:p w14:paraId="46F52F94" w14:textId="77777777" w:rsidR="00AB7A0C" w:rsidRPr="00930F6E" w:rsidRDefault="00AB7A0C" w:rsidP="00AB7A0C">
            <w:pPr>
              <w:spacing w:before="22" w:after="20" w:line="240" w:lineRule="auto"/>
              <w:jc w:val="left"/>
              <w:rPr>
                <w:rFonts w:cs="Arial"/>
                <w:color w:val="000000"/>
              </w:rPr>
            </w:pPr>
          </w:p>
        </w:tc>
        <w:tc>
          <w:tcPr>
            <w:tcW w:w="1272" w:type="dxa"/>
            <w:vAlign w:val="top"/>
          </w:tcPr>
          <w:p w14:paraId="472F27CB" w14:textId="6F5B163D" w:rsidR="00AB7A0C" w:rsidRPr="00930F6E" w:rsidRDefault="00AB7A0C" w:rsidP="00AB7A0C">
            <w:pPr>
              <w:spacing w:before="22" w:after="20"/>
              <w:jc w:val="center"/>
              <w:rPr>
                <w:rFonts w:cs="Arial"/>
                <w:b/>
                <w:color w:val="000000"/>
              </w:rPr>
            </w:pPr>
            <w:r w:rsidRPr="001C7F89">
              <w:t>19</w:t>
            </w:r>
          </w:p>
        </w:tc>
        <w:tc>
          <w:tcPr>
            <w:tcW w:w="1372" w:type="dxa"/>
            <w:shd w:val="clear" w:color="auto" w:fill="auto"/>
            <w:vAlign w:val="top"/>
          </w:tcPr>
          <w:p w14:paraId="77166737" w14:textId="4F15AB70" w:rsidR="00AB7A0C" w:rsidRPr="00930F6E" w:rsidRDefault="00AB7A0C" w:rsidP="00AB7A0C">
            <w:pPr>
              <w:spacing w:before="22" w:after="20"/>
              <w:jc w:val="center"/>
              <w:rPr>
                <w:rFonts w:cs="Arial"/>
                <w:color w:val="000000"/>
              </w:rPr>
            </w:pPr>
            <w:r w:rsidRPr="001C7F89">
              <w:t>£25,927.00</w:t>
            </w:r>
          </w:p>
        </w:tc>
        <w:tc>
          <w:tcPr>
            <w:tcW w:w="1372" w:type="dxa"/>
            <w:shd w:val="clear" w:color="auto" w:fill="auto"/>
            <w:vAlign w:val="top"/>
          </w:tcPr>
          <w:p w14:paraId="3182AC55" w14:textId="064A5432" w:rsidR="00AB7A0C" w:rsidRPr="00930F6E" w:rsidRDefault="00AB7A0C" w:rsidP="00AB7A0C">
            <w:pPr>
              <w:spacing w:before="22" w:after="20"/>
              <w:jc w:val="center"/>
              <w:rPr>
                <w:rFonts w:cs="Arial"/>
                <w:color w:val="000000"/>
              </w:rPr>
            </w:pPr>
            <w:r w:rsidRPr="001C7F89">
              <w:t>£2,160.58</w:t>
            </w:r>
          </w:p>
        </w:tc>
        <w:tc>
          <w:tcPr>
            <w:tcW w:w="1277" w:type="dxa"/>
            <w:shd w:val="clear" w:color="auto" w:fill="auto"/>
            <w:vAlign w:val="top"/>
          </w:tcPr>
          <w:p w14:paraId="7D19FC63" w14:textId="6B581ACF" w:rsidR="00AB7A0C" w:rsidRPr="00930F6E" w:rsidRDefault="00AB7A0C" w:rsidP="00AB7A0C">
            <w:pPr>
              <w:spacing w:before="22" w:after="20"/>
              <w:jc w:val="center"/>
              <w:rPr>
                <w:rFonts w:cs="Arial"/>
                <w:color w:val="000000"/>
              </w:rPr>
            </w:pPr>
            <w:r w:rsidRPr="001C7F89">
              <w:t>£497.23</w:t>
            </w:r>
          </w:p>
        </w:tc>
        <w:tc>
          <w:tcPr>
            <w:tcW w:w="1277" w:type="dxa"/>
            <w:shd w:val="clear" w:color="auto" w:fill="auto"/>
            <w:vAlign w:val="top"/>
          </w:tcPr>
          <w:p w14:paraId="68F4550D" w14:textId="3C9DF782" w:rsidR="00AB7A0C" w:rsidRPr="00930F6E" w:rsidRDefault="00AB7A0C" w:rsidP="00AB7A0C">
            <w:pPr>
              <w:spacing w:before="22" w:after="20"/>
              <w:jc w:val="center"/>
              <w:rPr>
                <w:rFonts w:cs="Arial"/>
                <w:color w:val="000000"/>
              </w:rPr>
            </w:pPr>
            <w:r w:rsidRPr="001C7F89">
              <w:t>£13.7167</w:t>
            </w:r>
          </w:p>
        </w:tc>
      </w:tr>
      <w:tr w:rsidR="00AB7A0C" w:rsidRPr="00930F6E" w14:paraId="38B62466" w14:textId="77777777" w:rsidTr="008B376D">
        <w:trPr>
          <w:trHeight w:val="227"/>
        </w:trPr>
        <w:tc>
          <w:tcPr>
            <w:tcW w:w="1274" w:type="dxa"/>
            <w:vMerge/>
            <w:vAlign w:val="bottom"/>
          </w:tcPr>
          <w:p w14:paraId="5D21FCC5" w14:textId="77777777" w:rsidR="00AB7A0C" w:rsidRPr="00930F6E" w:rsidRDefault="00AB7A0C" w:rsidP="00AB7A0C">
            <w:pPr>
              <w:spacing w:before="22" w:after="20" w:line="240" w:lineRule="auto"/>
              <w:jc w:val="left"/>
              <w:rPr>
                <w:rFonts w:cs="Arial"/>
                <w:color w:val="000000"/>
              </w:rPr>
            </w:pPr>
          </w:p>
        </w:tc>
        <w:tc>
          <w:tcPr>
            <w:tcW w:w="1272" w:type="dxa"/>
            <w:vAlign w:val="top"/>
          </w:tcPr>
          <w:p w14:paraId="7BEAEAF4" w14:textId="448BB9CD" w:rsidR="00AB7A0C" w:rsidRPr="00930F6E" w:rsidRDefault="00AB7A0C" w:rsidP="00AB7A0C">
            <w:pPr>
              <w:spacing w:before="22" w:after="20"/>
              <w:jc w:val="center"/>
              <w:rPr>
                <w:rFonts w:cs="Arial"/>
                <w:b/>
                <w:color w:val="000000"/>
              </w:rPr>
            </w:pPr>
            <w:r w:rsidRPr="001C7F89">
              <w:t>20</w:t>
            </w:r>
          </w:p>
        </w:tc>
        <w:tc>
          <w:tcPr>
            <w:tcW w:w="1372" w:type="dxa"/>
            <w:shd w:val="clear" w:color="auto" w:fill="auto"/>
            <w:vAlign w:val="top"/>
          </w:tcPr>
          <w:p w14:paraId="7E4492B1" w14:textId="73D3635C" w:rsidR="00AB7A0C" w:rsidRPr="00930F6E" w:rsidRDefault="00AB7A0C" w:rsidP="00AB7A0C">
            <w:pPr>
              <w:spacing w:before="22" w:after="20"/>
              <w:jc w:val="center"/>
              <w:rPr>
                <w:rFonts w:cs="Arial"/>
                <w:color w:val="000000"/>
              </w:rPr>
            </w:pPr>
            <w:r w:rsidRPr="001C7F89">
              <w:t>£26,446.00</w:t>
            </w:r>
          </w:p>
        </w:tc>
        <w:tc>
          <w:tcPr>
            <w:tcW w:w="1372" w:type="dxa"/>
            <w:shd w:val="clear" w:color="auto" w:fill="auto"/>
            <w:vAlign w:val="top"/>
          </w:tcPr>
          <w:p w14:paraId="27BC7A7A" w14:textId="4858D364" w:rsidR="00AB7A0C" w:rsidRPr="00930F6E" w:rsidRDefault="00AB7A0C" w:rsidP="00AB7A0C">
            <w:pPr>
              <w:spacing w:before="22" w:after="20"/>
              <w:jc w:val="center"/>
              <w:rPr>
                <w:rFonts w:cs="Arial"/>
                <w:color w:val="000000"/>
              </w:rPr>
            </w:pPr>
            <w:r w:rsidRPr="001C7F89">
              <w:t>£2,203.83</w:t>
            </w:r>
          </w:p>
        </w:tc>
        <w:tc>
          <w:tcPr>
            <w:tcW w:w="1277" w:type="dxa"/>
            <w:shd w:val="clear" w:color="auto" w:fill="auto"/>
            <w:vAlign w:val="top"/>
          </w:tcPr>
          <w:p w14:paraId="04B35CA3" w14:textId="652244A9" w:rsidR="00AB7A0C" w:rsidRPr="00930F6E" w:rsidRDefault="00AB7A0C" w:rsidP="00AB7A0C">
            <w:pPr>
              <w:spacing w:before="22" w:after="20"/>
              <w:jc w:val="center"/>
              <w:rPr>
                <w:rFonts w:cs="Arial"/>
                <w:color w:val="000000"/>
              </w:rPr>
            </w:pPr>
            <w:r w:rsidRPr="001C7F89">
              <w:t>£507.18</w:t>
            </w:r>
          </w:p>
        </w:tc>
        <w:tc>
          <w:tcPr>
            <w:tcW w:w="1277" w:type="dxa"/>
            <w:shd w:val="clear" w:color="auto" w:fill="auto"/>
            <w:vAlign w:val="top"/>
          </w:tcPr>
          <w:p w14:paraId="6FF5832C" w14:textId="167AC168" w:rsidR="00AB7A0C" w:rsidRPr="00930F6E" w:rsidRDefault="00AB7A0C" w:rsidP="00AB7A0C">
            <w:pPr>
              <w:spacing w:before="22" w:after="20"/>
              <w:jc w:val="center"/>
              <w:rPr>
                <w:rFonts w:cs="Arial"/>
                <w:color w:val="000000"/>
              </w:rPr>
            </w:pPr>
            <w:r w:rsidRPr="001C7F89">
              <w:t>£13.9912</w:t>
            </w:r>
          </w:p>
        </w:tc>
      </w:tr>
      <w:tr w:rsidR="00AB7A0C" w:rsidRPr="00930F6E" w14:paraId="35481D21" w14:textId="77777777" w:rsidTr="008B376D">
        <w:trPr>
          <w:trHeight w:val="227"/>
        </w:trPr>
        <w:tc>
          <w:tcPr>
            <w:tcW w:w="1274" w:type="dxa"/>
            <w:vMerge/>
            <w:vAlign w:val="bottom"/>
          </w:tcPr>
          <w:p w14:paraId="3E9F28CF" w14:textId="77777777" w:rsidR="00AB7A0C" w:rsidRPr="00930F6E" w:rsidRDefault="00AB7A0C" w:rsidP="00AB7A0C">
            <w:pPr>
              <w:spacing w:before="22" w:after="20"/>
              <w:rPr>
                <w:rFonts w:cs="Arial"/>
                <w:color w:val="000000"/>
              </w:rPr>
            </w:pPr>
          </w:p>
        </w:tc>
        <w:tc>
          <w:tcPr>
            <w:tcW w:w="1272" w:type="dxa"/>
            <w:vAlign w:val="top"/>
          </w:tcPr>
          <w:p w14:paraId="7AED592C" w14:textId="6E53B529" w:rsidR="00AB7A0C" w:rsidRPr="00930F6E" w:rsidRDefault="00AB7A0C" w:rsidP="00AB7A0C">
            <w:pPr>
              <w:spacing w:before="22" w:after="20"/>
              <w:jc w:val="center"/>
              <w:rPr>
                <w:rFonts w:cs="Arial"/>
                <w:b/>
                <w:bCs/>
                <w:color w:val="000000"/>
              </w:rPr>
            </w:pPr>
            <w:r w:rsidRPr="001C7F89">
              <w:t>22</w:t>
            </w:r>
          </w:p>
        </w:tc>
        <w:tc>
          <w:tcPr>
            <w:tcW w:w="1372" w:type="dxa"/>
            <w:shd w:val="clear" w:color="auto" w:fill="auto"/>
            <w:vAlign w:val="top"/>
          </w:tcPr>
          <w:p w14:paraId="7E82F43A" w14:textId="3FA3A16A" w:rsidR="00AB7A0C" w:rsidRPr="00930F6E" w:rsidRDefault="00AB7A0C" w:rsidP="00AB7A0C">
            <w:pPr>
              <w:spacing w:before="22" w:after="20"/>
              <w:jc w:val="center"/>
              <w:rPr>
                <w:rFonts w:cs="Arial"/>
                <w:color w:val="000000"/>
              </w:rPr>
            </w:pPr>
            <w:r w:rsidRPr="001C7F89">
              <w:t>£27,514.00</w:t>
            </w:r>
          </w:p>
        </w:tc>
        <w:tc>
          <w:tcPr>
            <w:tcW w:w="1372" w:type="dxa"/>
            <w:shd w:val="clear" w:color="auto" w:fill="auto"/>
            <w:vAlign w:val="top"/>
          </w:tcPr>
          <w:p w14:paraId="00E05008" w14:textId="1E9D67ED" w:rsidR="00AB7A0C" w:rsidRPr="00930F6E" w:rsidRDefault="00AB7A0C" w:rsidP="00AB7A0C">
            <w:pPr>
              <w:spacing w:before="22" w:after="20"/>
              <w:jc w:val="center"/>
              <w:rPr>
                <w:rFonts w:cs="Arial"/>
                <w:color w:val="000000"/>
              </w:rPr>
            </w:pPr>
            <w:r w:rsidRPr="001C7F89">
              <w:t>£2,292.83</w:t>
            </w:r>
          </w:p>
        </w:tc>
        <w:tc>
          <w:tcPr>
            <w:tcW w:w="1277" w:type="dxa"/>
            <w:shd w:val="clear" w:color="auto" w:fill="auto"/>
            <w:vAlign w:val="top"/>
          </w:tcPr>
          <w:p w14:paraId="386AF93B" w14:textId="3E31F364" w:rsidR="00AB7A0C" w:rsidRPr="00930F6E" w:rsidRDefault="00AB7A0C" w:rsidP="00AB7A0C">
            <w:pPr>
              <w:spacing w:before="22" w:after="20"/>
              <w:jc w:val="center"/>
              <w:rPr>
                <w:rFonts w:cs="Arial"/>
                <w:color w:val="000000"/>
              </w:rPr>
            </w:pPr>
            <w:r w:rsidRPr="001C7F89">
              <w:t>£527.67</w:t>
            </w:r>
          </w:p>
        </w:tc>
        <w:tc>
          <w:tcPr>
            <w:tcW w:w="1277" w:type="dxa"/>
            <w:shd w:val="clear" w:color="auto" w:fill="auto"/>
            <w:vAlign w:val="top"/>
          </w:tcPr>
          <w:p w14:paraId="7AE81A5B" w14:textId="16AD0227" w:rsidR="00AB7A0C" w:rsidRPr="00930F6E" w:rsidRDefault="00AB7A0C" w:rsidP="00AB7A0C">
            <w:pPr>
              <w:spacing w:before="22" w:after="20"/>
              <w:jc w:val="center"/>
              <w:rPr>
                <w:rFonts w:cs="Arial"/>
                <w:color w:val="000000"/>
              </w:rPr>
            </w:pPr>
            <w:r w:rsidRPr="001C7F89">
              <w:t>£14.5564</w:t>
            </w:r>
          </w:p>
        </w:tc>
      </w:tr>
      <w:tr w:rsidR="00AB7A0C" w:rsidRPr="00930F6E" w14:paraId="1D5785D5" w14:textId="77777777" w:rsidTr="00963ABB">
        <w:trPr>
          <w:trHeight w:val="227"/>
        </w:trPr>
        <w:tc>
          <w:tcPr>
            <w:tcW w:w="1274" w:type="dxa"/>
            <w:vMerge w:val="restart"/>
            <w:shd w:val="clear" w:color="auto" w:fill="F2F2F2" w:themeFill="background1" w:themeFillShade="F2"/>
          </w:tcPr>
          <w:p w14:paraId="2A924F6F" w14:textId="77777777" w:rsidR="00AB7A0C" w:rsidRPr="00930F6E" w:rsidRDefault="00AB7A0C" w:rsidP="00AB7A0C">
            <w:pPr>
              <w:spacing w:before="22" w:after="20"/>
              <w:jc w:val="center"/>
              <w:rPr>
                <w:rFonts w:cs="Arial"/>
                <w:color w:val="000000"/>
              </w:rPr>
            </w:pPr>
            <w:r w:rsidRPr="00930F6E">
              <w:rPr>
                <w:rFonts w:cs="Arial"/>
                <w:color w:val="000000"/>
              </w:rPr>
              <w:t>6</w:t>
            </w:r>
          </w:p>
        </w:tc>
        <w:tc>
          <w:tcPr>
            <w:tcW w:w="1272" w:type="dxa"/>
            <w:shd w:val="clear" w:color="auto" w:fill="F2F2F2" w:themeFill="background1" w:themeFillShade="F2"/>
            <w:vAlign w:val="top"/>
          </w:tcPr>
          <w:p w14:paraId="49FE2400" w14:textId="38A6732C" w:rsidR="00AB7A0C" w:rsidRPr="00930F6E" w:rsidRDefault="00AB7A0C" w:rsidP="00AB7A0C">
            <w:pPr>
              <w:spacing w:before="22" w:after="20"/>
              <w:jc w:val="center"/>
              <w:rPr>
                <w:rFonts w:cs="Arial"/>
                <w:b/>
                <w:bCs/>
                <w:color w:val="000000"/>
              </w:rPr>
            </w:pPr>
            <w:r w:rsidRPr="001C7F89">
              <w:t>23</w:t>
            </w:r>
          </w:p>
        </w:tc>
        <w:tc>
          <w:tcPr>
            <w:tcW w:w="1372" w:type="dxa"/>
            <w:shd w:val="clear" w:color="auto" w:fill="F2F2F2" w:themeFill="background1" w:themeFillShade="F2"/>
            <w:vAlign w:val="top"/>
          </w:tcPr>
          <w:p w14:paraId="35B7E333" w14:textId="7F715E9F" w:rsidR="00AB7A0C" w:rsidRPr="00930F6E" w:rsidRDefault="00AB7A0C" w:rsidP="00AB7A0C">
            <w:pPr>
              <w:spacing w:before="22" w:after="20"/>
              <w:jc w:val="center"/>
              <w:rPr>
                <w:rFonts w:cs="Arial"/>
                <w:color w:val="000000"/>
              </w:rPr>
            </w:pPr>
            <w:r w:rsidRPr="001C7F89">
              <w:t>£28,226.00</w:t>
            </w:r>
          </w:p>
        </w:tc>
        <w:tc>
          <w:tcPr>
            <w:tcW w:w="1372" w:type="dxa"/>
            <w:shd w:val="clear" w:color="auto" w:fill="F2F2F2" w:themeFill="background1" w:themeFillShade="F2"/>
            <w:vAlign w:val="top"/>
          </w:tcPr>
          <w:p w14:paraId="6A93F524" w14:textId="52E8AEEE" w:rsidR="00AB7A0C" w:rsidRPr="00930F6E" w:rsidRDefault="00AB7A0C" w:rsidP="00AB7A0C">
            <w:pPr>
              <w:spacing w:before="22" w:after="20"/>
              <w:jc w:val="center"/>
              <w:rPr>
                <w:rFonts w:cs="Arial"/>
                <w:color w:val="000000"/>
              </w:rPr>
            </w:pPr>
            <w:r w:rsidRPr="001C7F89">
              <w:t>£2,352.17</w:t>
            </w:r>
          </w:p>
        </w:tc>
        <w:tc>
          <w:tcPr>
            <w:tcW w:w="1277" w:type="dxa"/>
            <w:shd w:val="clear" w:color="auto" w:fill="F2F2F2" w:themeFill="background1" w:themeFillShade="F2"/>
            <w:vAlign w:val="top"/>
          </w:tcPr>
          <w:p w14:paraId="49304935" w14:textId="61041E53" w:rsidR="00AB7A0C" w:rsidRPr="00930F6E" w:rsidRDefault="00AB7A0C" w:rsidP="00AB7A0C">
            <w:pPr>
              <w:spacing w:before="22" w:after="20"/>
              <w:jc w:val="center"/>
              <w:rPr>
                <w:rFonts w:cs="Arial"/>
                <w:color w:val="000000"/>
              </w:rPr>
            </w:pPr>
            <w:r w:rsidRPr="001C7F89">
              <w:t>£541.32</w:t>
            </w:r>
          </w:p>
        </w:tc>
        <w:tc>
          <w:tcPr>
            <w:tcW w:w="1277" w:type="dxa"/>
            <w:shd w:val="clear" w:color="auto" w:fill="F2F2F2" w:themeFill="background1" w:themeFillShade="F2"/>
            <w:vAlign w:val="top"/>
          </w:tcPr>
          <w:p w14:paraId="5C755C01" w14:textId="51769CF2" w:rsidR="00AB7A0C" w:rsidRPr="00930F6E" w:rsidRDefault="00AB7A0C" w:rsidP="00AB7A0C">
            <w:pPr>
              <w:spacing w:before="22" w:after="20"/>
              <w:jc w:val="center"/>
              <w:rPr>
                <w:rFonts w:cs="Arial"/>
                <w:color w:val="000000"/>
              </w:rPr>
            </w:pPr>
            <w:r w:rsidRPr="001C7F89">
              <w:t>£14.9330</w:t>
            </w:r>
          </w:p>
        </w:tc>
      </w:tr>
      <w:tr w:rsidR="00AB7A0C" w:rsidRPr="00930F6E" w14:paraId="7809BDC6" w14:textId="77777777" w:rsidTr="00963ABB">
        <w:trPr>
          <w:trHeight w:val="227"/>
        </w:trPr>
        <w:tc>
          <w:tcPr>
            <w:tcW w:w="1274" w:type="dxa"/>
            <w:vMerge/>
            <w:shd w:val="clear" w:color="auto" w:fill="F2F2F2" w:themeFill="background1" w:themeFillShade="F2"/>
            <w:vAlign w:val="bottom"/>
          </w:tcPr>
          <w:p w14:paraId="41B5EC55" w14:textId="77777777" w:rsidR="00AB7A0C" w:rsidRPr="00930F6E" w:rsidRDefault="00AB7A0C" w:rsidP="00AB7A0C">
            <w:pPr>
              <w:spacing w:before="22" w:after="20" w:line="240" w:lineRule="auto"/>
              <w:jc w:val="left"/>
              <w:rPr>
                <w:rFonts w:cs="Arial"/>
                <w:color w:val="000000"/>
              </w:rPr>
            </w:pPr>
          </w:p>
        </w:tc>
        <w:tc>
          <w:tcPr>
            <w:tcW w:w="1272" w:type="dxa"/>
            <w:shd w:val="clear" w:color="auto" w:fill="F2F2F2" w:themeFill="background1" w:themeFillShade="F2"/>
            <w:vAlign w:val="top"/>
          </w:tcPr>
          <w:p w14:paraId="7B385C4E" w14:textId="3459233B" w:rsidR="00AB7A0C" w:rsidRPr="00930F6E" w:rsidRDefault="00AB7A0C" w:rsidP="00AB7A0C">
            <w:pPr>
              <w:spacing w:before="22" w:after="20"/>
              <w:jc w:val="center"/>
              <w:rPr>
                <w:rFonts w:cs="Arial"/>
                <w:b/>
                <w:bCs/>
                <w:color w:val="000000"/>
              </w:rPr>
            </w:pPr>
            <w:r w:rsidRPr="001C7F89">
              <w:t>24</w:t>
            </w:r>
          </w:p>
        </w:tc>
        <w:tc>
          <w:tcPr>
            <w:tcW w:w="1372" w:type="dxa"/>
            <w:shd w:val="clear" w:color="auto" w:fill="F2F2F2" w:themeFill="background1" w:themeFillShade="F2"/>
            <w:vAlign w:val="top"/>
          </w:tcPr>
          <w:p w14:paraId="3C3A1DF6" w14:textId="2ECA65D9" w:rsidR="00AB7A0C" w:rsidRPr="00930F6E" w:rsidRDefault="00AB7A0C" w:rsidP="00AB7A0C">
            <w:pPr>
              <w:spacing w:before="22" w:after="20"/>
              <w:jc w:val="center"/>
              <w:rPr>
                <w:rFonts w:cs="Arial"/>
                <w:color w:val="000000"/>
              </w:rPr>
            </w:pPr>
            <w:r w:rsidRPr="001C7F89">
              <w:t>£29,174.00</w:t>
            </w:r>
          </w:p>
        </w:tc>
        <w:tc>
          <w:tcPr>
            <w:tcW w:w="1372" w:type="dxa"/>
            <w:shd w:val="clear" w:color="auto" w:fill="F2F2F2" w:themeFill="background1" w:themeFillShade="F2"/>
            <w:vAlign w:val="top"/>
          </w:tcPr>
          <w:p w14:paraId="1C9C4980" w14:textId="36A93DDA" w:rsidR="00AB7A0C" w:rsidRPr="00930F6E" w:rsidRDefault="00AB7A0C" w:rsidP="00AB7A0C">
            <w:pPr>
              <w:spacing w:before="22" w:after="20"/>
              <w:jc w:val="center"/>
              <w:rPr>
                <w:rFonts w:cs="Arial"/>
                <w:color w:val="000000"/>
              </w:rPr>
            </w:pPr>
            <w:r w:rsidRPr="001C7F89">
              <w:t>£2,431.17</w:t>
            </w:r>
          </w:p>
        </w:tc>
        <w:tc>
          <w:tcPr>
            <w:tcW w:w="1277" w:type="dxa"/>
            <w:shd w:val="clear" w:color="auto" w:fill="F2F2F2" w:themeFill="background1" w:themeFillShade="F2"/>
            <w:vAlign w:val="top"/>
          </w:tcPr>
          <w:p w14:paraId="32BC72E4" w14:textId="1CCF1A7A" w:rsidR="00AB7A0C" w:rsidRPr="00930F6E" w:rsidRDefault="00AB7A0C" w:rsidP="00AB7A0C">
            <w:pPr>
              <w:spacing w:before="22" w:after="20"/>
              <w:jc w:val="center"/>
              <w:rPr>
                <w:rFonts w:cs="Arial"/>
                <w:color w:val="000000"/>
              </w:rPr>
            </w:pPr>
            <w:r w:rsidRPr="001C7F89">
              <w:t>£559.50</w:t>
            </w:r>
          </w:p>
        </w:tc>
        <w:tc>
          <w:tcPr>
            <w:tcW w:w="1277" w:type="dxa"/>
            <w:shd w:val="clear" w:color="auto" w:fill="F2F2F2" w:themeFill="background1" w:themeFillShade="F2"/>
            <w:vAlign w:val="top"/>
          </w:tcPr>
          <w:p w14:paraId="029061EF" w14:textId="7D0853E9" w:rsidR="00AB7A0C" w:rsidRPr="00930F6E" w:rsidRDefault="00AB7A0C" w:rsidP="00AB7A0C">
            <w:pPr>
              <w:spacing w:before="22" w:after="20"/>
              <w:jc w:val="center"/>
              <w:rPr>
                <w:rFonts w:cs="Arial"/>
                <w:color w:val="000000"/>
              </w:rPr>
            </w:pPr>
            <w:r w:rsidRPr="001C7F89">
              <w:t>£15.4345</w:t>
            </w:r>
          </w:p>
        </w:tc>
      </w:tr>
      <w:tr w:rsidR="00AB7A0C" w:rsidRPr="00930F6E" w14:paraId="3BA5489D" w14:textId="77777777" w:rsidTr="00963ABB">
        <w:trPr>
          <w:trHeight w:val="227"/>
        </w:trPr>
        <w:tc>
          <w:tcPr>
            <w:tcW w:w="1274" w:type="dxa"/>
            <w:vMerge/>
            <w:shd w:val="clear" w:color="auto" w:fill="F2F2F2" w:themeFill="background1" w:themeFillShade="F2"/>
            <w:vAlign w:val="bottom"/>
          </w:tcPr>
          <w:p w14:paraId="28C25EBA" w14:textId="77777777" w:rsidR="00AB7A0C" w:rsidRPr="00930F6E" w:rsidRDefault="00AB7A0C" w:rsidP="00AB7A0C">
            <w:pPr>
              <w:spacing w:before="22" w:after="20" w:line="240" w:lineRule="auto"/>
              <w:jc w:val="left"/>
              <w:rPr>
                <w:rFonts w:cs="Arial"/>
                <w:color w:val="000000"/>
              </w:rPr>
            </w:pPr>
          </w:p>
        </w:tc>
        <w:tc>
          <w:tcPr>
            <w:tcW w:w="1272" w:type="dxa"/>
            <w:shd w:val="clear" w:color="auto" w:fill="F2F2F2" w:themeFill="background1" w:themeFillShade="F2"/>
            <w:vAlign w:val="top"/>
          </w:tcPr>
          <w:p w14:paraId="43B8D179" w14:textId="5660C0BC" w:rsidR="00AB7A0C" w:rsidRPr="00930F6E" w:rsidRDefault="00AB7A0C" w:rsidP="00AB7A0C">
            <w:pPr>
              <w:spacing w:before="22" w:after="20"/>
              <w:jc w:val="center"/>
              <w:rPr>
                <w:rFonts w:cs="Arial"/>
                <w:b/>
                <w:bCs/>
                <w:color w:val="000000"/>
              </w:rPr>
            </w:pPr>
            <w:r w:rsidRPr="001C7F89">
              <w:t>25</w:t>
            </w:r>
          </w:p>
        </w:tc>
        <w:tc>
          <w:tcPr>
            <w:tcW w:w="1372" w:type="dxa"/>
            <w:shd w:val="clear" w:color="auto" w:fill="F2F2F2" w:themeFill="background1" w:themeFillShade="F2"/>
            <w:vAlign w:val="top"/>
          </w:tcPr>
          <w:p w14:paraId="2448E8DF" w14:textId="0E776B31" w:rsidR="00AB7A0C" w:rsidRPr="00930F6E" w:rsidRDefault="00AB7A0C" w:rsidP="00AB7A0C">
            <w:pPr>
              <w:spacing w:before="22" w:after="20"/>
              <w:jc w:val="center"/>
              <w:rPr>
                <w:rFonts w:cs="Arial"/>
                <w:color w:val="000000"/>
              </w:rPr>
            </w:pPr>
            <w:r w:rsidRPr="001C7F89">
              <w:t>£30,095.00</w:t>
            </w:r>
          </w:p>
        </w:tc>
        <w:tc>
          <w:tcPr>
            <w:tcW w:w="1372" w:type="dxa"/>
            <w:shd w:val="clear" w:color="auto" w:fill="F2F2F2" w:themeFill="background1" w:themeFillShade="F2"/>
            <w:vAlign w:val="top"/>
          </w:tcPr>
          <w:p w14:paraId="1C1A8BA8" w14:textId="49586E36" w:rsidR="00AB7A0C" w:rsidRPr="00930F6E" w:rsidRDefault="00AB7A0C" w:rsidP="00AB7A0C">
            <w:pPr>
              <w:spacing w:before="22" w:after="20"/>
              <w:jc w:val="center"/>
              <w:rPr>
                <w:rFonts w:cs="Arial"/>
                <w:color w:val="000000"/>
              </w:rPr>
            </w:pPr>
            <w:r w:rsidRPr="001C7F89">
              <w:t>£2,507.92</w:t>
            </w:r>
          </w:p>
        </w:tc>
        <w:tc>
          <w:tcPr>
            <w:tcW w:w="1277" w:type="dxa"/>
            <w:shd w:val="clear" w:color="auto" w:fill="F2F2F2" w:themeFill="background1" w:themeFillShade="F2"/>
            <w:vAlign w:val="top"/>
          </w:tcPr>
          <w:p w14:paraId="416C5AF0" w14:textId="7D8937AA" w:rsidR="00AB7A0C" w:rsidRPr="00930F6E" w:rsidRDefault="00AB7A0C" w:rsidP="00AB7A0C">
            <w:pPr>
              <w:spacing w:before="22" w:after="20"/>
              <w:jc w:val="center"/>
              <w:rPr>
                <w:rFonts w:cs="Arial"/>
                <w:color w:val="000000"/>
              </w:rPr>
            </w:pPr>
            <w:r w:rsidRPr="001C7F89">
              <w:t>£577.16</w:t>
            </w:r>
          </w:p>
        </w:tc>
        <w:tc>
          <w:tcPr>
            <w:tcW w:w="1277" w:type="dxa"/>
            <w:shd w:val="clear" w:color="auto" w:fill="F2F2F2" w:themeFill="background1" w:themeFillShade="F2"/>
            <w:vAlign w:val="top"/>
          </w:tcPr>
          <w:p w14:paraId="74E977C9" w14:textId="177B5C0B" w:rsidR="00AB7A0C" w:rsidRPr="00930F6E" w:rsidRDefault="00AB7A0C" w:rsidP="00AB7A0C">
            <w:pPr>
              <w:spacing w:before="22" w:after="20"/>
              <w:jc w:val="center"/>
              <w:rPr>
                <w:rFonts w:cs="Arial"/>
                <w:color w:val="000000"/>
              </w:rPr>
            </w:pPr>
            <w:r w:rsidRPr="001C7F89">
              <w:t>£15.9217</w:t>
            </w:r>
          </w:p>
        </w:tc>
      </w:tr>
      <w:tr w:rsidR="00AB7A0C" w:rsidRPr="00930F6E" w14:paraId="1EC0BE5C" w14:textId="77777777" w:rsidTr="00963ABB">
        <w:trPr>
          <w:trHeight w:val="227"/>
        </w:trPr>
        <w:tc>
          <w:tcPr>
            <w:tcW w:w="1274" w:type="dxa"/>
            <w:vMerge/>
            <w:shd w:val="clear" w:color="auto" w:fill="F2F2F2" w:themeFill="background1" w:themeFillShade="F2"/>
            <w:vAlign w:val="bottom"/>
          </w:tcPr>
          <w:p w14:paraId="4EDF8CC5" w14:textId="77777777" w:rsidR="00AB7A0C" w:rsidRPr="00930F6E" w:rsidRDefault="00AB7A0C" w:rsidP="00AB7A0C">
            <w:pPr>
              <w:spacing w:before="22" w:after="20" w:line="240" w:lineRule="auto"/>
              <w:jc w:val="left"/>
              <w:rPr>
                <w:rFonts w:cs="Arial"/>
                <w:color w:val="000000"/>
              </w:rPr>
            </w:pPr>
          </w:p>
        </w:tc>
        <w:tc>
          <w:tcPr>
            <w:tcW w:w="1272" w:type="dxa"/>
            <w:shd w:val="clear" w:color="auto" w:fill="F2F2F2" w:themeFill="background1" w:themeFillShade="F2"/>
            <w:vAlign w:val="top"/>
          </w:tcPr>
          <w:p w14:paraId="71284452" w14:textId="38079C7B" w:rsidR="00AB7A0C" w:rsidRPr="00930F6E" w:rsidRDefault="00AB7A0C" w:rsidP="00AB7A0C">
            <w:pPr>
              <w:spacing w:before="22" w:after="20"/>
              <w:jc w:val="center"/>
              <w:rPr>
                <w:rFonts w:cs="Arial"/>
                <w:b/>
                <w:bCs/>
                <w:color w:val="000000"/>
              </w:rPr>
            </w:pPr>
            <w:r w:rsidRPr="001C7F89">
              <w:t>26</w:t>
            </w:r>
          </w:p>
        </w:tc>
        <w:tc>
          <w:tcPr>
            <w:tcW w:w="1372" w:type="dxa"/>
            <w:shd w:val="clear" w:color="auto" w:fill="F2F2F2" w:themeFill="background1" w:themeFillShade="F2"/>
            <w:vAlign w:val="top"/>
          </w:tcPr>
          <w:p w14:paraId="30D1E711" w14:textId="1B9B3B9C" w:rsidR="00AB7A0C" w:rsidRPr="00930F6E" w:rsidRDefault="00AB7A0C" w:rsidP="00AB7A0C">
            <w:pPr>
              <w:spacing w:before="22" w:after="20"/>
              <w:jc w:val="center"/>
              <w:rPr>
                <w:rFonts w:cs="Arial"/>
                <w:color w:val="000000"/>
              </w:rPr>
            </w:pPr>
            <w:r w:rsidRPr="001C7F89">
              <w:t>£30,984.00</w:t>
            </w:r>
          </w:p>
        </w:tc>
        <w:tc>
          <w:tcPr>
            <w:tcW w:w="1372" w:type="dxa"/>
            <w:shd w:val="clear" w:color="auto" w:fill="F2F2F2" w:themeFill="background1" w:themeFillShade="F2"/>
            <w:vAlign w:val="top"/>
          </w:tcPr>
          <w:p w14:paraId="7F9A3297" w14:textId="22DA6956" w:rsidR="00AB7A0C" w:rsidRPr="00930F6E" w:rsidRDefault="00AB7A0C" w:rsidP="00AB7A0C">
            <w:pPr>
              <w:spacing w:before="22" w:after="20"/>
              <w:jc w:val="center"/>
              <w:rPr>
                <w:rFonts w:cs="Arial"/>
                <w:color w:val="000000"/>
              </w:rPr>
            </w:pPr>
            <w:r w:rsidRPr="001C7F89">
              <w:t>£2,582.00</w:t>
            </w:r>
          </w:p>
        </w:tc>
        <w:tc>
          <w:tcPr>
            <w:tcW w:w="1277" w:type="dxa"/>
            <w:shd w:val="clear" w:color="auto" w:fill="F2F2F2" w:themeFill="background1" w:themeFillShade="F2"/>
            <w:vAlign w:val="top"/>
          </w:tcPr>
          <w:p w14:paraId="5993CCA1" w14:textId="34B08865" w:rsidR="00AB7A0C" w:rsidRPr="00930F6E" w:rsidRDefault="00AB7A0C" w:rsidP="00AB7A0C">
            <w:pPr>
              <w:spacing w:before="22" w:after="20"/>
              <w:jc w:val="center"/>
              <w:rPr>
                <w:rFonts w:cs="Arial"/>
                <w:color w:val="000000"/>
              </w:rPr>
            </w:pPr>
            <w:r w:rsidRPr="001C7F89">
              <w:t>£594.21</w:t>
            </w:r>
          </w:p>
        </w:tc>
        <w:tc>
          <w:tcPr>
            <w:tcW w:w="1277" w:type="dxa"/>
            <w:shd w:val="clear" w:color="auto" w:fill="F2F2F2" w:themeFill="background1" w:themeFillShade="F2"/>
            <w:vAlign w:val="top"/>
          </w:tcPr>
          <w:p w14:paraId="161E2D68" w14:textId="454697A2" w:rsidR="00AB7A0C" w:rsidRPr="00930F6E" w:rsidRDefault="00AB7A0C" w:rsidP="00AB7A0C">
            <w:pPr>
              <w:spacing w:before="22" w:after="20"/>
              <w:jc w:val="center"/>
              <w:rPr>
                <w:rFonts w:cs="Arial"/>
                <w:color w:val="000000"/>
              </w:rPr>
            </w:pPr>
            <w:r w:rsidRPr="001C7F89">
              <w:t>£16.3920</w:t>
            </w:r>
          </w:p>
        </w:tc>
      </w:tr>
      <w:tr w:rsidR="00AB7A0C" w:rsidRPr="00930F6E" w14:paraId="78C628FB" w14:textId="77777777" w:rsidTr="00963ABB">
        <w:trPr>
          <w:trHeight w:val="227"/>
        </w:trPr>
        <w:tc>
          <w:tcPr>
            <w:tcW w:w="1274" w:type="dxa"/>
            <w:vMerge/>
            <w:shd w:val="clear" w:color="auto" w:fill="F2F2F2" w:themeFill="background1" w:themeFillShade="F2"/>
            <w:vAlign w:val="bottom"/>
          </w:tcPr>
          <w:p w14:paraId="63537F26" w14:textId="77777777" w:rsidR="00AB7A0C" w:rsidRPr="00930F6E" w:rsidRDefault="00AB7A0C" w:rsidP="00AB7A0C">
            <w:pPr>
              <w:spacing w:before="22" w:after="20"/>
              <w:rPr>
                <w:rFonts w:cs="Arial"/>
                <w:color w:val="000000"/>
              </w:rPr>
            </w:pPr>
          </w:p>
        </w:tc>
        <w:tc>
          <w:tcPr>
            <w:tcW w:w="1272" w:type="dxa"/>
            <w:shd w:val="clear" w:color="auto" w:fill="F2F2F2" w:themeFill="background1" w:themeFillShade="F2"/>
            <w:vAlign w:val="top"/>
          </w:tcPr>
          <w:p w14:paraId="1541C9B2" w14:textId="23D0180C" w:rsidR="00AB7A0C" w:rsidRPr="00930F6E" w:rsidRDefault="00AB7A0C" w:rsidP="00AB7A0C">
            <w:pPr>
              <w:spacing w:before="22" w:after="20"/>
              <w:jc w:val="center"/>
              <w:rPr>
                <w:rFonts w:cs="Arial"/>
                <w:b/>
                <w:bCs/>
                <w:color w:val="000000"/>
              </w:rPr>
            </w:pPr>
            <w:r w:rsidRPr="001C7F89">
              <w:t>27</w:t>
            </w:r>
          </w:p>
        </w:tc>
        <w:tc>
          <w:tcPr>
            <w:tcW w:w="1372" w:type="dxa"/>
            <w:shd w:val="clear" w:color="auto" w:fill="F2F2F2" w:themeFill="background1" w:themeFillShade="F2"/>
            <w:vAlign w:val="top"/>
          </w:tcPr>
          <w:p w14:paraId="17E372EE" w14:textId="3F5D134B" w:rsidR="00AB7A0C" w:rsidRPr="00930F6E" w:rsidRDefault="00AB7A0C" w:rsidP="00AB7A0C">
            <w:pPr>
              <w:spacing w:before="22" w:after="20"/>
              <w:jc w:val="center"/>
              <w:rPr>
                <w:rFonts w:cs="Arial"/>
                <w:color w:val="000000"/>
              </w:rPr>
            </w:pPr>
            <w:r w:rsidRPr="001C7F89">
              <w:t>£31,895.00</w:t>
            </w:r>
          </w:p>
        </w:tc>
        <w:tc>
          <w:tcPr>
            <w:tcW w:w="1372" w:type="dxa"/>
            <w:shd w:val="clear" w:color="auto" w:fill="F2F2F2" w:themeFill="background1" w:themeFillShade="F2"/>
            <w:vAlign w:val="top"/>
          </w:tcPr>
          <w:p w14:paraId="0BBCCFF5" w14:textId="28E57FAF" w:rsidR="00AB7A0C" w:rsidRPr="00930F6E" w:rsidRDefault="00AB7A0C" w:rsidP="00AB7A0C">
            <w:pPr>
              <w:spacing w:before="22" w:after="20"/>
              <w:jc w:val="center"/>
              <w:rPr>
                <w:rFonts w:cs="Arial"/>
                <w:color w:val="000000"/>
              </w:rPr>
            </w:pPr>
            <w:r w:rsidRPr="001C7F89">
              <w:t>£2,657.92</w:t>
            </w:r>
          </w:p>
        </w:tc>
        <w:tc>
          <w:tcPr>
            <w:tcW w:w="1277" w:type="dxa"/>
            <w:shd w:val="clear" w:color="auto" w:fill="F2F2F2" w:themeFill="background1" w:themeFillShade="F2"/>
            <w:vAlign w:val="top"/>
          </w:tcPr>
          <w:p w14:paraId="6582A605" w14:textId="0E627139" w:rsidR="00AB7A0C" w:rsidRPr="00930F6E" w:rsidRDefault="00AB7A0C" w:rsidP="00AB7A0C">
            <w:pPr>
              <w:spacing w:before="22" w:after="20"/>
              <w:jc w:val="center"/>
              <w:rPr>
                <w:rFonts w:cs="Arial"/>
                <w:color w:val="000000"/>
              </w:rPr>
            </w:pPr>
            <w:r w:rsidRPr="001C7F89">
              <w:t>£611.68</w:t>
            </w:r>
          </w:p>
        </w:tc>
        <w:tc>
          <w:tcPr>
            <w:tcW w:w="1277" w:type="dxa"/>
            <w:shd w:val="clear" w:color="auto" w:fill="F2F2F2" w:themeFill="background1" w:themeFillShade="F2"/>
            <w:vAlign w:val="top"/>
          </w:tcPr>
          <w:p w14:paraId="6027FA9C" w14:textId="5F63EB01" w:rsidR="00AB7A0C" w:rsidRPr="00930F6E" w:rsidRDefault="00AB7A0C" w:rsidP="00AB7A0C">
            <w:pPr>
              <w:spacing w:before="22" w:after="20"/>
              <w:jc w:val="center"/>
              <w:rPr>
                <w:rFonts w:cs="Arial"/>
                <w:color w:val="000000"/>
              </w:rPr>
            </w:pPr>
            <w:r w:rsidRPr="001C7F89">
              <w:t>£16.8739</w:t>
            </w:r>
          </w:p>
        </w:tc>
      </w:tr>
      <w:tr w:rsidR="00AB7A0C" w:rsidRPr="00930F6E" w14:paraId="1F357627" w14:textId="77777777" w:rsidTr="008B376D">
        <w:trPr>
          <w:trHeight w:val="227"/>
        </w:trPr>
        <w:tc>
          <w:tcPr>
            <w:tcW w:w="1274" w:type="dxa"/>
            <w:vMerge w:val="restart"/>
          </w:tcPr>
          <w:p w14:paraId="651F1E1E" w14:textId="77777777" w:rsidR="00AB7A0C" w:rsidRPr="00930F6E" w:rsidRDefault="00AB7A0C" w:rsidP="00AB7A0C">
            <w:pPr>
              <w:spacing w:before="22" w:after="20"/>
              <w:jc w:val="center"/>
              <w:rPr>
                <w:rFonts w:cs="Arial"/>
                <w:color w:val="000000"/>
              </w:rPr>
            </w:pPr>
            <w:r w:rsidRPr="00930F6E">
              <w:rPr>
                <w:rFonts w:cs="Arial"/>
                <w:color w:val="000000"/>
              </w:rPr>
              <w:t>7</w:t>
            </w:r>
          </w:p>
        </w:tc>
        <w:tc>
          <w:tcPr>
            <w:tcW w:w="1272" w:type="dxa"/>
            <w:vAlign w:val="top"/>
          </w:tcPr>
          <w:p w14:paraId="75D34554" w14:textId="5F917397" w:rsidR="00AB7A0C" w:rsidRPr="00930F6E" w:rsidRDefault="00AB7A0C" w:rsidP="00AB7A0C">
            <w:pPr>
              <w:spacing w:before="22" w:after="20"/>
              <w:jc w:val="center"/>
              <w:rPr>
                <w:rFonts w:cs="Arial"/>
                <w:b/>
                <w:bCs/>
                <w:color w:val="000000"/>
              </w:rPr>
            </w:pPr>
            <w:r w:rsidRPr="001C7F89">
              <w:t>28</w:t>
            </w:r>
          </w:p>
        </w:tc>
        <w:tc>
          <w:tcPr>
            <w:tcW w:w="1372" w:type="dxa"/>
            <w:shd w:val="clear" w:color="auto" w:fill="auto"/>
            <w:vAlign w:val="top"/>
          </w:tcPr>
          <w:p w14:paraId="45179EF4" w14:textId="75ED3C8E" w:rsidR="00AB7A0C" w:rsidRPr="00930F6E" w:rsidRDefault="00AB7A0C" w:rsidP="00AB7A0C">
            <w:pPr>
              <w:spacing w:before="22" w:after="20"/>
              <w:jc w:val="center"/>
              <w:rPr>
                <w:rFonts w:cs="Arial"/>
                <w:color w:val="000000"/>
              </w:rPr>
            </w:pPr>
            <w:r w:rsidRPr="001C7F89">
              <w:t>£32,798.00</w:t>
            </w:r>
          </w:p>
        </w:tc>
        <w:tc>
          <w:tcPr>
            <w:tcW w:w="1372" w:type="dxa"/>
            <w:shd w:val="clear" w:color="auto" w:fill="auto"/>
            <w:vAlign w:val="top"/>
          </w:tcPr>
          <w:p w14:paraId="3639BECC" w14:textId="0A66246A" w:rsidR="00AB7A0C" w:rsidRPr="00930F6E" w:rsidRDefault="00AB7A0C" w:rsidP="00AB7A0C">
            <w:pPr>
              <w:spacing w:before="22" w:after="20"/>
              <w:jc w:val="center"/>
              <w:rPr>
                <w:rFonts w:cs="Arial"/>
                <w:color w:val="000000"/>
              </w:rPr>
            </w:pPr>
            <w:r w:rsidRPr="001C7F89">
              <w:t>£2,733.17</w:t>
            </w:r>
          </w:p>
        </w:tc>
        <w:tc>
          <w:tcPr>
            <w:tcW w:w="1277" w:type="dxa"/>
            <w:shd w:val="clear" w:color="auto" w:fill="auto"/>
            <w:vAlign w:val="top"/>
          </w:tcPr>
          <w:p w14:paraId="60596EE0" w14:textId="21481C6B" w:rsidR="00AB7A0C" w:rsidRPr="00930F6E" w:rsidRDefault="00AB7A0C" w:rsidP="00AB7A0C">
            <w:pPr>
              <w:spacing w:before="22" w:after="20"/>
              <w:jc w:val="center"/>
              <w:rPr>
                <w:rFonts w:cs="Arial"/>
                <w:color w:val="000000"/>
              </w:rPr>
            </w:pPr>
            <w:r w:rsidRPr="001C7F89">
              <w:t>£629.00</w:t>
            </w:r>
          </w:p>
        </w:tc>
        <w:tc>
          <w:tcPr>
            <w:tcW w:w="1277" w:type="dxa"/>
            <w:shd w:val="clear" w:color="auto" w:fill="auto"/>
            <w:vAlign w:val="top"/>
          </w:tcPr>
          <w:p w14:paraId="61FF6E40" w14:textId="7F6B1A12" w:rsidR="00AB7A0C" w:rsidRPr="00930F6E" w:rsidRDefault="00AB7A0C" w:rsidP="00AB7A0C">
            <w:pPr>
              <w:spacing w:before="22" w:after="20"/>
              <w:jc w:val="center"/>
              <w:rPr>
                <w:rFonts w:cs="Arial"/>
                <w:color w:val="000000"/>
              </w:rPr>
            </w:pPr>
            <w:r w:rsidRPr="001C7F89">
              <w:t>£17.3517</w:t>
            </w:r>
          </w:p>
        </w:tc>
      </w:tr>
      <w:tr w:rsidR="00AB7A0C" w:rsidRPr="00930F6E" w14:paraId="0DF080D7" w14:textId="77777777" w:rsidTr="008B376D">
        <w:trPr>
          <w:trHeight w:val="227"/>
        </w:trPr>
        <w:tc>
          <w:tcPr>
            <w:tcW w:w="1274" w:type="dxa"/>
            <w:vMerge/>
            <w:vAlign w:val="bottom"/>
          </w:tcPr>
          <w:p w14:paraId="61027508" w14:textId="77777777" w:rsidR="00AB7A0C" w:rsidRPr="00930F6E" w:rsidRDefault="00AB7A0C" w:rsidP="00AB7A0C">
            <w:pPr>
              <w:spacing w:before="22" w:after="20" w:line="240" w:lineRule="auto"/>
              <w:jc w:val="left"/>
              <w:rPr>
                <w:rFonts w:cs="Arial"/>
                <w:color w:val="000000"/>
              </w:rPr>
            </w:pPr>
          </w:p>
        </w:tc>
        <w:tc>
          <w:tcPr>
            <w:tcW w:w="1272" w:type="dxa"/>
            <w:vAlign w:val="top"/>
          </w:tcPr>
          <w:p w14:paraId="36509CF5" w14:textId="48AEF20B" w:rsidR="00AB7A0C" w:rsidRPr="00930F6E" w:rsidRDefault="00AB7A0C" w:rsidP="00AB7A0C">
            <w:pPr>
              <w:spacing w:before="22" w:after="20"/>
              <w:jc w:val="center"/>
              <w:rPr>
                <w:rFonts w:cs="Arial"/>
                <w:b/>
                <w:bCs/>
                <w:color w:val="000000"/>
              </w:rPr>
            </w:pPr>
            <w:r w:rsidRPr="001C7F89">
              <w:t>29</w:t>
            </w:r>
          </w:p>
        </w:tc>
        <w:tc>
          <w:tcPr>
            <w:tcW w:w="1372" w:type="dxa"/>
            <w:shd w:val="clear" w:color="auto" w:fill="auto"/>
            <w:vAlign w:val="top"/>
          </w:tcPr>
          <w:p w14:paraId="4DA22FCE" w14:textId="5CB03B2A" w:rsidR="00AB7A0C" w:rsidRPr="00930F6E" w:rsidRDefault="00AB7A0C" w:rsidP="00AB7A0C">
            <w:pPr>
              <w:spacing w:before="22" w:after="20"/>
              <w:jc w:val="center"/>
              <w:rPr>
                <w:rFonts w:cs="Arial"/>
                <w:color w:val="000000"/>
              </w:rPr>
            </w:pPr>
            <w:r w:rsidRPr="001C7F89">
              <w:t>£33,486.00</w:t>
            </w:r>
          </w:p>
        </w:tc>
        <w:tc>
          <w:tcPr>
            <w:tcW w:w="1372" w:type="dxa"/>
            <w:shd w:val="clear" w:color="auto" w:fill="auto"/>
            <w:vAlign w:val="top"/>
          </w:tcPr>
          <w:p w14:paraId="6210D2A4" w14:textId="32B1EF40" w:rsidR="00AB7A0C" w:rsidRPr="00930F6E" w:rsidRDefault="00AB7A0C" w:rsidP="00AB7A0C">
            <w:pPr>
              <w:spacing w:before="22" w:after="20"/>
              <w:jc w:val="center"/>
              <w:rPr>
                <w:rFonts w:cs="Arial"/>
                <w:color w:val="000000"/>
              </w:rPr>
            </w:pPr>
            <w:r w:rsidRPr="001C7F89">
              <w:t>£2,790.50</w:t>
            </w:r>
          </w:p>
        </w:tc>
        <w:tc>
          <w:tcPr>
            <w:tcW w:w="1277" w:type="dxa"/>
            <w:shd w:val="clear" w:color="auto" w:fill="auto"/>
            <w:vAlign w:val="top"/>
          </w:tcPr>
          <w:p w14:paraId="3A6DD17E" w14:textId="423382E4" w:rsidR="00AB7A0C" w:rsidRPr="00930F6E" w:rsidRDefault="00AB7A0C" w:rsidP="00AB7A0C">
            <w:pPr>
              <w:spacing w:before="22" w:after="20"/>
              <w:jc w:val="center"/>
              <w:rPr>
                <w:rFonts w:cs="Arial"/>
                <w:color w:val="000000"/>
              </w:rPr>
            </w:pPr>
            <w:r w:rsidRPr="001C7F89">
              <w:t>£642.20</w:t>
            </w:r>
          </w:p>
        </w:tc>
        <w:tc>
          <w:tcPr>
            <w:tcW w:w="1277" w:type="dxa"/>
            <w:shd w:val="clear" w:color="auto" w:fill="auto"/>
            <w:vAlign w:val="top"/>
          </w:tcPr>
          <w:p w14:paraId="220AA88A" w14:textId="7554F6C1" w:rsidR="00AB7A0C" w:rsidRPr="00930F6E" w:rsidRDefault="00AB7A0C" w:rsidP="00AB7A0C">
            <w:pPr>
              <w:spacing w:before="22" w:after="20"/>
              <w:jc w:val="center"/>
              <w:rPr>
                <w:rFonts w:cs="Arial"/>
                <w:color w:val="000000"/>
              </w:rPr>
            </w:pPr>
            <w:r w:rsidRPr="001C7F89">
              <w:t>£17.7159</w:t>
            </w:r>
          </w:p>
        </w:tc>
      </w:tr>
      <w:tr w:rsidR="00AB7A0C" w:rsidRPr="00930F6E" w14:paraId="5E3B615D" w14:textId="77777777" w:rsidTr="008B376D">
        <w:trPr>
          <w:trHeight w:val="226"/>
        </w:trPr>
        <w:tc>
          <w:tcPr>
            <w:tcW w:w="1274" w:type="dxa"/>
            <w:vMerge/>
            <w:vAlign w:val="bottom"/>
          </w:tcPr>
          <w:p w14:paraId="5E8B6F40" w14:textId="77777777" w:rsidR="00AB7A0C" w:rsidRPr="00930F6E" w:rsidRDefault="00AB7A0C" w:rsidP="00AB7A0C">
            <w:pPr>
              <w:spacing w:before="22" w:after="20" w:line="240" w:lineRule="auto"/>
              <w:jc w:val="left"/>
              <w:rPr>
                <w:rFonts w:cs="Arial"/>
                <w:color w:val="000000"/>
              </w:rPr>
            </w:pPr>
          </w:p>
        </w:tc>
        <w:tc>
          <w:tcPr>
            <w:tcW w:w="1272" w:type="dxa"/>
            <w:vAlign w:val="top"/>
          </w:tcPr>
          <w:p w14:paraId="2637DE77" w14:textId="166C8EA4" w:rsidR="00AB7A0C" w:rsidRPr="00930F6E" w:rsidRDefault="00AB7A0C" w:rsidP="00AB7A0C">
            <w:pPr>
              <w:spacing w:before="22" w:after="20"/>
              <w:jc w:val="center"/>
              <w:rPr>
                <w:rFonts w:cs="Arial"/>
                <w:b/>
                <w:bCs/>
                <w:color w:val="000000"/>
              </w:rPr>
            </w:pPr>
            <w:r w:rsidRPr="001C7F89">
              <w:t>30</w:t>
            </w:r>
          </w:p>
        </w:tc>
        <w:tc>
          <w:tcPr>
            <w:tcW w:w="1372" w:type="dxa"/>
            <w:shd w:val="clear" w:color="auto" w:fill="auto"/>
            <w:vAlign w:val="top"/>
          </w:tcPr>
          <w:p w14:paraId="485E4A81" w14:textId="32AB0E75" w:rsidR="00AB7A0C" w:rsidRPr="00930F6E" w:rsidRDefault="00AB7A0C" w:rsidP="00AB7A0C">
            <w:pPr>
              <w:spacing w:before="22" w:after="20"/>
              <w:jc w:val="center"/>
              <w:rPr>
                <w:rFonts w:cs="Arial"/>
                <w:color w:val="000000"/>
              </w:rPr>
            </w:pPr>
            <w:r w:rsidRPr="001C7F89">
              <w:t>£34,373.00</w:t>
            </w:r>
          </w:p>
        </w:tc>
        <w:tc>
          <w:tcPr>
            <w:tcW w:w="1372" w:type="dxa"/>
            <w:shd w:val="clear" w:color="auto" w:fill="auto"/>
            <w:vAlign w:val="top"/>
          </w:tcPr>
          <w:p w14:paraId="645D1772" w14:textId="78EF552F" w:rsidR="00AB7A0C" w:rsidRPr="00930F6E" w:rsidRDefault="00AB7A0C" w:rsidP="00AB7A0C">
            <w:pPr>
              <w:spacing w:before="22" w:after="20"/>
              <w:jc w:val="center"/>
              <w:rPr>
                <w:rFonts w:cs="Arial"/>
                <w:color w:val="000000"/>
              </w:rPr>
            </w:pPr>
            <w:r w:rsidRPr="001C7F89">
              <w:t>£2,864.42</w:t>
            </w:r>
          </w:p>
        </w:tc>
        <w:tc>
          <w:tcPr>
            <w:tcW w:w="1277" w:type="dxa"/>
            <w:shd w:val="clear" w:color="auto" w:fill="auto"/>
            <w:vAlign w:val="top"/>
          </w:tcPr>
          <w:p w14:paraId="62594F6C" w14:textId="7AEB9A20" w:rsidR="00AB7A0C" w:rsidRPr="00930F6E" w:rsidRDefault="00AB7A0C" w:rsidP="00AB7A0C">
            <w:pPr>
              <w:spacing w:before="22" w:after="20"/>
              <w:jc w:val="center"/>
              <w:rPr>
                <w:rFonts w:cs="Arial"/>
                <w:color w:val="000000"/>
              </w:rPr>
            </w:pPr>
            <w:r w:rsidRPr="001C7F89">
              <w:t>£659.21</w:t>
            </w:r>
          </w:p>
        </w:tc>
        <w:tc>
          <w:tcPr>
            <w:tcW w:w="1277" w:type="dxa"/>
            <w:shd w:val="clear" w:color="auto" w:fill="auto"/>
            <w:vAlign w:val="top"/>
          </w:tcPr>
          <w:p w14:paraId="1748C85D" w14:textId="6F84538C" w:rsidR="00AB7A0C" w:rsidRPr="00930F6E" w:rsidRDefault="00AB7A0C" w:rsidP="00AB7A0C">
            <w:pPr>
              <w:spacing w:before="22" w:after="20"/>
              <w:jc w:val="center"/>
              <w:rPr>
                <w:rFonts w:cs="Arial"/>
                <w:color w:val="000000"/>
              </w:rPr>
            </w:pPr>
            <w:r w:rsidRPr="001C7F89">
              <w:t>£18.1851</w:t>
            </w:r>
          </w:p>
        </w:tc>
      </w:tr>
      <w:tr w:rsidR="00AB7A0C" w:rsidRPr="00930F6E" w14:paraId="19241F00" w14:textId="77777777" w:rsidTr="008B376D">
        <w:trPr>
          <w:trHeight w:val="226"/>
        </w:trPr>
        <w:tc>
          <w:tcPr>
            <w:tcW w:w="1274" w:type="dxa"/>
            <w:vMerge/>
            <w:vAlign w:val="bottom"/>
          </w:tcPr>
          <w:p w14:paraId="271314DD" w14:textId="77777777" w:rsidR="00AB7A0C" w:rsidRPr="00930F6E" w:rsidRDefault="00AB7A0C" w:rsidP="00AB7A0C">
            <w:pPr>
              <w:spacing w:before="22" w:after="20" w:line="240" w:lineRule="auto"/>
              <w:jc w:val="left"/>
              <w:rPr>
                <w:rFonts w:cs="Arial"/>
                <w:color w:val="000000"/>
              </w:rPr>
            </w:pPr>
          </w:p>
        </w:tc>
        <w:tc>
          <w:tcPr>
            <w:tcW w:w="1272" w:type="dxa"/>
            <w:vAlign w:val="top"/>
          </w:tcPr>
          <w:p w14:paraId="2214213A" w14:textId="2FAD27F0" w:rsidR="00AB7A0C" w:rsidRPr="00930F6E" w:rsidRDefault="00AB7A0C" w:rsidP="00AB7A0C">
            <w:pPr>
              <w:spacing w:before="22" w:after="20"/>
              <w:jc w:val="center"/>
              <w:rPr>
                <w:rFonts w:cs="Arial"/>
                <w:b/>
                <w:bCs/>
                <w:color w:val="000000"/>
              </w:rPr>
            </w:pPr>
            <w:r w:rsidRPr="001C7F89">
              <w:t>31</w:t>
            </w:r>
          </w:p>
        </w:tc>
        <w:tc>
          <w:tcPr>
            <w:tcW w:w="1372" w:type="dxa"/>
            <w:shd w:val="clear" w:color="auto" w:fill="auto"/>
            <w:vAlign w:val="top"/>
          </w:tcPr>
          <w:p w14:paraId="794B77B9" w14:textId="1480B8E8" w:rsidR="00AB7A0C" w:rsidRPr="00930F6E" w:rsidRDefault="00AB7A0C" w:rsidP="00AB7A0C">
            <w:pPr>
              <w:spacing w:before="22" w:after="20"/>
              <w:jc w:val="center"/>
              <w:rPr>
                <w:rFonts w:cs="Arial"/>
                <w:color w:val="000000"/>
              </w:rPr>
            </w:pPr>
            <w:r w:rsidRPr="001C7F89">
              <w:t>£35,336.00</w:t>
            </w:r>
          </w:p>
        </w:tc>
        <w:tc>
          <w:tcPr>
            <w:tcW w:w="1372" w:type="dxa"/>
            <w:shd w:val="clear" w:color="auto" w:fill="auto"/>
            <w:vAlign w:val="top"/>
          </w:tcPr>
          <w:p w14:paraId="5F3CE340" w14:textId="6EA48689" w:rsidR="00AB7A0C" w:rsidRPr="00930F6E" w:rsidRDefault="00AB7A0C" w:rsidP="00AB7A0C">
            <w:pPr>
              <w:spacing w:before="22" w:after="20"/>
              <w:jc w:val="center"/>
              <w:rPr>
                <w:rFonts w:cs="Arial"/>
                <w:color w:val="000000"/>
              </w:rPr>
            </w:pPr>
            <w:r w:rsidRPr="001C7F89">
              <w:t>£2,944.67</w:t>
            </w:r>
          </w:p>
        </w:tc>
        <w:tc>
          <w:tcPr>
            <w:tcW w:w="1277" w:type="dxa"/>
            <w:shd w:val="clear" w:color="auto" w:fill="auto"/>
            <w:vAlign w:val="top"/>
          </w:tcPr>
          <w:p w14:paraId="3DE6EF95" w14:textId="3F351269" w:rsidR="00AB7A0C" w:rsidRPr="00930F6E" w:rsidRDefault="00AB7A0C" w:rsidP="00AB7A0C">
            <w:pPr>
              <w:spacing w:before="22" w:after="20"/>
              <w:jc w:val="center"/>
              <w:rPr>
                <w:rFonts w:cs="Arial"/>
                <w:color w:val="000000"/>
              </w:rPr>
            </w:pPr>
            <w:r w:rsidRPr="001C7F89">
              <w:t>£677.68</w:t>
            </w:r>
          </w:p>
        </w:tc>
        <w:tc>
          <w:tcPr>
            <w:tcW w:w="1277" w:type="dxa"/>
            <w:shd w:val="clear" w:color="auto" w:fill="auto"/>
            <w:vAlign w:val="top"/>
          </w:tcPr>
          <w:p w14:paraId="5F81FF18" w14:textId="6F31FD85" w:rsidR="00AB7A0C" w:rsidRPr="00930F6E" w:rsidRDefault="00AB7A0C" w:rsidP="00AB7A0C">
            <w:pPr>
              <w:spacing w:before="22" w:after="20"/>
              <w:jc w:val="center"/>
              <w:rPr>
                <w:rFonts w:cs="Arial"/>
                <w:color w:val="000000"/>
              </w:rPr>
            </w:pPr>
            <w:r w:rsidRPr="001C7F89">
              <w:t>£18.6946</w:t>
            </w:r>
          </w:p>
        </w:tc>
      </w:tr>
      <w:tr w:rsidR="00AB7A0C" w:rsidRPr="00930F6E" w14:paraId="2CC42F73" w14:textId="77777777" w:rsidTr="008B376D">
        <w:trPr>
          <w:trHeight w:val="226"/>
        </w:trPr>
        <w:tc>
          <w:tcPr>
            <w:tcW w:w="1274" w:type="dxa"/>
            <w:vMerge/>
            <w:vAlign w:val="bottom"/>
          </w:tcPr>
          <w:p w14:paraId="19C61054" w14:textId="77777777" w:rsidR="00AB7A0C" w:rsidRPr="00930F6E" w:rsidRDefault="00AB7A0C" w:rsidP="00AB7A0C">
            <w:pPr>
              <w:spacing w:before="22" w:after="20"/>
              <w:rPr>
                <w:rFonts w:cs="Arial"/>
                <w:color w:val="000000"/>
              </w:rPr>
            </w:pPr>
          </w:p>
        </w:tc>
        <w:tc>
          <w:tcPr>
            <w:tcW w:w="1272" w:type="dxa"/>
            <w:vAlign w:val="top"/>
          </w:tcPr>
          <w:p w14:paraId="5E6D2B60" w14:textId="4EF8C327" w:rsidR="00AB7A0C" w:rsidRPr="00930F6E" w:rsidRDefault="00AB7A0C" w:rsidP="00AB7A0C">
            <w:pPr>
              <w:spacing w:before="22" w:after="20"/>
              <w:jc w:val="center"/>
              <w:rPr>
                <w:rFonts w:cs="Arial"/>
                <w:b/>
                <w:bCs/>
                <w:color w:val="000000"/>
              </w:rPr>
            </w:pPr>
            <w:r w:rsidRPr="001C7F89">
              <w:t>32</w:t>
            </w:r>
          </w:p>
        </w:tc>
        <w:tc>
          <w:tcPr>
            <w:tcW w:w="1372" w:type="dxa"/>
            <w:shd w:val="clear" w:color="auto" w:fill="auto"/>
            <w:vAlign w:val="top"/>
          </w:tcPr>
          <w:p w14:paraId="1D25D8F2" w14:textId="6043841A" w:rsidR="00AB7A0C" w:rsidRPr="00930F6E" w:rsidRDefault="00AB7A0C" w:rsidP="00AB7A0C">
            <w:pPr>
              <w:spacing w:before="22" w:after="20"/>
              <w:jc w:val="center"/>
              <w:rPr>
                <w:rFonts w:cs="Arial"/>
                <w:color w:val="000000"/>
              </w:rPr>
            </w:pPr>
            <w:r w:rsidRPr="001C7F89">
              <w:t>£36,371.00</w:t>
            </w:r>
          </w:p>
        </w:tc>
        <w:tc>
          <w:tcPr>
            <w:tcW w:w="1372" w:type="dxa"/>
            <w:shd w:val="clear" w:color="auto" w:fill="auto"/>
            <w:vAlign w:val="top"/>
          </w:tcPr>
          <w:p w14:paraId="500071F0" w14:textId="55F249B5" w:rsidR="00AB7A0C" w:rsidRPr="00930F6E" w:rsidRDefault="00AB7A0C" w:rsidP="00AB7A0C">
            <w:pPr>
              <w:spacing w:before="22" w:after="20"/>
              <w:jc w:val="center"/>
              <w:rPr>
                <w:rFonts w:cs="Arial"/>
                <w:color w:val="000000"/>
              </w:rPr>
            </w:pPr>
            <w:r w:rsidRPr="001C7F89">
              <w:t>£3,030.92</w:t>
            </w:r>
          </w:p>
        </w:tc>
        <w:tc>
          <w:tcPr>
            <w:tcW w:w="1277" w:type="dxa"/>
            <w:shd w:val="clear" w:color="auto" w:fill="auto"/>
            <w:vAlign w:val="top"/>
          </w:tcPr>
          <w:p w14:paraId="3C1FDC9A" w14:textId="3C268337" w:rsidR="00AB7A0C" w:rsidRPr="00930F6E" w:rsidRDefault="00AB7A0C" w:rsidP="00AB7A0C">
            <w:pPr>
              <w:spacing w:before="22" w:after="20"/>
              <w:jc w:val="center"/>
              <w:rPr>
                <w:rFonts w:cs="Arial"/>
                <w:color w:val="000000"/>
              </w:rPr>
            </w:pPr>
            <w:r w:rsidRPr="001C7F89">
              <w:t>£697.53</w:t>
            </w:r>
          </w:p>
        </w:tc>
        <w:tc>
          <w:tcPr>
            <w:tcW w:w="1277" w:type="dxa"/>
            <w:shd w:val="clear" w:color="auto" w:fill="auto"/>
            <w:vAlign w:val="top"/>
          </w:tcPr>
          <w:p w14:paraId="2D5EE6AC" w14:textId="79337FF5" w:rsidR="00AB7A0C" w:rsidRPr="00930F6E" w:rsidRDefault="00AB7A0C" w:rsidP="00AB7A0C">
            <w:pPr>
              <w:spacing w:before="22" w:after="20"/>
              <w:jc w:val="center"/>
              <w:rPr>
                <w:rFonts w:cs="Arial"/>
                <w:color w:val="000000"/>
              </w:rPr>
            </w:pPr>
            <w:r w:rsidRPr="001C7F89">
              <w:t>£19.2422</w:t>
            </w:r>
          </w:p>
        </w:tc>
      </w:tr>
      <w:tr w:rsidR="00AB7A0C" w:rsidRPr="00930F6E" w14:paraId="6E0B0943" w14:textId="77777777" w:rsidTr="00963ABB">
        <w:trPr>
          <w:trHeight w:val="226"/>
        </w:trPr>
        <w:tc>
          <w:tcPr>
            <w:tcW w:w="1274" w:type="dxa"/>
            <w:vMerge w:val="restart"/>
            <w:shd w:val="clear" w:color="auto" w:fill="F2F2F2" w:themeFill="background1" w:themeFillShade="F2"/>
          </w:tcPr>
          <w:p w14:paraId="7D5D15E2" w14:textId="77777777" w:rsidR="00AB7A0C" w:rsidRPr="00930F6E" w:rsidRDefault="00AB7A0C" w:rsidP="00AB7A0C">
            <w:pPr>
              <w:spacing w:before="22" w:after="20"/>
              <w:jc w:val="center"/>
              <w:rPr>
                <w:rFonts w:cs="Arial"/>
                <w:color w:val="000000"/>
              </w:rPr>
            </w:pPr>
            <w:r w:rsidRPr="00930F6E">
              <w:rPr>
                <w:rFonts w:cs="Arial"/>
                <w:color w:val="000000"/>
              </w:rPr>
              <w:t>8</w:t>
            </w:r>
          </w:p>
        </w:tc>
        <w:tc>
          <w:tcPr>
            <w:tcW w:w="1272" w:type="dxa"/>
            <w:shd w:val="clear" w:color="auto" w:fill="F2F2F2" w:themeFill="background1" w:themeFillShade="F2"/>
            <w:vAlign w:val="top"/>
          </w:tcPr>
          <w:p w14:paraId="771D6766" w14:textId="4C6EB5C7" w:rsidR="00AB7A0C" w:rsidRPr="00930F6E" w:rsidRDefault="00AB7A0C" w:rsidP="00AB7A0C">
            <w:pPr>
              <w:spacing w:before="22" w:after="20"/>
              <w:jc w:val="center"/>
              <w:rPr>
                <w:rFonts w:cs="Arial"/>
                <w:b/>
                <w:bCs/>
                <w:color w:val="000000"/>
              </w:rPr>
            </w:pPr>
            <w:r w:rsidRPr="001C7F89">
              <w:t>33</w:t>
            </w:r>
          </w:p>
        </w:tc>
        <w:tc>
          <w:tcPr>
            <w:tcW w:w="1372" w:type="dxa"/>
            <w:shd w:val="clear" w:color="auto" w:fill="F2F2F2" w:themeFill="background1" w:themeFillShade="F2"/>
            <w:vAlign w:val="top"/>
          </w:tcPr>
          <w:p w14:paraId="3E14AE43" w14:textId="17966F50" w:rsidR="00AB7A0C" w:rsidRPr="00930F6E" w:rsidRDefault="00AB7A0C" w:rsidP="00AB7A0C">
            <w:pPr>
              <w:spacing w:before="22" w:after="20"/>
              <w:jc w:val="center"/>
              <w:rPr>
                <w:rFonts w:cs="Arial"/>
                <w:color w:val="000000"/>
              </w:rPr>
            </w:pPr>
            <w:r w:rsidRPr="001C7F89">
              <w:t>£37,568.00</w:t>
            </w:r>
          </w:p>
        </w:tc>
        <w:tc>
          <w:tcPr>
            <w:tcW w:w="1372" w:type="dxa"/>
            <w:shd w:val="clear" w:color="auto" w:fill="F2F2F2" w:themeFill="background1" w:themeFillShade="F2"/>
            <w:vAlign w:val="top"/>
          </w:tcPr>
          <w:p w14:paraId="3A6E2412" w14:textId="04662A01" w:rsidR="00AB7A0C" w:rsidRPr="00930F6E" w:rsidRDefault="00AB7A0C" w:rsidP="00AB7A0C">
            <w:pPr>
              <w:spacing w:before="22" w:after="20"/>
              <w:jc w:val="center"/>
              <w:rPr>
                <w:rFonts w:cs="Arial"/>
                <w:color w:val="000000"/>
              </w:rPr>
            </w:pPr>
            <w:r w:rsidRPr="001C7F89">
              <w:t>£3,130.67</w:t>
            </w:r>
          </w:p>
        </w:tc>
        <w:tc>
          <w:tcPr>
            <w:tcW w:w="1277" w:type="dxa"/>
            <w:shd w:val="clear" w:color="auto" w:fill="F2F2F2" w:themeFill="background1" w:themeFillShade="F2"/>
            <w:vAlign w:val="top"/>
          </w:tcPr>
          <w:p w14:paraId="2E6A9750" w14:textId="104F2CDF" w:rsidR="00AB7A0C" w:rsidRPr="00930F6E" w:rsidRDefault="00AB7A0C" w:rsidP="00AB7A0C">
            <w:pPr>
              <w:spacing w:before="22" w:after="20"/>
              <w:jc w:val="center"/>
              <w:rPr>
                <w:rFonts w:cs="Arial"/>
                <w:color w:val="000000"/>
              </w:rPr>
            </w:pPr>
            <w:r w:rsidRPr="001C7F89">
              <w:t>£720.48</w:t>
            </w:r>
          </w:p>
        </w:tc>
        <w:tc>
          <w:tcPr>
            <w:tcW w:w="1277" w:type="dxa"/>
            <w:shd w:val="clear" w:color="auto" w:fill="F2F2F2" w:themeFill="background1" w:themeFillShade="F2"/>
            <w:vAlign w:val="top"/>
          </w:tcPr>
          <w:p w14:paraId="4A3BAA8F" w14:textId="676A710E" w:rsidR="00AB7A0C" w:rsidRPr="00930F6E" w:rsidRDefault="00AB7A0C" w:rsidP="00AB7A0C">
            <w:pPr>
              <w:spacing w:before="22" w:after="20"/>
              <w:jc w:val="center"/>
              <w:rPr>
                <w:rFonts w:cs="Arial"/>
                <w:color w:val="000000"/>
              </w:rPr>
            </w:pPr>
            <w:r w:rsidRPr="001C7F89">
              <w:t>£19.8753</w:t>
            </w:r>
          </w:p>
        </w:tc>
      </w:tr>
      <w:tr w:rsidR="00AB7A0C" w:rsidRPr="00930F6E" w14:paraId="42D5D96C" w14:textId="77777777" w:rsidTr="00963ABB">
        <w:trPr>
          <w:trHeight w:val="226"/>
        </w:trPr>
        <w:tc>
          <w:tcPr>
            <w:tcW w:w="1274" w:type="dxa"/>
            <w:vMerge/>
            <w:shd w:val="clear" w:color="auto" w:fill="F2F2F2" w:themeFill="background1" w:themeFillShade="F2"/>
          </w:tcPr>
          <w:p w14:paraId="386F3CF6" w14:textId="77777777" w:rsidR="00AB7A0C" w:rsidRPr="00930F6E" w:rsidRDefault="00AB7A0C" w:rsidP="00AB7A0C">
            <w:pPr>
              <w:spacing w:before="22" w:after="20"/>
              <w:jc w:val="center"/>
              <w:rPr>
                <w:rFonts w:cs="Arial"/>
                <w:color w:val="000000"/>
              </w:rPr>
            </w:pPr>
          </w:p>
        </w:tc>
        <w:tc>
          <w:tcPr>
            <w:tcW w:w="1272" w:type="dxa"/>
            <w:shd w:val="clear" w:color="auto" w:fill="F2F2F2" w:themeFill="background1" w:themeFillShade="F2"/>
            <w:vAlign w:val="top"/>
          </w:tcPr>
          <w:p w14:paraId="1E827951" w14:textId="43D3DBDB" w:rsidR="00AB7A0C" w:rsidRPr="00930F6E" w:rsidRDefault="00AB7A0C" w:rsidP="00AB7A0C">
            <w:pPr>
              <w:spacing w:before="22" w:after="20"/>
              <w:jc w:val="center"/>
              <w:rPr>
                <w:rFonts w:cs="Arial"/>
                <w:b/>
                <w:bCs/>
                <w:color w:val="000000"/>
              </w:rPr>
            </w:pPr>
            <w:r w:rsidRPr="001C7F89">
              <w:t>34</w:t>
            </w:r>
          </w:p>
        </w:tc>
        <w:tc>
          <w:tcPr>
            <w:tcW w:w="1372" w:type="dxa"/>
            <w:shd w:val="clear" w:color="auto" w:fill="F2F2F2" w:themeFill="background1" w:themeFillShade="F2"/>
            <w:vAlign w:val="top"/>
          </w:tcPr>
          <w:p w14:paraId="0E74EB00" w14:textId="535FD29A" w:rsidR="00AB7A0C" w:rsidRPr="00930F6E" w:rsidRDefault="00AB7A0C" w:rsidP="00AB7A0C">
            <w:pPr>
              <w:spacing w:before="22" w:after="20"/>
              <w:jc w:val="center"/>
              <w:rPr>
                <w:rFonts w:cs="Arial"/>
                <w:color w:val="000000"/>
              </w:rPr>
            </w:pPr>
            <w:r w:rsidRPr="001C7F89">
              <w:t>£38,553.00</w:t>
            </w:r>
          </w:p>
        </w:tc>
        <w:tc>
          <w:tcPr>
            <w:tcW w:w="1372" w:type="dxa"/>
            <w:shd w:val="clear" w:color="auto" w:fill="F2F2F2" w:themeFill="background1" w:themeFillShade="F2"/>
            <w:vAlign w:val="top"/>
          </w:tcPr>
          <w:p w14:paraId="366818EC" w14:textId="3055588D" w:rsidR="00AB7A0C" w:rsidRPr="00930F6E" w:rsidRDefault="00AB7A0C" w:rsidP="00AB7A0C">
            <w:pPr>
              <w:spacing w:before="22" w:after="20"/>
              <w:jc w:val="center"/>
              <w:rPr>
                <w:rFonts w:cs="Arial"/>
                <w:color w:val="000000"/>
              </w:rPr>
            </w:pPr>
            <w:r w:rsidRPr="001C7F89">
              <w:t>£3,212.75</w:t>
            </w:r>
          </w:p>
        </w:tc>
        <w:tc>
          <w:tcPr>
            <w:tcW w:w="1277" w:type="dxa"/>
            <w:shd w:val="clear" w:color="auto" w:fill="F2F2F2" w:themeFill="background1" w:themeFillShade="F2"/>
            <w:vAlign w:val="top"/>
          </w:tcPr>
          <w:p w14:paraId="5290D8DF" w14:textId="1F27B88A" w:rsidR="00AB7A0C" w:rsidRPr="00930F6E" w:rsidRDefault="00AB7A0C" w:rsidP="00AB7A0C">
            <w:pPr>
              <w:spacing w:before="22" w:after="20"/>
              <w:jc w:val="center"/>
              <w:rPr>
                <w:rFonts w:cs="Arial"/>
                <w:color w:val="000000"/>
              </w:rPr>
            </w:pPr>
            <w:r w:rsidRPr="001C7F89">
              <w:t>£739.37</w:t>
            </w:r>
          </w:p>
        </w:tc>
        <w:tc>
          <w:tcPr>
            <w:tcW w:w="1277" w:type="dxa"/>
            <w:shd w:val="clear" w:color="auto" w:fill="F2F2F2" w:themeFill="background1" w:themeFillShade="F2"/>
            <w:vAlign w:val="top"/>
          </w:tcPr>
          <w:p w14:paraId="19DCB343" w14:textId="7BF6E43D" w:rsidR="00AB7A0C" w:rsidRPr="00930F6E" w:rsidRDefault="00AB7A0C" w:rsidP="00AB7A0C">
            <w:pPr>
              <w:spacing w:before="22" w:after="20"/>
              <w:jc w:val="center"/>
              <w:rPr>
                <w:rFonts w:cs="Arial"/>
                <w:color w:val="000000"/>
              </w:rPr>
            </w:pPr>
            <w:r w:rsidRPr="001C7F89">
              <w:t>£20.3964</w:t>
            </w:r>
          </w:p>
        </w:tc>
      </w:tr>
      <w:tr w:rsidR="00AB7A0C" w:rsidRPr="00930F6E" w14:paraId="508F7346" w14:textId="77777777" w:rsidTr="00963ABB">
        <w:trPr>
          <w:trHeight w:val="226"/>
        </w:trPr>
        <w:tc>
          <w:tcPr>
            <w:tcW w:w="1274" w:type="dxa"/>
            <w:vMerge/>
            <w:shd w:val="clear" w:color="auto" w:fill="F2F2F2" w:themeFill="background1" w:themeFillShade="F2"/>
          </w:tcPr>
          <w:p w14:paraId="2102D409" w14:textId="77777777" w:rsidR="00AB7A0C" w:rsidRPr="00930F6E" w:rsidRDefault="00AB7A0C" w:rsidP="00AB7A0C">
            <w:pPr>
              <w:spacing w:before="22" w:after="20"/>
              <w:jc w:val="center"/>
              <w:rPr>
                <w:rFonts w:cs="Arial"/>
                <w:color w:val="000000"/>
              </w:rPr>
            </w:pPr>
          </w:p>
        </w:tc>
        <w:tc>
          <w:tcPr>
            <w:tcW w:w="1272" w:type="dxa"/>
            <w:shd w:val="clear" w:color="auto" w:fill="F2F2F2" w:themeFill="background1" w:themeFillShade="F2"/>
            <w:vAlign w:val="top"/>
          </w:tcPr>
          <w:p w14:paraId="048D21E8" w14:textId="6F46C096" w:rsidR="00AB7A0C" w:rsidRPr="00930F6E" w:rsidRDefault="00AB7A0C" w:rsidP="00AB7A0C">
            <w:pPr>
              <w:spacing w:before="22" w:after="20"/>
              <w:jc w:val="center"/>
              <w:rPr>
                <w:rFonts w:cs="Arial"/>
                <w:b/>
                <w:bCs/>
                <w:color w:val="000000"/>
              </w:rPr>
            </w:pPr>
            <w:r w:rsidRPr="001C7F89">
              <w:t>35</w:t>
            </w:r>
          </w:p>
        </w:tc>
        <w:tc>
          <w:tcPr>
            <w:tcW w:w="1372" w:type="dxa"/>
            <w:shd w:val="clear" w:color="auto" w:fill="F2F2F2" w:themeFill="background1" w:themeFillShade="F2"/>
            <w:vAlign w:val="top"/>
          </w:tcPr>
          <w:p w14:paraId="355A8372" w14:textId="13378A13" w:rsidR="00AB7A0C" w:rsidRPr="00930F6E" w:rsidRDefault="00AB7A0C" w:rsidP="00AB7A0C">
            <w:pPr>
              <w:spacing w:before="22" w:after="20"/>
              <w:jc w:val="center"/>
              <w:rPr>
                <w:rFonts w:cs="Arial"/>
                <w:color w:val="000000"/>
              </w:rPr>
            </w:pPr>
            <w:r w:rsidRPr="001C7F89">
              <w:t>£39,571.00</w:t>
            </w:r>
          </w:p>
        </w:tc>
        <w:tc>
          <w:tcPr>
            <w:tcW w:w="1372" w:type="dxa"/>
            <w:shd w:val="clear" w:color="auto" w:fill="F2F2F2" w:themeFill="background1" w:themeFillShade="F2"/>
            <w:vAlign w:val="top"/>
          </w:tcPr>
          <w:p w14:paraId="6C716ECC" w14:textId="4E2018BA" w:rsidR="00AB7A0C" w:rsidRPr="00930F6E" w:rsidRDefault="00AB7A0C" w:rsidP="00AB7A0C">
            <w:pPr>
              <w:spacing w:before="22" w:after="20"/>
              <w:jc w:val="center"/>
              <w:rPr>
                <w:rFonts w:cs="Arial"/>
                <w:color w:val="000000"/>
              </w:rPr>
            </w:pPr>
            <w:r w:rsidRPr="001C7F89">
              <w:t>£3,297.58</w:t>
            </w:r>
          </w:p>
        </w:tc>
        <w:tc>
          <w:tcPr>
            <w:tcW w:w="1277" w:type="dxa"/>
            <w:shd w:val="clear" w:color="auto" w:fill="F2F2F2" w:themeFill="background1" w:themeFillShade="F2"/>
            <w:vAlign w:val="top"/>
          </w:tcPr>
          <w:p w14:paraId="56B485C3" w14:textId="74B60169" w:rsidR="00AB7A0C" w:rsidRPr="00930F6E" w:rsidRDefault="00AB7A0C" w:rsidP="00AB7A0C">
            <w:pPr>
              <w:spacing w:before="22" w:after="20"/>
              <w:jc w:val="center"/>
              <w:rPr>
                <w:rFonts w:cs="Arial"/>
                <w:color w:val="000000"/>
              </w:rPr>
            </w:pPr>
            <w:r w:rsidRPr="001C7F89">
              <w:t>£758.90</w:t>
            </w:r>
          </w:p>
        </w:tc>
        <w:tc>
          <w:tcPr>
            <w:tcW w:w="1277" w:type="dxa"/>
            <w:shd w:val="clear" w:color="auto" w:fill="F2F2F2" w:themeFill="background1" w:themeFillShade="F2"/>
            <w:vAlign w:val="top"/>
          </w:tcPr>
          <w:p w14:paraId="667C7B34" w14:textId="76058075" w:rsidR="00AB7A0C" w:rsidRPr="00930F6E" w:rsidRDefault="00AB7A0C" w:rsidP="00AB7A0C">
            <w:pPr>
              <w:spacing w:before="22" w:after="20"/>
              <w:jc w:val="center"/>
              <w:rPr>
                <w:rFonts w:cs="Arial"/>
                <w:color w:val="000000"/>
              </w:rPr>
            </w:pPr>
            <w:r w:rsidRPr="001C7F89">
              <w:t>£20.9352</w:t>
            </w:r>
          </w:p>
        </w:tc>
      </w:tr>
      <w:tr w:rsidR="00AB7A0C" w:rsidRPr="00930F6E" w14:paraId="71D0215F" w14:textId="77777777" w:rsidTr="00963ABB">
        <w:trPr>
          <w:trHeight w:val="226"/>
        </w:trPr>
        <w:tc>
          <w:tcPr>
            <w:tcW w:w="1274" w:type="dxa"/>
            <w:vMerge/>
            <w:shd w:val="clear" w:color="auto" w:fill="F2F2F2" w:themeFill="background1" w:themeFillShade="F2"/>
          </w:tcPr>
          <w:p w14:paraId="2A462829" w14:textId="77777777" w:rsidR="00AB7A0C" w:rsidRPr="00930F6E" w:rsidRDefault="00AB7A0C" w:rsidP="00AB7A0C">
            <w:pPr>
              <w:spacing w:before="22" w:after="20"/>
              <w:jc w:val="center"/>
              <w:rPr>
                <w:rFonts w:cs="Arial"/>
                <w:color w:val="000000"/>
              </w:rPr>
            </w:pPr>
          </w:p>
        </w:tc>
        <w:tc>
          <w:tcPr>
            <w:tcW w:w="1272" w:type="dxa"/>
            <w:shd w:val="clear" w:color="auto" w:fill="F2F2F2" w:themeFill="background1" w:themeFillShade="F2"/>
            <w:vAlign w:val="top"/>
          </w:tcPr>
          <w:p w14:paraId="607F7DAA" w14:textId="35668EEA" w:rsidR="00AB7A0C" w:rsidRPr="00930F6E" w:rsidRDefault="00AB7A0C" w:rsidP="00AB7A0C">
            <w:pPr>
              <w:spacing w:before="22" w:after="20"/>
              <w:jc w:val="center"/>
              <w:rPr>
                <w:rFonts w:cs="Arial"/>
                <w:b/>
                <w:bCs/>
                <w:color w:val="000000"/>
              </w:rPr>
            </w:pPr>
            <w:r w:rsidRPr="001C7F89">
              <w:t>36</w:t>
            </w:r>
          </w:p>
        </w:tc>
        <w:tc>
          <w:tcPr>
            <w:tcW w:w="1372" w:type="dxa"/>
            <w:shd w:val="clear" w:color="auto" w:fill="F2F2F2" w:themeFill="background1" w:themeFillShade="F2"/>
            <w:vAlign w:val="top"/>
          </w:tcPr>
          <w:p w14:paraId="1604DB9F" w14:textId="2F1CF176" w:rsidR="00AB7A0C" w:rsidRPr="00930F6E" w:rsidRDefault="00AB7A0C" w:rsidP="00AB7A0C">
            <w:pPr>
              <w:spacing w:before="22" w:after="20"/>
              <w:jc w:val="center"/>
              <w:rPr>
                <w:rFonts w:cs="Arial"/>
                <w:color w:val="000000"/>
              </w:rPr>
            </w:pPr>
            <w:r w:rsidRPr="001C7F89">
              <w:t>£40,578.00</w:t>
            </w:r>
          </w:p>
        </w:tc>
        <w:tc>
          <w:tcPr>
            <w:tcW w:w="1372" w:type="dxa"/>
            <w:shd w:val="clear" w:color="auto" w:fill="F2F2F2" w:themeFill="background1" w:themeFillShade="F2"/>
            <w:vAlign w:val="top"/>
          </w:tcPr>
          <w:p w14:paraId="536A15B6" w14:textId="26ED7FC0" w:rsidR="00AB7A0C" w:rsidRPr="00930F6E" w:rsidRDefault="00AB7A0C" w:rsidP="00AB7A0C">
            <w:pPr>
              <w:spacing w:before="22" w:after="20"/>
              <w:jc w:val="center"/>
              <w:rPr>
                <w:rFonts w:cs="Arial"/>
                <w:color w:val="000000"/>
              </w:rPr>
            </w:pPr>
            <w:r w:rsidRPr="001C7F89">
              <w:t>£3,381.50</w:t>
            </w:r>
          </w:p>
        </w:tc>
        <w:tc>
          <w:tcPr>
            <w:tcW w:w="1277" w:type="dxa"/>
            <w:shd w:val="clear" w:color="auto" w:fill="F2F2F2" w:themeFill="background1" w:themeFillShade="F2"/>
            <w:vAlign w:val="top"/>
          </w:tcPr>
          <w:p w14:paraId="27CFD4BD" w14:textId="49A5CB40" w:rsidR="00AB7A0C" w:rsidRPr="00930F6E" w:rsidRDefault="00AB7A0C" w:rsidP="00AB7A0C">
            <w:pPr>
              <w:spacing w:before="22" w:after="20"/>
              <w:jc w:val="center"/>
              <w:rPr>
                <w:rFonts w:cs="Arial"/>
                <w:color w:val="000000"/>
              </w:rPr>
            </w:pPr>
            <w:r w:rsidRPr="001C7F89">
              <w:t>£778.21</w:t>
            </w:r>
          </w:p>
        </w:tc>
        <w:tc>
          <w:tcPr>
            <w:tcW w:w="1277" w:type="dxa"/>
            <w:shd w:val="clear" w:color="auto" w:fill="F2F2F2" w:themeFill="background1" w:themeFillShade="F2"/>
            <w:vAlign w:val="top"/>
          </w:tcPr>
          <w:p w14:paraId="6B212688" w14:textId="768A1C97" w:rsidR="00AB7A0C" w:rsidRPr="00930F6E" w:rsidRDefault="00AB7A0C" w:rsidP="00AB7A0C">
            <w:pPr>
              <w:spacing w:before="22" w:after="20"/>
              <w:jc w:val="center"/>
              <w:rPr>
                <w:rFonts w:cs="Arial"/>
                <w:color w:val="000000"/>
              </w:rPr>
            </w:pPr>
            <w:r w:rsidRPr="001C7F89">
              <w:t>£21.4679</w:t>
            </w:r>
          </w:p>
        </w:tc>
      </w:tr>
      <w:tr w:rsidR="00AB7A0C" w:rsidRPr="00930F6E" w14:paraId="468DE4E0" w14:textId="77777777" w:rsidTr="00963ABB">
        <w:trPr>
          <w:trHeight w:val="226"/>
        </w:trPr>
        <w:tc>
          <w:tcPr>
            <w:tcW w:w="1274" w:type="dxa"/>
            <w:vMerge/>
            <w:shd w:val="clear" w:color="auto" w:fill="F2F2F2" w:themeFill="background1" w:themeFillShade="F2"/>
          </w:tcPr>
          <w:p w14:paraId="589D1DFD" w14:textId="77777777" w:rsidR="00AB7A0C" w:rsidRPr="00930F6E" w:rsidRDefault="00AB7A0C" w:rsidP="00AB7A0C">
            <w:pPr>
              <w:spacing w:before="22" w:after="20"/>
              <w:jc w:val="center"/>
              <w:rPr>
                <w:rFonts w:cs="Arial"/>
                <w:color w:val="000000"/>
              </w:rPr>
            </w:pPr>
          </w:p>
        </w:tc>
        <w:tc>
          <w:tcPr>
            <w:tcW w:w="1272" w:type="dxa"/>
            <w:shd w:val="clear" w:color="auto" w:fill="F2F2F2" w:themeFill="background1" w:themeFillShade="F2"/>
            <w:vAlign w:val="top"/>
          </w:tcPr>
          <w:p w14:paraId="1E946315" w14:textId="2E308821" w:rsidR="00AB7A0C" w:rsidRPr="00930F6E" w:rsidRDefault="00AB7A0C" w:rsidP="00AB7A0C">
            <w:pPr>
              <w:spacing w:before="22" w:after="20"/>
              <w:jc w:val="center"/>
              <w:rPr>
                <w:rFonts w:cs="Arial"/>
                <w:b/>
                <w:bCs/>
                <w:color w:val="000000"/>
              </w:rPr>
            </w:pPr>
            <w:r w:rsidRPr="001C7F89">
              <w:t>37</w:t>
            </w:r>
          </w:p>
        </w:tc>
        <w:tc>
          <w:tcPr>
            <w:tcW w:w="1372" w:type="dxa"/>
            <w:shd w:val="clear" w:color="auto" w:fill="F2F2F2" w:themeFill="background1" w:themeFillShade="F2"/>
            <w:vAlign w:val="top"/>
          </w:tcPr>
          <w:p w14:paraId="3DA9CCE2" w14:textId="22206208" w:rsidR="00AB7A0C" w:rsidRPr="00930F6E" w:rsidRDefault="00AB7A0C" w:rsidP="00AB7A0C">
            <w:pPr>
              <w:spacing w:before="22" w:after="20"/>
              <w:jc w:val="center"/>
              <w:rPr>
                <w:rFonts w:cs="Arial"/>
                <w:color w:val="000000"/>
              </w:rPr>
            </w:pPr>
            <w:r w:rsidRPr="001C7F89">
              <w:t>£41,591.00</w:t>
            </w:r>
          </w:p>
        </w:tc>
        <w:tc>
          <w:tcPr>
            <w:tcW w:w="1372" w:type="dxa"/>
            <w:shd w:val="clear" w:color="auto" w:fill="F2F2F2" w:themeFill="background1" w:themeFillShade="F2"/>
            <w:vAlign w:val="top"/>
          </w:tcPr>
          <w:p w14:paraId="3625D30B" w14:textId="5212D5C3" w:rsidR="00AB7A0C" w:rsidRPr="00930F6E" w:rsidRDefault="00AB7A0C" w:rsidP="00AB7A0C">
            <w:pPr>
              <w:spacing w:before="22" w:after="20"/>
              <w:jc w:val="center"/>
              <w:rPr>
                <w:rFonts w:cs="Arial"/>
                <w:color w:val="000000"/>
              </w:rPr>
            </w:pPr>
            <w:r w:rsidRPr="001C7F89">
              <w:t>£3,465.92</w:t>
            </w:r>
          </w:p>
        </w:tc>
        <w:tc>
          <w:tcPr>
            <w:tcW w:w="1277" w:type="dxa"/>
            <w:shd w:val="clear" w:color="auto" w:fill="F2F2F2" w:themeFill="background1" w:themeFillShade="F2"/>
            <w:vAlign w:val="top"/>
          </w:tcPr>
          <w:p w14:paraId="641E17C6" w14:textId="7D9B2F8F" w:rsidR="00AB7A0C" w:rsidRPr="00930F6E" w:rsidRDefault="00AB7A0C" w:rsidP="00AB7A0C">
            <w:pPr>
              <w:spacing w:before="22" w:after="20"/>
              <w:jc w:val="center"/>
              <w:rPr>
                <w:rFonts w:cs="Arial"/>
                <w:color w:val="000000"/>
              </w:rPr>
            </w:pPr>
            <w:r w:rsidRPr="001C7F89">
              <w:t>£797.64</w:t>
            </w:r>
          </w:p>
        </w:tc>
        <w:tc>
          <w:tcPr>
            <w:tcW w:w="1277" w:type="dxa"/>
            <w:shd w:val="clear" w:color="auto" w:fill="F2F2F2" w:themeFill="background1" w:themeFillShade="F2"/>
            <w:vAlign w:val="top"/>
          </w:tcPr>
          <w:p w14:paraId="7182EB68" w14:textId="515D0A67" w:rsidR="00AB7A0C" w:rsidRPr="00930F6E" w:rsidRDefault="00AB7A0C" w:rsidP="00AB7A0C">
            <w:pPr>
              <w:spacing w:before="22" w:after="20"/>
              <w:jc w:val="center"/>
              <w:rPr>
                <w:rFonts w:cs="Arial"/>
                <w:color w:val="000000"/>
              </w:rPr>
            </w:pPr>
            <w:r w:rsidRPr="001C7F89">
              <w:t>£22.0039</w:t>
            </w:r>
          </w:p>
        </w:tc>
      </w:tr>
      <w:tr w:rsidR="00AB7A0C" w:rsidRPr="00930F6E" w14:paraId="4204CF9C" w14:textId="77777777" w:rsidTr="008B376D">
        <w:trPr>
          <w:trHeight w:val="226"/>
        </w:trPr>
        <w:tc>
          <w:tcPr>
            <w:tcW w:w="1274" w:type="dxa"/>
            <w:vMerge w:val="restart"/>
          </w:tcPr>
          <w:p w14:paraId="4C923506" w14:textId="77777777" w:rsidR="00AB7A0C" w:rsidRPr="00930F6E" w:rsidRDefault="00AB7A0C" w:rsidP="00AB7A0C">
            <w:pPr>
              <w:spacing w:before="22" w:after="20"/>
              <w:jc w:val="center"/>
              <w:rPr>
                <w:rFonts w:cs="Arial"/>
                <w:color w:val="000000"/>
              </w:rPr>
            </w:pPr>
            <w:r w:rsidRPr="00930F6E">
              <w:rPr>
                <w:rFonts w:cs="Arial"/>
                <w:color w:val="000000"/>
              </w:rPr>
              <w:t>9</w:t>
            </w:r>
          </w:p>
        </w:tc>
        <w:tc>
          <w:tcPr>
            <w:tcW w:w="1272" w:type="dxa"/>
            <w:vAlign w:val="top"/>
          </w:tcPr>
          <w:p w14:paraId="2009043E" w14:textId="32AD119A" w:rsidR="00AB7A0C" w:rsidRPr="00930F6E" w:rsidRDefault="00AB7A0C" w:rsidP="00AB7A0C">
            <w:pPr>
              <w:spacing w:before="22" w:after="20"/>
              <w:jc w:val="center"/>
              <w:rPr>
                <w:rFonts w:cs="Arial"/>
                <w:b/>
                <w:bCs/>
                <w:color w:val="000000"/>
              </w:rPr>
            </w:pPr>
            <w:r w:rsidRPr="001C7F89">
              <w:t>38</w:t>
            </w:r>
          </w:p>
        </w:tc>
        <w:tc>
          <w:tcPr>
            <w:tcW w:w="1372" w:type="dxa"/>
            <w:shd w:val="clear" w:color="auto" w:fill="auto"/>
            <w:vAlign w:val="top"/>
          </w:tcPr>
          <w:p w14:paraId="14F488EE" w14:textId="0A232AB7" w:rsidR="00AB7A0C" w:rsidRPr="00930F6E" w:rsidRDefault="00AB7A0C" w:rsidP="00AB7A0C">
            <w:pPr>
              <w:spacing w:before="22" w:after="20"/>
              <w:jc w:val="center"/>
              <w:rPr>
                <w:rFonts w:cs="Arial"/>
                <w:color w:val="000000"/>
              </w:rPr>
            </w:pPr>
            <w:r w:rsidRPr="001C7F89">
              <w:t>£42,614.00</w:t>
            </w:r>
          </w:p>
        </w:tc>
        <w:tc>
          <w:tcPr>
            <w:tcW w:w="1372" w:type="dxa"/>
            <w:shd w:val="clear" w:color="auto" w:fill="auto"/>
            <w:vAlign w:val="top"/>
          </w:tcPr>
          <w:p w14:paraId="0435D41A" w14:textId="2CF75CF5" w:rsidR="00AB7A0C" w:rsidRPr="00930F6E" w:rsidRDefault="00AB7A0C" w:rsidP="00AB7A0C">
            <w:pPr>
              <w:spacing w:before="22" w:after="20"/>
              <w:jc w:val="center"/>
              <w:rPr>
                <w:rFonts w:cs="Arial"/>
                <w:color w:val="000000"/>
              </w:rPr>
            </w:pPr>
            <w:r w:rsidRPr="001C7F89">
              <w:t>£3,551.17</w:t>
            </w:r>
          </w:p>
        </w:tc>
        <w:tc>
          <w:tcPr>
            <w:tcW w:w="1277" w:type="dxa"/>
            <w:shd w:val="clear" w:color="auto" w:fill="auto"/>
            <w:vAlign w:val="top"/>
          </w:tcPr>
          <w:p w14:paraId="2016A16B" w14:textId="64CF3FE3" w:rsidR="00AB7A0C" w:rsidRPr="00930F6E" w:rsidRDefault="00AB7A0C" w:rsidP="00AB7A0C">
            <w:pPr>
              <w:spacing w:before="22" w:after="20"/>
              <w:jc w:val="center"/>
              <w:rPr>
                <w:rFonts w:cs="Arial"/>
                <w:color w:val="000000"/>
              </w:rPr>
            </w:pPr>
            <w:r w:rsidRPr="001C7F89">
              <w:t>£817.25</w:t>
            </w:r>
          </w:p>
        </w:tc>
        <w:tc>
          <w:tcPr>
            <w:tcW w:w="1277" w:type="dxa"/>
            <w:shd w:val="clear" w:color="auto" w:fill="auto"/>
            <w:vAlign w:val="top"/>
          </w:tcPr>
          <w:p w14:paraId="1F3B53A6" w14:textId="1E988219" w:rsidR="00AB7A0C" w:rsidRPr="00930F6E" w:rsidRDefault="00AB7A0C" w:rsidP="00AB7A0C">
            <w:pPr>
              <w:spacing w:before="22" w:after="20"/>
              <w:jc w:val="center"/>
              <w:rPr>
                <w:rFonts w:cs="Arial"/>
                <w:color w:val="000000"/>
              </w:rPr>
            </w:pPr>
            <w:r w:rsidRPr="001C7F89">
              <w:t>£22.5448</w:t>
            </w:r>
          </w:p>
        </w:tc>
      </w:tr>
      <w:tr w:rsidR="00AB7A0C" w:rsidRPr="00930F6E" w14:paraId="28FD0070" w14:textId="77777777" w:rsidTr="008B376D">
        <w:trPr>
          <w:trHeight w:val="226"/>
        </w:trPr>
        <w:tc>
          <w:tcPr>
            <w:tcW w:w="1274" w:type="dxa"/>
            <w:vMerge/>
          </w:tcPr>
          <w:p w14:paraId="4D9D7860" w14:textId="77777777" w:rsidR="00AB7A0C" w:rsidRPr="00930F6E" w:rsidRDefault="00AB7A0C" w:rsidP="00AB7A0C">
            <w:pPr>
              <w:spacing w:before="22" w:after="20"/>
              <w:jc w:val="center"/>
              <w:rPr>
                <w:rFonts w:cs="Arial"/>
                <w:color w:val="000000"/>
              </w:rPr>
            </w:pPr>
          </w:p>
        </w:tc>
        <w:tc>
          <w:tcPr>
            <w:tcW w:w="1272" w:type="dxa"/>
            <w:vAlign w:val="top"/>
          </w:tcPr>
          <w:p w14:paraId="2D1FD983" w14:textId="7F04617E" w:rsidR="00AB7A0C" w:rsidRPr="00930F6E" w:rsidRDefault="00AB7A0C" w:rsidP="00AB7A0C">
            <w:pPr>
              <w:spacing w:before="22" w:after="20"/>
              <w:jc w:val="center"/>
              <w:rPr>
                <w:rFonts w:cs="Arial"/>
                <w:b/>
                <w:bCs/>
                <w:color w:val="000000"/>
              </w:rPr>
            </w:pPr>
            <w:r w:rsidRPr="001C7F89">
              <w:t>39</w:t>
            </w:r>
          </w:p>
        </w:tc>
        <w:tc>
          <w:tcPr>
            <w:tcW w:w="1372" w:type="dxa"/>
            <w:shd w:val="clear" w:color="auto" w:fill="auto"/>
            <w:vAlign w:val="top"/>
          </w:tcPr>
          <w:p w14:paraId="39E839E0" w14:textId="07E39B6E" w:rsidR="00AB7A0C" w:rsidRPr="00930F6E" w:rsidRDefault="00AB7A0C" w:rsidP="00AB7A0C">
            <w:pPr>
              <w:spacing w:before="22" w:after="20"/>
              <w:jc w:val="center"/>
              <w:rPr>
                <w:rFonts w:cs="Arial"/>
                <w:color w:val="000000"/>
              </w:rPr>
            </w:pPr>
            <w:r w:rsidRPr="001C7F89">
              <w:t>£43,570.00</w:t>
            </w:r>
          </w:p>
        </w:tc>
        <w:tc>
          <w:tcPr>
            <w:tcW w:w="1372" w:type="dxa"/>
            <w:shd w:val="clear" w:color="auto" w:fill="auto"/>
            <w:vAlign w:val="top"/>
          </w:tcPr>
          <w:p w14:paraId="1D012490" w14:textId="2B64EE62" w:rsidR="00AB7A0C" w:rsidRPr="00930F6E" w:rsidRDefault="00AB7A0C" w:rsidP="00AB7A0C">
            <w:pPr>
              <w:spacing w:before="22" w:after="20"/>
              <w:jc w:val="center"/>
              <w:rPr>
                <w:rFonts w:cs="Arial"/>
                <w:color w:val="000000"/>
              </w:rPr>
            </w:pPr>
            <w:r w:rsidRPr="001C7F89">
              <w:t>£3,630.83</w:t>
            </w:r>
          </w:p>
        </w:tc>
        <w:tc>
          <w:tcPr>
            <w:tcW w:w="1277" w:type="dxa"/>
            <w:shd w:val="clear" w:color="auto" w:fill="auto"/>
            <w:vAlign w:val="top"/>
          </w:tcPr>
          <w:p w14:paraId="4FE46827" w14:textId="32BCBFF9" w:rsidR="00AB7A0C" w:rsidRPr="00930F6E" w:rsidRDefault="00AB7A0C" w:rsidP="00AB7A0C">
            <w:pPr>
              <w:spacing w:before="22" w:after="20"/>
              <w:jc w:val="center"/>
              <w:rPr>
                <w:rFonts w:cs="Arial"/>
                <w:color w:val="000000"/>
              </w:rPr>
            </w:pPr>
            <w:r w:rsidRPr="001C7F89">
              <w:t>£835.59</w:t>
            </w:r>
          </w:p>
        </w:tc>
        <w:tc>
          <w:tcPr>
            <w:tcW w:w="1277" w:type="dxa"/>
            <w:shd w:val="clear" w:color="auto" w:fill="auto"/>
            <w:vAlign w:val="top"/>
          </w:tcPr>
          <w:p w14:paraId="087C70B8" w14:textId="1E0796B1" w:rsidR="00AB7A0C" w:rsidRPr="00930F6E" w:rsidRDefault="00AB7A0C" w:rsidP="00AB7A0C">
            <w:pPr>
              <w:spacing w:before="22" w:after="20"/>
              <w:jc w:val="center"/>
              <w:rPr>
                <w:rFonts w:cs="Arial"/>
                <w:color w:val="000000"/>
              </w:rPr>
            </w:pPr>
            <w:r w:rsidRPr="001C7F89">
              <w:t>£23.0508</w:t>
            </w:r>
          </w:p>
        </w:tc>
      </w:tr>
      <w:tr w:rsidR="00AB7A0C" w:rsidRPr="00930F6E" w14:paraId="26F7EE69" w14:textId="77777777" w:rsidTr="008B376D">
        <w:trPr>
          <w:trHeight w:val="226"/>
        </w:trPr>
        <w:tc>
          <w:tcPr>
            <w:tcW w:w="1274" w:type="dxa"/>
            <w:vMerge/>
          </w:tcPr>
          <w:p w14:paraId="0D068801" w14:textId="77777777" w:rsidR="00AB7A0C" w:rsidRPr="00930F6E" w:rsidRDefault="00AB7A0C" w:rsidP="00AB7A0C">
            <w:pPr>
              <w:spacing w:before="22" w:after="20"/>
              <w:jc w:val="center"/>
              <w:rPr>
                <w:rFonts w:cs="Arial"/>
                <w:color w:val="000000"/>
              </w:rPr>
            </w:pPr>
          </w:p>
        </w:tc>
        <w:tc>
          <w:tcPr>
            <w:tcW w:w="1272" w:type="dxa"/>
            <w:vAlign w:val="top"/>
          </w:tcPr>
          <w:p w14:paraId="4E9C547F" w14:textId="626800E7" w:rsidR="00AB7A0C" w:rsidRPr="00930F6E" w:rsidRDefault="00AB7A0C" w:rsidP="00AB7A0C">
            <w:pPr>
              <w:spacing w:before="22" w:after="20"/>
              <w:jc w:val="center"/>
              <w:rPr>
                <w:rFonts w:cs="Arial"/>
                <w:b/>
                <w:bCs/>
                <w:color w:val="000000"/>
              </w:rPr>
            </w:pPr>
            <w:r w:rsidRPr="001C7F89">
              <w:t>40</w:t>
            </w:r>
          </w:p>
        </w:tc>
        <w:tc>
          <w:tcPr>
            <w:tcW w:w="1372" w:type="dxa"/>
            <w:shd w:val="clear" w:color="auto" w:fill="auto"/>
            <w:vAlign w:val="top"/>
          </w:tcPr>
          <w:p w14:paraId="5E626693" w14:textId="162C9773" w:rsidR="00AB7A0C" w:rsidRPr="00930F6E" w:rsidRDefault="00AB7A0C" w:rsidP="00AB7A0C">
            <w:pPr>
              <w:spacing w:before="22" w:after="20"/>
              <w:jc w:val="center"/>
              <w:rPr>
                <w:rFonts w:cs="Arial"/>
                <w:color w:val="000000"/>
              </w:rPr>
            </w:pPr>
            <w:r w:rsidRPr="001C7F89">
              <w:t>£44,624.00</w:t>
            </w:r>
          </w:p>
        </w:tc>
        <w:tc>
          <w:tcPr>
            <w:tcW w:w="1372" w:type="dxa"/>
            <w:shd w:val="clear" w:color="auto" w:fill="auto"/>
            <w:vAlign w:val="top"/>
          </w:tcPr>
          <w:p w14:paraId="0005F876" w14:textId="63FC50A3" w:rsidR="00AB7A0C" w:rsidRPr="00930F6E" w:rsidRDefault="00AB7A0C" w:rsidP="00AB7A0C">
            <w:pPr>
              <w:spacing w:before="22" w:after="20"/>
              <w:jc w:val="center"/>
              <w:rPr>
                <w:rFonts w:cs="Arial"/>
                <w:color w:val="000000"/>
              </w:rPr>
            </w:pPr>
            <w:r w:rsidRPr="001C7F89">
              <w:t>£3,718.67</w:t>
            </w:r>
          </w:p>
        </w:tc>
        <w:tc>
          <w:tcPr>
            <w:tcW w:w="1277" w:type="dxa"/>
            <w:shd w:val="clear" w:color="auto" w:fill="auto"/>
            <w:vAlign w:val="top"/>
          </w:tcPr>
          <w:p w14:paraId="00197F4B" w14:textId="7AE687E1" w:rsidR="00AB7A0C" w:rsidRPr="00930F6E" w:rsidRDefault="00AB7A0C" w:rsidP="00AB7A0C">
            <w:pPr>
              <w:spacing w:before="22" w:after="20"/>
              <w:jc w:val="center"/>
              <w:rPr>
                <w:rFonts w:cs="Arial"/>
                <w:color w:val="000000"/>
              </w:rPr>
            </w:pPr>
            <w:r w:rsidRPr="001C7F89">
              <w:t>£855.80</w:t>
            </w:r>
          </w:p>
        </w:tc>
        <w:tc>
          <w:tcPr>
            <w:tcW w:w="1277" w:type="dxa"/>
            <w:shd w:val="clear" w:color="auto" w:fill="auto"/>
            <w:vAlign w:val="top"/>
          </w:tcPr>
          <w:p w14:paraId="6D350B1B" w14:textId="54FE3DB6" w:rsidR="00AB7A0C" w:rsidRPr="00930F6E" w:rsidRDefault="00AB7A0C" w:rsidP="00AB7A0C">
            <w:pPr>
              <w:spacing w:before="22" w:after="20"/>
              <w:jc w:val="center"/>
              <w:rPr>
                <w:rFonts w:cs="Arial"/>
                <w:color w:val="000000"/>
              </w:rPr>
            </w:pPr>
            <w:r w:rsidRPr="001C7F89">
              <w:t>£23.6083</w:t>
            </w:r>
          </w:p>
        </w:tc>
      </w:tr>
      <w:tr w:rsidR="00AB7A0C" w:rsidRPr="00930F6E" w14:paraId="7A428B83" w14:textId="77777777" w:rsidTr="008B376D">
        <w:trPr>
          <w:trHeight w:val="226"/>
        </w:trPr>
        <w:tc>
          <w:tcPr>
            <w:tcW w:w="1274" w:type="dxa"/>
            <w:vMerge/>
          </w:tcPr>
          <w:p w14:paraId="1081E8EC" w14:textId="77777777" w:rsidR="00AB7A0C" w:rsidRPr="00930F6E" w:rsidRDefault="00AB7A0C" w:rsidP="00AB7A0C">
            <w:pPr>
              <w:spacing w:before="22" w:after="20"/>
              <w:jc w:val="center"/>
              <w:rPr>
                <w:rFonts w:cs="Arial"/>
                <w:color w:val="000000"/>
              </w:rPr>
            </w:pPr>
          </w:p>
        </w:tc>
        <w:tc>
          <w:tcPr>
            <w:tcW w:w="1272" w:type="dxa"/>
            <w:vAlign w:val="top"/>
          </w:tcPr>
          <w:p w14:paraId="62D150BE" w14:textId="617E1439" w:rsidR="00AB7A0C" w:rsidRPr="00930F6E" w:rsidRDefault="00AB7A0C" w:rsidP="00AB7A0C">
            <w:pPr>
              <w:spacing w:before="22" w:after="20"/>
              <w:jc w:val="center"/>
              <w:rPr>
                <w:rFonts w:cs="Arial"/>
                <w:b/>
                <w:bCs/>
                <w:color w:val="000000"/>
              </w:rPr>
            </w:pPr>
            <w:r w:rsidRPr="001C7F89">
              <w:t>41</w:t>
            </w:r>
          </w:p>
        </w:tc>
        <w:tc>
          <w:tcPr>
            <w:tcW w:w="1372" w:type="dxa"/>
            <w:shd w:val="clear" w:color="auto" w:fill="auto"/>
            <w:vAlign w:val="top"/>
          </w:tcPr>
          <w:p w14:paraId="13136CE8" w14:textId="2D8BFCFF" w:rsidR="00AB7A0C" w:rsidRPr="00930F6E" w:rsidRDefault="00AB7A0C" w:rsidP="00AB7A0C">
            <w:pPr>
              <w:spacing w:before="22" w:after="20"/>
              <w:jc w:val="center"/>
              <w:rPr>
                <w:rFonts w:cs="Arial"/>
                <w:color w:val="000000"/>
              </w:rPr>
            </w:pPr>
            <w:r w:rsidRPr="001C7F89">
              <w:t>£45,648.00</w:t>
            </w:r>
          </w:p>
        </w:tc>
        <w:tc>
          <w:tcPr>
            <w:tcW w:w="1372" w:type="dxa"/>
            <w:shd w:val="clear" w:color="auto" w:fill="auto"/>
            <w:vAlign w:val="top"/>
          </w:tcPr>
          <w:p w14:paraId="6B45B8A0" w14:textId="2DC4EB3D" w:rsidR="00AB7A0C" w:rsidRPr="00930F6E" w:rsidRDefault="00AB7A0C" w:rsidP="00AB7A0C">
            <w:pPr>
              <w:spacing w:before="22" w:after="20"/>
              <w:jc w:val="center"/>
              <w:rPr>
                <w:rFonts w:cs="Arial"/>
                <w:color w:val="000000"/>
              </w:rPr>
            </w:pPr>
            <w:r w:rsidRPr="001C7F89">
              <w:t>£3,804.00</w:t>
            </w:r>
          </w:p>
        </w:tc>
        <w:tc>
          <w:tcPr>
            <w:tcW w:w="1277" w:type="dxa"/>
            <w:shd w:val="clear" w:color="auto" w:fill="auto"/>
            <w:vAlign w:val="top"/>
          </w:tcPr>
          <w:p w14:paraId="6CC8C2BD" w14:textId="5B721F54" w:rsidR="00AB7A0C" w:rsidRPr="00930F6E" w:rsidRDefault="00AB7A0C" w:rsidP="00AB7A0C">
            <w:pPr>
              <w:spacing w:before="22" w:after="20"/>
              <w:jc w:val="center"/>
              <w:rPr>
                <w:rFonts w:cs="Arial"/>
                <w:color w:val="000000"/>
              </w:rPr>
            </w:pPr>
            <w:r w:rsidRPr="001C7F89">
              <w:t>£875.44</w:t>
            </w:r>
          </w:p>
        </w:tc>
        <w:tc>
          <w:tcPr>
            <w:tcW w:w="1277" w:type="dxa"/>
            <w:shd w:val="clear" w:color="auto" w:fill="auto"/>
            <w:vAlign w:val="top"/>
          </w:tcPr>
          <w:p w14:paraId="6CE3CD29" w14:textId="67A6850A" w:rsidR="00AB7A0C" w:rsidRPr="00930F6E" w:rsidRDefault="00AB7A0C" w:rsidP="00AB7A0C">
            <w:pPr>
              <w:spacing w:before="22" w:after="20"/>
              <w:jc w:val="center"/>
              <w:rPr>
                <w:rFonts w:cs="Arial"/>
                <w:color w:val="000000"/>
              </w:rPr>
            </w:pPr>
            <w:r w:rsidRPr="001C7F89">
              <w:t>£24.1501</w:t>
            </w:r>
          </w:p>
        </w:tc>
      </w:tr>
      <w:tr w:rsidR="00AB7A0C" w:rsidRPr="00930F6E" w14:paraId="7845A459" w14:textId="77777777" w:rsidTr="008B376D">
        <w:trPr>
          <w:trHeight w:val="226"/>
        </w:trPr>
        <w:tc>
          <w:tcPr>
            <w:tcW w:w="1274" w:type="dxa"/>
            <w:vMerge/>
          </w:tcPr>
          <w:p w14:paraId="65EF16E6" w14:textId="77777777" w:rsidR="00AB7A0C" w:rsidRPr="00930F6E" w:rsidRDefault="00AB7A0C" w:rsidP="00AB7A0C">
            <w:pPr>
              <w:spacing w:before="22" w:after="20"/>
              <w:jc w:val="center"/>
              <w:rPr>
                <w:rFonts w:cs="Arial"/>
                <w:color w:val="000000"/>
              </w:rPr>
            </w:pPr>
          </w:p>
        </w:tc>
        <w:tc>
          <w:tcPr>
            <w:tcW w:w="1272" w:type="dxa"/>
            <w:vAlign w:val="top"/>
          </w:tcPr>
          <w:p w14:paraId="204E6E91" w14:textId="21A245C8" w:rsidR="00AB7A0C" w:rsidRPr="00930F6E" w:rsidRDefault="00AB7A0C" w:rsidP="00AB7A0C">
            <w:pPr>
              <w:spacing w:before="22" w:after="20"/>
              <w:jc w:val="center"/>
              <w:rPr>
                <w:rFonts w:cs="Arial"/>
                <w:b/>
                <w:bCs/>
                <w:color w:val="000000"/>
              </w:rPr>
            </w:pPr>
            <w:r w:rsidRPr="001C7F89">
              <w:t>42</w:t>
            </w:r>
          </w:p>
        </w:tc>
        <w:tc>
          <w:tcPr>
            <w:tcW w:w="1372" w:type="dxa"/>
            <w:shd w:val="clear" w:color="auto" w:fill="auto"/>
            <w:vAlign w:val="top"/>
          </w:tcPr>
          <w:p w14:paraId="7BF4718F" w14:textId="00D802FE" w:rsidR="00AB7A0C" w:rsidRPr="00930F6E" w:rsidRDefault="00AB7A0C" w:rsidP="00AB7A0C">
            <w:pPr>
              <w:spacing w:before="22" w:after="20"/>
              <w:jc w:val="center"/>
              <w:rPr>
                <w:rFonts w:cs="Arial"/>
                <w:color w:val="000000"/>
              </w:rPr>
            </w:pPr>
            <w:r w:rsidRPr="001C7F89">
              <w:t>£46,662.00</w:t>
            </w:r>
          </w:p>
        </w:tc>
        <w:tc>
          <w:tcPr>
            <w:tcW w:w="1372" w:type="dxa"/>
            <w:shd w:val="clear" w:color="auto" w:fill="auto"/>
            <w:vAlign w:val="top"/>
          </w:tcPr>
          <w:p w14:paraId="6BB586B0" w14:textId="24B75669" w:rsidR="00AB7A0C" w:rsidRPr="00930F6E" w:rsidRDefault="00AB7A0C" w:rsidP="00AB7A0C">
            <w:pPr>
              <w:spacing w:before="22" w:after="20"/>
              <w:jc w:val="center"/>
              <w:rPr>
                <w:rFonts w:cs="Arial"/>
                <w:color w:val="000000"/>
              </w:rPr>
            </w:pPr>
            <w:r w:rsidRPr="001C7F89">
              <w:t>£3,888.50</w:t>
            </w:r>
          </w:p>
        </w:tc>
        <w:tc>
          <w:tcPr>
            <w:tcW w:w="1277" w:type="dxa"/>
            <w:shd w:val="clear" w:color="auto" w:fill="auto"/>
            <w:vAlign w:val="top"/>
          </w:tcPr>
          <w:p w14:paraId="2DFD0500" w14:textId="088E19F8" w:rsidR="00AB7A0C" w:rsidRPr="00930F6E" w:rsidRDefault="00AB7A0C" w:rsidP="00AB7A0C">
            <w:pPr>
              <w:spacing w:before="22" w:after="20"/>
              <w:jc w:val="center"/>
              <w:rPr>
                <w:rFonts w:cs="Arial"/>
                <w:color w:val="000000"/>
              </w:rPr>
            </w:pPr>
            <w:r w:rsidRPr="001C7F89">
              <w:t>£894.89</w:t>
            </w:r>
          </w:p>
        </w:tc>
        <w:tc>
          <w:tcPr>
            <w:tcW w:w="1277" w:type="dxa"/>
            <w:shd w:val="clear" w:color="auto" w:fill="auto"/>
            <w:vAlign w:val="top"/>
          </w:tcPr>
          <w:p w14:paraId="5EB59C9A" w14:textId="285430E3" w:rsidR="00AB7A0C" w:rsidRPr="00930F6E" w:rsidRDefault="00AB7A0C" w:rsidP="00AB7A0C">
            <w:pPr>
              <w:spacing w:before="22" w:after="20"/>
              <w:jc w:val="center"/>
              <w:rPr>
                <w:rFonts w:cs="Arial"/>
                <w:color w:val="000000"/>
              </w:rPr>
            </w:pPr>
            <w:r w:rsidRPr="001C7F89">
              <w:t>£24.6866</w:t>
            </w:r>
          </w:p>
        </w:tc>
      </w:tr>
      <w:tr w:rsidR="00AB7A0C" w:rsidRPr="00930F6E" w14:paraId="67A352F5" w14:textId="77777777" w:rsidTr="00963ABB">
        <w:trPr>
          <w:trHeight w:val="226"/>
        </w:trPr>
        <w:tc>
          <w:tcPr>
            <w:tcW w:w="1274" w:type="dxa"/>
            <w:vMerge w:val="restart"/>
            <w:shd w:val="clear" w:color="auto" w:fill="F2F2F2" w:themeFill="background1" w:themeFillShade="F2"/>
          </w:tcPr>
          <w:p w14:paraId="22BED375" w14:textId="77777777" w:rsidR="00AB7A0C" w:rsidRPr="00930F6E" w:rsidRDefault="00AB7A0C" w:rsidP="00AB7A0C">
            <w:pPr>
              <w:spacing w:before="22" w:after="20"/>
              <w:jc w:val="center"/>
              <w:rPr>
                <w:rFonts w:cs="Arial"/>
                <w:color w:val="000000"/>
              </w:rPr>
            </w:pPr>
            <w:r w:rsidRPr="00930F6E">
              <w:rPr>
                <w:rFonts w:cs="Arial"/>
                <w:color w:val="000000"/>
              </w:rPr>
              <w:t>10</w:t>
            </w:r>
          </w:p>
        </w:tc>
        <w:tc>
          <w:tcPr>
            <w:tcW w:w="1272" w:type="dxa"/>
            <w:shd w:val="clear" w:color="auto" w:fill="F2F2F2" w:themeFill="background1" w:themeFillShade="F2"/>
            <w:vAlign w:val="top"/>
          </w:tcPr>
          <w:p w14:paraId="0DC3035A" w14:textId="102728D3" w:rsidR="00AB7A0C" w:rsidRPr="00930F6E" w:rsidRDefault="00AB7A0C" w:rsidP="00AB7A0C">
            <w:pPr>
              <w:spacing w:before="22" w:after="20"/>
              <w:jc w:val="center"/>
              <w:rPr>
                <w:rFonts w:cs="Arial"/>
                <w:b/>
                <w:bCs/>
                <w:color w:val="000000"/>
              </w:rPr>
            </w:pPr>
            <w:r w:rsidRPr="001C7F89">
              <w:t>43</w:t>
            </w:r>
          </w:p>
        </w:tc>
        <w:tc>
          <w:tcPr>
            <w:tcW w:w="1372" w:type="dxa"/>
            <w:shd w:val="clear" w:color="auto" w:fill="F2F2F2" w:themeFill="background1" w:themeFillShade="F2"/>
            <w:vAlign w:val="top"/>
          </w:tcPr>
          <w:p w14:paraId="0D6450FD" w14:textId="7D58F8C3" w:rsidR="00AB7A0C" w:rsidRPr="00930F6E" w:rsidRDefault="00AB7A0C" w:rsidP="00AB7A0C">
            <w:pPr>
              <w:spacing w:before="22" w:after="20"/>
              <w:jc w:val="center"/>
              <w:rPr>
                <w:rFonts w:cs="Arial"/>
                <w:color w:val="000000"/>
              </w:rPr>
            </w:pPr>
            <w:r w:rsidRPr="001C7F89">
              <w:t>£47,665.00</w:t>
            </w:r>
          </w:p>
        </w:tc>
        <w:tc>
          <w:tcPr>
            <w:tcW w:w="1372" w:type="dxa"/>
            <w:shd w:val="clear" w:color="auto" w:fill="F2F2F2" w:themeFill="background1" w:themeFillShade="F2"/>
            <w:vAlign w:val="top"/>
          </w:tcPr>
          <w:p w14:paraId="5C83C3B7" w14:textId="5D4FC174" w:rsidR="00AB7A0C" w:rsidRPr="00930F6E" w:rsidRDefault="00AB7A0C" w:rsidP="00AB7A0C">
            <w:pPr>
              <w:spacing w:before="22" w:after="20"/>
              <w:jc w:val="center"/>
              <w:rPr>
                <w:rFonts w:cs="Arial"/>
                <w:color w:val="000000"/>
              </w:rPr>
            </w:pPr>
            <w:r w:rsidRPr="001C7F89">
              <w:t>£3,972.08</w:t>
            </w:r>
          </w:p>
        </w:tc>
        <w:tc>
          <w:tcPr>
            <w:tcW w:w="1277" w:type="dxa"/>
            <w:shd w:val="clear" w:color="auto" w:fill="F2F2F2" w:themeFill="background1" w:themeFillShade="F2"/>
            <w:vAlign w:val="top"/>
          </w:tcPr>
          <w:p w14:paraId="45F81A19" w14:textId="162545B2" w:rsidR="00AB7A0C" w:rsidRPr="00930F6E" w:rsidRDefault="00AB7A0C" w:rsidP="00AB7A0C">
            <w:pPr>
              <w:spacing w:before="22" w:after="20"/>
              <w:jc w:val="center"/>
              <w:rPr>
                <w:rFonts w:cs="Arial"/>
                <w:color w:val="000000"/>
              </w:rPr>
            </w:pPr>
            <w:r w:rsidRPr="001C7F89">
              <w:t>£914.12</w:t>
            </w:r>
          </w:p>
        </w:tc>
        <w:tc>
          <w:tcPr>
            <w:tcW w:w="1277" w:type="dxa"/>
            <w:shd w:val="clear" w:color="auto" w:fill="F2F2F2" w:themeFill="background1" w:themeFillShade="F2"/>
            <w:vAlign w:val="top"/>
          </w:tcPr>
          <w:p w14:paraId="5A0E0A05" w14:textId="32F3E254" w:rsidR="00AB7A0C" w:rsidRPr="00930F6E" w:rsidRDefault="00AB7A0C" w:rsidP="00AB7A0C">
            <w:pPr>
              <w:spacing w:before="22" w:after="20"/>
              <w:jc w:val="center"/>
              <w:rPr>
                <w:rFonts w:cs="Arial"/>
                <w:color w:val="000000"/>
              </w:rPr>
            </w:pPr>
            <w:r w:rsidRPr="001C7F89">
              <w:t>£25.2171</w:t>
            </w:r>
          </w:p>
        </w:tc>
      </w:tr>
      <w:tr w:rsidR="00AB7A0C" w:rsidRPr="00930F6E" w14:paraId="175D973D" w14:textId="77777777" w:rsidTr="00963ABB">
        <w:trPr>
          <w:trHeight w:val="226"/>
        </w:trPr>
        <w:tc>
          <w:tcPr>
            <w:tcW w:w="1274" w:type="dxa"/>
            <w:vMerge/>
            <w:shd w:val="clear" w:color="auto" w:fill="F2F2F2" w:themeFill="background1" w:themeFillShade="F2"/>
          </w:tcPr>
          <w:p w14:paraId="7FB2657B" w14:textId="77777777" w:rsidR="00AB7A0C" w:rsidRPr="00930F6E" w:rsidRDefault="00AB7A0C" w:rsidP="00AB7A0C">
            <w:pPr>
              <w:spacing w:before="22" w:after="20"/>
              <w:jc w:val="center"/>
              <w:rPr>
                <w:rFonts w:cs="Arial"/>
                <w:color w:val="000000"/>
              </w:rPr>
            </w:pPr>
          </w:p>
        </w:tc>
        <w:tc>
          <w:tcPr>
            <w:tcW w:w="1272" w:type="dxa"/>
            <w:shd w:val="clear" w:color="auto" w:fill="F2F2F2" w:themeFill="background1" w:themeFillShade="F2"/>
            <w:vAlign w:val="top"/>
          </w:tcPr>
          <w:p w14:paraId="79EC0FC6" w14:textId="66320388" w:rsidR="00AB7A0C" w:rsidRPr="00930F6E" w:rsidRDefault="00AB7A0C" w:rsidP="00AB7A0C">
            <w:pPr>
              <w:spacing w:before="22" w:after="20"/>
              <w:jc w:val="center"/>
              <w:rPr>
                <w:rFonts w:cs="Arial"/>
                <w:b/>
                <w:bCs/>
              </w:rPr>
            </w:pPr>
            <w:r w:rsidRPr="001C7F89">
              <w:t>44</w:t>
            </w:r>
          </w:p>
        </w:tc>
        <w:tc>
          <w:tcPr>
            <w:tcW w:w="1372" w:type="dxa"/>
            <w:shd w:val="clear" w:color="auto" w:fill="F2F2F2" w:themeFill="background1" w:themeFillShade="F2"/>
            <w:vAlign w:val="top"/>
          </w:tcPr>
          <w:p w14:paraId="702614F0" w14:textId="4EFB034E" w:rsidR="00AB7A0C" w:rsidRPr="00930F6E" w:rsidRDefault="00AB7A0C" w:rsidP="00AB7A0C">
            <w:pPr>
              <w:spacing w:before="22" w:after="20"/>
              <w:jc w:val="center"/>
              <w:rPr>
                <w:rFonts w:cs="Arial"/>
              </w:rPr>
            </w:pPr>
            <w:r w:rsidRPr="001C7F89">
              <w:t>£48,683.00</w:t>
            </w:r>
          </w:p>
        </w:tc>
        <w:tc>
          <w:tcPr>
            <w:tcW w:w="1372" w:type="dxa"/>
            <w:shd w:val="clear" w:color="auto" w:fill="F2F2F2" w:themeFill="background1" w:themeFillShade="F2"/>
            <w:vAlign w:val="top"/>
          </w:tcPr>
          <w:p w14:paraId="7FFE3EAF" w14:textId="272AFF84" w:rsidR="00AB7A0C" w:rsidRPr="00930F6E" w:rsidRDefault="00AB7A0C" w:rsidP="00AB7A0C">
            <w:pPr>
              <w:spacing w:before="22" w:after="20"/>
              <w:jc w:val="center"/>
              <w:rPr>
                <w:rFonts w:cs="Arial"/>
              </w:rPr>
            </w:pPr>
            <w:r w:rsidRPr="001C7F89">
              <w:t>£4,056.92</w:t>
            </w:r>
          </w:p>
        </w:tc>
        <w:tc>
          <w:tcPr>
            <w:tcW w:w="1277" w:type="dxa"/>
            <w:shd w:val="clear" w:color="auto" w:fill="F2F2F2" w:themeFill="background1" w:themeFillShade="F2"/>
            <w:vAlign w:val="top"/>
          </w:tcPr>
          <w:p w14:paraId="57B7B762" w14:textId="0A33BC7D" w:rsidR="00AB7A0C" w:rsidRPr="00930F6E" w:rsidRDefault="00AB7A0C" w:rsidP="00AB7A0C">
            <w:pPr>
              <w:spacing w:before="22" w:after="20"/>
              <w:jc w:val="center"/>
              <w:rPr>
                <w:rFonts w:cs="Arial"/>
              </w:rPr>
            </w:pPr>
            <w:r w:rsidRPr="001C7F89">
              <w:t>£933.65</w:t>
            </w:r>
          </w:p>
        </w:tc>
        <w:tc>
          <w:tcPr>
            <w:tcW w:w="1277" w:type="dxa"/>
            <w:shd w:val="clear" w:color="auto" w:fill="F2F2F2" w:themeFill="background1" w:themeFillShade="F2"/>
            <w:vAlign w:val="top"/>
          </w:tcPr>
          <w:p w14:paraId="3E031586" w14:textId="16F6D80C" w:rsidR="00AB7A0C" w:rsidRPr="00930F6E" w:rsidRDefault="00AB7A0C" w:rsidP="00AB7A0C">
            <w:pPr>
              <w:spacing w:before="22" w:after="20"/>
              <w:jc w:val="center"/>
              <w:rPr>
                <w:rFonts w:cs="Arial"/>
              </w:rPr>
            </w:pPr>
            <w:r w:rsidRPr="001C7F89">
              <w:t>£25.7559</w:t>
            </w:r>
          </w:p>
        </w:tc>
      </w:tr>
      <w:tr w:rsidR="00AB7A0C" w:rsidRPr="00930F6E" w14:paraId="66B59165" w14:textId="77777777" w:rsidTr="00963ABB">
        <w:trPr>
          <w:trHeight w:val="226"/>
        </w:trPr>
        <w:tc>
          <w:tcPr>
            <w:tcW w:w="1274" w:type="dxa"/>
            <w:vMerge/>
            <w:shd w:val="clear" w:color="auto" w:fill="F2F2F2" w:themeFill="background1" w:themeFillShade="F2"/>
          </w:tcPr>
          <w:p w14:paraId="7C7FC5AA" w14:textId="77777777" w:rsidR="00AB7A0C" w:rsidRPr="00930F6E" w:rsidRDefault="00AB7A0C" w:rsidP="00AB7A0C">
            <w:pPr>
              <w:spacing w:before="22" w:after="20"/>
              <w:jc w:val="center"/>
              <w:rPr>
                <w:rFonts w:cs="Arial"/>
                <w:color w:val="000000"/>
              </w:rPr>
            </w:pPr>
          </w:p>
        </w:tc>
        <w:tc>
          <w:tcPr>
            <w:tcW w:w="1272" w:type="dxa"/>
            <w:shd w:val="clear" w:color="auto" w:fill="F2F2F2" w:themeFill="background1" w:themeFillShade="F2"/>
            <w:vAlign w:val="top"/>
          </w:tcPr>
          <w:p w14:paraId="4CCF080A" w14:textId="04BD90F8" w:rsidR="00AB7A0C" w:rsidRPr="00930F6E" w:rsidRDefault="00AB7A0C" w:rsidP="00AB7A0C">
            <w:pPr>
              <w:spacing w:before="22" w:after="20"/>
              <w:jc w:val="center"/>
              <w:rPr>
                <w:rFonts w:cs="Arial"/>
                <w:b/>
                <w:bCs/>
              </w:rPr>
            </w:pPr>
            <w:r w:rsidRPr="001C7F89">
              <w:t>45</w:t>
            </w:r>
          </w:p>
        </w:tc>
        <w:tc>
          <w:tcPr>
            <w:tcW w:w="1372" w:type="dxa"/>
            <w:shd w:val="clear" w:color="auto" w:fill="F2F2F2" w:themeFill="background1" w:themeFillShade="F2"/>
            <w:vAlign w:val="top"/>
          </w:tcPr>
          <w:p w14:paraId="3D743615" w14:textId="7E25D7DD" w:rsidR="00AB7A0C" w:rsidRPr="00930F6E" w:rsidRDefault="00AB7A0C" w:rsidP="00AB7A0C">
            <w:pPr>
              <w:spacing w:before="22" w:after="20"/>
              <w:jc w:val="center"/>
              <w:rPr>
                <w:rFonts w:cs="Arial"/>
              </w:rPr>
            </w:pPr>
            <w:r w:rsidRPr="001C7F89">
              <w:t>£49,728.00</w:t>
            </w:r>
          </w:p>
        </w:tc>
        <w:tc>
          <w:tcPr>
            <w:tcW w:w="1372" w:type="dxa"/>
            <w:shd w:val="clear" w:color="auto" w:fill="F2F2F2" w:themeFill="background1" w:themeFillShade="F2"/>
            <w:vAlign w:val="top"/>
          </w:tcPr>
          <w:p w14:paraId="2E4BA44A" w14:textId="3843BC78" w:rsidR="00AB7A0C" w:rsidRPr="00930F6E" w:rsidRDefault="00AB7A0C" w:rsidP="00AB7A0C">
            <w:pPr>
              <w:spacing w:before="22" w:after="20"/>
              <w:jc w:val="center"/>
              <w:rPr>
                <w:rFonts w:cs="Arial"/>
              </w:rPr>
            </w:pPr>
            <w:r w:rsidRPr="001C7F89">
              <w:t>£4,144.00</w:t>
            </w:r>
          </w:p>
        </w:tc>
        <w:tc>
          <w:tcPr>
            <w:tcW w:w="1277" w:type="dxa"/>
            <w:shd w:val="clear" w:color="auto" w:fill="F2F2F2" w:themeFill="background1" w:themeFillShade="F2"/>
            <w:vAlign w:val="top"/>
          </w:tcPr>
          <w:p w14:paraId="26EA6A80" w14:textId="78B635DA" w:rsidR="00AB7A0C" w:rsidRPr="00930F6E" w:rsidRDefault="00AB7A0C" w:rsidP="00AB7A0C">
            <w:pPr>
              <w:spacing w:before="22" w:after="20"/>
              <w:jc w:val="center"/>
              <w:rPr>
                <w:rFonts w:cs="Arial"/>
              </w:rPr>
            </w:pPr>
            <w:r w:rsidRPr="001C7F89">
              <w:t>£953.69</w:t>
            </w:r>
          </w:p>
        </w:tc>
        <w:tc>
          <w:tcPr>
            <w:tcW w:w="1277" w:type="dxa"/>
            <w:shd w:val="clear" w:color="auto" w:fill="F2F2F2" w:themeFill="background1" w:themeFillShade="F2"/>
            <w:vAlign w:val="top"/>
          </w:tcPr>
          <w:p w14:paraId="0A046C26" w14:textId="16FE50FC" w:rsidR="00AB7A0C" w:rsidRPr="00930F6E" w:rsidRDefault="00AB7A0C" w:rsidP="00AB7A0C">
            <w:pPr>
              <w:spacing w:before="22" w:after="20"/>
              <w:jc w:val="center"/>
              <w:rPr>
                <w:rFonts w:cs="Arial"/>
              </w:rPr>
            </w:pPr>
            <w:r w:rsidRPr="001C7F89">
              <w:t>£26.3087</w:t>
            </w:r>
          </w:p>
        </w:tc>
      </w:tr>
      <w:tr w:rsidR="00AB7A0C" w:rsidRPr="00930F6E" w14:paraId="56A06C9D" w14:textId="77777777" w:rsidTr="00963ABB">
        <w:trPr>
          <w:trHeight w:val="226"/>
        </w:trPr>
        <w:tc>
          <w:tcPr>
            <w:tcW w:w="1274" w:type="dxa"/>
            <w:vMerge/>
            <w:shd w:val="clear" w:color="auto" w:fill="F2F2F2" w:themeFill="background1" w:themeFillShade="F2"/>
          </w:tcPr>
          <w:p w14:paraId="5E97B43E" w14:textId="77777777" w:rsidR="00AB7A0C" w:rsidRPr="00930F6E" w:rsidRDefault="00AB7A0C" w:rsidP="00AB7A0C">
            <w:pPr>
              <w:spacing w:before="22" w:after="20"/>
              <w:jc w:val="center"/>
              <w:rPr>
                <w:rFonts w:cs="Arial"/>
                <w:color w:val="000000"/>
              </w:rPr>
            </w:pPr>
          </w:p>
        </w:tc>
        <w:tc>
          <w:tcPr>
            <w:tcW w:w="1272" w:type="dxa"/>
            <w:shd w:val="clear" w:color="auto" w:fill="F2F2F2" w:themeFill="background1" w:themeFillShade="F2"/>
            <w:vAlign w:val="top"/>
          </w:tcPr>
          <w:p w14:paraId="7CEAA595" w14:textId="779BFBEE" w:rsidR="00AB7A0C" w:rsidRPr="00930F6E" w:rsidRDefault="00AB7A0C" w:rsidP="00AB7A0C">
            <w:pPr>
              <w:spacing w:before="22" w:after="20"/>
              <w:jc w:val="center"/>
              <w:rPr>
                <w:rFonts w:cs="Arial"/>
                <w:b/>
                <w:bCs/>
              </w:rPr>
            </w:pPr>
            <w:r w:rsidRPr="001C7F89">
              <w:t>46</w:t>
            </w:r>
          </w:p>
        </w:tc>
        <w:tc>
          <w:tcPr>
            <w:tcW w:w="1372" w:type="dxa"/>
            <w:shd w:val="clear" w:color="auto" w:fill="F2F2F2" w:themeFill="background1" w:themeFillShade="F2"/>
            <w:vAlign w:val="top"/>
          </w:tcPr>
          <w:p w14:paraId="50DF3705" w14:textId="09D49795" w:rsidR="00AB7A0C" w:rsidRPr="00930F6E" w:rsidRDefault="00AB7A0C" w:rsidP="00AB7A0C">
            <w:pPr>
              <w:spacing w:before="22" w:after="20"/>
              <w:jc w:val="center"/>
              <w:rPr>
                <w:rFonts w:cs="Arial"/>
              </w:rPr>
            </w:pPr>
            <w:r w:rsidRPr="001C7F89">
              <w:t>£50,787.00</w:t>
            </w:r>
          </w:p>
        </w:tc>
        <w:tc>
          <w:tcPr>
            <w:tcW w:w="1372" w:type="dxa"/>
            <w:shd w:val="clear" w:color="auto" w:fill="F2F2F2" w:themeFill="background1" w:themeFillShade="F2"/>
            <w:vAlign w:val="top"/>
          </w:tcPr>
          <w:p w14:paraId="1E4E9841" w14:textId="7F8C379F" w:rsidR="00AB7A0C" w:rsidRPr="00930F6E" w:rsidRDefault="00AB7A0C" w:rsidP="00AB7A0C">
            <w:pPr>
              <w:spacing w:before="22" w:after="20"/>
              <w:jc w:val="center"/>
              <w:rPr>
                <w:rFonts w:cs="Arial"/>
              </w:rPr>
            </w:pPr>
            <w:r w:rsidRPr="001C7F89">
              <w:t>£4,232.25</w:t>
            </w:r>
          </w:p>
        </w:tc>
        <w:tc>
          <w:tcPr>
            <w:tcW w:w="1277" w:type="dxa"/>
            <w:shd w:val="clear" w:color="auto" w:fill="F2F2F2" w:themeFill="background1" w:themeFillShade="F2"/>
            <w:vAlign w:val="top"/>
          </w:tcPr>
          <w:p w14:paraId="4833BC7F" w14:textId="21F58723" w:rsidR="00AB7A0C" w:rsidRPr="00930F6E" w:rsidRDefault="00AB7A0C" w:rsidP="00AB7A0C">
            <w:pPr>
              <w:spacing w:before="22" w:after="20"/>
              <w:jc w:val="center"/>
              <w:rPr>
                <w:rFonts w:cs="Arial"/>
              </w:rPr>
            </w:pPr>
            <w:r w:rsidRPr="001C7F89">
              <w:t>£974.00</w:t>
            </w:r>
          </w:p>
        </w:tc>
        <w:tc>
          <w:tcPr>
            <w:tcW w:w="1277" w:type="dxa"/>
            <w:shd w:val="clear" w:color="auto" w:fill="F2F2F2" w:themeFill="background1" w:themeFillShade="F2"/>
            <w:vAlign w:val="top"/>
          </w:tcPr>
          <w:p w14:paraId="03D32789" w14:textId="4483951E" w:rsidR="00AB7A0C" w:rsidRPr="00930F6E" w:rsidRDefault="00AB7A0C" w:rsidP="00AB7A0C">
            <w:pPr>
              <w:spacing w:before="22" w:after="20"/>
              <w:jc w:val="center"/>
              <w:rPr>
                <w:rFonts w:cs="Arial"/>
              </w:rPr>
            </w:pPr>
            <w:r w:rsidRPr="001C7F89">
              <w:t>£26.8690</w:t>
            </w:r>
          </w:p>
        </w:tc>
      </w:tr>
      <w:tr w:rsidR="00AB7A0C" w:rsidRPr="00930F6E" w14:paraId="175A6C0A" w14:textId="77777777" w:rsidTr="00963ABB">
        <w:trPr>
          <w:trHeight w:val="226"/>
        </w:trPr>
        <w:tc>
          <w:tcPr>
            <w:tcW w:w="1274" w:type="dxa"/>
            <w:vMerge/>
            <w:shd w:val="clear" w:color="auto" w:fill="F2F2F2" w:themeFill="background1" w:themeFillShade="F2"/>
          </w:tcPr>
          <w:p w14:paraId="6373A590" w14:textId="77777777" w:rsidR="00AB7A0C" w:rsidRPr="00930F6E" w:rsidRDefault="00AB7A0C" w:rsidP="00AB7A0C">
            <w:pPr>
              <w:spacing w:before="22" w:after="20"/>
              <w:jc w:val="center"/>
              <w:rPr>
                <w:rFonts w:cs="Arial"/>
                <w:color w:val="000000"/>
              </w:rPr>
            </w:pPr>
          </w:p>
        </w:tc>
        <w:tc>
          <w:tcPr>
            <w:tcW w:w="1272" w:type="dxa"/>
            <w:shd w:val="clear" w:color="auto" w:fill="F2F2F2" w:themeFill="background1" w:themeFillShade="F2"/>
            <w:vAlign w:val="top"/>
          </w:tcPr>
          <w:p w14:paraId="66A3800B" w14:textId="1C8F9396" w:rsidR="00AB7A0C" w:rsidRPr="00930F6E" w:rsidRDefault="00AB7A0C" w:rsidP="00AB7A0C">
            <w:pPr>
              <w:spacing w:before="22" w:after="20"/>
              <w:jc w:val="center"/>
              <w:rPr>
                <w:rFonts w:cs="Arial"/>
                <w:b/>
                <w:bCs/>
              </w:rPr>
            </w:pPr>
            <w:r w:rsidRPr="001C7F89">
              <w:t>47</w:t>
            </w:r>
          </w:p>
        </w:tc>
        <w:tc>
          <w:tcPr>
            <w:tcW w:w="1372" w:type="dxa"/>
            <w:shd w:val="clear" w:color="auto" w:fill="F2F2F2" w:themeFill="background1" w:themeFillShade="F2"/>
            <w:vAlign w:val="top"/>
          </w:tcPr>
          <w:p w14:paraId="29741411" w14:textId="4D7AAB21" w:rsidR="00AB7A0C" w:rsidRPr="00930F6E" w:rsidRDefault="00AB7A0C" w:rsidP="00AB7A0C">
            <w:pPr>
              <w:spacing w:before="22" w:after="20"/>
              <w:jc w:val="center"/>
              <w:rPr>
                <w:rFonts w:cs="Arial"/>
              </w:rPr>
            </w:pPr>
            <w:r w:rsidRPr="001C7F89">
              <w:t>£51,871.00</w:t>
            </w:r>
          </w:p>
        </w:tc>
        <w:tc>
          <w:tcPr>
            <w:tcW w:w="1372" w:type="dxa"/>
            <w:shd w:val="clear" w:color="auto" w:fill="F2F2F2" w:themeFill="background1" w:themeFillShade="F2"/>
            <w:vAlign w:val="top"/>
          </w:tcPr>
          <w:p w14:paraId="6532A37E" w14:textId="10DE66F9" w:rsidR="00AB7A0C" w:rsidRPr="00930F6E" w:rsidRDefault="00AB7A0C" w:rsidP="00AB7A0C">
            <w:pPr>
              <w:spacing w:before="22" w:after="20"/>
              <w:jc w:val="center"/>
              <w:rPr>
                <w:rFonts w:cs="Arial"/>
              </w:rPr>
            </w:pPr>
            <w:r w:rsidRPr="001C7F89">
              <w:t>£4,322.58</w:t>
            </w:r>
          </w:p>
        </w:tc>
        <w:tc>
          <w:tcPr>
            <w:tcW w:w="1277" w:type="dxa"/>
            <w:shd w:val="clear" w:color="auto" w:fill="F2F2F2" w:themeFill="background1" w:themeFillShade="F2"/>
            <w:vAlign w:val="top"/>
          </w:tcPr>
          <w:p w14:paraId="62B71860" w14:textId="744C3D63" w:rsidR="00AB7A0C" w:rsidRPr="00930F6E" w:rsidRDefault="00AB7A0C" w:rsidP="00AB7A0C">
            <w:pPr>
              <w:spacing w:before="22" w:after="20"/>
              <w:jc w:val="center"/>
              <w:rPr>
                <w:rFonts w:cs="Arial"/>
              </w:rPr>
            </w:pPr>
            <w:r w:rsidRPr="001C7F89">
              <w:t>£994.79</w:t>
            </w:r>
          </w:p>
        </w:tc>
        <w:tc>
          <w:tcPr>
            <w:tcW w:w="1277" w:type="dxa"/>
            <w:shd w:val="clear" w:color="auto" w:fill="F2F2F2" w:themeFill="background1" w:themeFillShade="F2"/>
            <w:vAlign w:val="top"/>
          </w:tcPr>
          <w:p w14:paraId="252F0187" w14:textId="318E29BB" w:rsidR="00AB7A0C" w:rsidRPr="00930F6E" w:rsidRDefault="00AB7A0C" w:rsidP="00AB7A0C">
            <w:pPr>
              <w:spacing w:before="22" w:after="20"/>
              <w:jc w:val="center"/>
              <w:rPr>
                <w:rFonts w:cs="Arial"/>
              </w:rPr>
            </w:pPr>
            <w:r w:rsidRPr="001C7F89">
              <w:t>£27.4425</w:t>
            </w:r>
          </w:p>
        </w:tc>
      </w:tr>
      <w:tr w:rsidR="00AB7A0C" w:rsidRPr="00930F6E" w14:paraId="6640A110" w14:textId="77777777" w:rsidTr="008B376D">
        <w:trPr>
          <w:trHeight w:val="226"/>
        </w:trPr>
        <w:tc>
          <w:tcPr>
            <w:tcW w:w="1274" w:type="dxa"/>
            <w:vMerge w:val="restart"/>
          </w:tcPr>
          <w:p w14:paraId="02EF86DD" w14:textId="77777777" w:rsidR="00AB7A0C" w:rsidRPr="00930F6E" w:rsidRDefault="00AB7A0C" w:rsidP="00AB7A0C">
            <w:pPr>
              <w:spacing w:before="22" w:after="20"/>
              <w:jc w:val="center"/>
              <w:rPr>
                <w:rFonts w:cs="Arial"/>
                <w:color w:val="000000"/>
              </w:rPr>
            </w:pPr>
            <w:r>
              <w:rPr>
                <w:rFonts w:cs="Arial"/>
                <w:color w:val="000000"/>
              </w:rPr>
              <w:t>11</w:t>
            </w:r>
          </w:p>
        </w:tc>
        <w:tc>
          <w:tcPr>
            <w:tcW w:w="1272" w:type="dxa"/>
            <w:vAlign w:val="top"/>
          </w:tcPr>
          <w:p w14:paraId="3A158DD9" w14:textId="7DCA140E" w:rsidR="00AB7A0C" w:rsidRPr="00930F6E" w:rsidRDefault="00AB7A0C" w:rsidP="00AB7A0C">
            <w:pPr>
              <w:spacing w:before="22" w:after="20"/>
              <w:jc w:val="center"/>
              <w:rPr>
                <w:rFonts w:cs="Arial"/>
                <w:b/>
                <w:bCs/>
              </w:rPr>
            </w:pPr>
            <w:r w:rsidRPr="001C7F89">
              <w:t>48</w:t>
            </w:r>
          </w:p>
        </w:tc>
        <w:tc>
          <w:tcPr>
            <w:tcW w:w="1372" w:type="dxa"/>
            <w:shd w:val="clear" w:color="auto" w:fill="auto"/>
            <w:vAlign w:val="top"/>
          </w:tcPr>
          <w:p w14:paraId="67EF9533" w14:textId="0DE2CFC5" w:rsidR="00AB7A0C" w:rsidRPr="00930F6E" w:rsidRDefault="00AB7A0C" w:rsidP="00AB7A0C">
            <w:pPr>
              <w:spacing w:before="22" w:after="20"/>
              <w:jc w:val="center"/>
              <w:rPr>
                <w:rFonts w:cs="Arial"/>
              </w:rPr>
            </w:pPr>
            <w:r w:rsidRPr="001C7F89">
              <w:t>£52,987.00</w:t>
            </w:r>
          </w:p>
        </w:tc>
        <w:tc>
          <w:tcPr>
            <w:tcW w:w="1372" w:type="dxa"/>
            <w:shd w:val="clear" w:color="auto" w:fill="auto"/>
            <w:vAlign w:val="top"/>
          </w:tcPr>
          <w:p w14:paraId="6D3BAE6D" w14:textId="074464DF" w:rsidR="00AB7A0C" w:rsidRPr="00930F6E" w:rsidRDefault="00AB7A0C" w:rsidP="00AB7A0C">
            <w:pPr>
              <w:spacing w:before="22" w:after="20"/>
              <w:jc w:val="center"/>
              <w:rPr>
                <w:rFonts w:cs="Arial"/>
              </w:rPr>
            </w:pPr>
            <w:r w:rsidRPr="001C7F89">
              <w:t>£4,415.58</w:t>
            </w:r>
          </w:p>
        </w:tc>
        <w:tc>
          <w:tcPr>
            <w:tcW w:w="1277" w:type="dxa"/>
            <w:shd w:val="clear" w:color="auto" w:fill="auto"/>
            <w:vAlign w:val="top"/>
          </w:tcPr>
          <w:p w14:paraId="259F70D4" w14:textId="237044D9" w:rsidR="00AB7A0C" w:rsidRPr="00930F6E" w:rsidRDefault="00AB7A0C" w:rsidP="00AB7A0C">
            <w:pPr>
              <w:spacing w:before="22" w:after="20"/>
              <w:jc w:val="center"/>
              <w:rPr>
                <w:rFonts w:cs="Arial"/>
              </w:rPr>
            </w:pPr>
            <w:r w:rsidRPr="001C7F89">
              <w:t>£1,016.19</w:t>
            </w:r>
          </w:p>
        </w:tc>
        <w:tc>
          <w:tcPr>
            <w:tcW w:w="1277" w:type="dxa"/>
            <w:shd w:val="clear" w:color="auto" w:fill="auto"/>
            <w:vAlign w:val="top"/>
          </w:tcPr>
          <w:p w14:paraId="70B837C6" w14:textId="27064CA2" w:rsidR="00AB7A0C" w:rsidRPr="00930F6E" w:rsidRDefault="00AB7A0C" w:rsidP="00AB7A0C">
            <w:pPr>
              <w:spacing w:before="22" w:after="20"/>
              <w:jc w:val="center"/>
              <w:rPr>
                <w:rFonts w:cs="Arial"/>
              </w:rPr>
            </w:pPr>
            <w:r w:rsidRPr="001C7F89">
              <w:t>£28.0328</w:t>
            </w:r>
          </w:p>
        </w:tc>
      </w:tr>
      <w:tr w:rsidR="00AB7A0C" w:rsidRPr="00930F6E" w14:paraId="6D77A307" w14:textId="77777777" w:rsidTr="008B376D">
        <w:trPr>
          <w:trHeight w:val="226"/>
        </w:trPr>
        <w:tc>
          <w:tcPr>
            <w:tcW w:w="1274" w:type="dxa"/>
            <w:vMerge/>
            <w:vAlign w:val="bottom"/>
          </w:tcPr>
          <w:p w14:paraId="586FBFA6" w14:textId="77777777" w:rsidR="00AB7A0C" w:rsidRPr="00930F6E" w:rsidRDefault="00AB7A0C" w:rsidP="00AB7A0C">
            <w:pPr>
              <w:spacing w:before="22" w:after="20" w:line="240" w:lineRule="auto"/>
              <w:jc w:val="left"/>
              <w:rPr>
                <w:rFonts w:cs="Arial"/>
                <w:color w:val="000000"/>
              </w:rPr>
            </w:pPr>
          </w:p>
        </w:tc>
        <w:tc>
          <w:tcPr>
            <w:tcW w:w="1272" w:type="dxa"/>
            <w:vAlign w:val="top"/>
          </w:tcPr>
          <w:p w14:paraId="52181F2A" w14:textId="76A89888" w:rsidR="00AB7A0C" w:rsidRPr="00930F6E" w:rsidRDefault="00AB7A0C" w:rsidP="00AB7A0C">
            <w:pPr>
              <w:spacing w:before="22" w:after="20"/>
              <w:jc w:val="center"/>
              <w:rPr>
                <w:rFonts w:cs="Arial"/>
                <w:b/>
                <w:bCs/>
              </w:rPr>
            </w:pPr>
            <w:r w:rsidRPr="001C7F89">
              <w:t>49</w:t>
            </w:r>
          </w:p>
        </w:tc>
        <w:tc>
          <w:tcPr>
            <w:tcW w:w="1372" w:type="dxa"/>
            <w:shd w:val="clear" w:color="auto" w:fill="auto"/>
            <w:vAlign w:val="top"/>
          </w:tcPr>
          <w:p w14:paraId="027082A0" w14:textId="75A662F7" w:rsidR="00AB7A0C" w:rsidRPr="00930F6E" w:rsidRDefault="00AB7A0C" w:rsidP="00AB7A0C">
            <w:pPr>
              <w:spacing w:before="22" w:after="20"/>
              <w:jc w:val="center"/>
              <w:rPr>
                <w:rFonts w:cs="Arial"/>
              </w:rPr>
            </w:pPr>
            <w:r w:rsidRPr="001C7F89">
              <w:t>£54,117.00</w:t>
            </w:r>
          </w:p>
        </w:tc>
        <w:tc>
          <w:tcPr>
            <w:tcW w:w="1372" w:type="dxa"/>
            <w:shd w:val="clear" w:color="auto" w:fill="auto"/>
            <w:vAlign w:val="top"/>
          </w:tcPr>
          <w:p w14:paraId="314FEAF9" w14:textId="3A71E6AD" w:rsidR="00AB7A0C" w:rsidRPr="00930F6E" w:rsidRDefault="00AB7A0C" w:rsidP="00AB7A0C">
            <w:pPr>
              <w:spacing w:before="22" w:after="20"/>
              <w:jc w:val="center"/>
              <w:rPr>
                <w:rFonts w:cs="Arial"/>
              </w:rPr>
            </w:pPr>
            <w:r w:rsidRPr="001C7F89">
              <w:t>£4,509.75</w:t>
            </w:r>
          </w:p>
        </w:tc>
        <w:tc>
          <w:tcPr>
            <w:tcW w:w="1277" w:type="dxa"/>
            <w:shd w:val="clear" w:color="auto" w:fill="auto"/>
            <w:vAlign w:val="top"/>
          </w:tcPr>
          <w:p w14:paraId="61F62ACC" w14:textId="4CBA62AC" w:rsidR="00AB7A0C" w:rsidRPr="00930F6E" w:rsidRDefault="00AB7A0C" w:rsidP="00AB7A0C">
            <w:pPr>
              <w:spacing w:before="22" w:after="20"/>
              <w:jc w:val="center"/>
              <w:rPr>
                <w:rFonts w:cs="Arial"/>
              </w:rPr>
            </w:pPr>
            <w:r w:rsidRPr="001C7F89">
              <w:t>£1,037.86</w:t>
            </w:r>
          </w:p>
        </w:tc>
        <w:tc>
          <w:tcPr>
            <w:tcW w:w="1277" w:type="dxa"/>
            <w:shd w:val="clear" w:color="auto" w:fill="auto"/>
            <w:vAlign w:val="top"/>
          </w:tcPr>
          <w:p w14:paraId="3BD4CADF" w14:textId="29A3BE8F" w:rsidR="00AB7A0C" w:rsidRPr="00930F6E" w:rsidRDefault="00AB7A0C" w:rsidP="00AB7A0C">
            <w:pPr>
              <w:spacing w:before="22" w:after="20"/>
              <w:jc w:val="center"/>
              <w:rPr>
                <w:rFonts w:cs="Arial"/>
              </w:rPr>
            </w:pPr>
            <w:r w:rsidRPr="001C7F89">
              <w:t>£28.6306</w:t>
            </w:r>
          </w:p>
        </w:tc>
      </w:tr>
      <w:tr w:rsidR="00AB7A0C" w:rsidRPr="00930F6E" w14:paraId="6C84F330" w14:textId="77777777" w:rsidTr="008B376D">
        <w:trPr>
          <w:trHeight w:val="226"/>
        </w:trPr>
        <w:tc>
          <w:tcPr>
            <w:tcW w:w="1274" w:type="dxa"/>
            <w:vMerge/>
            <w:vAlign w:val="bottom"/>
          </w:tcPr>
          <w:p w14:paraId="21B63177" w14:textId="77777777" w:rsidR="00AB7A0C" w:rsidRPr="00930F6E" w:rsidRDefault="00AB7A0C" w:rsidP="00AB7A0C">
            <w:pPr>
              <w:spacing w:before="22" w:after="20" w:line="240" w:lineRule="auto"/>
              <w:jc w:val="left"/>
              <w:rPr>
                <w:rFonts w:cs="Arial"/>
                <w:color w:val="000000"/>
              </w:rPr>
            </w:pPr>
          </w:p>
        </w:tc>
        <w:tc>
          <w:tcPr>
            <w:tcW w:w="1272" w:type="dxa"/>
            <w:vAlign w:val="top"/>
          </w:tcPr>
          <w:p w14:paraId="659467B0" w14:textId="63723664" w:rsidR="00AB7A0C" w:rsidRPr="00930F6E" w:rsidRDefault="00AB7A0C" w:rsidP="00AB7A0C">
            <w:pPr>
              <w:spacing w:before="22" w:after="20"/>
              <w:jc w:val="center"/>
              <w:rPr>
                <w:rFonts w:cs="Arial"/>
                <w:b/>
                <w:bCs/>
              </w:rPr>
            </w:pPr>
            <w:r w:rsidRPr="001C7F89">
              <w:t>50</w:t>
            </w:r>
          </w:p>
        </w:tc>
        <w:tc>
          <w:tcPr>
            <w:tcW w:w="1372" w:type="dxa"/>
            <w:shd w:val="clear" w:color="auto" w:fill="auto"/>
            <w:vAlign w:val="top"/>
          </w:tcPr>
          <w:p w14:paraId="095AB364" w14:textId="47F1369C" w:rsidR="00AB7A0C" w:rsidRPr="00930F6E" w:rsidRDefault="00AB7A0C" w:rsidP="00AB7A0C">
            <w:pPr>
              <w:spacing w:before="22" w:after="20"/>
              <w:jc w:val="center"/>
              <w:rPr>
                <w:rFonts w:cs="Arial"/>
              </w:rPr>
            </w:pPr>
            <w:r w:rsidRPr="001C7F89">
              <w:t>£55,273.00</w:t>
            </w:r>
          </w:p>
        </w:tc>
        <w:tc>
          <w:tcPr>
            <w:tcW w:w="1372" w:type="dxa"/>
            <w:shd w:val="clear" w:color="auto" w:fill="auto"/>
            <w:vAlign w:val="top"/>
          </w:tcPr>
          <w:p w14:paraId="77A0BEBE" w14:textId="33E78299" w:rsidR="00AB7A0C" w:rsidRPr="00930F6E" w:rsidRDefault="00AB7A0C" w:rsidP="00AB7A0C">
            <w:pPr>
              <w:spacing w:before="22" w:after="20"/>
              <w:jc w:val="center"/>
              <w:rPr>
                <w:rFonts w:cs="Arial"/>
              </w:rPr>
            </w:pPr>
            <w:r w:rsidRPr="001C7F89">
              <w:t>£4,606.08</w:t>
            </w:r>
          </w:p>
        </w:tc>
        <w:tc>
          <w:tcPr>
            <w:tcW w:w="1277" w:type="dxa"/>
            <w:shd w:val="clear" w:color="auto" w:fill="auto"/>
            <w:vAlign w:val="top"/>
          </w:tcPr>
          <w:p w14:paraId="6CC280CC" w14:textId="6F31CBBE" w:rsidR="00AB7A0C" w:rsidRPr="00930F6E" w:rsidRDefault="00AB7A0C" w:rsidP="00AB7A0C">
            <w:pPr>
              <w:spacing w:before="22" w:after="20"/>
              <w:jc w:val="center"/>
              <w:rPr>
                <w:rFonts w:cs="Arial"/>
              </w:rPr>
            </w:pPr>
            <w:r w:rsidRPr="001C7F89">
              <w:t>£1,060.03</w:t>
            </w:r>
          </w:p>
        </w:tc>
        <w:tc>
          <w:tcPr>
            <w:tcW w:w="1277" w:type="dxa"/>
            <w:shd w:val="clear" w:color="auto" w:fill="auto"/>
            <w:vAlign w:val="top"/>
          </w:tcPr>
          <w:p w14:paraId="7CD40306" w14:textId="241A1D2A" w:rsidR="00AB7A0C" w:rsidRPr="00930F6E" w:rsidRDefault="00AB7A0C" w:rsidP="00AB7A0C">
            <w:pPr>
              <w:spacing w:before="22" w:after="20"/>
              <w:jc w:val="center"/>
              <w:rPr>
                <w:rFonts w:cs="Arial"/>
              </w:rPr>
            </w:pPr>
            <w:r w:rsidRPr="001C7F89">
              <w:t>£29.2422</w:t>
            </w:r>
          </w:p>
        </w:tc>
      </w:tr>
      <w:tr w:rsidR="00AB7A0C" w:rsidRPr="00930F6E" w14:paraId="7F77C3DA" w14:textId="77777777" w:rsidTr="008B376D">
        <w:trPr>
          <w:trHeight w:val="226"/>
        </w:trPr>
        <w:tc>
          <w:tcPr>
            <w:tcW w:w="1274" w:type="dxa"/>
            <w:vMerge/>
            <w:vAlign w:val="bottom"/>
          </w:tcPr>
          <w:p w14:paraId="43727BF0" w14:textId="77777777" w:rsidR="00AB7A0C" w:rsidRPr="00930F6E" w:rsidRDefault="00AB7A0C" w:rsidP="00AB7A0C">
            <w:pPr>
              <w:spacing w:before="22" w:after="20" w:line="240" w:lineRule="auto"/>
              <w:jc w:val="left"/>
              <w:rPr>
                <w:rFonts w:cs="Arial"/>
                <w:color w:val="000000"/>
              </w:rPr>
            </w:pPr>
          </w:p>
        </w:tc>
        <w:tc>
          <w:tcPr>
            <w:tcW w:w="1272" w:type="dxa"/>
            <w:vAlign w:val="top"/>
          </w:tcPr>
          <w:p w14:paraId="1A0977A3" w14:textId="0A6172C9" w:rsidR="00AB7A0C" w:rsidRPr="00930F6E" w:rsidRDefault="00AB7A0C" w:rsidP="00AB7A0C">
            <w:pPr>
              <w:spacing w:before="22" w:after="20"/>
              <w:jc w:val="center"/>
              <w:rPr>
                <w:rFonts w:cs="Arial"/>
                <w:b/>
                <w:bCs/>
              </w:rPr>
            </w:pPr>
            <w:r w:rsidRPr="001C7F89">
              <w:t>51</w:t>
            </w:r>
          </w:p>
        </w:tc>
        <w:tc>
          <w:tcPr>
            <w:tcW w:w="1372" w:type="dxa"/>
            <w:shd w:val="clear" w:color="auto" w:fill="auto"/>
            <w:vAlign w:val="top"/>
          </w:tcPr>
          <w:p w14:paraId="783F6CB2" w14:textId="7A67073A" w:rsidR="00AB7A0C" w:rsidRPr="00930F6E" w:rsidRDefault="00AB7A0C" w:rsidP="00AB7A0C">
            <w:pPr>
              <w:spacing w:before="22" w:after="20"/>
              <w:jc w:val="center"/>
              <w:rPr>
                <w:rFonts w:cs="Arial"/>
              </w:rPr>
            </w:pPr>
            <w:r w:rsidRPr="001C7F89">
              <w:t>£56,458.00</w:t>
            </w:r>
          </w:p>
        </w:tc>
        <w:tc>
          <w:tcPr>
            <w:tcW w:w="1372" w:type="dxa"/>
            <w:shd w:val="clear" w:color="auto" w:fill="auto"/>
            <w:vAlign w:val="top"/>
          </w:tcPr>
          <w:p w14:paraId="3439E99E" w14:textId="0F483001" w:rsidR="00AB7A0C" w:rsidRPr="00930F6E" w:rsidRDefault="00AB7A0C" w:rsidP="00AB7A0C">
            <w:pPr>
              <w:spacing w:before="22" w:after="20"/>
              <w:jc w:val="center"/>
              <w:rPr>
                <w:rFonts w:cs="Arial"/>
              </w:rPr>
            </w:pPr>
            <w:r w:rsidRPr="001C7F89">
              <w:t>£4,704.83</w:t>
            </w:r>
          </w:p>
        </w:tc>
        <w:tc>
          <w:tcPr>
            <w:tcW w:w="1277" w:type="dxa"/>
            <w:shd w:val="clear" w:color="auto" w:fill="auto"/>
            <w:vAlign w:val="top"/>
          </w:tcPr>
          <w:p w14:paraId="2CC41D1A" w14:textId="72342E63" w:rsidR="00AB7A0C" w:rsidRPr="00930F6E" w:rsidRDefault="00AB7A0C" w:rsidP="00AB7A0C">
            <w:pPr>
              <w:spacing w:before="22" w:after="20"/>
              <w:jc w:val="center"/>
              <w:rPr>
                <w:rFonts w:cs="Arial"/>
              </w:rPr>
            </w:pPr>
            <w:r w:rsidRPr="001C7F89">
              <w:t>£1,082.76</w:t>
            </w:r>
          </w:p>
        </w:tc>
        <w:tc>
          <w:tcPr>
            <w:tcW w:w="1277" w:type="dxa"/>
            <w:shd w:val="clear" w:color="auto" w:fill="auto"/>
            <w:vAlign w:val="top"/>
          </w:tcPr>
          <w:p w14:paraId="7A9D4BF4" w14:textId="16F69569" w:rsidR="00AB7A0C" w:rsidRPr="00930F6E" w:rsidRDefault="00AB7A0C" w:rsidP="00AB7A0C">
            <w:pPr>
              <w:spacing w:before="22" w:after="20"/>
              <w:jc w:val="center"/>
              <w:rPr>
                <w:rFonts w:cs="Arial"/>
              </w:rPr>
            </w:pPr>
            <w:r w:rsidRPr="001C7F89">
              <w:t>£29.8692</w:t>
            </w:r>
          </w:p>
        </w:tc>
      </w:tr>
      <w:tr w:rsidR="00AB7A0C" w:rsidRPr="00930F6E" w14:paraId="2596D17E" w14:textId="77777777" w:rsidTr="008B376D">
        <w:trPr>
          <w:trHeight w:val="226"/>
        </w:trPr>
        <w:tc>
          <w:tcPr>
            <w:tcW w:w="1274" w:type="dxa"/>
            <w:vMerge/>
            <w:vAlign w:val="bottom"/>
          </w:tcPr>
          <w:p w14:paraId="30A177E9" w14:textId="77777777" w:rsidR="00AB7A0C" w:rsidRPr="00930F6E" w:rsidRDefault="00AB7A0C" w:rsidP="00AB7A0C">
            <w:pPr>
              <w:spacing w:before="22" w:after="20"/>
              <w:rPr>
                <w:rFonts w:cs="Arial"/>
                <w:color w:val="000000"/>
              </w:rPr>
            </w:pPr>
          </w:p>
        </w:tc>
        <w:tc>
          <w:tcPr>
            <w:tcW w:w="1272" w:type="dxa"/>
            <w:vAlign w:val="top"/>
          </w:tcPr>
          <w:p w14:paraId="3D81E6E8" w14:textId="6D9CFDC4" w:rsidR="00AB7A0C" w:rsidRPr="00930F6E" w:rsidRDefault="00AB7A0C" w:rsidP="00AB7A0C">
            <w:pPr>
              <w:spacing w:before="22" w:after="20"/>
              <w:jc w:val="center"/>
              <w:rPr>
                <w:rFonts w:cs="Arial"/>
                <w:b/>
                <w:bCs/>
              </w:rPr>
            </w:pPr>
            <w:r w:rsidRPr="001C7F89">
              <w:t>52</w:t>
            </w:r>
          </w:p>
        </w:tc>
        <w:tc>
          <w:tcPr>
            <w:tcW w:w="1372" w:type="dxa"/>
            <w:shd w:val="clear" w:color="auto" w:fill="auto"/>
            <w:vAlign w:val="top"/>
          </w:tcPr>
          <w:p w14:paraId="3B843423" w14:textId="79CC9BCF" w:rsidR="00AB7A0C" w:rsidRPr="00930F6E" w:rsidRDefault="00AB7A0C" w:rsidP="00AB7A0C">
            <w:pPr>
              <w:spacing w:before="22" w:after="20"/>
              <w:jc w:val="center"/>
              <w:rPr>
                <w:rFonts w:cs="Arial"/>
              </w:rPr>
            </w:pPr>
            <w:r w:rsidRPr="001C7F89">
              <w:t>£57,668.00</w:t>
            </w:r>
          </w:p>
        </w:tc>
        <w:tc>
          <w:tcPr>
            <w:tcW w:w="1372" w:type="dxa"/>
            <w:shd w:val="clear" w:color="auto" w:fill="auto"/>
            <w:vAlign w:val="top"/>
          </w:tcPr>
          <w:p w14:paraId="59D10518" w14:textId="56F8703B" w:rsidR="00AB7A0C" w:rsidRPr="00930F6E" w:rsidRDefault="00AB7A0C" w:rsidP="00AB7A0C">
            <w:pPr>
              <w:spacing w:before="22" w:after="20"/>
              <w:jc w:val="center"/>
              <w:rPr>
                <w:rFonts w:cs="Arial"/>
              </w:rPr>
            </w:pPr>
            <w:r w:rsidRPr="001C7F89">
              <w:t>£4,805.67</w:t>
            </w:r>
          </w:p>
        </w:tc>
        <w:tc>
          <w:tcPr>
            <w:tcW w:w="1277" w:type="dxa"/>
            <w:shd w:val="clear" w:color="auto" w:fill="auto"/>
            <w:vAlign w:val="top"/>
          </w:tcPr>
          <w:p w14:paraId="42BD5684" w14:textId="70C48C28" w:rsidR="00AB7A0C" w:rsidRPr="00930F6E" w:rsidRDefault="00AB7A0C" w:rsidP="00AB7A0C">
            <w:pPr>
              <w:spacing w:before="22" w:after="20"/>
              <w:jc w:val="center"/>
              <w:rPr>
                <w:rFonts w:cs="Arial"/>
              </w:rPr>
            </w:pPr>
            <w:r w:rsidRPr="001C7F89">
              <w:t>£1,105.96</w:t>
            </w:r>
          </w:p>
        </w:tc>
        <w:tc>
          <w:tcPr>
            <w:tcW w:w="1277" w:type="dxa"/>
            <w:shd w:val="clear" w:color="auto" w:fill="auto"/>
            <w:vAlign w:val="top"/>
          </w:tcPr>
          <w:p w14:paraId="74ACD5E6" w14:textId="594F340D" w:rsidR="00AB7A0C" w:rsidRPr="00930F6E" w:rsidRDefault="00AB7A0C" w:rsidP="00AB7A0C">
            <w:pPr>
              <w:spacing w:before="22" w:after="20"/>
              <w:jc w:val="center"/>
              <w:rPr>
                <w:rFonts w:cs="Arial"/>
              </w:rPr>
            </w:pPr>
            <w:r w:rsidRPr="001C7F89">
              <w:t>£30.5092</w:t>
            </w:r>
          </w:p>
        </w:tc>
      </w:tr>
    </w:tbl>
    <w:p w14:paraId="4CEFB12C" w14:textId="77777777" w:rsidR="000E31E7" w:rsidRPr="009D1A7A" w:rsidRDefault="000E31E7" w:rsidP="00081A7E">
      <w:pPr>
        <w:autoSpaceDE w:val="0"/>
        <w:autoSpaceDN w:val="0"/>
        <w:adjustRightInd w:val="0"/>
        <w:spacing w:before="0" w:after="120" w:line="240" w:lineRule="auto"/>
        <w:rPr>
          <w:rFonts w:cs="Arial"/>
        </w:rPr>
      </w:pPr>
    </w:p>
    <w:sectPr w:rsidR="000E31E7" w:rsidRPr="009D1A7A" w:rsidSect="005F5BEA">
      <w:headerReference w:type="even" r:id="rId12"/>
      <w:footerReference w:type="even" r:id="rId13"/>
      <w:footerReference w:type="default" r:id="rId14"/>
      <w:headerReference w:type="first" r:id="rId15"/>
      <w:footerReference w:type="first" r:id="rId16"/>
      <w:pgSz w:w="11906" w:h="16838" w:code="9"/>
      <w:pgMar w:top="1134" w:right="1247" w:bottom="56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4C08" w14:textId="77777777" w:rsidR="00CA6A38" w:rsidRDefault="00CA6A38">
      <w:pPr>
        <w:spacing w:before="0" w:line="240" w:lineRule="auto"/>
      </w:pPr>
      <w:r>
        <w:separator/>
      </w:r>
    </w:p>
  </w:endnote>
  <w:endnote w:type="continuationSeparator" w:id="0">
    <w:p w14:paraId="1EA57F45" w14:textId="77777777" w:rsidR="00CA6A38" w:rsidRDefault="00CA6A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8F43" w14:textId="77777777" w:rsidR="00C62D4C" w:rsidRDefault="00C62D4C" w:rsidP="00767939"/>
  <w:p w14:paraId="4F61DB73" w14:textId="77777777" w:rsidR="00C62D4C" w:rsidRDefault="00C62D4C" w:rsidP="00767939"/>
  <w:tbl>
    <w:tblPr>
      <w:tblStyle w:val="TableGrid"/>
      <w:tblW w:w="11045"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2114"/>
    </w:tblGrid>
    <w:tr w:rsidR="00C62D4C" w14:paraId="1F8BAC0B" w14:textId="77777777" w:rsidTr="00736C41">
      <w:trPr>
        <w:trHeight w:val="1408"/>
      </w:trPr>
      <w:tc>
        <w:tcPr>
          <w:tcW w:w="8931" w:type="dxa"/>
        </w:tcPr>
        <w:p w14:paraId="782CAA02" w14:textId="77777777" w:rsidR="00C62D4C" w:rsidRDefault="00C62D4C" w:rsidP="00736C41">
          <w:pPr>
            <w:widowControl w:val="0"/>
            <w:ind w:right="-130"/>
            <w:rPr>
              <w:rFonts w:cs="Arial"/>
              <w:bCs/>
              <w:color w:val="95559D"/>
            </w:rPr>
          </w:pPr>
        </w:p>
        <w:p w14:paraId="648309C2" w14:textId="77777777" w:rsidR="00C62D4C" w:rsidRDefault="00C62D4C" w:rsidP="00736C41">
          <w:pPr>
            <w:widowControl w:val="0"/>
            <w:ind w:right="-130"/>
            <w:rPr>
              <w:rFonts w:cs="Arial"/>
              <w:bCs/>
              <w:color w:val="95559D"/>
            </w:rPr>
          </w:pPr>
        </w:p>
        <w:p w14:paraId="121A3B36" w14:textId="77777777" w:rsidR="00C62D4C" w:rsidRPr="00767939" w:rsidRDefault="00C62D4C" w:rsidP="00767939">
          <w:pPr>
            <w:widowControl w:val="0"/>
            <w:ind w:left="-142" w:right="-130" w:firstLine="142"/>
            <w:rPr>
              <w:rFonts w:cs="Arial"/>
              <w:bCs/>
              <w:color w:val="95559D"/>
            </w:rPr>
          </w:pPr>
        </w:p>
      </w:tc>
      <w:tc>
        <w:tcPr>
          <w:tcW w:w="2114" w:type="dxa"/>
        </w:tcPr>
        <w:p w14:paraId="135E3108" w14:textId="77777777" w:rsidR="00C62D4C" w:rsidRDefault="00C62D4C" w:rsidP="00767939">
          <w:pPr>
            <w:widowControl w:val="0"/>
            <w:ind w:right="-130"/>
            <w:rPr>
              <w:rFonts w:cs="Arial"/>
              <w:bCs/>
              <w:color w:val="95559D"/>
              <w:sz w:val="19"/>
              <w:szCs w:val="19"/>
            </w:rPr>
          </w:pPr>
        </w:p>
      </w:tc>
    </w:tr>
  </w:tbl>
  <w:p w14:paraId="4C53D4F2" w14:textId="77777777" w:rsidR="00C62D4C" w:rsidRDefault="00C62D4C" w:rsidP="00767939">
    <w:pPr>
      <w:tabs>
        <w:tab w:val="right" w:pos="9070"/>
      </w:tabs>
      <w:jc w:val="left"/>
    </w:pPr>
    <w:r>
      <w:rPr>
        <w:rFonts w:cs="Arial"/>
        <w:bCs/>
        <w:noProof/>
        <w:color w:val="95559D"/>
      </w:rPr>
      <w:drawing>
        <wp:inline distT="0" distB="0" distL="0" distR="0" wp14:anchorId="2342EE58" wp14:editId="671A4C9F">
          <wp:extent cx="5533390" cy="3810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3390" cy="3810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BD8B" w14:textId="77777777" w:rsidR="00C62D4C" w:rsidRDefault="00C62D4C" w:rsidP="000D151F">
    <w:pPr>
      <w:tabs>
        <w:tab w:val="right" w:pos="9070"/>
      </w:tabs>
    </w:pPr>
  </w:p>
  <w:p w14:paraId="40E361E6" w14:textId="089A3C22" w:rsidR="00C62D4C" w:rsidRDefault="00C62D4C" w:rsidP="00736C41">
    <w:pPr>
      <w:framePr w:wrap="around" w:vAnchor="text" w:hAnchor="page" w:x="5861" w:y="22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E2F9DAD" w14:textId="3F67B0D9" w:rsidR="00C62D4C" w:rsidRDefault="005613A7" w:rsidP="000D151F">
    <w:pPr>
      <w:tabs>
        <w:tab w:val="right" w:pos="9070"/>
      </w:tabs>
    </w:pPr>
    <w:sdt>
      <w:sdtPr>
        <w:alias w:val="Document ID Value"/>
        <w:tag w:val="_dlc_DocId"/>
        <w:id w:val="2055963032"/>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31A02471-21CE-4ED2-8110-C0D2C1F34421}"/>
        <w:text/>
      </w:sdtPr>
      <w:sdtEndPr/>
      <w:sdtContent>
        <w:r w:rsidR="00C62D4C">
          <w:t>GMFRS-16-125</w:t>
        </w:r>
      </w:sdtContent>
    </w:sdt>
    <w:r w:rsidR="00C62D4C">
      <w:rPr>
        <w:noProof/>
      </w:rPr>
      <mc:AlternateContent>
        <mc:Choice Requires="wps">
          <w:drawing>
            <wp:anchor distT="4294967295" distB="4294967295" distL="114300" distR="114300" simplePos="0" relativeHeight="251656704" behindDoc="1" locked="0" layoutInCell="1" allowOverlap="1" wp14:anchorId="770CD57D" wp14:editId="76FA5942">
              <wp:simplePos x="0" y="0"/>
              <wp:positionH relativeFrom="page">
                <wp:posOffset>900430</wp:posOffset>
              </wp:positionH>
              <wp:positionV relativeFrom="page">
                <wp:posOffset>9973309</wp:posOffset>
              </wp:positionV>
              <wp:extent cx="5760085" cy="0"/>
              <wp:effectExtent l="0" t="0" r="12065" b="1905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E5392" id="Line 5" o:spid="_x0000_s1026" alt="&quot;&quot;"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5.3pt" to="524.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" strokecolor="#969696">
              <w10:wrap anchorx="page" anchory="page"/>
            </v:line>
          </w:pict>
        </mc:Fallback>
      </mc:AlternateContent>
    </w:r>
    <w:r w:rsidR="00C62D4C">
      <w:tab/>
    </w:r>
    <w:r w:rsidR="00C62D4C">
      <w:fldChar w:fldCharType="begin"/>
    </w:r>
    <w:r w:rsidR="00C62D4C">
      <w:instrText xml:space="preserve"> DATE \@ "dd/MM/yy HH:mm" </w:instrText>
    </w:r>
    <w:r w:rsidR="00C62D4C">
      <w:fldChar w:fldCharType="separate"/>
    </w:r>
    <w:r>
      <w:rPr>
        <w:noProof/>
      </w:rPr>
      <w:t>01/12/22 08:58</w:t>
    </w:r>
    <w:r w:rsidR="00C62D4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E5D3" w14:textId="77777777" w:rsidR="00C62D4C" w:rsidRDefault="00C62D4C">
    <w:pPr>
      <w:pStyle w:val="Footer"/>
    </w:pPr>
    <w:r>
      <w:rPr>
        <w:noProof/>
      </w:rPr>
      <mc:AlternateContent>
        <mc:Choice Requires="wps">
          <w:drawing>
            <wp:anchor distT="0" distB="0" distL="114300" distR="114300" simplePos="0" relativeHeight="251657728" behindDoc="0" locked="0" layoutInCell="1" allowOverlap="1" wp14:anchorId="661FCFC5" wp14:editId="45CF55EF">
              <wp:simplePos x="0" y="0"/>
              <wp:positionH relativeFrom="column">
                <wp:posOffset>-494030</wp:posOffset>
              </wp:positionH>
              <wp:positionV relativeFrom="paragraph">
                <wp:posOffset>95885</wp:posOffset>
              </wp:positionV>
              <wp:extent cx="7150100" cy="1184275"/>
              <wp:effectExtent l="0" t="0" r="0" b="0"/>
              <wp:wrapNone/>
              <wp:docPr id="20"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118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CA5C5" w14:textId="6E213BE0" w:rsidR="00C62D4C" w:rsidRDefault="00C62D4C" w:rsidP="007E75BB">
                          <w:r>
                            <w:t xml:space="preserve">   GMCA, </w:t>
                          </w:r>
                          <w:r w:rsidR="0050019E">
                            <w:t>Broadhurst</w:t>
                          </w:r>
                          <w:r>
                            <w:t xml:space="preserve"> House, 56 Oxford Street, Manchester, M3 6EU</w:t>
                          </w:r>
                        </w:p>
                        <w:tbl>
                          <w:tblPr>
                            <w:tblStyle w:val="TableGrid"/>
                            <w:tblW w:w="110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2114"/>
                          </w:tblGrid>
                          <w:tr w:rsidR="00C62D4C" w14:paraId="07B1B6BB" w14:textId="77777777" w:rsidTr="00F52FD8">
                            <w:trPr>
                              <w:trHeight w:val="1408"/>
                            </w:trPr>
                            <w:tc>
                              <w:tcPr>
                                <w:tcW w:w="8931" w:type="dxa"/>
                              </w:tcPr>
                              <w:p w14:paraId="7C502B50" w14:textId="77777777" w:rsidR="00C62D4C" w:rsidRDefault="00C62D4C" w:rsidP="00F52FD8">
                                <w:pPr>
                                  <w:widowControl w:val="0"/>
                                  <w:ind w:left="-142" w:right="-130" w:firstLine="142"/>
                                  <w:rPr>
                                    <w:rFonts w:cs="Arial"/>
                                    <w:bCs/>
                                    <w:color w:val="95559D"/>
                                    <w:sz w:val="19"/>
                                    <w:szCs w:val="19"/>
                                  </w:rPr>
                                </w:pPr>
                                <w:r>
                                  <w:rPr>
                                    <w:rFonts w:cs="Arial"/>
                                    <w:bCs/>
                                    <w:noProof/>
                                    <w:color w:val="95559D"/>
                                    <w:sz w:val="19"/>
                                    <w:szCs w:val="19"/>
                                  </w:rPr>
                                  <w:drawing>
                                    <wp:inline distT="0" distB="0" distL="0" distR="0" wp14:anchorId="4088AD51" wp14:editId="566DC3E9">
                                      <wp:extent cx="5524500" cy="374650"/>
                                      <wp:effectExtent l="0" t="0" r="0" b="6350"/>
                                      <wp:docPr id="10" name="Picture 10" descr="Area stacks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ea stacks blac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374650"/>
                                              </a:xfrm>
                                              <a:prstGeom prst="rect">
                                                <a:avLst/>
                                              </a:prstGeom>
                                              <a:noFill/>
                                              <a:ln>
                                                <a:noFill/>
                                              </a:ln>
                                            </pic:spPr>
                                          </pic:pic>
                                        </a:graphicData>
                                      </a:graphic>
                                    </wp:inline>
                                  </w:drawing>
                                </w:r>
                              </w:p>
                            </w:tc>
                            <w:tc>
                              <w:tcPr>
                                <w:tcW w:w="2114" w:type="dxa"/>
                              </w:tcPr>
                              <w:p w14:paraId="2A9A9779" w14:textId="77777777" w:rsidR="00C62D4C" w:rsidRDefault="00C62D4C" w:rsidP="00F52FD8">
                                <w:pPr>
                                  <w:widowControl w:val="0"/>
                                  <w:ind w:right="-130"/>
                                  <w:rPr>
                                    <w:rFonts w:cs="Arial"/>
                                    <w:bCs/>
                                    <w:color w:val="95559D"/>
                                    <w:sz w:val="19"/>
                                    <w:szCs w:val="19"/>
                                  </w:rPr>
                                </w:pPr>
                              </w:p>
                            </w:tc>
                          </w:tr>
                        </w:tbl>
                        <w:p w14:paraId="47BBD922" w14:textId="77777777" w:rsidR="00C62D4C" w:rsidRDefault="00C62D4C" w:rsidP="007E75BB">
                          <w:pPr>
                            <w:widowControl w:val="0"/>
                            <w:ind w:right="-130"/>
                            <w:rPr>
                              <w:rFonts w:cs="Arial"/>
                              <w:bCs/>
                              <w:color w:val="95559D"/>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FCFC5" id="_x0000_t202" coordsize="21600,21600" o:spt="202" path="m,l,21600r21600,l21600,xe">
              <v:stroke joinstyle="miter"/>
              <v:path gradientshapeok="t" o:connecttype="rect"/>
            </v:shapetype>
            <v:shape id="Text Box 1" o:spid="_x0000_s1028" type="#_x0000_t202" alt="&quot;&quot;" style="position:absolute;left:0;text-align:left;margin-left:-38.9pt;margin-top:7.55pt;width:563pt;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" stroked="f">
              <v:textbox>
                <w:txbxContent>
                  <w:p w14:paraId="0B5CA5C5" w14:textId="6E213BE0" w:rsidR="00C62D4C" w:rsidRDefault="00C62D4C" w:rsidP="007E75BB">
                    <w:r>
                      <w:t xml:space="preserve">   GMCA, </w:t>
                    </w:r>
                    <w:r w:rsidR="0050019E">
                      <w:t>Broadhurst</w:t>
                    </w:r>
                    <w:r>
                      <w:t xml:space="preserve"> House, 56 Oxford Street, Manchester, M3 6EU</w:t>
                    </w:r>
                  </w:p>
                  <w:tbl>
                    <w:tblPr>
                      <w:tblStyle w:val="TableGrid"/>
                      <w:tblW w:w="110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2114"/>
                    </w:tblGrid>
                    <w:tr w:rsidR="00C62D4C" w14:paraId="07B1B6BB" w14:textId="77777777" w:rsidTr="00F52FD8">
                      <w:trPr>
                        <w:trHeight w:val="1408"/>
                      </w:trPr>
                      <w:tc>
                        <w:tcPr>
                          <w:tcW w:w="8931" w:type="dxa"/>
                        </w:tcPr>
                        <w:p w14:paraId="7C502B50" w14:textId="77777777" w:rsidR="00C62D4C" w:rsidRDefault="00C62D4C" w:rsidP="00F52FD8">
                          <w:pPr>
                            <w:widowControl w:val="0"/>
                            <w:ind w:left="-142" w:right="-130" w:firstLine="142"/>
                            <w:rPr>
                              <w:rFonts w:cs="Arial"/>
                              <w:bCs/>
                              <w:color w:val="95559D"/>
                              <w:sz w:val="19"/>
                              <w:szCs w:val="19"/>
                            </w:rPr>
                          </w:pPr>
                          <w:r>
                            <w:rPr>
                              <w:rFonts w:cs="Arial"/>
                              <w:bCs/>
                              <w:noProof/>
                              <w:color w:val="95559D"/>
                              <w:sz w:val="19"/>
                              <w:szCs w:val="19"/>
                            </w:rPr>
                            <w:drawing>
                              <wp:inline distT="0" distB="0" distL="0" distR="0" wp14:anchorId="4088AD51" wp14:editId="566DC3E9">
                                <wp:extent cx="5524500" cy="374650"/>
                                <wp:effectExtent l="0" t="0" r="0" b="6350"/>
                                <wp:docPr id="10" name="Picture 10" descr="Area stacks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ea stacks blac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374650"/>
                                        </a:xfrm>
                                        <a:prstGeom prst="rect">
                                          <a:avLst/>
                                        </a:prstGeom>
                                        <a:noFill/>
                                        <a:ln>
                                          <a:noFill/>
                                        </a:ln>
                                      </pic:spPr>
                                    </pic:pic>
                                  </a:graphicData>
                                </a:graphic>
                              </wp:inline>
                            </w:drawing>
                          </w:r>
                        </w:p>
                      </w:tc>
                      <w:tc>
                        <w:tcPr>
                          <w:tcW w:w="2114" w:type="dxa"/>
                        </w:tcPr>
                        <w:p w14:paraId="2A9A9779" w14:textId="77777777" w:rsidR="00C62D4C" w:rsidRDefault="00C62D4C" w:rsidP="00F52FD8">
                          <w:pPr>
                            <w:widowControl w:val="0"/>
                            <w:ind w:right="-130"/>
                            <w:rPr>
                              <w:rFonts w:cs="Arial"/>
                              <w:bCs/>
                              <w:color w:val="95559D"/>
                              <w:sz w:val="19"/>
                              <w:szCs w:val="19"/>
                            </w:rPr>
                          </w:pPr>
                        </w:p>
                      </w:tc>
                    </w:tr>
                  </w:tbl>
                  <w:p w14:paraId="47BBD922" w14:textId="77777777" w:rsidR="00C62D4C" w:rsidRDefault="00C62D4C" w:rsidP="007E75BB">
                    <w:pPr>
                      <w:widowControl w:val="0"/>
                      <w:ind w:right="-130"/>
                      <w:rPr>
                        <w:rFonts w:cs="Arial"/>
                        <w:bCs/>
                        <w:color w:val="95559D"/>
                        <w:sz w:val="19"/>
                        <w:szCs w:val="19"/>
                      </w:rPr>
                    </w:pPr>
                  </w:p>
                </w:txbxContent>
              </v:textbox>
            </v:shape>
          </w:pict>
        </mc:Fallback>
      </mc:AlternateContent>
    </w:r>
  </w:p>
  <w:p w14:paraId="2A6DCE5C" w14:textId="77777777" w:rsidR="00C62D4C" w:rsidRDefault="00C62D4C">
    <w:pPr>
      <w:pStyle w:val="Footer"/>
    </w:pPr>
  </w:p>
  <w:p w14:paraId="519258E4" w14:textId="77777777" w:rsidR="00C62D4C" w:rsidRDefault="00C62D4C">
    <w:pPr>
      <w:pStyle w:val="Footer"/>
    </w:pPr>
  </w:p>
  <w:p w14:paraId="766908E1" w14:textId="77777777" w:rsidR="00C62D4C" w:rsidRDefault="00C62D4C">
    <w:pPr>
      <w:pStyle w:val="Footer"/>
    </w:pPr>
  </w:p>
  <w:p w14:paraId="368688B7" w14:textId="77777777" w:rsidR="00C62D4C" w:rsidRDefault="00C62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C22E" w14:textId="77777777" w:rsidR="00CA6A38" w:rsidRDefault="00CA6A38">
      <w:pPr>
        <w:spacing w:before="0" w:line="240" w:lineRule="auto"/>
      </w:pPr>
      <w:r>
        <w:separator/>
      </w:r>
    </w:p>
  </w:footnote>
  <w:footnote w:type="continuationSeparator" w:id="0">
    <w:p w14:paraId="15D73F67" w14:textId="77777777" w:rsidR="00CA6A38" w:rsidRDefault="00CA6A3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DB01" w14:textId="77777777" w:rsidR="00C62D4C" w:rsidRDefault="00C62D4C" w:rsidP="007A0E7B">
    <w:pPr>
      <w:pStyle w:val="Header"/>
      <w:jc w:val="right"/>
    </w:pPr>
  </w:p>
  <w:p w14:paraId="51788AB5" w14:textId="77777777" w:rsidR="00C62D4C" w:rsidRDefault="00C62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4D06" w14:textId="0577FA27" w:rsidR="00C62D4C" w:rsidRPr="00106F84" w:rsidRDefault="00C62D4C" w:rsidP="00B469DD">
    <w:pPr>
      <w:jc w:val="right"/>
    </w:pPr>
    <w:r>
      <w:t xml:space="preserve">    </w:t>
    </w:r>
    <w:r>
      <w:rPr>
        <w:noProof/>
      </w:rPr>
      <w:drawing>
        <wp:inline distT="0" distB="0" distL="0" distR="0" wp14:anchorId="05F0052C" wp14:editId="7D3F2F96">
          <wp:extent cx="2914015" cy="904875"/>
          <wp:effectExtent l="0" t="0" r="635"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904875"/>
                  </a:xfrm>
                  <a:prstGeom prst="rect">
                    <a:avLst/>
                  </a:prstGeom>
                  <a:noFill/>
                </pic:spPr>
              </pic:pic>
            </a:graphicData>
          </a:graphic>
        </wp:inline>
      </w:drawing>
    </w:r>
    <w:r>
      <w:t xml:space="preserve">                                                              </w:t>
    </w:r>
  </w:p>
  <w:p w14:paraId="5E6E94AD" w14:textId="77777777" w:rsidR="00C62D4C" w:rsidRDefault="00C62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671"/>
    <w:multiLevelType w:val="hybridMultilevel"/>
    <w:tmpl w:val="B5809E56"/>
    <w:lvl w:ilvl="0" w:tplc="4E4E9D42">
      <w:start w:val="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021A2"/>
    <w:multiLevelType w:val="hybridMultilevel"/>
    <w:tmpl w:val="175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34BDC"/>
    <w:multiLevelType w:val="hybridMultilevel"/>
    <w:tmpl w:val="E39A5096"/>
    <w:lvl w:ilvl="0" w:tplc="4E4E9D42">
      <w:start w:val="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91520"/>
    <w:multiLevelType w:val="hybridMultilevel"/>
    <w:tmpl w:val="31027572"/>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4" w15:restartNumberingAfterBreak="0">
    <w:nsid w:val="0B8824EB"/>
    <w:multiLevelType w:val="hybridMultilevel"/>
    <w:tmpl w:val="EF9CD29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5" w15:restartNumberingAfterBreak="0">
    <w:nsid w:val="0BD50A35"/>
    <w:multiLevelType w:val="hybridMultilevel"/>
    <w:tmpl w:val="910E3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F81556"/>
    <w:multiLevelType w:val="hybridMultilevel"/>
    <w:tmpl w:val="4C220CE4"/>
    <w:lvl w:ilvl="0" w:tplc="4E4E9D42">
      <w:start w:val="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86B54"/>
    <w:multiLevelType w:val="hybridMultilevel"/>
    <w:tmpl w:val="80DC08D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1D5174AD"/>
    <w:multiLevelType w:val="hybridMultilevel"/>
    <w:tmpl w:val="C6949E82"/>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9" w15:restartNumberingAfterBreak="0">
    <w:nsid w:val="1D8111E5"/>
    <w:multiLevelType w:val="hybridMultilevel"/>
    <w:tmpl w:val="6C22D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F133C4"/>
    <w:multiLevelType w:val="hybridMultilevel"/>
    <w:tmpl w:val="B2E8DA2E"/>
    <w:lvl w:ilvl="0" w:tplc="B652F4CC">
      <w:start w:val="1"/>
      <w:numFmt w:val="decimal"/>
      <w:lvlText w:val="%1."/>
      <w:lvlJc w:val="left"/>
      <w:pPr>
        <w:ind w:left="502"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83707"/>
    <w:multiLevelType w:val="hybridMultilevel"/>
    <w:tmpl w:val="94D0692E"/>
    <w:lvl w:ilvl="0" w:tplc="5350A2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000F0D"/>
    <w:multiLevelType w:val="hybridMultilevel"/>
    <w:tmpl w:val="FD4AAF76"/>
    <w:lvl w:ilvl="0" w:tplc="E9B8F842">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6667F"/>
    <w:multiLevelType w:val="hybridMultilevel"/>
    <w:tmpl w:val="C8CCECF4"/>
    <w:lvl w:ilvl="0" w:tplc="4E4E9D42">
      <w:start w:val="1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782F3F"/>
    <w:multiLevelType w:val="hybridMultilevel"/>
    <w:tmpl w:val="CEF0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66FB3"/>
    <w:multiLevelType w:val="hybridMultilevel"/>
    <w:tmpl w:val="E5322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A2094"/>
    <w:multiLevelType w:val="hybridMultilevel"/>
    <w:tmpl w:val="C6949E8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7" w15:restartNumberingAfterBreak="0">
    <w:nsid w:val="2C1550BC"/>
    <w:multiLevelType w:val="hybridMultilevel"/>
    <w:tmpl w:val="0084089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30515F9C"/>
    <w:multiLevelType w:val="hybridMultilevel"/>
    <w:tmpl w:val="81E0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83F33"/>
    <w:multiLevelType w:val="hybridMultilevel"/>
    <w:tmpl w:val="AC0E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845980"/>
    <w:multiLevelType w:val="hybridMultilevel"/>
    <w:tmpl w:val="A15486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985909"/>
    <w:multiLevelType w:val="hybridMultilevel"/>
    <w:tmpl w:val="3948E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585C87"/>
    <w:multiLevelType w:val="hybridMultilevel"/>
    <w:tmpl w:val="2214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1F3AA8"/>
    <w:multiLevelType w:val="hybridMultilevel"/>
    <w:tmpl w:val="F2EA9C2C"/>
    <w:lvl w:ilvl="0" w:tplc="4E4E9D42">
      <w:start w:val="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64B34"/>
    <w:multiLevelType w:val="hybridMultilevel"/>
    <w:tmpl w:val="A438633C"/>
    <w:lvl w:ilvl="0" w:tplc="4E4E9D42">
      <w:start w:val="1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0428E"/>
    <w:multiLevelType w:val="hybridMultilevel"/>
    <w:tmpl w:val="EAD213E0"/>
    <w:lvl w:ilvl="0" w:tplc="4E4E9D42">
      <w:start w:val="10"/>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311FC3"/>
    <w:multiLevelType w:val="hybridMultilevel"/>
    <w:tmpl w:val="664A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C28B0"/>
    <w:multiLevelType w:val="hybridMultilevel"/>
    <w:tmpl w:val="5AA27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583055"/>
    <w:multiLevelType w:val="hybridMultilevel"/>
    <w:tmpl w:val="EE0285A6"/>
    <w:lvl w:ilvl="0" w:tplc="4E4E9D42">
      <w:start w:val="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73541"/>
    <w:multiLevelType w:val="hybridMultilevel"/>
    <w:tmpl w:val="99E6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62A7F"/>
    <w:multiLevelType w:val="hybridMultilevel"/>
    <w:tmpl w:val="A474857A"/>
    <w:lvl w:ilvl="0" w:tplc="0809000F">
      <w:start w:val="1"/>
      <w:numFmt w:val="decimal"/>
      <w:lvlText w:val="%1."/>
      <w:lvlJc w:val="left"/>
      <w:pPr>
        <w:ind w:left="720" w:hanging="360"/>
      </w:pPr>
    </w:lvl>
    <w:lvl w:ilvl="1" w:tplc="261C80A0">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307F52"/>
    <w:multiLevelType w:val="hybridMultilevel"/>
    <w:tmpl w:val="A3DC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81BF2"/>
    <w:multiLevelType w:val="hybridMultilevel"/>
    <w:tmpl w:val="6DFE0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BE2174"/>
    <w:multiLevelType w:val="hybridMultilevel"/>
    <w:tmpl w:val="310E3F4A"/>
    <w:lvl w:ilvl="0" w:tplc="4E4E9D42">
      <w:start w:val="1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D33D3C"/>
    <w:multiLevelType w:val="hybridMultilevel"/>
    <w:tmpl w:val="39E8F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5676DC"/>
    <w:multiLevelType w:val="hybridMultilevel"/>
    <w:tmpl w:val="35F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1751E"/>
    <w:multiLevelType w:val="hybridMultilevel"/>
    <w:tmpl w:val="AEC0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25F98"/>
    <w:multiLevelType w:val="hybridMultilevel"/>
    <w:tmpl w:val="2A96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C7CB0"/>
    <w:multiLevelType w:val="hybridMultilevel"/>
    <w:tmpl w:val="3EDE5E38"/>
    <w:lvl w:ilvl="0" w:tplc="43DCE4D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192C2D"/>
    <w:multiLevelType w:val="hybridMultilevel"/>
    <w:tmpl w:val="098C9590"/>
    <w:lvl w:ilvl="0" w:tplc="08090001">
      <w:start w:val="1"/>
      <w:numFmt w:val="bullet"/>
      <w:lvlText w:val=""/>
      <w:lvlJc w:val="left"/>
      <w:pPr>
        <w:ind w:left="720" w:hanging="360"/>
      </w:pPr>
      <w:rPr>
        <w:rFonts w:ascii="Symbol" w:hAnsi="Symbo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9376BC"/>
    <w:multiLevelType w:val="hybridMultilevel"/>
    <w:tmpl w:val="9C2AA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5D620BB"/>
    <w:multiLevelType w:val="hybridMultilevel"/>
    <w:tmpl w:val="D3D67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1142D6"/>
    <w:multiLevelType w:val="hybridMultilevel"/>
    <w:tmpl w:val="8D0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F07D55"/>
    <w:multiLevelType w:val="hybridMultilevel"/>
    <w:tmpl w:val="F6E656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15:restartNumberingAfterBreak="0">
    <w:nsid w:val="6B1C5447"/>
    <w:multiLevelType w:val="hybridMultilevel"/>
    <w:tmpl w:val="04162904"/>
    <w:lvl w:ilvl="0" w:tplc="08090001">
      <w:start w:val="1"/>
      <w:numFmt w:val="bullet"/>
      <w:lvlText w:val=""/>
      <w:lvlJc w:val="left"/>
      <w:pPr>
        <w:ind w:left="1006" w:hanging="360"/>
      </w:pPr>
      <w:rPr>
        <w:rFonts w:ascii="Symbol" w:hAnsi="Symbol" w:hint="default"/>
        <w:b w:val="0"/>
        <w:sz w:val="24"/>
        <w:szCs w:val="24"/>
      </w:rPr>
    </w:lvl>
    <w:lvl w:ilvl="1" w:tplc="08090019">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45" w15:restartNumberingAfterBreak="0">
    <w:nsid w:val="6E917C31"/>
    <w:multiLevelType w:val="hybridMultilevel"/>
    <w:tmpl w:val="54F2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46332C"/>
    <w:multiLevelType w:val="hybridMultilevel"/>
    <w:tmpl w:val="9B52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8B0E9F"/>
    <w:multiLevelType w:val="hybridMultilevel"/>
    <w:tmpl w:val="504E508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8" w15:restartNumberingAfterBreak="0">
    <w:nsid w:val="72CF4006"/>
    <w:multiLevelType w:val="hybridMultilevel"/>
    <w:tmpl w:val="D76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1463FE"/>
    <w:multiLevelType w:val="hybridMultilevel"/>
    <w:tmpl w:val="6B065CA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670286"/>
    <w:multiLevelType w:val="hybridMultilevel"/>
    <w:tmpl w:val="DBFC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428824">
    <w:abstractNumId w:val="35"/>
  </w:num>
  <w:num w:numId="2" w16cid:durableId="856773866">
    <w:abstractNumId w:val="9"/>
  </w:num>
  <w:num w:numId="3" w16cid:durableId="1478570857">
    <w:abstractNumId w:val="26"/>
  </w:num>
  <w:num w:numId="4" w16cid:durableId="2037542022">
    <w:abstractNumId w:val="42"/>
  </w:num>
  <w:num w:numId="5" w16cid:durableId="1254626076">
    <w:abstractNumId w:val="14"/>
  </w:num>
  <w:num w:numId="6" w16cid:durableId="1827552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2861411">
    <w:abstractNumId w:val="40"/>
  </w:num>
  <w:num w:numId="8" w16cid:durableId="981156909">
    <w:abstractNumId w:val="3"/>
  </w:num>
  <w:num w:numId="9" w16cid:durableId="1797530859">
    <w:abstractNumId w:val="3"/>
  </w:num>
  <w:num w:numId="10" w16cid:durableId="1479224245">
    <w:abstractNumId w:val="34"/>
  </w:num>
  <w:num w:numId="11" w16cid:durableId="1029992061">
    <w:abstractNumId w:val="19"/>
  </w:num>
  <w:num w:numId="12" w16cid:durableId="333848879">
    <w:abstractNumId w:val="21"/>
  </w:num>
  <w:num w:numId="13" w16cid:durableId="412775036">
    <w:abstractNumId w:val="32"/>
  </w:num>
  <w:num w:numId="14" w16cid:durableId="966012637">
    <w:abstractNumId w:val="8"/>
  </w:num>
  <w:num w:numId="15" w16cid:durableId="1543127987">
    <w:abstractNumId w:val="16"/>
  </w:num>
  <w:num w:numId="16" w16cid:durableId="559248723">
    <w:abstractNumId w:val="1"/>
  </w:num>
  <w:num w:numId="17" w16cid:durableId="22902654">
    <w:abstractNumId w:val="18"/>
  </w:num>
  <w:num w:numId="18" w16cid:durableId="1062678732">
    <w:abstractNumId w:val="45"/>
  </w:num>
  <w:num w:numId="19" w16cid:durableId="1199851374">
    <w:abstractNumId w:val="37"/>
  </w:num>
  <w:num w:numId="20" w16cid:durableId="1968662650">
    <w:abstractNumId w:val="36"/>
  </w:num>
  <w:num w:numId="21" w16cid:durableId="1996950288">
    <w:abstractNumId w:val="7"/>
  </w:num>
  <w:num w:numId="22" w16cid:durableId="1670717917">
    <w:abstractNumId w:val="43"/>
  </w:num>
  <w:num w:numId="23" w16cid:durableId="2001229649">
    <w:abstractNumId w:val="17"/>
  </w:num>
  <w:num w:numId="24" w16cid:durableId="1086414720">
    <w:abstractNumId w:val="31"/>
  </w:num>
  <w:num w:numId="25" w16cid:durableId="1753308845">
    <w:abstractNumId w:val="20"/>
  </w:num>
  <w:num w:numId="26" w16cid:durableId="510339286">
    <w:abstractNumId w:val="4"/>
  </w:num>
  <w:num w:numId="27" w16cid:durableId="795831573">
    <w:abstractNumId w:val="48"/>
  </w:num>
  <w:num w:numId="28" w16cid:durableId="490828926">
    <w:abstractNumId w:val="46"/>
  </w:num>
  <w:num w:numId="29" w16cid:durableId="317222702">
    <w:abstractNumId w:val="27"/>
  </w:num>
  <w:num w:numId="30" w16cid:durableId="1221861889">
    <w:abstractNumId w:val="22"/>
  </w:num>
  <w:num w:numId="31" w16cid:durableId="220022332">
    <w:abstractNumId w:val="12"/>
  </w:num>
  <w:num w:numId="32" w16cid:durableId="707531259">
    <w:abstractNumId w:val="10"/>
  </w:num>
  <w:num w:numId="33" w16cid:durableId="2064986716">
    <w:abstractNumId w:val="39"/>
  </w:num>
  <w:num w:numId="34" w16cid:durableId="272249002">
    <w:abstractNumId w:val="11"/>
  </w:num>
  <w:num w:numId="35" w16cid:durableId="1456755301">
    <w:abstractNumId w:val="30"/>
  </w:num>
  <w:num w:numId="36" w16cid:durableId="1314145588">
    <w:abstractNumId w:val="38"/>
  </w:num>
  <w:num w:numId="37" w16cid:durableId="1952198959">
    <w:abstractNumId w:val="49"/>
  </w:num>
  <w:num w:numId="38" w16cid:durableId="124665991">
    <w:abstractNumId w:val="50"/>
  </w:num>
  <w:num w:numId="39" w16cid:durableId="348600444">
    <w:abstractNumId w:val="0"/>
  </w:num>
  <w:num w:numId="40" w16cid:durableId="1908489658">
    <w:abstractNumId w:val="13"/>
  </w:num>
  <w:num w:numId="41" w16cid:durableId="616256688">
    <w:abstractNumId w:val="28"/>
  </w:num>
  <w:num w:numId="42" w16cid:durableId="436752684">
    <w:abstractNumId w:val="33"/>
  </w:num>
  <w:num w:numId="43" w16cid:durableId="218249022">
    <w:abstractNumId w:val="23"/>
  </w:num>
  <w:num w:numId="44" w16cid:durableId="45759075">
    <w:abstractNumId w:val="25"/>
  </w:num>
  <w:num w:numId="45" w16cid:durableId="1106928514">
    <w:abstractNumId w:val="6"/>
  </w:num>
  <w:num w:numId="46" w16cid:durableId="1379664198">
    <w:abstractNumId w:val="2"/>
  </w:num>
  <w:num w:numId="47" w16cid:durableId="1905218926">
    <w:abstractNumId w:val="29"/>
  </w:num>
  <w:num w:numId="48" w16cid:durableId="1609846039">
    <w:abstractNumId w:val="15"/>
  </w:num>
  <w:num w:numId="49" w16cid:durableId="21715895">
    <w:abstractNumId w:val="41"/>
  </w:num>
  <w:num w:numId="50" w16cid:durableId="1392314857">
    <w:abstractNumId w:val="24"/>
  </w:num>
  <w:num w:numId="51" w16cid:durableId="997076797">
    <w:abstractNumId w:val="47"/>
  </w:num>
  <w:num w:numId="52" w16cid:durableId="852650487">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A0"/>
    <w:rsid w:val="000018CA"/>
    <w:rsid w:val="00001B1A"/>
    <w:rsid w:val="00003E4A"/>
    <w:rsid w:val="00004FDE"/>
    <w:rsid w:val="00007160"/>
    <w:rsid w:val="0001228D"/>
    <w:rsid w:val="00012B51"/>
    <w:rsid w:val="000150C4"/>
    <w:rsid w:val="00022590"/>
    <w:rsid w:val="000346C8"/>
    <w:rsid w:val="00040754"/>
    <w:rsid w:val="0004123B"/>
    <w:rsid w:val="00043DBF"/>
    <w:rsid w:val="00050B75"/>
    <w:rsid w:val="0006374D"/>
    <w:rsid w:val="00065702"/>
    <w:rsid w:val="00072F51"/>
    <w:rsid w:val="0007301F"/>
    <w:rsid w:val="00076A1D"/>
    <w:rsid w:val="00077507"/>
    <w:rsid w:val="0008188F"/>
    <w:rsid w:val="00081923"/>
    <w:rsid w:val="00081A7E"/>
    <w:rsid w:val="00084AB9"/>
    <w:rsid w:val="000921AF"/>
    <w:rsid w:val="0009777F"/>
    <w:rsid w:val="000A323E"/>
    <w:rsid w:val="000A3E23"/>
    <w:rsid w:val="000A416E"/>
    <w:rsid w:val="000A5413"/>
    <w:rsid w:val="000A6E9F"/>
    <w:rsid w:val="000B302C"/>
    <w:rsid w:val="000B3746"/>
    <w:rsid w:val="000B3E80"/>
    <w:rsid w:val="000C0B63"/>
    <w:rsid w:val="000C0D58"/>
    <w:rsid w:val="000C0E09"/>
    <w:rsid w:val="000C178E"/>
    <w:rsid w:val="000D0606"/>
    <w:rsid w:val="000D151F"/>
    <w:rsid w:val="000D529C"/>
    <w:rsid w:val="000D5401"/>
    <w:rsid w:val="000D5BFF"/>
    <w:rsid w:val="000D7453"/>
    <w:rsid w:val="000E31E7"/>
    <w:rsid w:val="000F49A4"/>
    <w:rsid w:val="000F6532"/>
    <w:rsid w:val="000F669C"/>
    <w:rsid w:val="0010344C"/>
    <w:rsid w:val="00106F84"/>
    <w:rsid w:val="00107399"/>
    <w:rsid w:val="001115A2"/>
    <w:rsid w:val="00111FFC"/>
    <w:rsid w:val="001134A2"/>
    <w:rsid w:val="00117F91"/>
    <w:rsid w:val="00121456"/>
    <w:rsid w:val="00126907"/>
    <w:rsid w:val="00131724"/>
    <w:rsid w:val="00135792"/>
    <w:rsid w:val="00141F33"/>
    <w:rsid w:val="00142F87"/>
    <w:rsid w:val="0014622D"/>
    <w:rsid w:val="00146F6F"/>
    <w:rsid w:val="00151FC1"/>
    <w:rsid w:val="0015644A"/>
    <w:rsid w:val="00164294"/>
    <w:rsid w:val="00167506"/>
    <w:rsid w:val="00170B59"/>
    <w:rsid w:val="00176A48"/>
    <w:rsid w:val="00181531"/>
    <w:rsid w:val="001924C9"/>
    <w:rsid w:val="001A4E2A"/>
    <w:rsid w:val="001A6494"/>
    <w:rsid w:val="001A7EEC"/>
    <w:rsid w:val="001B0DEA"/>
    <w:rsid w:val="001B1BA3"/>
    <w:rsid w:val="001B3A33"/>
    <w:rsid w:val="001B4AD0"/>
    <w:rsid w:val="001B5441"/>
    <w:rsid w:val="001B7E1D"/>
    <w:rsid w:val="001C2377"/>
    <w:rsid w:val="001C4900"/>
    <w:rsid w:val="001C6AED"/>
    <w:rsid w:val="001D1D18"/>
    <w:rsid w:val="001D1E2A"/>
    <w:rsid w:val="001D63D8"/>
    <w:rsid w:val="001E0172"/>
    <w:rsid w:val="001E1DD6"/>
    <w:rsid w:val="001E6C90"/>
    <w:rsid w:val="001E7EDA"/>
    <w:rsid w:val="001F3D29"/>
    <w:rsid w:val="001F40FA"/>
    <w:rsid w:val="001F5B01"/>
    <w:rsid w:val="00203747"/>
    <w:rsid w:val="00204338"/>
    <w:rsid w:val="00204B9D"/>
    <w:rsid w:val="002115C8"/>
    <w:rsid w:val="0021360C"/>
    <w:rsid w:val="002216A4"/>
    <w:rsid w:val="00231C6B"/>
    <w:rsid w:val="002351C9"/>
    <w:rsid w:val="00246366"/>
    <w:rsid w:val="00250265"/>
    <w:rsid w:val="002546EA"/>
    <w:rsid w:val="0025477C"/>
    <w:rsid w:val="00261435"/>
    <w:rsid w:val="00262827"/>
    <w:rsid w:val="002676B3"/>
    <w:rsid w:val="00271F63"/>
    <w:rsid w:val="00274686"/>
    <w:rsid w:val="00274C7D"/>
    <w:rsid w:val="0027740B"/>
    <w:rsid w:val="00283D8E"/>
    <w:rsid w:val="002866D6"/>
    <w:rsid w:val="00287572"/>
    <w:rsid w:val="002917E6"/>
    <w:rsid w:val="00292A79"/>
    <w:rsid w:val="00297217"/>
    <w:rsid w:val="002A027C"/>
    <w:rsid w:val="002A2AE0"/>
    <w:rsid w:val="002A6753"/>
    <w:rsid w:val="002B1524"/>
    <w:rsid w:val="002B25E2"/>
    <w:rsid w:val="002B358C"/>
    <w:rsid w:val="002B5EA6"/>
    <w:rsid w:val="002B625C"/>
    <w:rsid w:val="002C0AB5"/>
    <w:rsid w:val="002D2753"/>
    <w:rsid w:val="002D456C"/>
    <w:rsid w:val="002D68CE"/>
    <w:rsid w:val="002E21DE"/>
    <w:rsid w:val="002E34CD"/>
    <w:rsid w:val="002F0438"/>
    <w:rsid w:val="002F2ABC"/>
    <w:rsid w:val="002F4813"/>
    <w:rsid w:val="002F563D"/>
    <w:rsid w:val="002F73BF"/>
    <w:rsid w:val="00301917"/>
    <w:rsid w:val="003026BB"/>
    <w:rsid w:val="00310F5A"/>
    <w:rsid w:val="003126B3"/>
    <w:rsid w:val="00315849"/>
    <w:rsid w:val="0031686C"/>
    <w:rsid w:val="00320D05"/>
    <w:rsid w:val="00322B3E"/>
    <w:rsid w:val="003300BD"/>
    <w:rsid w:val="00333826"/>
    <w:rsid w:val="0033655C"/>
    <w:rsid w:val="00336CDD"/>
    <w:rsid w:val="00341AEC"/>
    <w:rsid w:val="00347EA4"/>
    <w:rsid w:val="00350593"/>
    <w:rsid w:val="00352CDD"/>
    <w:rsid w:val="0036064B"/>
    <w:rsid w:val="00371A1E"/>
    <w:rsid w:val="00372DBE"/>
    <w:rsid w:val="00376F0C"/>
    <w:rsid w:val="00384246"/>
    <w:rsid w:val="00391F18"/>
    <w:rsid w:val="0039251C"/>
    <w:rsid w:val="00397B2F"/>
    <w:rsid w:val="003A18FF"/>
    <w:rsid w:val="003A77F1"/>
    <w:rsid w:val="003B31DD"/>
    <w:rsid w:val="003B3310"/>
    <w:rsid w:val="003B3D18"/>
    <w:rsid w:val="003B6EF3"/>
    <w:rsid w:val="003B726A"/>
    <w:rsid w:val="003B7D51"/>
    <w:rsid w:val="003C0BE6"/>
    <w:rsid w:val="003C5077"/>
    <w:rsid w:val="003D4A9A"/>
    <w:rsid w:val="003D7DFF"/>
    <w:rsid w:val="003E55BF"/>
    <w:rsid w:val="003F18FB"/>
    <w:rsid w:val="003F243E"/>
    <w:rsid w:val="003F35ED"/>
    <w:rsid w:val="003F3C0E"/>
    <w:rsid w:val="003F4BF3"/>
    <w:rsid w:val="003F5749"/>
    <w:rsid w:val="00402ECC"/>
    <w:rsid w:val="004121F6"/>
    <w:rsid w:val="00417419"/>
    <w:rsid w:val="004271EC"/>
    <w:rsid w:val="0043003E"/>
    <w:rsid w:val="004301ED"/>
    <w:rsid w:val="00431D3A"/>
    <w:rsid w:val="00432457"/>
    <w:rsid w:val="00436B98"/>
    <w:rsid w:val="0044202D"/>
    <w:rsid w:val="0044568D"/>
    <w:rsid w:val="00445D17"/>
    <w:rsid w:val="00452306"/>
    <w:rsid w:val="00452D21"/>
    <w:rsid w:val="004644BA"/>
    <w:rsid w:val="00464973"/>
    <w:rsid w:val="00464987"/>
    <w:rsid w:val="00464A1A"/>
    <w:rsid w:val="00466C50"/>
    <w:rsid w:val="004846A5"/>
    <w:rsid w:val="00484D31"/>
    <w:rsid w:val="00491251"/>
    <w:rsid w:val="004926A5"/>
    <w:rsid w:val="004A3383"/>
    <w:rsid w:val="004A43DE"/>
    <w:rsid w:val="004B2552"/>
    <w:rsid w:val="004B28DD"/>
    <w:rsid w:val="004C74B2"/>
    <w:rsid w:val="004D4DC3"/>
    <w:rsid w:val="004E6489"/>
    <w:rsid w:val="004E6DB7"/>
    <w:rsid w:val="0050019E"/>
    <w:rsid w:val="00511B28"/>
    <w:rsid w:val="00516C18"/>
    <w:rsid w:val="00526177"/>
    <w:rsid w:val="005300D4"/>
    <w:rsid w:val="00530221"/>
    <w:rsid w:val="00530348"/>
    <w:rsid w:val="005326CF"/>
    <w:rsid w:val="0053537F"/>
    <w:rsid w:val="0054184D"/>
    <w:rsid w:val="00541BE1"/>
    <w:rsid w:val="0054343B"/>
    <w:rsid w:val="005547FD"/>
    <w:rsid w:val="005559D7"/>
    <w:rsid w:val="005613A7"/>
    <w:rsid w:val="00563446"/>
    <w:rsid w:val="00565B92"/>
    <w:rsid w:val="00580FF4"/>
    <w:rsid w:val="00585B67"/>
    <w:rsid w:val="00586F8A"/>
    <w:rsid w:val="00597DD0"/>
    <w:rsid w:val="005A0833"/>
    <w:rsid w:val="005A0BDC"/>
    <w:rsid w:val="005A4CC5"/>
    <w:rsid w:val="005A6A2E"/>
    <w:rsid w:val="005A7DDF"/>
    <w:rsid w:val="005B45F6"/>
    <w:rsid w:val="005B6725"/>
    <w:rsid w:val="005C1BCE"/>
    <w:rsid w:val="005C46AD"/>
    <w:rsid w:val="005C69CC"/>
    <w:rsid w:val="005D032E"/>
    <w:rsid w:val="005D18E2"/>
    <w:rsid w:val="005D61A0"/>
    <w:rsid w:val="005E0DA9"/>
    <w:rsid w:val="005E105A"/>
    <w:rsid w:val="005E75B2"/>
    <w:rsid w:val="005E76CC"/>
    <w:rsid w:val="005E7802"/>
    <w:rsid w:val="005F45EF"/>
    <w:rsid w:val="005F4898"/>
    <w:rsid w:val="005F5BEA"/>
    <w:rsid w:val="006032E3"/>
    <w:rsid w:val="00603648"/>
    <w:rsid w:val="00605E01"/>
    <w:rsid w:val="00607795"/>
    <w:rsid w:val="006130C0"/>
    <w:rsid w:val="00614465"/>
    <w:rsid w:val="00617EDA"/>
    <w:rsid w:val="0063032B"/>
    <w:rsid w:val="006311B3"/>
    <w:rsid w:val="0063331F"/>
    <w:rsid w:val="006421E9"/>
    <w:rsid w:val="006464B2"/>
    <w:rsid w:val="006518B5"/>
    <w:rsid w:val="006532BD"/>
    <w:rsid w:val="00655AAE"/>
    <w:rsid w:val="006603BB"/>
    <w:rsid w:val="00667F98"/>
    <w:rsid w:val="006860E6"/>
    <w:rsid w:val="00693C6C"/>
    <w:rsid w:val="006975DA"/>
    <w:rsid w:val="006A0A94"/>
    <w:rsid w:val="006A4524"/>
    <w:rsid w:val="006A4AB2"/>
    <w:rsid w:val="006A4D37"/>
    <w:rsid w:val="006A6285"/>
    <w:rsid w:val="006B3339"/>
    <w:rsid w:val="006B6DEA"/>
    <w:rsid w:val="006C49ED"/>
    <w:rsid w:val="006C5416"/>
    <w:rsid w:val="006C5FB8"/>
    <w:rsid w:val="006C7688"/>
    <w:rsid w:val="006D2708"/>
    <w:rsid w:val="006D5C6C"/>
    <w:rsid w:val="006E38CB"/>
    <w:rsid w:val="006F5B75"/>
    <w:rsid w:val="007016E5"/>
    <w:rsid w:val="007044E2"/>
    <w:rsid w:val="00704C48"/>
    <w:rsid w:val="00705E6F"/>
    <w:rsid w:val="00706C1B"/>
    <w:rsid w:val="007102E9"/>
    <w:rsid w:val="00710B80"/>
    <w:rsid w:val="0071504F"/>
    <w:rsid w:val="0072180D"/>
    <w:rsid w:val="00724C13"/>
    <w:rsid w:val="00731378"/>
    <w:rsid w:val="007352D6"/>
    <w:rsid w:val="00736C41"/>
    <w:rsid w:val="00740E44"/>
    <w:rsid w:val="00741440"/>
    <w:rsid w:val="00741828"/>
    <w:rsid w:val="00745826"/>
    <w:rsid w:val="00745AFF"/>
    <w:rsid w:val="00751AFA"/>
    <w:rsid w:val="00760489"/>
    <w:rsid w:val="00763DB8"/>
    <w:rsid w:val="00767939"/>
    <w:rsid w:val="0077039C"/>
    <w:rsid w:val="007711A6"/>
    <w:rsid w:val="007715AA"/>
    <w:rsid w:val="0077169C"/>
    <w:rsid w:val="00771F50"/>
    <w:rsid w:val="00780C0E"/>
    <w:rsid w:val="00783FE9"/>
    <w:rsid w:val="00785F94"/>
    <w:rsid w:val="0079198E"/>
    <w:rsid w:val="00793DE2"/>
    <w:rsid w:val="0079678D"/>
    <w:rsid w:val="007A07E4"/>
    <w:rsid w:val="007A0E7B"/>
    <w:rsid w:val="007A17CA"/>
    <w:rsid w:val="007A1E9A"/>
    <w:rsid w:val="007A284A"/>
    <w:rsid w:val="007B68F6"/>
    <w:rsid w:val="007C1AB3"/>
    <w:rsid w:val="007C2DB2"/>
    <w:rsid w:val="007C5091"/>
    <w:rsid w:val="007C7CC4"/>
    <w:rsid w:val="007D3DDA"/>
    <w:rsid w:val="007D53B7"/>
    <w:rsid w:val="007D5AB4"/>
    <w:rsid w:val="007E0108"/>
    <w:rsid w:val="007E0A01"/>
    <w:rsid w:val="007E1B26"/>
    <w:rsid w:val="007E60D9"/>
    <w:rsid w:val="007E75BB"/>
    <w:rsid w:val="007F0501"/>
    <w:rsid w:val="007F176C"/>
    <w:rsid w:val="007F1D04"/>
    <w:rsid w:val="007F678C"/>
    <w:rsid w:val="00802A39"/>
    <w:rsid w:val="0080503C"/>
    <w:rsid w:val="00806727"/>
    <w:rsid w:val="00812CE8"/>
    <w:rsid w:val="00816EF4"/>
    <w:rsid w:val="00823D3F"/>
    <w:rsid w:val="008332A3"/>
    <w:rsid w:val="008416DD"/>
    <w:rsid w:val="008458BD"/>
    <w:rsid w:val="0084594C"/>
    <w:rsid w:val="00846D63"/>
    <w:rsid w:val="0085749E"/>
    <w:rsid w:val="00862258"/>
    <w:rsid w:val="008622CA"/>
    <w:rsid w:val="008649D0"/>
    <w:rsid w:val="00864D41"/>
    <w:rsid w:val="00870DFE"/>
    <w:rsid w:val="00875CB4"/>
    <w:rsid w:val="00885097"/>
    <w:rsid w:val="00893BA6"/>
    <w:rsid w:val="008958D8"/>
    <w:rsid w:val="00895C7C"/>
    <w:rsid w:val="008A323C"/>
    <w:rsid w:val="008B32C5"/>
    <w:rsid w:val="008B376D"/>
    <w:rsid w:val="008B4AB1"/>
    <w:rsid w:val="008C08C0"/>
    <w:rsid w:val="008C1FF2"/>
    <w:rsid w:val="008D1E21"/>
    <w:rsid w:val="008D2616"/>
    <w:rsid w:val="008D69A7"/>
    <w:rsid w:val="008D6F2E"/>
    <w:rsid w:val="008E29DD"/>
    <w:rsid w:val="008E473A"/>
    <w:rsid w:val="008F1BBA"/>
    <w:rsid w:val="008F4AFD"/>
    <w:rsid w:val="0090299C"/>
    <w:rsid w:val="00910CA2"/>
    <w:rsid w:val="009175EA"/>
    <w:rsid w:val="009247D6"/>
    <w:rsid w:val="00930889"/>
    <w:rsid w:val="00932D64"/>
    <w:rsid w:val="00941B42"/>
    <w:rsid w:val="009468A9"/>
    <w:rsid w:val="00947885"/>
    <w:rsid w:val="00950217"/>
    <w:rsid w:val="00960D9C"/>
    <w:rsid w:val="00963ABB"/>
    <w:rsid w:val="009760DC"/>
    <w:rsid w:val="00981E9A"/>
    <w:rsid w:val="00985326"/>
    <w:rsid w:val="009913AC"/>
    <w:rsid w:val="009948DE"/>
    <w:rsid w:val="009961C9"/>
    <w:rsid w:val="00996624"/>
    <w:rsid w:val="0099749F"/>
    <w:rsid w:val="009A4CE7"/>
    <w:rsid w:val="009A64A3"/>
    <w:rsid w:val="009A7657"/>
    <w:rsid w:val="009A7F84"/>
    <w:rsid w:val="009B1660"/>
    <w:rsid w:val="009B5F82"/>
    <w:rsid w:val="009B6AA0"/>
    <w:rsid w:val="009C1806"/>
    <w:rsid w:val="009C3CBB"/>
    <w:rsid w:val="009D0123"/>
    <w:rsid w:val="009D1A7A"/>
    <w:rsid w:val="009E0B78"/>
    <w:rsid w:val="009F0DE2"/>
    <w:rsid w:val="009F1BAC"/>
    <w:rsid w:val="009F22D7"/>
    <w:rsid w:val="00A044EF"/>
    <w:rsid w:val="00A04B5C"/>
    <w:rsid w:val="00A054EB"/>
    <w:rsid w:val="00A05876"/>
    <w:rsid w:val="00A05DA5"/>
    <w:rsid w:val="00A06449"/>
    <w:rsid w:val="00A137B5"/>
    <w:rsid w:val="00A16EA1"/>
    <w:rsid w:val="00A245EE"/>
    <w:rsid w:val="00A25E16"/>
    <w:rsid w:val="00A30F50"/>
    <w:rsid w:val="00A316CC"/>
    <w:rsid w:val="00A34945"/>
    <w:rsid w:val="00A369BE"/>
    <w:rsid w:val="00A36B6A"/>
    <w:rsid w:val="00A515B4"/>
    <w:rsid w:val="00A550DA"/>
    <w:rsid w:val="00A56399"/>
    <w:rsid w:val="00A571C0"/>
    <w:rsid w:val="00A577B8"/>
    <w:rsid w:val="00A67FCF"/>
    <w:rsid w:val="00A71EAF"/>
    <w:rsid w:val="00A71EF4"/>
    <w:rsid w:val="00A77466"/>
    <w:rsid w:val="00A82448"/>
    <w:rsid w:val="00A86D95"/>
    <w:rsid w:val="00A90C5E"/>
    <w:rsid w:val="00AA088A"/>
    <w:rsid w:val="00AB481E"/>
    <w:rsid w:val="00AB4E75"/>
    <w:rsid w:val="00AB73AA"/>
    <w:rsid w:val="00AB7A0C"/>
    <w:rsid w:val="00AC0694"/>
    <w:rsid w:val="00AC196A"/>
    <w:rsid w:val="00AC5E7E"/>
    <w:rsid w:val="00AD163E"/>
    <w:rsid w:val="00AD1E4F"/>
    <w:rsid w:val="00AD51EC"/>
    <w:rsid w:val="00AE46F2"/>
    <w:rsid w:val="00AF0793"/>
    <w:rsid w:val="00AF0B27"/>
    <w:rsid w:val="00AF57BC"/>
    <w:rsid w:val="00B076E8"/>
    <w:rsid w:val="00B07AF7"/>
    <w:rsid w:val="00B115C3"/>
    <w:rsid w:val="00B13C24"/>
    <w:rsid w:val="00B13C8C"/>
    <w:rsid w:val="00B25B02"/>
    <w:rsid w:val="00B31C77"/>
    <w:rsid w:val="00B37910"/>
    <w:rsid w:val="00B430CA"/>
    <w:rsid w:val="00B469DD"/>
    <w:rsid w:val="00B533D9"/>
    <w:rsid w:val="00B55A9C"/>
    <w:rsid w:val="00B6042B"/>
    <w:rsid w:val="00B605FF"/>
    <w:rsid w:val="00B64416"/>
    <w:rsid w:val="00B7216C"/>
    <w:rsid w:val="00B73AFD"/>
    <w:rsid w:val="00B81030"/>
    <w:rsid w:val="00B828C7"/>
    <w:rsid w:val="00B82A23"/>
    <w:rsid w:val="00B82F06"/>
    <w:rsid w:val="00B9340D"/>
    <w:rsid w:val="00B974FA"/>
    <w:rsid w:val="00BA3E07"/>
    <w:rsid w:val="00BA50BC"/>
    <w:rsid w:val="00BB4957"/>
    <w:rsid w:val="00BC5843"/>
    <w:rsid w:val="00BC631F"/>
    <w:rsid w:val="00BD3ED1"/>
    <w:rsid w:val="00BD424B"/>
    <w:rsid w:val="00BE2756"/>
    <w:rsid w:val="00BE5F63"/>
    <w:rsid w:val="00BF2E99"/>
    <w:rsid w:val="00BF62C0"/>
    <w:rsid w:val="00C02F0E"/>
    <w:rsid w:val="00C11803"/>
    <w:rsid w:val="00C13ECA"/>
    <w:rsid w:val="00C15153"/>
    <w:rsid w:val="00C22B63"/>
    <w:rsid w:val="00C25C52"/>
    <w:rsid w:val="00C30E85"/>
    <w:rsid w:val="00C33249"/>
    <w:rsid w:val="00C41688"/>
    <w:rsid w:val="00C422AE"/>
    <w:rsid w:val="00C44D7E"/>
    <w:rsid w:val="00C45180"/>
    <w:rsid w:val="00C53CC7"/>
    <w:rsid w:val="00C566B4"/>
    <w:rsid w:val="00C579A7"/>
    <w:rsid w:val="00C62D4C"/>
    <w:rsid w:val="00C63A73"/>
    <w:rsid w:val="00C81E29"/>
    <w:rsid w:val="00C8510A"/>
    <w:rsid w:val="00C935FD"/>
    <w:rsid w:val="00C9561B"/>
    <w:rsid w:val="00CA2ABA"/>
    <w:rsid w:val="00CA6A38"/>
    <w:rsid w:val="00CB2E1C"/>
    <w:rsid w:val="00CC0C8A"/>
    <w:rsid w:val="00CC4A5C"/>
    <w:rsid w:val="00CD2121"/>
    <w:rsid w:val="00CD6931"/>
    <w:rsid w:val="00CD7C98"/>
    <w:rsid w:val="00CE0F41"/>
    <w:rsid w:val="00CE4654"/>
    <w:rsid w:val="00CF7431"/>
    <w:rsid w:val="00CF77D3"/>
    <w:rsid w:val="00D028B8"/>
    <w:rsid w:val="00D10655"/>
    <w:rsid w:val="00D10CE0"/>
    <w:rsid w:val="00D17CC9"/>
    <w:rsid w:val="00D2084A"/>
    <w:rsid w:val="00D25FBE"/>
    <w:rsid w:val="00D404A6"/>
    <w:rsid w:val="00D44050"/>
    <w:rsid w:val="00D45423"/>
    <w:rsid w:val="00D5074D"/>
    <w:rsid w:val="00D53F41"/>
    <w:rsid w:val="00D544BE"/>
    <w:rsid w:val="00D56711"/>
    <w:rsid w:val="00D56C98"/>
    <w:rsid w:val="00D7256D"/>
    <w:rsid w:val="00D72F5D"/>
    <w:rsid w:val="00D76CF8"/>
    <w:rsid w:val="00D776EA"/>
    <w:rsid w:val="00D8599A"/>
    <w:rsid w:val="00D85AF8"/>
    <w:rsid w:val="00D90A38"/>
    <w:rsid w:val="00DA282F"/>
    <w:rsid w:val="00DA5844"/>
    <w:rsid w:val="00DA6345"/>
    <w:rsid w:val="00DA71A4"/>
    <w:rsid w:val="00DB2DAD"/>
    <w:rsid w:val="00DB45AC"/>
    <w:rsid w:val="00DB7F08"/>
    <w:rsid w:val="00DC10E9"/>
    <w:rsid w:val="00DC6AAC"/>
    <w:rsid w:val="00DD0D0E"/>
    <w:rsid w:val="00DD5A45"/>
    <w:rsid w:val="00DD6254"/>
    <w:rsid w:val="00DE07E1"/>
    <w:rsid w:val="00DF101D"/>
    <w:rsid w:val="00E00034"/>
    <w:rsid w:val="00E00EF1"/>
    <w:rsid w:val="00E03918"/>
    <w:rsid w:val="00E24E4F"/>
    <w:rsid w:val="00E326AA"/>
    <w:rsid w:val="00E32A09"/>
    <w:rsid w:val="00E36602"/>
    <w:rsid w:val="00E36A60"/>
    <w:rsid w:val="00E40F04"/>
    <w:rsid w:val="00E41D00"/>
    <w:rsid w:val="00E458C0"/>
    <w:rsid w:val="00E47125"/>
    <w:rsid w:val="00E47524"/>
    <w:rsid w:val="00E54B5D"/>
    <w:rsid w:val="00E55D31"/>
    <w:rsid w:val="00E61AEE"/>
    <w:rsid w:val="00E710C1"/>
    <w:rsid w:val="00E71595"/>
    <w:rsid w:val="00E733F3"/>
    <w:rsid w:val="00E7354B"/>
    <w:rsid w:val="00E80AA8"/>
    <w:rsid w:val="00E80BAB"/>
    <w:rsid w:val="00E93A08"/>
    <w:rsid w:val="00E96452"/>
    <w:rsid w:val="00EA13CD"/>
    <w:rsid w:val="00EA5ADD"/>
    <w:rsid w:val="00EB4930"/>
    <w:rsid w:val="00EC35B4"/>
    <w:rsid w:val="00EC4202"/>
    <w:rsid w:val="00EC5CC7"/>
    <w:rsid w:val="00EC7490"/>
    <w:rsid w:val="00EE0ACD"/>
    <w:rsid w:val="00EE138C"/>
    <w:rsid w:val="00EE5175"/>
    <w:rsid w:val="00EE5E6F"/>
    <w:rsid w:val="00EF275A"/>
    <w:rsid w:val="00EF3FAF"/>
    <w:rsid w:val="00EF4DD2"/>
    <w:rsid w:val="00F0369D"/>
    <w:rsid w:val="00F07B43"/>
    <w:rsid w:val="00F14060"/>
    <w:rsid w:val="00F156E5"/>
    <w:rsid w:val="00F2356F"/>
    <w:rsid w:val="00F23D1C"/>
    <w:rsid w:val="00F36368"/>
    <w:rsid w:val="00F4330E"/>
    <w:rsid w:val="00F44A75"/>
    <w:rsid w:val="00F45AFF"/>
    <w:rsid w:val="00F471C5"/>
    <w:rsid w:val="00F52FD8"/>
    <w:rsid w:val="00F566B9"/>
    <w:rsid w:val="00F63C53"/>
    <w:rsid w:val="00F65C22"/>
    <w:rsid w:val="00F718BE"/>
    <w:rsid w:val="00F77D79"/>
    <w:rsid w:val="00F80D42"/>
    <w:rsid w:val="00F86B25"/>
    <w:rsid w:val="00F93A53"/>
    <w:rsid w:val="00FA3B98"/>
    <w:rsid w:val="00FB077E"/>
    <w:rsid w:val="00FB578A"/>
    <w:rsid w:val="00FC019B"/>
    <w:rsid w:val="00FC167E"/>
    <w:rsid w:val="00FC248D"/>
    <w:rsid w:val="00FC3ACE"/>
    <w:rsid w:val="00FC4B98"/>
    <w:rsid w:val="00FC6764"/>
    <w:rsid w:val="00FC7205"/>
    <w:rsid w:val="00FD4397"/>
    <w:rsid w:val="00FE7B3D"/>
    <w:rsid w:val="00FE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2]"/>
    </o:shapedefaults>
    <o:shapelayout v:ext="edit">
      <o:idmap v:ext="edit" data="2"/>
    </o:shapelayout>
  </w:shapeDefaults>
  <w:decimalSymbol w:val="."/>
  <w:listSeparator w:val=","/>
  <w14:docId w14:val="740D1D59"/>
  <w15:docId w15:val="{655D3D4A-BAAA-448C-BF31-FB933731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DB2DAD"/>
    <w:pPr>
      <w:spacing w:before="120" w:line="290" w:lineRule="atLeast"/>
      <w:jc w:val="both"/>
    </w:pPr>
    <w:rPr>
      <w:rFonts w:ascii="Arial" w:hAnsi="Arial"/>
      <w:sz w:val="24"/>
      <w:szCs w:val="24"/>
    </w:rPr>
  </w:style>
  <w:style w:type="paragraph" w:styleId="Heading1">
    <w:name w:val="heading 1"/>
    <w:basedOn w:val="Normal"/>
    <w:next w:val="Normal"/>
    <w:link w:val="Heading1Char"/>
    <w:qFormat/>
    <w:rsid w:val="005A0833"/>
    <w:pPr>
      <w:spacing w:after="360"/>
      <w:jc w:val="left"/>
      <w:outlineLvl w:val="0"/>
    </w:pPr>
    <w:rPr>
      <w:sz w:val="48"/>
      <w:lang w:val="en"/>
    </w:rPr>
  </w:style>
  <w:style w:type="paragraph" w:styleId="Heading2">
    <w:name w:val="heading 2"/>
    <w:basedOn w:val="Normal"/>
    <w:next w:val="Normal"/>
    <w:link w:val="Heading2Char"/>
    <w:qFormat/>
    <w:rsid w:val="003A77F1"/>
    <w:pPr>
      <w:spacing w:before="240" w:after="120"/>
      <w:jc w:val="left"/>
      <w:outlineLvl w:val="1"/>
    </w:pPr>
    <w:rPr>
      <w:b/>
      <w:sz w:val="28"/>
      <w:lang w:val="en"/>
    </w:rPr>
  </w:style>
  <w:style w:type="paragraph" w:styleId="Heading3">
    <w:name w:val="heading 3"/>
    <w:aliases w:val="Sub Heading"/>
    <w:basedOn w:val="Normal"/>
    <w:next w:val="Normal"/>
    <w:qFormat/>
    <w:rsid w:val="000D5401"/>
    <w:pPr>
      <w:keepNext/>
      <w:spacing w:before="0" w:line="276" w:lineRule="auto"/>
      <w:ind w:left="714"/>
      <w:outlineLvl w:val="2"/>
    </w:pPr>
    <w:rPr>
      <w:rFonts w:cs="Arial"/>
      <w:b/>
      <w:bCs/>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B302C"/>
    <w:pPr>
      <w:tabs>
        <w:tab w:val="right" w:leader="dot" w:pos="9402"/>
      </w:tabs>
    </w:pPr>
  </w:style>
  <w:style w:type="paragraph" w:styleId="TOC2">
    <w:name w:val="toc 2"/>
    <w:basedOn w:val="Normal"/>
    <w:next w:val="Normal"/>
    <w:autoRedefine/>
    <w:uiPriority w:val="39"/>
    <w:rsid w:val="000B302C"/>
    <w:pPr>
      <w:tabs>
        <w:tab w:val="right" w:leader="dot" w:pos="9060"/>
      </w:tabs>
    </w:pPr>
  </w:style>
  <w:style w:type="character" w:styleId="PageNumber">
    <w:name w:val="page number"/>
    <w:rsid w:val="00081923"/>
    <w:rPr>
      <w:rFonts w:ascii="Arial" w:hAnsi="Arial"/>
      <w:color w:val="808080"/>
      <w:sz w:val="20"/>
    </w:rPr>
  </w:style>
  <w:style w:type="paragraph" w:styleId="TOC3">
    <w:name w:val="toc 3"/>
    <w:basedOn w:val="Normal"/>
    <w:next w:val="Normal"/>
    <w:autoRedefine/>
    <w:uiPriority w:val="39"/>
    <w:rsid w:val="006C7688"/>
    <w:pPr>
      <w:ind w:left="480"/>
    </w:pPr>
  </w:style>
  <w:style w:type="character" w:styleId="Hyperlink">
    <w:name w:val="Hyperlink"/>
    <w:uiPriority w:val="99"/>
    <w:rsid w:val="00CF7431"/>
    <w:rPr>
      <w:color w:val="0000FF"/>
      <w:u w:val="single"/>
    </w:rPr>
  </w:style>
  <w:style w:type="table" w:styleId="TableGrid">
    <w:name w:val="Table Grid"/>
    <w:basedOn w:val="TableNormal"/>
    <w:uiPriority w:val="39"/>
    <w:rsid w:val="00176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paragraph" w:styleId="BodyText">
    <w:name w:val="Body Text"/>
    <w:basedOn w:val="Normal"/>
    <w:link w:val="BodyTextChar"/>
    <w:unhideWhenUsed/>
    <w:rsid w:val="00431D3A"/>
    <w:pPr>
      <w:spacing w:before="0" w:after="120" w:line="240" w:lineRule="auto"/>
    </w:pPr>
    <w:rPr>
      <w:rFonts w:ascii="Times New Roman" w:hAnsi="Times New Roman"/>
      <w:lang w:val="x-none"/>
    </w:rPr>
  </w:style>
  <w:style w:type="character" w:customStyle="1" w:styleId="BodyTextChar">
    <w:name w:val="Body Text Char"/>
    <w:basedOn w:val="DefaultParagraphFont"/>
    <w:link w:val="BodyText"/>
    <w:rsid w:val="00431D3A"/>
    <w:rPr>
      <w:sz w:val="24"/>
      <w:szCs w:val="24"/>
      <w:lang w:val="x-none"/>
    </w:rPr>
  </w:style>
  <w:style w:type="paragraph" w:styleId="BalloonText">
    <w:name w:val="Balloon Text"/>
    <w:basedOn w:val="Normal"/>
    <w:link w:val="BalloonTextChar"/>
    <w:uiPriority w:val="99"/>
    <w:semiHidden/>
    <w:unhideWhenUsed/>
    <w:rsid w:val="007703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9C"/>
    <w:rPr>
      <w:rFonts w:ascii="Tahoma" w:hAnsi="Tahoma" w:cs="Tahoma"/>
      <w:sz w:val="16"/>
      <w:szCs w:val="16"/>
    </w:rPr>
  </w:style>
  <w:style w:type="character" w:styleId="CommentReference">
    <w:name w:val="annotation reference"/>
    <w:basedOn w:val="DefaultParagraphFont"/>
    <w:uiPriority w:val="99"/>
    <w:semiHidden/>
    <w:unhideWhenUsed/>
    <w:rsid w:val="00320D05"/>
    <w:rPr>
      <w:sz w:val="16"/>
      <w:szCs w:val="16"/>
    </w:rPr>
  </w:style>
  <w:style w:type="paragraph" w:styleId="CommentText">
    <w:name w:val="annotation text"/>
    <w:basedOn w:val="Normal"/>
    <w:link w:val="CommentTextChar"/>
    <w:uiPriority w:val="99"/>
    <w:unhideWhenUsed/>
    <w:rsid w:val="00320D05"/>
    <w:pPr>
      <w:spacing w:line="240" w:lineRule="auto"/>
    </w:pPr>
    <w:rPr>
      <w:sz w:val="20"/>
      <w:szCs w:val="20"/>
    </w:rPr>
  </w:style>
  <w:style w:type="character" w:customStyle="1" w:styleId="CommentTextChar">
    <w:name w:val="Comment Text Char"/>
    <w:basedOn w:val="DefaultParagraphFont"/>
    <w:link w:val="CommentText"/>
    <w:uiPriority w:val="99"/>
    <w:rsid w:val="00320D05"/>
    <w:rPr>
      <w:rFonts w:ascii="Arial" w:hAnsi="Arial"/>
    </w:rPr>
  </w:style>
  <w:style w:type="paragraph" w:styleId="CommentSubject">
    <w:name w:val="annotation subject"/>
    <w:basedOn w:val="CommentText"/>
    <w:next w:val="CommentText"/>
    <w:link w:val="CommentSubjectChar"/>
    <w:uiPriority w:val="99"/>
    <w:semiHidden/>
    <w:unhideWhenUsed/>
    <w:rsid w:val="00320D05"/>
    <w:rPr>
      <w:b/>
      <w:bCs/>
    </w:rPr>
  </w:style>
  <w:style w:type="character" w:customStyle="1" w:styleId="CommentSubjectChar">
    <w:name w:val="Comment Subject Char"/>
    <w:basedOn w:val="CommentTextChar"/>
    <w:link w:val="CommentSubject"/>
    <w:uiPriority w:val="99"/>
    <w:semiHidden/>
    <w:rsid w:val="00320D05"/>
    <w:rPr>
      <w:rFonts w:ascii="Arial" w:hAnsi="Arial"/>
      <w:b/>
      <w:bCs/>
    </w:rPr>
  </w:style>
  <w:style w:type="paragraph" w:styleId="Header">
    <w:name w:val="header"/>
    <w:basedOn w:val="Normal"/>
    <w:link w:val="HeaderChar"/>
    <w:uiPriority w:val="99"/>
    <w:unhideWhenUsed/>
    <w:rsid w:val="00A25E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5E16"/>
    <w:rPr>
      <w:rFonts w:ascii="Arial" w:hAnsi="Arial"/>
      <w:sz w:val="21"/>
      <w:szCs w:val="24"/>
    </w:rPr>
  </w:style>
  <w:style w:type="paragraph" w:styleId="Footer">
    <w:name w:val="footer"/>
    <w:basedOn w:val="Normal"/>
    <w:link w:val="FooterChar"/>
    <w:uiPriority w:val="99"/>
    <w:unhideWhenUsed/>
    <w:rsid w:val="00A25E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5E16"/>
    <w:rPr>
      <w:rFonts w:ascii="Arial" w:hAnsi="Arial"/>
      <w:sz w:val="21"/>
      <w:szCs w:val="24"/>
    </w:rPr>
  </w:style>
  <w:style w:type="paragraph" w:styleId="ListParagraph">
    <w:name w:val="List Paragraph"/>
    <w:basedOn w:val="Normal"/>
    <w:uiPriority w:val="34"/>
    <w:qFormat/>
    <w:rsid w:val="003C0BE6"/>
    <w:pPr>
      <w:ind w:left="720"/>
      <w:contextualSpacing/>
    </w:pPr>
  </w:style>
  <w:style w:type="paragraph" w:customStyle="1" w:styleId="Default">
    <w:name w:val="Default"/>
    <w:rsid w:val="007C509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97B2F"/>
    <w:rPr>
      <w:color w:val="800080" w:themeColor="followedHyperlink"/>
      <w:u w:val="single"/>
    </w:rPr>
  </w:style>
  <w:style w:type="character" w:customStyle="1" w:styleId="Heading2Char">
    <w:name w:val="Heading 2 Char"/>
    <w:basedOn w:val="DefaultParagraphFont"/>
    <w:link w:val="Heading2"/>
    <w:rsid w:val="003A77F1"/>
    <w:rPr>
      <w:rFonts w:ascii="Arial" w:hAnsi="Arial"/>
      <w:b/>
      <w:sz w:val="28"/>
      <w:szCs w:val="24"/>
      <w:lang w:val="en"/>
    </w:rPr>
  </w:style>
  <w:style w:type="character" w:styleId="Strong">
    <w:name w:val="Strong"/>
    <w:basedOn w:val="DefaultParagraphFont"/>
    <w:uiPriority w:val="22"/>
    <w:rsid w:val="006B3339"/>
    <w:rPr>
      <w:b/>
      <w:bCs/>
    </w:rPr>
  </w:style>
  <w:style w:type="character" w:customStyle="1" w:styleId="Heading1Char">
    <w:name w:val="Heading 1 Char"/>
    <w:basedOn w:val="DefaultParagraphFont"/>
    <w:link w:val="Heading1"/>
    <w:rsid w:val="005A0833"/>
    <w:rPr>
      <w:rFonts w:ascii="Arial" w:hAnsi="Arial"/>
      <w:sz w:val="48"/>
      <w:szCs w:val="24"/>
      <w:lang w:val="en"/>
    </w:rPr>
  </w:style>
  <w:style w:type="paragraph" w:styleId="Revision">
    <w:name w:val="Revision"/>
    <w:hidden/>
    <w:uiPriority w:val="99"/>
    <w:semiHidden/>
    <w:rsid w:val="00D404A6"/>
    <w:rPr>
      <w:rFonts w:ascii="Arial" w:hAnsi="Arial"/>
      <w:sz w:val="21"/>
      <w:szCs w:val="24"/>
    </w:rPr>
  </w:style>
  <w:style w:type="character" w:styleId="PlaceholderText">
    <w:name w:val="Placeholder Text"/>
    <w:basedOn w:val="DefaultParagraphFont"/>
    <w:uiPriority w:val="99"/>
    <w:semiHidden/>
    <w:rsid w:val="000D1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1947">
      <w:bodyDiv w:val="1"/>
      <w:marLeft w:val="0"/>
      <w:marRight w:val="0"/>
      <w:marTop w:val="0"/>
      <w:marBottom w:val="0"/>
      <w:divBdr>
        <w:top w:val="none" w:sz="0" w:space="0" w:color="auto"/>
        <w:left w:val="none" w:sz="0" w:space="0" w:color="auto"/>
        <w:bottom w:val="none" w:sz="0" w:space="0" w:color="auto"/>
        <w:right w:val="none" w:sz="0" w:space="0" w:color="auto"/>
      </w:divBdr>
      <w:divsChild>
        <w:div w:id="521015831">
          <w:marLeft w:val="0"/>
          <w:marRight w:val="0"/>
          <w:marTop w:val="120"/>
          <w:marBottom w:val="0"/>
          <w:divBdr>
            <w:top w:val="single" w:sz="8" w:space="6" w:color="666666"/>
            <w:left w:val="none" w:sz="0" w:space="0" w:color="auto"/>
            <w:bottom w:val="none" w:sz="0" w:space="0" w:color="auto"/>
            <w:right w:val="none" w:sz="0" w:space="0" w:color="auto"/>
          </w:divBdr>
        </w:div>
      </w:divsChild>
    </w:div>
    <w:div w:id="946547819">
      <w:bodyDiv w:val="1"/>
      <w:marLeft w:val="0"/>
      <w:marRight w:val="0"/>
      <w:marTop w:val="0"/>
      <w:marBottom w:val="0"/>
      <w:divBdr>
        <w:top w:val="none" w:sz="0" w:space="0" w:color="auto"/>
        <w:left w:val="none" w:sz="0" w:space="0" w:color="auto"/>
        <w:bottom w:val="none" w:sz="0" w:space="0" w:color="auto"/>
        <w:right w:val="none" w:sz="0" w:space="0" w:color="auto"/>
      </w:divBdr>
      <w:divsChild>
        <w:div w:id="1630621056">
          <w:marLeft w:val="0"/>
          <w:marRight w:val="0"/>
          <w:marTop w:val="120"/>
          <w:marBottom w:val="0"/>
          <w:divBdr>
            <w:top w:val="single" w:sz="8" w:space="6" w:color="666666"/>
            <w:left w:val="none" w:sz="0" w:space="0" w:color="auto"/>
            <w:bottom w:val="none" w:sz="0" w:space="0" w:color="auto"/>
            <w:right w:val="none" w:sz="0" w:space="0" w:color="auto"/>
          </w:divBdr>
        </w:div>
      </w:divsChild>
    </w:div>
    <w:div w:id="1016153106">
      <w:bodyDiv w:val="1"/>
      <w:marLeft w:val="0"/>
      <w:marRight w:val="0"/>
      <w:marTop w:val="0"/>
      <w:marBottom w:val="0"/>
      <w:divBdr>
        <w:top w:val="none" w:sz="0" w:space="0" w:color="auto"/>
        <w:left w:val="none" w:sz="0" w:space="0" w:color="auto"/>
        <w:bottom w:val="none" w:sz="0" w:space="0" w:color="auto"/>
        <w:right w:val="none" w:sz="0" w:space="0" w:color="auto"/>
      </w:divBdr>
    </w:div>
    <w:div w:id="1080759813">
      <w:bodyDiv w:val="1"/>
      <w:marLeft w:val="0"/>
      <w:marRight w:val="0"/>
      <w:marTop w:val="0"/>
      <w:marBottom w:val="0"/>
      <w:divBdr>
        <w:top w:val="none" w:sz="0" w:space="0" w:color="auto"/>
        <w:left w:val="none" w:sz="0" w:space="0" w:color="auto"/>
        <w:bottom w:val="none" w:sz="0" w:space="0" w:color="auto"/>
        <w:right w:val="none" w:sz="0" w:space="0" w:color="auto"/>
      </w:divBdr>
    </w:div>
    <w:div w:id="1254434890">
      <w:bodyDiv w:val="1"/>
      <w:marLeft w:val="0"/>
      <w:marRight w:val="0"/>
      <w:marTop w:val="0"/>
      <w:marBottom w:val="0"/>
      <w:divBdr>
        <w:top w:val="none" w:sz="0" w:space="0" w:color="auto"/>
        <w:left w:val="none" w:sz="0" w:space="0" w:color="auto"/>
        <w:bottom w:val="none" w:sz="0" w:space="0" w:color="auto"/>
        <w:right w:val="none" w:sz="0" w:space="0" w:color="auto"/>
      </w:divBdr>
    </w:div>
    <w:div w:id="20166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172C33D9C4F538731B0F01C72517E"/>
        <w:category>
          <w:name w:val="General"/>
          <w:gallery w:val="placeholder"/>
        </w:category>
        <w:types>
          <w:type w:val="bbPlcHdr"/>
        </w:types>
        <w:behaviors>
          <w:behavior w:val="content"/>
        </w:behaviors>
        <w:guid w:val="{4D753F52-C2B2-41F3-BBA0-EDCD6ACA37FD}"/>
      </w:docPartPr>
      <w:docPartBody>
        <w:p w:rsidR="00DE7E75" w:rsidRDefault="00DE7E75">
          <w:pPr>
            <w:pStyle w:val="F12172C33D9C4F538731B0F01C72517E"/>
          </w:pPr>
          <w:r w:rsidRPr="00A975FF">
            <w:rPr>
              <w:rStyle w:val="PlaceholderText"/>
            </w:rPr>
            <w:t>Click here to enter text.</w:t>
          </w:r>
        </w:p>
      </w:docPartBody>
    </w:docPart>
    <w:docPart>
      <w:docPartPr>
        <w:name w:val="7A6399E295004625A8A3CF67F9E8D702"/>
        <w:category>
          <w:name w:val="General"/>
          <w:gallery w:val="placeholder"/>
        </w:category>
        <w:types>
          <w:type w:val="bbPlcHdr"/>
        </w:types>
        <w:behaviors>
          <w:behavior w:val="content"/>
        </w:behaviors>
        <w:guid w:val="{4EF7577B-7246-4AB5-A10B-E314AB1CE478}"/>
      </w:docPartPr>
      <w:docPartBody>
        <w:p w:rsidR="00DE7E75" w:rsidRDefault="00505CFC" w:rsidP="00505CFC">
          <w:pPr>
            <w:pStyle w:val="7A6399E295004625A8A3CF67F9E8D7026"/>
          </w:pPr>
          <w:r w:rsidRPr="00A975FF">
            <w:rPr>
              <w:rStyle w:val="PlaceholderText"/>
            </w:rPr>
            <w:t>Click here to enter a date.</w:t>
          </w:r>
        </w:p>
      </w:docPartBody>
    </w:docPart>
    <w:docPart>
      <w:docPartPr>
        <w:name w:val="6AD67D80773B430197E163FFFBFE235E"/>
        <w:category>
          <w:name w:val="General"/>
          <w:gallery w:val="placeholder"/>
        </w:category>
        <w:types>
          <w:type w:val="bbPlcHdr"/>
        </w:types>
        <w:behaviors>
          <w:behavior w:val="content"/>
        </w:behaviors>
        <w:guid w:val="{86C79C94-C352-4337-8FB4-08F1B256451C}"/>
      </w:docPartPr>
      <w:docPartBody>
        <w:p w:rsidR="00DE7E75" w:rsidRDefault="00505CFC" w:rsidP="00505CFC">
          <w:pPr>
            <w:pStyle w:val="6AD67D80773B430197E163FFFBFE235E6"/>
          </w:pPr>
          <w:r w:rsidRPr="00150008">
            <w:rPr>
              <w:rStyle w:val="PlaceholderText"/>
            </w:rPr>
            <w:t>Click here to enter a date.</w:t>
          </w:r>
        </w:p>
      </w:docPartBody>
    </w:docPart>
    <w:docPart>
      <w:docPartPr>
        <w:name w:val="C87A6AC403A4446B8BC6B188B92809E8"/>
        <w:category>
          <w:name w:val="General"/>
          <w:gallery w:val="placeholder"/>
        </w:category>
        <w:types>
          <w:type w:val="bbPlcHdr"/>
        </w:types>
        <w:behaviors>
          <w:behavior w:val="content"/>
        </w:behaviors>
        <w:guid w:val="{4ADC7B0F-0A7D-4CD7-9956-D8A5743E0C40}"/>
      </w:docPartPr>
      <w:docPartBody>
        <w:p w:rsidR="00505CFC" w:rsidRDefault="00505CFC" w:rsidP="00505CFC">
          <w:pPr>
            <w:pStyle w:val="C87A6AC403A4446B8BC6B188B92809E84"/>
          </w:pPr>
          <w:r w:rsidRPr="00C63911">
            <w:rPr>
              <w:rStyle w:val="PlaceholderText"/>
            </w:rPr>
            <w:t>[Title]</w:t>
          </w:r>
        </w:p>
      </w:docPartBody>
    </w:docPart>
    <w:docPart>
      <w:docPartPr>
        <w:name w:val="6547E0620A3F48929EC252EFCC81A78D"/>
        <w:category>
          <w:name w:val="General"/>
          <w:gallery w:val="placeholder"/>
        </w:category>
        <w:types>
          <w:type w:val="bbPlcHdr"/>
        </w:types>
        <w:behaviors>
          <w:behavior w:val="content"/>
        </w:behaviors>
        <w:guid w:val="{31981AAA-D559-4A35-A848-DA3C51DE06CB}"/>
      </w:docPartPr>
      <w:docPartBody>
        <w:p w:rsidR="00505CFC" w:rsidRDefault="00505CFC" w:rsidP="00505CFC">
          <w:pPr>
            <w:pStyle w:val="6547E0620A3F48929EC252EFCC81A78D4"/>
          </w:pPr>
          <w:r w:rsidRPr="00C63911">
            <w:rPr>
              <w:rStyle w:val="PlaceholderText"/>
            </w:rPr>
            <w:t>[Directorate/Team]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75"/>
    <w:rsid w:val="000153B3"/>
    <w:rsid w:val="0004452C"/>
    <w:rsid w:val="000569D6"/>
    <w:rsid w:val="00135772"/>
    <w:rsid w:val="001A3165"/>
    <w:rsid w:val="00332CB3"/>
    <w:rsid w:val="00347A35"/>
    <w:rsid w:val="003D7EE7"/>
    <w:rsid w:val="00431195"/>
    <w:rsid w:val="00505CFC"/>
    <w:rsid w:val="005B3A89"/>
    <w:rsid w:val="006B1DA6"/>
    <w:rsid w:val="007D31BC"/>
    <w:rsid w:val="00800E89"/>
    <w:rsid w:val="008A45F7"/>
    <w:rsid w:val="008D3113"/>
    <w:rsid w:val="00900B7B"/>
    <w:rsid w:val="00B2473A"/>
    <w:rsid w:val="00B76409"/>
    <w:rsid w:val="00C4598B"/>
    <w:rsid w:val="00C91018"/>
    <w:rsid w:val="00DC5DCB"/>
    <w:rsid w:val="00DE7E75"/>
    <w:rsid w:val="00E559A6"/>
    <w:rsid w:val="00E73311"/>
    <w:rsid w:val="00F118C2"/>
    <w:rsid w:val="00FA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8C2"/>
    <w:rPr>
      <w:color w:val="808080"/>
    </w:rPr>
  </w:style>
  <w:style w:type="paragraph" w:customStyle="1" w:styleId="F12172C33D9C4F538731B0F01C72517E">
    <w:name w:val="F12172C33D9C4F538731B0F01C72517E"/>
  </w:style>
  <w:style w:type="paragraph" w:customStyle="1" w:styleId="7A6399E295004625A8A3CF67F9E8D7026">
    <w:name w:val="7A6399E295004625A8A3CF67F9E8D7026"/>
    <w:rsid w:val="00505CFC"/>
    <w:pPr>
      <w:spacing w:before="120" w:after="0" w:line="290" w:lineRule="atLeast"/>
      <w:jc w:val="both"/>
    </w:pPr>
    <w:rPr>
      <w:rFonts w:ascii="Arial" w:eastAsia="Times New Roman" w:hAnsi="Arial" w:cs="Times New Roman"/>
      <w:sz w:val="24"/>
      <w:szCs w:val="24"/>
    </w:rPr>
  </w:style>
  <w:style w:type="paragraph" w:customStyle="1" w:styleId="6AD67D80773B430197E163FFFBFE235E6">
    <w:name w:val="6AD67D80773B430197E163FFFBFE235E6"/>
    <w:rsid w:val="00505CFC"/>
    <w:pPr>
      <w:spacing w:before="120" w:after="0" w:line="290" w:lineRule="atLeast"/>
      <w:jc w:val="both"/>
    </w:pPr>
    <w:rPr>
      <w:rFonts w:ascii="Arial" w:eastAsia="Times New Roman" w:hAnsi="Arial" w:cs="Times New Roman"/>
      <w:sz w:val="24"/>
      <w:szCs w:val="24"/>
    </w:rPr>
  </w:style>
  <w:style w:type="paragraph" w:customStyle="1" w:styleId="C87A6AC403A4446B8BC6B188B92809E84">
    <w:name w:val="C87A6AC403A4446B8BC6B188B92809E84"/>
    <w:rsid w:val="00505CFC"/>
    <w:pPr>
      <w:spacing w:before="120" w:after="0" w:line="290" w:lineRule="atLeast"/>
      <w:jc w:val="both"/>
    </w:pPr>
    <w:rPr>
      <w:rFonts w:ascii="Arial" w:eastAsia="Times New Roman" w:hAnsi="Arial" w:cs="Times New Roman"/>
      <w:sz w:val="24"/>
      <w:szCs w:val="24"/>
    </w:rPr>
  </w:style>
  <w:style w:type="paragraph" w:customStyle="1" w:styleId="6547E0620A3F48929EC252EFCC81A78D4">
    <w:name w:val="6547E0620A3F48929EC252EFCC81A78D4"/>
    <w:rsid w:val="00505CFC"/>
    <w:pPr>
      <w:spacing w:before="120" w:after="0" w:line="290" w:lineRule="atLeast"/>
      <w:jc w:val="both"/>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and Procedure" ma:contentTypeID="0x0101001A50B86ADD63CE409DE108ACCED374EC0100D9D4225D3A3DFF4F96D8067C53521EF8" ma:contentTypeVersion="38" ma:contentTypeDescription="" ma:contentTypeScope="" ma:versionID="e95b405fe72138b3833e3e555510d442">
  <xsd:schema xmlns:xsd="http://www.w3.org/2001/XMLSchema" xmlns:xs="http://www.w3.org/2001/XMLSchema" xmlns:p="http://schemas.microsoft.com/office/2006/metadata/properties" xmlns:ns2="f131d532-ad47-48a8-978d-611e7a81d69d" xmlns:ns3="a749faeb-3e0e-43e0-843a-c9e9391f6e50" targetNamespace="http://schemas.microsoft.com/office/2006/metadata/properties" ma:root="true" ma:fieldsID="06ca13d71d4ced4057e275239384c13f" ns2:_="" ns3:_="">
    <xsd:import namespace="f131d532-ad47-48a8-978d-611e7a81d69d"/>
    <xsd:import namespace="a749faeb-3e0e-43e0-843a-c9e9391f6e50"/>
    <xsd:element name="properties">
      <xsd:complexType>
        <xsd:sequence>
          <xsd:element name="documentManagement">
            <xsd:complexType>
              <xsd:all>
                <xsd:element ref="ns2:Directorate_x002f_Team"/>
                <xsd:element ref="ns2:Doc_x0020_Author"/>
                <xsd:element ref="ns2:Doc_x0020_Owner"/>
                <xsd:element ref="ns2:Security_x0020_Level"/>
                <xsd:element ref="ns2:lba77feccc034dbe973979dc52fc9856" minOccurs="0"/>
                <xsd:element ref="ns3:TaxCatchAll" minOccurs="0"/>
                <xsd:element ref="ns3:TaxCatchAllLabel" minOccurs="0"/>
                <xsd:element ref="ns2:Approved" minOccurs="0"/>
                <xsd:element ref="ns2:Published_x0020_Date" minOccurs="0"/>
                <xsd:element ref="ns2:Consult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1d532-ad47-48a8-978d-611e7a81d69d" elementFormDefault="qualified">
    <xsd:import namespace="http://schemas.microsoft.com/office/2006/documentManagement/types"/>
    <xsd:import namespace="http://schemas.microsoft.com/office/infopath/2007/PartnerControls"/>
    <xsd:element name="Directorate_x002f_Team" ma:index="8" ma:displayName="Directorate/Team" ma:format="Dropdown" ma:internalName="Directorate_x002F_Team" ma:readOnly="false">
      <xsd:simpleType>
        <xsd:restriction base="dms:Choice">
          <xsd:enumeration value="Corporate Communications"/>
          <xsd:enumeration value="Corporate Planning and Intelligence"/>
          <xsd:enumeration value="Democratic Services"/>
          <xsd:enumeration value="Emergency Response"/>
          <xsd:enumeration value="Finance and Technical Services"/>
          <xsd:enumeration value="Information and Communications Technology"/>
          <xsd:enumeration value="People and Organisation Development"/>
          <xsd:enumeration value="Prevention and Protection"/>
        </xsd:restriction>
      </xsd:simpleType>
    </xsd:element>
    <xsd:element name="Doc_x0020_Author" ma:index="9" ma:displayName="Doc Author" ma:list="UserInfo" ma:SharePointGroup="0" ma:internalName="Doc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Owner" ma:index="10" ma:displayName="Doc Owner" ma:list="UserInfo" ma:SharePointGroup="15"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urity_x0020_Level" ma:index="11" ma:displayName="Security Level" ma:default="All Users" ma:format="Dropdown" ma:internalName="Security_x0020_Level" ma:readOnly="false">
      <xsd:simpleType>
        <xsd:restriction base="dms:Choice">
          <xsd:enumeration value="All Users"/>
          <xsd:enumeration value="ELT"/>
          <xsd:enumeration value="LT"/>
          <xsd:enumeration value="CLT"/>
        </xsd:restriction>
      </xsd:simpleType>
    </xsd:element>
    <xsd:element name="lba77feccc034dbe973979dc52fc9856" ma:index="12" nillable="true" ma:taxonomy="true" ma:internalName="lba77feccc034dbe973979dc52fc9856" ma:taxonomyFieldName="Doc_x0020_Keywords" ma:displayName="Doc Keywords" ma:default="" ma:fieldId="{5ba77fec-cc03-4dbe-9739-79dc52fc9856}" ma:taxonomyMulti="true" ma:sspId="954fd50e-4a1c-4690-9d30-90f18f7c28e4" ma:termSetId="80d1ac95-8198-40bd-99d8-efba9c12284b" ma:anchorId="00000000-0000-0000-0000-000000000000" ma:open="false" ma:isKeyword="false">
      <xsd:complexType>
        <xsd:sequence>
          <xsd:element ref="pc:Terms" minOccurs="0" maxOccurs="1"/>
        </xsd:sequence>
      </xsd:complexType>
    </xsd:element>
    <xsd:element name="Approved" ma:index="16" nillable="true" ma:displayName="Approved" ma:default="No" ma:format="Dropdown" ma:hidden="true" ma:internalName="Approved" ma:readOnly="false">
      <xsd:simpleType>
        <xsd:restriction base="dms:Choice">
          <xsd:enumeration value="Yes"/>
          <xsd:enumeration value="No"/>
        </xsd:restriction>
      </xsd:simpleType>
    </xsd:element>
    <xsd:element name="Published_x0020_Date" ma:index="17" nillable="true" ma:displayName="Published Date" ma:format="DateOnly" ma:hidden="true" ma:internalName="Published_x0020_Date" ma:readOnly="false">
      <xsd:simpleType>
        <xsd:restriction base="dms:DateTime"/>
      </xsd:simpleType>
    </xsd:element>
    <xsd:element name="Consultation" ma:index="18" nillable="true" ma:displayName="Consultation" ma:hidden="true" ma:internalName="Consultation" ma:readOnly="false">
      <xsd:complexType>
        <xsd:complexContent>
          <xsd:extension base="dms:MultiChoice">
            <xsd:sequence>
              <xsd:element name="Value" maxOccurs="unbounded" minOccurs="0" nillable="true">
                <xsd:simpleType>
                  <xsd:restriction base="dms:Choice">
                    <xsd:enumeration value="ELT"/>
                    <xsd:enumeration value="LT"/>
                    <xsd:enumeration value="CLT"/>
                    <xsd:enumeration value="Union"/>
                    <xsd:enumeration value="Authori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49faeb-3e0e-43e0-843a-c9e9391f6e50"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0921d9c3-8584-45e0-bac8-8b7059a2c73a}" ma:internalName="TaxCatchAll" ma:showField="CatchAllData" ma:web="f131d532-ad47-48a8-978d-611e7a81d69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0921d9c3-8584-45e0-bac8-8b7059a2c73a}" ma:internalName="TaxCatchAllLabel" ma:readOnly="true" ma:showField="CatchAllDataLabel" ma:web="f131d532-ad47-48a8-978d-611e7a81d69d">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a749faeb-3e0e-43e0-843a-c9e9391f6e50">GMFRS-16-125</_dlc_DocId>
    <_dlc_DocIdUrl xmlns="a749faeb-3e0e-43e0-843a-c9e9391f6e50">
      <Url>http://dms/directorates/ICT/_layouts/DocIdRedir.aspx?ID=GMFRS-16-125</Url>
      <Description>GMFRS-16-125</Description>
    </_dlc_DocIdUrl>
    <Security_x0020_Level xmlns="f131d532-ad47-48a8-978d-611e7a81d69d">All Users</Security_x0020_Level>
    <Approved xmlns="f131d532-ad47-48a8-978d-611e7a81d69d">No</Approved>
    <Doc_x0020_Owner xmlns="f131d532-ad47-48a8-978d-611e7a81d69d">
      <UserInfo>
        <DisplayName/>
        <AccountId/>
        <AccountType/>
      </UserInfo>
    </Doc_x0020_Owner>
    <Consultation xmlns="f131d532-ad47-48a8-978d-611e7a81d69d"/>
    <Directorate_x002f_Team xmlns="f131d532-ad47-48a8-978d-611e7a81d69d">People and Organisation Development</Directorate_x002f_Team>
    <Doc_x0020_Author xmlns="f131d532-ad47-48a8-978d-611e7a81d69d">
      <UserInfo>
        <DisplayName/>
        <AccountId/>
        <AccountType/>
      </UserInfo>
    </Doc_x0020_Author>
    <lba77feccc034dbe973979dc52fc9856 xmlns="f131d532-ad47-48a8-978d-611e7a81d69d">
      <Terms xmlns="http://schemas.microsoft.com/office/infopath/2007/PartnerControls"/>
    </lba77feccc034dbe973979dc52fc9856>
    <Published_x0020_Date xmlns="f131d532-ad47-48a8-978d-611e7a81d69d" xsi:nil="true"/>
    <TaxCatchAll xmlns="a749faeb-3e0e-43e0-843a-c9e9391f6e5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A4DB38-47A5-4A8B-A58E-4EADBAFA7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1d532-ad47-48a8-978d-611e7a81d69d"/>
    <ds:schemaRef ds:uri="a749faeb-3e0e-43e0-843a-c9e9391f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B0F76-7EFD-4644-B8C6-C319FC462B25}">
  <ds:schemaRefs>
    <ds:schemaRef ds:uri="http://schemas.microsoft.com/sharepoint/v3/contenttype/forms"/>
  </ds:schemaRefs>
</ds:datastoreItem>
</file>

<file path=customXml/itemProps3.xml><?xml version="1.0" encoding="utf-8"?>
<ds:datastoreItem xmlns:ds="http://schemas.openxmlformats.org/officeDocument/2006/customXml" ds:itemID="{31A02471-21CE-4ED2-8110-C0D2C1F34421}">
  <ds:schemaRefs>
    <ds:schemaRef ds:uri="a749faeb-3e0e-43e0-843a-c9e9391f6e50"/>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131d532-ad47-48a8-978d-611e7a81d69d"/>
    <ds:schemaRef ds:uri="http://schemas.microsoft.com/office/2006/metadata/properties"/>
  </ds:schemaRefs>
</ds:datastoreItem>
</file>

<file path=customXml/itemProps4.xml><?xml version="1.0" encoding="utf-8"?>
<ds:datastoreItem xmlns:ds="http://schemas.openxmlformats.org/officeDocument/2006/customXml" ds:itemID="{2D7D4610-F5EA-4364-9F95-079F02B9F9B6}">
  <ds:schemaRefs>
    <ds:schemaRef ds:uri="http://schemas.openxmlformats.org/officeDocument/2006/bibliography"/>
  </ds:schemaRefs>
</ds:datastoreItem>
</file>

<file path=customXml/itemProps5.xml><?xml version="1.0" encoding="utf-8"?>
<ds:datastoreItem xmlns:ds="http://schemas.openxmlformats.org/officeDocument/2006/customXml" ds:itemID="{E39330EA-FA18-42E0-AA57-8A2F861F02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4804</Words>
  <Characters>27992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Pay Policy Statement 2021/2022</vt:lpstr>
    </vt:vector>
  </TitlesOfParts>
  <Company>G.M.F.C.D.A.</Company>
  <LinksUpToDate>false</LinksUpToDate>
  <CharactersWithSpaces>32731</CharactersWithSpaces>
  <SharedDoc>false</SharedDoc>
  <HyperlinkBase>x</HyperlinkBase>
  <HLinks>
    <vt:vector size="126" baseType="variant">
      <vt:variant>
        <vt:i4>1114165</vt:i4>
      </vt:variant>
      <vt:variant>
        <vt:i4>122</vt:i4>
      </vt:variant>
      <vt:variant>
        <vt:i4>0</vt:i4>
      </vt:variant>
      <vt:variant>
        <vt:i4>5</vt:i4>
      </vt:variant>
      <vt:variant>
        <vt:lpwstr/>
      </vt:variant>
      <vt:variant>
        <vt:lpwstr>_Toc310243262</vt:lpwstr>
      </vt:variant>
      <vt:variant>
        <vt:i4>1114165</vt:i4>
      </vt:variant>
      <vt:variant>
        <vt:i4>116</vt:i4>
      </vt:variant>
      <vt:variant>
        <vt:i4>0</vt:i4>
      </vt:variant>
      <vt:variant>
        <vt:i4>5</vt:i4>
      </vt:variant>
      <vt:variant>
        <vt:lpwstr/>
      </vt:variant>
      <vt:variant>
        <vt:lpwstr>_Toc310243261</vt:lpwstr>
      </vt:variant>
      <vt:variant>
        <vt:i4>1114165</vt:i4>
      </vt:variant>
      <vt:variant>
        <vt:i4>110</vt:i4>
      </vt:variant>
      <vt:variant>
        <vt:i4>0</vt:i4>
      </vt:variant>
      <vt:variant>
        <vt:i4>5</vt:i4>
      </vt:variant>
      <vt:variant>
        <vt:lpwstr/>
      </vt:variant>
      <vt:variant>
        <vt:lpwstr>_Toc310243260</vt:lpwstr>
      </vt:variant>
      <vt:variant>
        <vt:i4>1179701</vt:i4>
      </vt:variant>
      <vt:variant>
        <vt:i4>104</vt:i4>
      </vt:variant>
      <vt:variant>
        <vt:i4>0</vt:i4>
      </vt:variant>
      <vt:variant>
        <vt:i4>5</vt:i4>
      </vt:variant>
      <vt:variant>
        <vt:lpwstr/>
      </vt:variant>
      <vt:variant>
        <vt:lpwstr>_Toc310243259</vt:lpwstr>
      </vt:variant>
      <vt:variant>
        <vt:i4>1179701</vt:i4>
      </vt:variant>
      <vt:variant>
        <vt:i4>98</vt:i4>
      </vt:variant>
      <vt:variant>
        <vt:i4>0</vt:i4>
      </vt:variant>
      <vt:variant>
        <vt:i4>5</vt:i4>
      </vt:variant>
      <vt:variant>
        <vt:lpwstr/>
      </vt:variant>
      <vt:variant>
        <vt:lpwstr>_Toc310243258</vt:lpwstr>
      </vt:variant>
      <vt:variant>
        <vt:i4>1179701</vt:i4>
      </vt:variant>
      <vt:variant>
        <vt:i4>92</vt:i4>
      </vt:variant>
      <vt:variant>
        <vt:i4>0</vt:i4>
      </vt:variant>
      <vt:variant>
        <vt:i4>5</vt:i4>
      </vt:variant>
      <vt:variant>
        <vt:lpwstr/>
      </vt:variant>
      <vt:variant>
        <vt:lpwstr>_Toc310243257</vt:lpwstr>
      </vt:variant>
      <vt:variant>
        <vt:i4>1179701</vt:i4>
      </vt:variant>
      <vt:variant>
        <vt:i4>86</vt:i4>
      </vt:variant>
      <vt:variant>
        <vt:i4>0</vt:i4>
      </vt:variant>
      <vt:variant>
        <vt:i4>5</vt:i4>
      </vt:variant>
      <vt:variant>
        <vt:lpwstr/>
      </vt:variant>
      <vt:variant>
        <vt:lpwstr>_Toc310243256</vt:lpwstr>
      </vt:variant>
      <vt:variant>
        <vt:i4>1179701</vt:i4>
      </vt:variant>
      <vt:variant>
        <vt:i4>80</vt:i4>
      </vt:variant>
      <vt:variant>
        <vt:i4>0</vt:i4>
      </vt:variant>
      <vt:variant>
        <vt:i4>5</vt:i4>
      </vt:variant>
      <vt:variant>
        <vt:lpwstr/>
      </vt:variant>
      <vt:variant>
        <vt:lpwstr>_Toc310243255</vt:lpwstr>
      </vt:variant>
      <vt:variant>
        <vt:i4>1179701</vt:i4>
      </vt:variant>
      <vt:variant>
        <vt:i4>74</vt:i4>
      </vt:variant>
      <vt:variant>
        <vt:i4>0</vt:i4>
      </vt:variant>
      <vt:variant>
        <vt:i4>5</vt:i4>
      </vt:variant>
      <vt:variant>
        <vt:lpwstr/>
      </vt:variant>
      <vt:variant>
        <vt:lpwstr>_Toc310243254</vt:lpwstr>
      </vt:variant>
      <vt:variant>
        <vt:i4>1179701</vt:i4>
      </vt:variant>
      <vt:variant>
        <vt:i4>68</vt:i4>
      </vt:variant>
      <vt:variant>
        <vt:i4>0</vt:i4>
      </vt:variant>
      <vt:variant>
        <vt:i4>5</vt:i4>
      </vt:variant>
      <vt:variant>
        <vt:lpwstr/>
      </vt:variant>
      <vt:variant>
        <vt:lpwstr>_Toc310243253</vt:lpwstr>
      </vt:variant>
      <vt:variant>
        <vt:i4>1179701</vt:i4>
      </vt:variant>
      <vt:variant>
        <vt:i4>62</vt:i4>
      </vt:variant>
      <vt:variant>
        <vt:i4>0</vt:i4>
      </vt:variant>
      <vt:variant>
        <vt:i4>5</vt:i4>
      </vt:variant>
      <vt:variant>
        <vt:lpwstr/>
      </vt:variant>
      <vt:variant>
        <vt:lpwstr>_Toc310243252</vt:lpwstr>
      </vt:variant>
      <vt:variant>
        <vt:i4>1179701</vt:i4>
      </vt:variant>
      <vt:variant>
        <vt:i4>56</vt:i4>
      </vt:variant>
      <vt:variant>
        <vt:i4>0</vt:i4>
      </vt:variant>
      <vt:variant>
        <vt:i4>5</vt:i4>
      </vt:variant>
      <vt:variant>
        <vt:lpwstr/>
      </vt:variant>
      <vt:variant>
        <vt:lpwstr>_Toc310243251</vt:lpwstr>
      </vt:variant>
      <vt:variant>
        <vt:i4>1179701</vt:i4>
      </vt:variant>
      <vt:variant>
        <vt:i4>50</vt:i4>
      </vt:variant>
      <vt:variant>
        <vt:i4>0</vt:i4>
      </vt:variant>
      <vt:variant>
        <vt:i4>5</vt:i4>
      </vt:variant>
      <vt:variant>
        <vt:lpwstr/>
      </vt:variant>
      <vt:variant>
        <vt:lpwstr>_Toc310243250</vt:lpwstr>
      </vt:variant>
      <vt:variant>
        <vt:i4>1245237</vt:i4>
      </vt:variant>
      <vt:variant>
        <vt:i4>44</vt:i4>
      </vt:variant>
      <vt:variant>
        <vt:i4>0</vt:i4>
      </vt:variant>
      <vt:variant>
        <vt:i4>5</vt:i4>
      </vt:variant>
      <vt:variant>
        <vt:lpwstr/>
      </vt:variant>
      <vt:variant>
        <vt:lpwstr>_Toc310243249</vt:lpwstr>
      </vt:variant>
      <vt:variant>
        <vt:i4>1245237</vt:i4>
      </vt:variant>
      <vt:variant>
        <vt:i4>38</vt:i4>
      </vt:variant>
      <vt:variant>
        <vt:i4>0</vt:i4>
      </vt:variant>
      <vt:variant>
        <vt:i4>5</vt:i4>
      </vt:variant>
      <vt:variant>
        <vt:lpwstr/>
      </vt:variant>
      <vt:variant>
        <vt:lpwstr>_Toc310243248</vt:lpwstr>
      </vt:variant>
      <vt:variant>
        <vt:i4>1245237</vt:i4>
      </vt:variant>
      <vt:variant>
        <vt:i4>32</vt:i4>
      </vt:variant>
      <vt:variant>
        <vt:i4>0</vt:i4>
      </vt:variant>
      <vt:variant>
        <vt:i4>5</vt:i4>
      </vt:variant>
      <vt:variant>
        <vt:lpwstr/>
      </vt:variant>
      <vt:variant>
        <vt:lpwstr>_Toc310243247</vt:lpwstr>
      </vt:variant>
      <vt:variant>
        <vt:i4>1245237</vt:i4>
      </vt:variant>
      <vt:variant>
        <vt:i4>26</vt:i4>
      </vt:variant>
      <vt:variant>
        <vt:i4>0</vt:i4>
      </vt:variant>
      <vt:variant>
        <vt:i4>5</vt:i4>
      </vt:variant>
      <vt:variant>
        <vt:lpwstr/>
      </vt:variant>
      <vt:variant>
        <vt:lpwstr>_Toc310243246</vt:lpwstr>
      </vt:variant>
      <vt:variant>
        <vt:i4>1245237</vt:i4>
      </vt:variant>
      <vt:variant>
        <vt:i4>20</vt:i4>
      </vt:variant>
      <vt:variant>
        <vt:i4>0</vt:i4>
      </vt:variant>
      <vt:variant>
        <vt:i4>5</vt:i4>
      </vt:variant>
      <vt:variant>
        <vt:lpwstr/>
      </vt:variant>
      <vt:variant>
        <vt:lpwstr>_Toc310243245</vt:lpwstr>
      </vt:variant>
      <vt:variant>
        <vt:i4>1245237</vt:i4>
      </vt:variant>
      <vt:variant>
        <vt:i4>14</vt:i4>
      </vt:variant>
      <vt:variant>
        <vt:i4>0</vt:i4>
      </vt:variant>
      <vt:variant>
        <vt:i4>5</vt:i4>
      </vt:variant>
      <vt:variant>
        <vt:lpwstr/>
      </vt:variant>
      <vt:variant>
        <vt:lpwstr>_Toc310243244</vt:lpwstr>
      </vt:variant>
      <vt:variant>
        <vt:i4>1245237</vt:i4>
      </vt:variant>
      <vt:variant>
        <vt:i4>8</vt:i4>
      </vt:variant>
      <vt:variant>
        <vt:i4>0</vt:i4>
      </vt:variant>
      <vt:variant>
        <vt:i4>5</vt:i4>
      </vt:variant>
      <vt:variant>
        <vt:lpwstr/>
      </vt:variant>
      <vt:variant>
        <vt:lpwstr>_Toc310243243</vt:lpwstr>
      </vt:variant>
      <vt:variant>
        <vt:i4>1245237</vt:i4>
      </vt:variant>
      <vt:variant>
        <vt:i4>2</vt:i4>
      </vt:variant>
      <vt:variant>
        <vt:i4>0</vt:i4>
      </vt:variant>
      <vt:variant>
        <vt:i4>5</vt:i4>
      </vt:variant>
      <vt:variant>
        <vt:lpwstr/>
      </vt:variant>
      <vt:variant>
        <vt:lpwstr>_Toc310243242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 2021/2022</dc:title>
  <dc:subject/>
  <dc:creator>Heffernan, Joseph</dc:creator>
  <cp:keywords/>
  <dc:description/>
  <cp:lastModifiedBy>Chick, Michael</cp:lastModifiedBy>
  <cp:revision>2</cp:revision>
  <cp:lastPrinted>2021-05-26T18:28:00Z</cp:lastPrinted>
  <dcterms:created xsi:type="dcterms:W3CDTF">2022-12-01T09:02:00Z</dcterms:created>
  <dcterms:modified xsi:type="dcterms:W3CDTF">2022-12-01T09:02:00Z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0x0101001A50B86ADD63CE409DE108ACCED374EC0100D9D4225D3A3DFF4F96D8067C53521EF8</vt:lpwstr>
  </property>
  <property fmtid="{D5CDD505-2E9C-101B-9397-08002B2CF9AE}" pid="3" name="_dlc_DocIdItemGuid">
    <vt:lpwstr>c377614d-c8a8-4662-9baf-be40c4a15dd6</vt:lpwstr>
  </property>
  <property fmtid="{D5CDD505-2E9C-101B-9397-08002B2CF9AE}" pid="4" name="Doc_x0020_Keywords">
    <vt:lpwstr/>
  </property>
  <property fmtid="{D5CDD505-2E9C-101B-9397-08002B2CF9AE}" pid="5" name="Doc Keywords">
    <vt:lpwstr/>
  </property>
</Properties>
</file>