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AD1A5" w14:textId="407E6ED5" w:rsidR="00660AFA" w:rsidRPr="00C74F49" w:rsidRDefault="00163C56" w:rsidP="00660AFA">
      <w:pPr>
        <w:tabs>
          <w:tab w:val="left" w:pos="1912"/>
        </w:tabs>
        <w:rPr>
          <w:color w:val="auto"/>
        </w:rPr>
      </w:pPr>
      <w:bookmarkStart w:id="0" w:name="_Toc61294764"/>
      <w:r w:rsidRPr="00C74F49">
        <w:rPr>
          <w:noProof/>
          <w:color w:val="auto"/>
        </w:rPr>
        <w:drawing>
          <wp:anchor distT="0" distB="0" distL="114300" distR="114300" simplePos="0" relativeHeight="251658240" behindDoc="1" locked="0" layoutInCell="1" allowOverlap="1" wp14:anchorId="3630B975" wp14:editId="6F9DF6DC">
            <wp:simplePos x="0" y="0"/>
            <wp:positionH relativeFrom="page">
              <wp:posOffset>0</wp:posOffset>
            </wp:positionH>
            <wp:positionV relativeFrom="page">
              <wp:posOffset>-44450</wp:posOffset>
            </wp:positionV>
            <wp:extent cx="7559040" cy="10770235"/>
            <wp:effectExtent l="19050" t="19050" r="22860" b="1206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770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sdt>
        <w:sdtPr>
          <w:rPr>
            <w:color w:val="auto"/>
          </w:rPr>
          <w:id w:val="-320501783"/>
          <w:docPartObj>
            <w:docPartGallery w:val="Cover Pages"/>
            <w:docPartUnique/>
          </w:docPartObj>
        </w:sdtPr>
        <w:sdtContent>
          <w:r w:rsidR="00660AFA" w:rsidRPr="00C74F49">
            <w:rPr>
              <w:noProof/>
              <w:color w:val="auto"/>
            </w:rPr>
            <w:drawing>
              <wp:inline distT="0" distB="0" distL="0" distR="0" wp14:anchorId="32698534" wp14:editId="195DA98A">
                <wp:extent cx="2513330" cy="783590"/>
                <wp:effectExtent l="19050" t="19050" r="20320" b="16510"/>
                <wp:docPr id="10" name="Picture 10" descr="Greater Manchester Doing Things Differently for our Workforce"/>
                <wp:cNvGraphicFramePr/>
                <a:graphic xmlns:a="http://schemas.openxmlformats.org/drawingml/2006/main">
                  <a:graphicData uri="http://schemas.openxmlformats.org/drawingml/2006/picture">
                    <pic:pic xmlns:pic="http://schemas.openxmlformats.org/drawingml/2006/picture">
                      <pic:nvPicPr>
                        <pic:cNvPr id="39" name="Picture 39" descr="Greater Manchester Doing Things Differently for our Workfor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330" cy="783590"/>
                        </a:xfrm>
                        <a:prstGeom prst="rect">
                          <a:avLst/>
                        </a:prstGeom>
                        <a:noFill/>
                        <a:ln>
                          <a:solidFill>
                            <a:schemeClr val="accent2"/>
                          </a:solidFill>
                        </a:ln>
                      </pic:spPr>
                    </pic:pic>
                  </a:graphicData>
                </a:graphic>
              </wp:inline>
            </w:drawing>
          </w:r>
        </w:sdtContent>
      </w:sdt>
    </w:p>
    <w:p w14:paraId="723EB725" w14:textId="6C63258E" w:rsidR="00097DA4" w:rsidRPr="00AC60F2" w:rsidRDefault="00856B4A" w:rsidP="00DD6357">
      <w:pPr>
        <w:pStyle w:val="Subtitle"/>
        <w:rPr>
          <w:rFonts w:eastAsiaTheme="majorEastAsia" w:cs="Arial"/>
          <w:noProof/>
          <w:color w:val="auto"/>
          <w:sz w:val="72"/>
          <w:szCs w:val="40"/>
        </w:rPr>
      </w:pPr>
      <w:r w:rsidRPr="00AC60F2">
        <w:rPr>
          <w:rFonts w:eastAsiaTheme="majorEastAsia" w:cs="Arial"/>
          <w:noProof/>
          <w:color w:val="auto"/>
          <w:sz w:val="72"/>
          <w:szCs w:val="40"/>
        </w:rPr>
        <w:t>Industry Labour Market and Skills Intelligence Report</w:t>
      </w:r>
    </w:p>
    <w:p w14:paraId="1AF45DFB" w14:textId="0962AA7F" w:rsidR="00097DA4" w:rsidRPr="00AC60F2" w:rsidRDefault="00F72B36" w:rsidP="00DD6357">
      <w:pPr>
        <w:pStyle w:val="Subtitle"/>
        <w:rPr>
          <w:color w:val="auto"/>
        </w:rPr>
      </w:pPr>
      <w:r w:rsidRPr="00AC60F2">
        <w:rPr>
          <w:color w:val="auto"/>
        </w:rPr>
        <w:t>E</w:t>
      </w:r>
      <w:r w:rsidR="00774C6D" w:rsidRPr="00AC60F2">
        <w:rPr>
          <w:color w:val="auto"/>
        </w:rPr>
        <w:t xml:space="preserve">MERGENCY </w:t>
      </w:r>
      <w:r w:rsidR="00FE18C8" w:rsidRPr="00AC60F2">
        <w:rPr>
          <w:color w:val="auto"/>
        </w:rPr>
        <w:t xml:space="preserve">SERVICES </w:t>
      </w:r>
    </w:p>
    <w:p w14:paraId="51AECB6B" w14:textId="59EE9E5E" w:rsidR="00C76BED" w:rsidRPr="00AC60F2" w:rsidRDefault="00856B4A" w:rsidP="005D2F7F">
      <w:pPr>
        <w:pStyle w:val="Subtitle"/>
        <w:rPr>
          <w:color w:val="auto"/>
        </w:rPr>
      </w:pPr>
      <w:r w:rsidRPr="00AC60F2">
        <w:rPr>
          <w:color w:val="auto"/>
        </w:rPr>
        <w:t xml:space="preserve">Published </w:t>
      </w:r>
      <w:r w:rsidR="000A6D37" w:rsidRPr="00AC60F2">
        <w:rPr>
          <w:color w:val="auto"/>
        </w:rPr>
        <w:t>January 2023</w:t>
      </w:r>
    </w:p>
    <w:p w14:paraId="4DCC2A18" w14:textId="6DAA720E" w:rsidR="004E79A3" w:rsidRPr="00C74F49" w:rsidRDefault="00C76BED" w:rsidP="00C76BED">
      <w:pPr>
        <w:spacing w:line="259" w:lineRule="auto"/>
        <w:rPr>
          <w:b/>
          <w:bCs/>
          <w:color w:val="auto"/>
          <w:sz w:val="32"/>
          <w:szCs w:val="28"/>
        </w:rPr>
      </w:pPr>
      <w:r w:rsidRPr="00C74F49">
        <w:rPr>
          <w:color w:val="auto"/>
        </w:rPr>
        <w:br w:type="page"/>
      </w:r>
    </w:p>
    <w:bookmarkEnd w:id="0" w:displacedByCustomXml="next"/>
    <w:sdt>
      <w:sdtPr>
        <w:rPr>
          <w:rFonts w:ascii="Arial" w:eastAsiaTheme="minorHAnsi" w:hAnsi="Arial" w:cstheme="minorBidi"/>
          <w:color w:val="auto"/>
          <w:sz w:val="24"/>
          <w:szCs w:val="22"/>
          <w:lang w:val="en-GB"/>
        </w:rPr>
        <w:id w:val="75484618"/>
        <w:docPartObj>
          <w:docPartGallery w:val="Table of Contents"/>
          <w:docPartUnique/>
        </w:docPartObj>
      </w:sdtPr>
      <w:sdtEndPr>
        <w:rPr>
          <w:b/>
          <w:bCs/>
          <w:noProof/>
        </w:rPr>
      </w:sdtEndPr>
      <w:sdtContent>
        <w:p w14:paraId="4F37673D" w14:textId="1CAD540E" w:rsidR="00CE4824" w:rsidRPr="00C74F49" w:rsidRDefault="00CE4824" w:rsidP="00CE4824">
          <w:pPr>
            <w:pStyle w:val="TOCHeading"/>
            <w:rPr>
              <w:rFonts w:ascii="Arial" w:hAnsi="Arial" w:cs="Arial"/>
              <w:b/>
              <w:bCs/>
              <w:color w:val="auto"/>
              <w:sz w:val="24"/>
              <w:szCs w:val="24"/>
            </w:rPr>
          </w:pPr>
          <w:r w:rsidRPr="00C74F49">
            <w:rPr>
              <w:rFonts w:ascii="Arial" w:hAnsi="Arial" w:cs="Arial"/>
              <w:b/>
              <w:bCs/>
              <w:color w:val="auto"/>
              <w:sz w:val="24"/>
              <w:szCs w:val="24"/>
            </w:rPr>
            <w:t>Contents</w:t>
          </w:r>
        </w:p>
        <w:p w14:paraId="56207707" w14:textId="77777777" w:rsidR="00CE4824" w:rsidRPr="00C74F49" w:rsidRDefault="00CE4824" w:rsidP="00CE4824">
          <w:pPr>
            <w:rPr>
              <w:color w:val="auto"/>
              <w:lang w:val="en-US"/>
            </w:rPr>
          </w:pPr>
        </w:p>
        <w:p w14:paraId="60DEC188" w14:textId="1500DA62" w:rsidR="006B52FC" w:rsidRDefault="00CE4824">
          <w:pPr>
            <w:pStyle w:val="TOC2"/>
            <w:tabs>
              <w:tab w:val="right" w:leader="dot" w:pos="9016"/>
            </w:tabs>
            <w:rPr>
              <w:rFonts w:asciiTheme="minorHAnsi" w:hAnsiTheme="minorHAnsi" w:cstheme="minorBidi"/>
              <w:noProof/>
              <w:color w:val="auto"/>
              <w:sz w:val="22"/>
              <w:lang w:val="en-GB" w:eastAsia="en-GB"/>
            </w:rPr>
          </w:pPr>
          <w:r w:rsidRPr="00C74F49">
            <w:rPr>
              <w:rFonts w:cs="Arial"/>
              <w:b/>
              <w:bCs/>
              <w:color w:val="auto"/>
              <w:szCs w:val="24"/>
            </w:rPr>
            <w:fldChar w:fldCharType="begin"/>
          </w:r>
          <w:r w:rsidRPr="00C74F49">
            <w:rPr>
              <w:rFonts w:cs="Arial"/>
              <w:b/>
              <w:bCs/>
              <w:color w:val="auto"/>
              <w:szCs w:val="24"/>
            </w:rPr>
            <w:instrText xml:space="preserve"> TOC \o "1-3" \h \z \u </w:instrText>
          </w:r>
          <w:r w:rsidRPr="00C74F49">
            <w:rPr>
              <w:rFonts w:cs="Arial"/>
              <w:b/>
              <w:bCs/>
              <w:color w:val="auto"/>
              <w:szCs w:val="24"/>
            </w:rPr>
            <w:fldChar w:fldCharType="separate"/>
          </w:r>
          <w:hyperlink w:anchor="_Toc125643716" w:history="1">
            <w:r w:rsidR="006B52FC" w:rsidRPr="00315138">
              <w:rPr>
                <w:rStyle w:val="Hyperlink"/>
                <w:noProof/>
              </w:rPr>
              <w:t>Purpose of Report</w:t>
            </w:r>
            <w:r w:rsidR="006B52FC">
              <w:rPr>
                <w:noProof/>
                <w:webHidden/>
              </w:rPr>
              <w:tab/>
            </w:r>
            <w:r w:rsidR="006B52FC">
              <w:rPr>
                <w:noProof/>
                <w:webHidden/>
              </w:rPr>
              <w:fldChar w:fldCharType="begin"/>
            </w:r>
            <w:r w:rsidR="006B52FC">
              <w:rPr>
                <w:noProof/>
                <w:webHidden/>
              </w:rPr>
              <w:instrText xml:space="preserve"> PAGEREF _Toc125643716 \h </w:instrText>
            </w:r>
            <w:r w:rsidR="006B52FC">
              <w:rPr>
                <w:noProof/>
                <w:webHidden/>
              </w:rPr>
            </w:r>
            <w:r w:rsidR="006B52FC">
              <w:rPr>
                <w:noProof/>
                <w:webHidden/>
              </w:rPr>
              <w:fldChar w:fldCharType="separate"/>
            </w:r>
            <w:r w:rsidR="00BC2CDF">
              <w:rPr>
                <w:noProof/>
                <w:webHidden/>
              </w:rPr>
              <w:t>3</w:t>
            </w:r>
            <w:r w:rsidR="006B52FC">
              <w:rPr>
                <w:noProof/>
                <w:webHidden/>
              </w:rPr>
              <w:fldChar w:fldCharType="end"/>
            </w:r>
          </w:hyperlink>
        </w:p>
        <w:p w14:paraId="5CB371CB" w14:textId="1146D618" w:rsidR="006B52FC" w:rsidRDefault="00000000">
          <w:pPr>
            <w:pStyle w:val="TOC3"/>
            <w:tabs>
              <w:tab w:val="right" w:leader="dot" w:pos="9016"/>
            </w:tabs>
            <w:rPr>
              <w:rFonts w:asciiTheme="minorHAnsi" w:hAnsiTheme="minorHAnsi" w:cstheme="minorBidi"/>
              <w:noProof/>
              <w:color w:val="auto"/>
              <w:sz w:val="22"/>
              <w:lang w:val="en-GB" w:eastAsia="en-GB"/>
            </w:rPr>
          </w:pPr>
          <w:hyperlink w:anchor="_Toc125643717" w:history="1">
            <w:r w:rsidR="006B52FC" w:rsidRPr="00315138">
              <w:rPr>
                <w:rStyle w:val="Hyperlink"/>
                <w:noProof/>
              </w:rPr>
              <w:t>Executive Summary</w:t>
            </w:r>
            <w:r w:rsidR="006B52FC">
              <w:rPr>
                <w:noProof/>
                <w:webHidden/>
              </w:rPr>
              <w:tab/>
            </w:r>
            <w:r w:rsidR="006B52FC">
              <w:rPr>
                <w:noProof/>
                <w:webHidden/>
              </w:rPr>
              <w:fldChar w:fldCharType="begin"/>
            </w:r>
            <w:r w:rsidR="006B52FC">
              <w:rPr>
                <w:noProof/>
                <w:webHidden/>
              </w:rPr>
              <w:instrText xml:space="preserve"> PAGEREF _Toc125643717 \h </w:instrText>
            </w:r>
            <w:r w:rsidR="006B52FC">
              <w:rPr>
                <w:noProof/>
                <w:webHidden/>
              </w:rPr>
            </w:r>
            <w:r w:rsidR="006B52FC">
              <w:rPr>
                <w:noProof/>
                <w:webHidden/>
              </w:rPr>
              <w:fldChar w:fldCharType="separate"/>
            </w:r>
            <w:r w:rsidR="00BC2CDF">
              <w:rPr>
                <w:noProof/>
                <w:webHidden/>
              </w:rPr>
              <w:t>5</w:t>
            </w:r>
            <w:r w:rsidR="006B52FC">
              <w:rPr>
                <w:noProof/>
                <w:webHidden/>
              </w:rPr>
              <w:fldChar w:fldCharType="end"/>
            </w:r>
          </w:hyperlink>
        </w:p>
        <w:p w14:paraId="6B216E75" w14:textId="62C427BF" w:rsidR="006B52FC" w:rsidRDefault="00000000">
          <w:pPr>
            <w:pStyle w:val="TOC3"/>
            <w:tabs>
              <w:tab w:val="right" w:leader="dot" w:pos="9016"/>
            </w:tabs>
            <w:rPr>
              <w:rFonts w:asciiTheme="minorHAnsi" w:hAnsiTheme="minorHAnsi" w:cstheme="minorBidi"/>
              <w:noProof/>
              <w:color w:val="auto"/>
              <w:sz w:val="22"/>
              <w:lang w:val="en-GB" w:eastAsia="en-GB"/>
            </w:rPr>
          </w:pPr>
          <w:hyperlink w:anchor="_Toc125643718" w:history="1">
            <w:r w:rsidR="006B52FC" w:rsidRPr="00315138">
              <w:rPr>
                <w:rStyle w:val="Hyperlink"/>
                <w:noProof/>
              </w:rPr>
              <w:t>Recommendations</w:t>
            </w:r>
            <w:r w:rsidR="006B52FC">
              <w:rPr>
                <w:noProof/>
                <w:webHidden/>
              </w:rPr>
              <w:tab/>
            </w:r>
            <w:r w:rsidR="006B52FC">
              <w:rPr>
                <w:noProof/>
                <w:webHidden/>
              </w:rPr>
              <w:fldChar w:fldCharType="begin"/>
            </w:r>
            <w:r w:rsidR="006B52FC">
              <w:rPr>
                <w:noProof/>
                <w:webHidden/>
              </w:rPr>
              <w:instrText xml:space="preserve"> PAGEREF _Toc125643718 \h </w:instrText>
            </w:r>
            <w:r w:rsidR="006B52FC">
              <w:rPr>
                <w:noProof/>
                <w:webHidden/>
              </w:rPr>
            </w:r>
            <w:r w:rsidR="006B52FC">
              <w:rPr>
                <w:noProof/>
                <w:webHidden/>
              </w:rPr>
              <w:fldChar w:fldCharType="separate"/>
            </w:r>
            <w:r w:rsidR="00BC2CDF">
              <w:rPr>
                <w:noProof/>
                <w:webHidden/>
              </w:rPr>
              <w:t>6</w:t>
            </w:r>
            <w:r w:rsidR="006B52FC">
              <w:rPr>
                <w:noProof/>
                <w:webHidden/>
              </w:rPr>
              <w:fldChar w:fldCharType="end"/>
            </w:r>
          </w:hyperlink>
        </w:p>
        <w:p w14:paraId="7C97660D" w14:textId="1A6AEE65"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19" w:history="1">
            <w:r w:rsidR="006B52FC" w:rsidRPr="00315138">
              <w:rPr>
                <w:rStyle w:val="Hyperlink"/>
                <w:noProof/>
              </w:rPr>
              <w:t>1.</w:t>
            </w:r>
            <w:r w:rsidR="006B52FC">
              <w:rPr>
                <w:rFonts w:asciiTheme="minorHAnsi" w:hAnsiTheme="minorHAnsi" w:cstheme="minorBidi"/>
                <w:noProof/>
                <w:color w:val="auto"/>
                <w:sz w:val="22"/>
                <w:lang w:val="en-GB" w:eastAsia="en-GB"/>
              </w:rPr>
              <w:tab/>
            </w:r>
            <w:r w:rsidR="006B52FC" w:rsidRPr="00315138">
              <w:rPr>
                <w:rStyle w:val="Hyperlink"/>
                <w:noProof/>
              </w:rPr>
              <w:t>Introduction</w:t>
            </w:r>
            <w:r w:rsidR="006B52FC">
              <w:rPr>
                <w:noProof/>
                <w:webHidden/>
              </w:rPr>
              <w:tab/>
            </w:r>
            <w:r w:rsidR="006B52FC">
              <w:rPr>
                <w:noProof/>
                <w:webHidden/>
              </w:rPr>
              <w:fldChar w:fldCharType="begin"/>
            </w:r>
            <w:r w:rsidR="006B52FC">
              <w:rPr>
                <w:noProof/>
                <w:webHidden/>
              </w:rPr>
              <w:instrText xml:space="preserve"> PAGEREF _Toc125643719 \h </w:instrText>
            </w:r>
            <w:r w:rsidR="006B52FC">
              <w:rPr>
                <w:noProof/>
                <w:webHidden/>
              </w:rPr>
            </w:r>
            <w:r w:rsidR="006B52FC">
              <w:rPr>
                <w:noProof/>
                <w:webHidden/>
              </w:rPr>
              <w:fldChar w:fldCharType="separate"/>
            </w:r>
            <w:r w:rsidR="00BC2CDF">
              <w:rPr>
                <w:noProof/>
                <w:webHidden/>
              </w:rPr>
              <w:t>8</w:t>
            </w:r>
            <w:r w:rsidR="006B52FC">
              <w:rPr>
                <w:noProof/>
                <w:webHidden/>
              </w:rPr>
              <w:fldChar w:fldCharType="end"/>
            </w:r>
          </w:hyperlink>
        </w:p>
        <w:p w14:paraId="5733021F" w14:textId="5A567FFF"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0" w:history="1">
            <w:r w:rsidR="006B52FC" w:rsidRPr="00315138">
              <w:rPr>
                <w:rStyle w:val="Hyperlink"/>
                <w:noProof/>
              </w:rPr>
              <w:t>2.</w:t>
            </w:r>
            <w:r w:rsidR="006B52FC">
              <w:rPr>
                <w:rFonts w:asciiTheme="minorHAnsi" w:hAnsiTheme="minorHAnsi" w:cstheme="minorBidi"/>
                <w:noProof/>
                <w:color w:val="auto"/>
                <w:sz w:val="22"/>
                <w:lang w:val="en-GB" w:eastAsia="en-GB"/>
              </w:rPr>
              <w:tab/>
            </w:r>
            <w:r w:rsidR="006B52FC" w:rsidRPr="00315138">
              <w:rPr>
                <w:rStyle w:val="Hyperlink"/>
                <w:noProof/>
              </w:rPr>
              <w:t>Industry Context</w:t>
            </w:r>
            <w:r w:rsidR="006B52FC">
              <w:rPr>
                <w:noProof/>
                <w:webHidden/>
              </w:rPr>
              <w:tab/>
            </w:r>
            <w:r w:rsidR="006B52FC">
              <w:rPr>
                <w:noProof/>
                <w:webHidden/>
              </w:rPr>
              <w:fldChar w:fldCharType="begin"/>
            </w:r>
            <w:r w:rsidR="006B52FC">
              <w:rPr>
                <w:noProof/>
                <w:webHidden/>
              </w:rPr>
              <w:instrText xml:space="preserve"> PAGEREF _Toc125643720 \h </w:instrText>
            </w:r>
            <w:r w:rsidR="006B52FC">
              <w:rPr>
                <w:noProof/>
                <w:webHidden/>
              </w:rPr>
            </w:r>
            <w:r w:rsidR="006B52FC">
              <w:rPr>
                <w:noProof/>
                <w:webHidden/>
              </w:rPr>
              <w:fldChar w:fldCharType="separate"/>
            </w:r>
            <w:r w:rsidR="00BC2CDF">
              <w:rPr>
                <w:noProof/>
                <w:webHidden/>
              </w:rPr>
              <w:t>21</w:t>
            </w:r>
            <w:r w:rsidR="006B52FC">
              <w:rPr>
                <w:noProof/>
                <w:webHidden/>
              </w:rPr>
              <w:fldChar w:fldCharType="end"/>
            </w:r>
          </w:hyperlink>
        </w:p>
        <w:p w14:paraId="5AE553C6" w14:textId="1BAD2183"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1" w:history="1">
            <w:r w:rsidR="006B52FC" w:rsidRPr="00315138">
              <w:rPr>
                <w:rStyle w:val="Hyperlink"/>
                <w:noProof/>
              </w:rPr>
              <w:t>3.</w:t>
            </w:r>
            <w:r w:rsidR="006B52FC">
              <w:rPr>
                <w:rFonts w:asciiTheme="minorHAnsi" w:hAnsiTheme="minorHAnsi" w:cstheme="minorBidi"/>
                <w:noProof/>
                <w:color w:val="auto"/>
                <w:sz w:val="22"/>
                <w:lang w:val="en-GB" w:eastAsia="en-GB"/>
              </w:rPr>
              <w:tab/>
            </w:r>
            <w:r w:rsidR="006B52FC" w:rsidRPr="00315138">
              <w:rPr>
                <w:rStyle w:val="Hyperlink"/>
                <w:noProof/>
              </w:rPr>
              <w:t>Labour Market Information</w:t>
            </w:r>
            <w:r w:rsidR="006B52FC">
              <w:rPr>
                <w:noProof/>
                <w:webHidden/>
              </w:rPr>
              <w:tab/>
            </w:r>
            <w:r w:rsidR="006B52FC">
              <w:rPr>
                <w:noProof/>
                <w:webHidden/>
              </w:rPr>
              <w:fldChar w:fldCharType="begin"/>
            </w:r>
            <w:r w:rsidR="006B52FC">
              <w:rPr>
                <w:noProof/>
                <w:webHidden/>
              </w:rPr>
              <w:instrText xml:space="preserve"> PAGEREF _Toc125643721 \h </w:instrText>
            </w:r>
            <w:r w:rsidR="006B52FC">
              <w:rPr>
                <w:noProof/>
                <w:webHidden/>
              </w:rPr>
            </w:r>
            <w:r w:rsidR="006B52FC">
              <w:rPr>
                <w:noProof/>
                <w:webHidden/>
              </w:rPr>
              <w:fldChar w:fldCharType="separate"/>
            </w:r>
            <w:r w:rsidR="00BC2CDF">
              <w:rPr>
                <w:noProof/>
                <w:webHidden/>
              </w:rPr>
              <w:t>26</w:t>
            </w:r>
            <w:r w:rsidR="006B52FC">
              <w:rPr>
                <w:noProof/>
                <w:webHidden/>
              </w:rPr>
              <w:fldChar w:fldCharType="end"/>
            </w:r>
          </w:hyperlink>
        </w:p>
        <w:p w14:paraId="2ACBBE14" w14:textId="701F4C2B"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2" w:history="1">
            <w:r w:rsidR="006B52FC" w:rsidRPr="00315138">
              <w:rPr>
                <w:rStyle w:val="Hyperlink"/>
                <w:noProof/>
              </w:rPr>
              <w:t>4.</w:t>
            </w:r>
            <w:r w:rsidR="006B52FC">
              <w:rPr>
                <w:rFonts w:asciiTheme="minorHAnsi" w:hAnsiTheme="minorHAnsi" w:cstheme="minorBidi"/>
                <w:noProof/>
                <w:color w:val="auto"/>
                <w:sz w:val="22"/>
                <w:lang w:val="en-GB" w:eastAsia="en-GB"/>
              </w:rPr>
              <w:tab/>
            </w:r>
            <w:r w:rsidR="006B52FC" w:rsidRPr="00315138">
              <w:rPr>
                <w:rStyle w:val="Hyperlink"/>
                <w:noProof/>
              </w:rPr>
              <w:t>Skills Demand</w:t>
            </w:r>
            <w:r w:rsidR="006B52FC">
              <w:rPr>
                <w:noProof/>
                <w:webHidden/>
              </w:rPr>
              <w:tab/>
            </w:r>
            <w:r w:rsidR="006B52FC">
              <w:rPr>
                <w:noProof/>
                <w:webHidden/>
              </w:rPr>
              <w:fldChar w:fldCharType="begin"/>
            </w:r>
            <w:r w:rsidR="006B52FC">
              <w:rPr>
                <w:noProof/>
                <w:webHidden/>
              </w:rPr>
              <w:instrText xml:space="preserve"> PAGEREF _Toc125643722 \h </w:instrText>
            </w:r>
            <w:r w:rsidR="006B52FC">
              <w:rPr>
                <w:noProof/>
                <w:webHidden/>
              </w:rPr>
            </w:r>
            <w:r w:rsidR="006B52FC">
              <w:rPr>
                <w:noProof/>
                <w:webHidden/>
              </w:rPr>
              <w:fldChar w:fldCharType="separate"/>
            </w:r>
            <w:r w:rsidR="00BC2CDF">
              <w:rPr>
                <w:noProof/>
                <w:webHidden/>
              </w:rPr>
              <w:t>40</w:t>
            </w:r>
            <w:r w:rsidR="006B52FC">
              <w:rPr>
                <w:noProof/>
                <w:webHidden/>
              </w:rPr>
              <w:fldChar w:fldCharType="end"/>
            </w:r>
          </w:hyperlink>
        </w:p>
        <w:p w14:paraId="6547D55D" w14:textId="2BB12967"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3" w:history="1">
            <w:r w:rsidR="006B52FC" w:rsidRPr="00315138">
              <w:rPr>
                <w:rStyle w:val="Hyperlink"/>
                <w:noProof/>
              </w:rPr>
              <w:t>5.</w:t>
            </w:r>
            <w:r w:rsidR="006B52FC">
              <w:rPr>
                <w:rFonts w:asciiTheme="minorHAnsi" w:hAnsiTheme="minorHAnsi" w:cstheme="minorBidi"/>
                <w:noProof/>
                <w:color w:val="auto"/>
                <w:sz w:val="22"/>
                <w:lang w:val="en-GB" w:eastAsia="en-GB"/>
              </w:rPr>
              <w:tab/>
            </w:r>
            <w:r w:rsidR="006B52FC" w:rsidRPr="00315138">
              <w:rPr>
                <w:rStyle w:val="Hyperlink"/>
                <w:noProof/>
              </w:rPr>
              <w:t>Skills Provision</w:t>
            </w:r>
            <w:r w:rsidR="006B52FC">
              <w:rPr>
                <w:noProof/>
                <w:webHidden/>
              </w:rPr>
              <w:tab/>
            </w:r>
            <w:r w:rsidR="006B52FC">
              <w:rPr>
                <w:noProof/>
                <w:webHidden/>
              </w:rPr>
              <w:fldChar w:fldCharType="begin"/>
            </w:r>
            <w:r w:rsidR="006B52FC">
              <w:rPr>
                <w:noProof/>
                <w:webHidden/>
              </w:rPr>
              <w:instrText xml:space="preserve"> PAGEREF _Toc125643723 \h </w:instrText>
            </w:r>
            <w:r w:rsidR="006B52FC">
              <w:rPr>
                <w:noProof/>
                <w:webHidden/>
              </w:rPr>
            </w:r>
            <w:r w:rsidR="006B52FC">
              <w:rPr>
                <w:noProof/>
                <w:webHidden/>
              </w:rPr>
              <w:fldChar w:fldCharType="separate"/>
            </w:r>
            <w:r w:rsidR="00BC2CDF">
              <w:rPr>
                <w:noProof/>
                <w:webHidden/>
              </w:rPr>
              <w:t>52</w:t>
            </w:r>
            <w:r w:rsidR="006B52FC">
              <w:rPr>
                <w:noProof/>
                <w:webHidden/>
              </w:rPr>
              <w:fldChar w:fldCharType="end"/>
            </w:r>
          </w:hyperlink>
        </w:p>
        <w:p w14:paraId="0FD1314C" w14:textId="52CEA27B"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4" w:history="1">
            <w:r w:rsidR="006B52FC" w:rsidRPr="00315138">
              <w:rPr>
                <w:rStyle w:val="Hyperlink"/>
                <w:noProof/>
              </w:rPr>
              <w:t>6.</w:t>
            </w:r>
            <w:r w:rsidR="006B52FC">
              <w:rPr>
                <w:rFonts w:asciiTheme="minorHAnsi" w:hAnsiTheme="minorHAnsi" w:cstheme="minorBidi"/>
                <w:noProof/>
                <w:color w:val="auto"/>
                <w:sz w:val="22"/>
                <w:lang w:val="en-GB" w:eastAsia="en-GB"/>
              </w:rPr>
              <w:tab/>
            </w:r>
            <w:r w:rsidR="006B52FC" w:rsidRPr="00315138">
              <w:rPr>
                <w:rStyle w:val="Hyperlink"/>
                <w:noProof/>
              </w:rPr>
              <w:t>Summary</w:t>
            </w:r>
            <w:r w:rsidR="006B52FC">
              <w:rPr>
                <w:noProof/>
                <w:webHidden/>
              </w:rPr>
              <w:tab/>
            </w:r>
            <w:r w:rsidR="006B52FC">
              <w:rPr>
                <w:noProof/>
                <w:webHidden/>
              </w:rPr>
              <w:fldChar w:fldCharType="begin"/>
            </w:r>
            <w:r w:rsidR="006B52FC">
              <w:rPr>
                <w:noProof/>
                <w:webHidden/>
              </w:rPr>
              <w:instrText xml:space="preserve"> PAGEREF _Toc125643724 \h </w:instrText>
            </w:r>
            <w:r w:rsidR="006B52FC">
              <w:rPr>
                <w:noProof/>
                <w:webHidden/>
              </w:rPr>
            </w:r>
            <w:r w:rsidR="006B52FC">
              <w:rPr>
                <w:noProof/>
                <w:webHidden/>
              </w:rPr>
              <w:fldChar w:fldCharType="separate"/>
            </w:r>
            <w:r w:rsidR="00BC2CDF">
              <w:rPr>
                <w:noProof/>
                <w:webHidden/>
              </w:rPr>
              <w:t>57</w:t>
            </w:r>
            <w:r w:rsidR="006B52FC">
              <w:rPr>
                <w:noProof/>
                <w:webHidden/>
              </w:rPr>
              <w:fldChar w:fldCharType="end"/>
            </w:r>
          </w:hyperlink>
        </w:p>
        <w:p w14:paraId="675CE249" w14:textId="0D18DCEB" w:rsidR="006B52FC" w:rsidRDefault="00000000">
          <w:pPr>
            <w:pStyle w:val="TOC3"/>
            <w:tabs>
              <w:tab w:val="left" w:pos="660"/>
              <w:tab w:val="right" w:leader="dot" w:pos="9016"/>
            </w:tabs>
            <w:rPr>
              <w:rFonts w:asciiTheme="minorHAnsi" w:hAnsiTheme="minorHAnsi" w:cstheme="minorBidi"/>
              <w:noProof/>
              <w:color w:val="auto"/>
              <w:sz w:val="22"/>
              <w:lang w:val="en-GB" w:eastAsia="en-GB"/>
            </w:rPr>
          </w:pPr>
          <w:hyperlink w:anchor="_Toc125643725" w:history="1">
            <w:r w:rsidR="006B52FC" w:rsidRPr="00315138">
              <w:rPr>
                <w:rStyle w:val="Hyperlink"/>
                <w:noProof/>
              </w:rPr>
              <w:t>7.</w:t>
            </w:r>
            <w:r w:rsidR="006B52FC">
              <w:rPr>
                <w:rFonts w:asciiTheme="minorHAnsi" w:hAnsiTheme="minorHAnsi" w:cstheme="minorBidi"/>
                <w:noProof/>
                <w:color w:val="auto"/>
                <w:sz w:val="22"/>
                <w:lang w:val="en-GB" w:eastAsia="en-GB"/>
              </w:rPr>
              <w:tab/>
            </w:r>
            <w:r w:rsidR="006B52FC" w:rsidRPr="00315138">
              <w:rPr>
                <w:rStyle w:val="Hyperlink"/>
                <w:noProof/>
              </w:rPr>
              <w:t>Next Report</w:t>
            </w:r>
            <w:r w:rsidR="006B52FC">
              <w:rPr>
                <w:noProof/>
                <w:webHidden/>
              </w:rPr>
              <w:tab/>
            </w:r>
            <w:r w:rsidR="006B52FC">
              <w:rPr>
                <w:noProof/>
                <w:webHidden/>
              </w:rPr>
              <w:fldChar w:fldCharType="begin"/>
            </w:r>
            <w:r w:rsidR="006B52FC">
              <w:rPr>
                <w:noProof/>
                <w:webHidden/>
              </w:rPr>
              <w:instrText xml:space="preserve"> PAGEREF _Toc125643725 \h </w:instrText>
            </w:r>
            <w:r w:rsidR="006B52FC">
              <w:rPr>
                <w:noProof/>
                <w:webHidden/>
              </w:rPr>
            </w:r>
            <w:r w:rsidR="006B52FC">
              <w:rPr>
                <w:noProof/>
                <w:webHidden/>
              </w:rPr>
              <w:fldChar w:fldCharType="separate"/>
            </w:r>
            <w:r w:rsidR="00BC2CDF">
              <w:rPr>
                <w:noProof/>
                <w:webHidden/>
              </w:rPr>
              <w:t>62</w:t>
            </w:r>
            <w:r w:rsidR="006B52FC">
              <w:rPr>
                <w:noProof/>
                <w:webHidden/>
              </w:rPr>
              <w:fldChar w:fldCharType="end"/>
            </w:r>
          </w:hyperlink>
        </w:p>
        <w:p w14:paraId="59909611" w14:textId="7161F4C4" w:rsidR="00CE4824" w:rsidRPr="00C74F49" w:rsidRDefault="00CE4824" w:rsidP="00CE4824">
          <w:pPr>
            <w:rPr>
              <w:color w:val="auto"/>
            </w:rPr>
          </w:pPr>
          <w:r w:rsidRPr="00C74F49">
            <w:rPr>
              <w:rFonts w:cs="Arial"/>
              <w:b/>
              <w:bCs/>
              <w:noProof/>
              <w:color w:val="auto"/>
              <w:szCs w:val="24"/>
            </w:rPr>
            <w:fldChar w:fldCharType="end"/>
          </w:r>
        </w:p>
      </w:sdtContent>
    </w:sdt>
    <w:p w14:paraId="02DFB5D4" w14:textId="65458D2F" w:rsidR="00D54706" w:rsidRPr="00D76E85" w:rsidRDefault="000755C2" w:rsidP="00D76E85">
      <w:pPr>
        <w:spacing w:line="259" w:lineRule="auto"/>
        <w:rPr>
          <w:b/>
          <w:bCs/>
          <w:color w:val="auto"/>
          <w:sz w:val="52"/>
          <w:szCs w:val="40"/>
        </w:rPr>
      </w:pPr>
      <w:r w:rsidRPr="00C74F49">
        <w:rPr>
          <w:color w:val="auto"/>
        </w:rPr>
        <w:br w:type="page"/>
      </w:r>
    </w:p>
    <w:p w14:paraId="4B691E6A" w14:textId="6175E504" w:rsidR="00FD3C96" w:rsidRPr="00903C16" w:rsidRDefault="00917029" w:rsidP="008A7B0A">
      <w:pPr>
        <w:pStyle w:val="Heading2"/>
        <w:rPr>
          <w:color w:val="auto"/>
        </w:rPr>
      </w:pPr>
      <w:bookmarkStart w:id="1" w:name="_Toc125643716"/>
      <w:r w:rsidRPr="00903C16">
        <w:rPr>
          <w:color w:val="auto"/>
        </w:rPr>
        <w:lastRenderedPageBreak/>
        <w:t>Purpose of Report</w:t>
      </w:r>
      <w:bookmarkEnd w:id="1"/>
    </w:p>
    <w:p w14:paraId="3012AF96" w14:textId="7B511D17" w:rsidR="00394D40" w:rsidRDefault="00394D40" w:rsidP="0708D23D">
      <w:pPr>
        <w:autoSpaceDE w:val="0"/>
        <w:autoSpaceDN w:val="0"/>
        <w:adjustRightInd w:val="0"/>
        <w:spacing w:after="0"/>
        <w:rPr>
          <w:rFonts w:cs="Arial"/>
          <w:color w:val="auto"/>
        </w:rPr>
      </w:pPr>
      <w:r w:rsidRPr="0708D23D">
        <w:rPr>
          <w:rFonts w:cs="Arial"/>
          <w:color w:val="auto"/>
        </w:rPr>
        <w:t>This report provides an employer</w:t>
      </w:r>
      <w:r w:rsidR="4B77813E" w:rsidRPr="0708D23D">
        <w:rPr>
          <w:rFonts w:cs="Arial"/>
          <w:color w:val="auto"/>
        </w:rPr>
        <w:t>-</w:t>
      </w:r>
      <w:r w:rsidRPr="0708D23D">
        <w:rPr>
          <w:rFonts w:cs="Arial"/>
          <w:color w:val="auto"/>
        </w:rPr>
        <w:t xml:space="preserve">led and current understanding of skills and talent needs required across </w:t>
      </w:r>
      <w:r w:rsidR="004E7A77" w:rsidRPr="0708D23D">
        <w:rPr>
          <w:rFonts w:cs="Arial"/>
          <w:color w:val="auto"/>
        </w:rPr>
        <w:t>emergency services</w:t>
      </w:r>
      <w:r w:rsidRPr="0708D23D">
        <w:rPr>
          <w:rFonts w:cs="Arial"/>
          <w:color w:val="auto"/>
        </w:rPr>
        <w:t xml:space="preserve"> in Greater Manchester (GM). </w:t>
      </w:r>
      <w:r w:rsidR="00D61526" w:rsidRPr="0708D23D">
        <w:rPr>
          <w:rFonts w:cs="Arial"/>
          <w:color w:val="auto"/>
        </w:rPr>
        <w:t xml:space="preserve">The intelligence has been gathered from conversations with colleagues at Greater Manchester Police, North West Ambulance Service and Greater Manchester Fire and Rescue Service. </w:t>
      </w:r>
      <w:r w:rsidR="334B18D4" w:rsidRPr="0708D23D">
        <w:rPr>
          <w:rFonts w:cs="Arial"/>
          <w:color w:val="auto"/>
        </w:rPr>
        <w:t>E</w:t>
      </w:r>
      <w:r w:rsidR="00D61526" w:rsidRPr="0708D23D">
        <w:rPr>
          <w:rFonts w:cs="Arial"/>
          <w:color w:val="auto"/>
        </w:rPr>
        <w:t xml:space="preserve">xisting reports, </w:t>
      </w:r>
      <w:r w:rsidR="001E6E3B" w:rsidRPr="0708D23D">
        <w:rPr>
          <w:rFonts w:cs="Arial"/>
          <w:color w:val="auto"/>
        </w:rPr>
        <w:t>strategies and relevant information ha</w:t>
      </w:r>
      <w:r w:rsidR="00D54CFC">
        <w:rPr>
          <w:rFonts w:cs="Arial"/>
          <w:color w:val="auto"/>
        </w:rPr>
        <w:t>ve</w:t>
      </w:r>
      <w:r w:rsidR="59883668" w:rsidRPr="0708D23D">
        <w:rPr>
          <w:rFonts w:cs="Arial"/>
          <w:color w:val="auto"/>
        </w:rPr>
        <w:t xml:space="preserve"> also</w:t>
      </w:r>
      <w:r w:rsidR="001E6E3B" w:rsidRPr="0708D23D">
        <w:rPr>
          <w:rFonts w:cs="Arial"/>
          <w:color w:val="auto"/>
        </w:rPr>
        <w:t xml:space="preserve"> been considered</w:t>
      </w:r>
      <w:r w:rsidR="009A1D17" w:rsidRPr="0708D23D">
        <w:rPr>
          <w:rFonts w:cs="Arial"/>
          <w:color w:val="auto"/>
        </w:rPr>
        <w:t xml:space="preserve">. </w:t>
      </w:r>
      <w:r w:rsidR="00D61526" w:rsidRPr="0708D23D">
        <w:rPr>
          <w:rFonts w:cs="Arial"/>
          <w:color w:val="auto"/>
        </w:rPr>
        <w:t>GMCA would like to thank everyone involved in the development of this report for their time and insights</w:t>
      </w:r>
      <w:r w:rsidR="009A1D17" w:rsidRPr="0708D23D">
        <w:rPr>
          <w:rFonts w:cs="Arial"/>
          <w:color w:val="auto"/>
        </w:rPr>
        <w:t xml:space="preserve">. </w:t>
      </w:r>
      <w:r w:rsidR="000749A6" w:rsidRPr="0708D23D">
        <w:rPr>
          <w:color w:val="auto"/>
        </w:rPr>
        <w:t>Recommendations made will not always lead to GMCA</w:t>
      </w:r>
      <w:r w:rsidR="3ACA8ADD" w:rsidRPr="0708D23D">
        <w:rPr>
          <w:color w:val="auto"/>
        </w:rPr>
        <w:t>-</w:t>
      </w:r>
      <w:r w:rsidR="000749A6" w:rsidRPr="0708D23D">
        <w:rPr>
          <w:color w:val="auto"/>
        </w:rPr>
        <w:t xml:space="preserve">led work and </w:t>
      </w:r>
      <w:r w:rsidR="007D1315" w:rsidRPr="0708D23D">
        <w:rPr>
          <w:color w:val="auto"/>
        </w:rPr>
        <w:t>skills action but</w:t>
      </w:r>
      <w:r w:rsidR="00830F47" w:rsidRPr="0708D23D">
        <w:rPr>
          <w:color w:val="auto"/>
        </w:rPr>
        <w:t xml:space="preserve"> </w:t>
      </w:r>
      <w:r w:rsidR="007D1315" w:rsidRPr="0708D23D">
        <w:rPr>
          <w:color w:val="auto"/>
        </w:rPr>
        <w:t xml:space="preserve">will </w:t>
      </w:r>
      <w:r w:rsidR="001E3FDC" w:rsidRPr="0708D23D">
        <w:rPr>
          <w:color w:val="auto"/>
        </w:rPr>
        <w:t xml:space="preserve">develop </w:t>
      </w:r>
      <w:r w:rsidR="00830F47" w:rsidRPr="0708D23D">
        <w:rPr>
          <w:color w:val="auto"/>
        </w:rPr>
        <w:t xml:space="preserve">understanding in how we can </w:t>
      </w:r>
      <w:r w:rsidR="009A1D17" w:rsidRPr="0708D23D">
        <w:rPr>
          <w:color w:val="auto"/>
        </w:rPr>
        <w:t>encourage</w:t>
      </w:r>
      <w:r w:rsidR="000749A6" w:rsidRPr="0708D23D">
        <w:rPr>
          <w:color w:val="auto"/>
        </w:rPr>
        <w:t xml:space="preserve"> talent growth for the sector</w:t>
      </w:r>
      <w:r w:rsidR="00D0431F" w:rsidRPr="0708D23D">
        <w:rPr>
          <w:rFonts w:cs="Arial"/>
          <w:color w:val="auto"/>
        </w:rPr>
        <w:t xml:space="preserve">. </w:t>
      </w:r>
      <w:r w:rsidRPr="0708D23D">
        <w:rPr>
          <w:rFonts w:cs="Arial"/>
          <w:color w:val="auto"/>
        </w:rPr>
        <w:t xml:space="preserve">This report supports and feeds in to wider GMCA policy and strategy including:  </w:t>
      </w:r>
    </w:p>
    <w:p w14:paraId="6CEA02EF" w14:textId="229E9B57" w:rsidR="00B12A08" w:rsidRDefault="00B12A08" w:rsidP="00B62A95">
      <w:pPr>
        <w:pStyle w:val="ListParagraph"/>
      </w:pPr>
      <w:r>
        <w:t>The Greater Manchester Strategy</w:t>
      </w:r>
    </w:p>
    <w:p w14:paraId="506D8772" w14:textId="409E4D76" w:rsidR="00B12A08" w:rsidRDefault="00FE5BC9" w:rsidP="00B62A95">
      <w:pPr>
        <w:pStyle w:val="ListParagraph"/>
      </w:pPr>
      <w:r>
        <w:t>Greater Manchester Local Industrial Strategy</w:t>
      </w:r>
    </w:p>
    <w:p w14:paraId="140E7C77" w14:textId="438DD43E" w:rsidR="00FE5BC9" w:rsidRDefault="00FE5BC9" w:rsidP="00B62A95">
      <w:pPr>
        <w:pStyle w:val="ListParagraph"/>
      </w:pPr>
      <w:r>
        <w:t>Greater Manchester Work and Skills Strategy</w:t>
      </w:r>
    </w:p>
    <w:p w14:paraId="33141EEC" w14:textId="07DD7B5B" w:rsidR="002F3F58" w:rsidRDefault="002F3F58" w:rsidP="00B62A95">
      <w:pPr>
        <w:pStyle w:val="ListParagraph"/>
      </w:pPr>
      <w:r>
        <w:t>Greater Manchester Resilience Strategy 2020-2030</w:t>
      </w:r>
    </w:p>
    <w:p w14:paraId="56D202D6" w14:textId="77777777" w:rsidR="00B62A95" w:rsidRPr="00B12A08" w:rsidRDefault="00B62A95" w:rsidP="00B62A95">
      <w:pPr>
        <w:pStyle w:val="ListParagraph"/>
        <w:numPr>
          <w:ilvl w:val="0"/>
          <w:numId w:val="0"/>
        </w:numPr>
        <w:ind w:left="720"/>
      </w:pPr>
    </w:p>
    <w:p w14:paraId="51BDBFD9" w14:textId="5BDEEB7A" w:rsidR="0093204D" w:rsidRPr="00903C16" w:rsidRDefault="00394D40" w:rsidP="002C1621">
      <w:pPr>
        <w:autoSpaceDE w:val="0"/>
        <w:autoSpaceDN w:val="0"/>
        <w:adjustRightInd w:val="0"/>
        <w:spacing w:after="0"/>
        <w:rPr>
          <w:rFonts w:cs="Arial"/>
          <w:color w:val="auto"/>
          <w:szCs w:val="24"/>
        </w:rPr>
      </w:pPr>
      <w:r w:rsidRPr="00903C16">
        <w:rPr>
          <w:rFonts w:cs="Arial"/>
          <w:color w:val="auto"/>
          <w:szCs w:val="24"/>
        </w:rPr>
        <w:t>The report also references and supports</w:t>
      </w:r>
      <w:r w:rsidR="00462268" w:rsidRPr="00903C16">
        <w:rPr>
          <w:rFonts w:cs="Arial"/>
          <w:color w:val="auto"/>
          <w:szCs w:val="24"/>
        </w:rPr>
        <w:t xml:space="preserve"> many </w:t>
      </w:r>
      <w:r w:rsidR="003B4B90" w:rsidRPr="00903C16">
        <w:rPr>
          <w:rFonts w:cs="Arial"/>
          <w:color w:val="auto"/>
          <w:szCs w:val="24"/>
        </w:rPr>
        <w:t>existing</w:t>
      </w:r>
      <w:r w:rsidR="00462268" w:rsidRPr="00903C16">
        <w:rPr>
          <w:rFonts w:cs="Arial"/>
          <w:color w:val="auto"/>
          <w:szCs w:val="24"/>
        </w:rPr>
        <w:t xml:space="preserve"> </w:t>
      </w:r>
      <w:r w:rsidRPr="00903C16">
        <w:rPr>
          <w:rFonts w:cs="Arial"/>
          <w:color w:val="auto"/>
          <w:szCs w:val="24"/>
        </w:rPr>
        <w:t>policies</w:t>
      </w:r>
      <w:r w:rsidR="00462268" w:rsidRPr="00903C16">
        <w:rPr>
          <w:rFonts w:cs="Arial"/>
          <w:color w:val="auto"/>
          <w:szCs w:val="24"/>
        </w:rPr>
        <w:t xml:space="preserve"> and publications</w:t>
      </w:r>
      <w:r w:rsidRPr="00903C16">
        <w:rPr>
          <w:rFonts w:cs="Arial"/>
          <w:color w:val="auto"/>
          <w:szCs w:val="24"/>
        </w:rPr>
        <w:t xml:space="preserve"> around this sector including</w:t>
      </w:r>
      <w:r w:rsidR="00B62A95">
        <w:rPr>
          <w:rFonts w:cs="Arial"/>
          <w:color w:val="auto"/>
          <w:szCs w:val="24"/>
        </w:rPr>
        <w:t xml:space="preserve"> key documents from each of the services</w:t>
      </w:r>
      <w:r w:rsidRPr="00903C16">
        <w:rPr>
          <w:rFonts w:cs="Arial"/>
          <w:color w:val="auto"/>
          <w:szCs w:val="24"/>
        </w:rPr>
        <w:t>:</w:t>
      </w:r>
    </w:p>
    <w:p w14:paraId="6BD35A54" w14:textId="6752BCA5" w:rsidR="003E79B7" w:rsidRPr="0093204D" w:rsidRDefault="005745C6" w:rsidP="00B62A95">
      <w:pPr>
        <w:pStyle w:val="ListParagraph"/>
        <w:numPr>
          <w:ilvl w:val="0"/>
          <w:numId w:val="7"/>
        </w:numPr>
      </w:pPr>
      <w:r w:rsidRPr="0093204D">
        <w:t>G</w:t>
      </w:r>
      <w:r w:rsidR="003E79B7" w:rsidRPr="0093204D">
        <w:t xml:space="preserve">MP - Planning our Future </w:t>
      </w:r>
    </w:p>
    <w:p w14:paraId="3E5CDC86" w14:textId="58311E4F" w:rsidR="005745C6" w:rsidRPr="0093204D" w:rsidRDefault="005745C6" w:rsidP="00B62A95">
      <w:pPr>
        <w:pStyle w:val="ListParagraph"/>
        <w:numPr>
          <w:ilvl w:val="0"/>
          <w:numId w:val="7"/>
        </w:numPr>
      </w:pPr>
      <w:r w:rsidRPr="0093204D">
        <w:t>G</w:t>
      </w:r>
      <w:r w:rsidR="003E79B7" w:rsidRPr="0093204D">
        <w:t>MFRS</w:t>
      </w:r>
      <w:r w:rsidR="00561D40" w:rsidRPr="0093204D">
        <w:t xml:space="preserve"> Fire Plan 2021-2025</w:t>
      </w:r>
    </w:p>
    <w:p w14:paraId="7B0C9B3B" w14:textId="785B4FCE" w:rsidR="0093204D" w:rsidRDefault="005745C6" w:rsidP="00B62A95">
      <w:pPr>
        <w:pStyle w:val="ListParagraph"/>
        <w:numPr>
          <w:ilvl w:val="0"/>
          <w:numId w:val="7"/>
        </w:numPr>
      </w:pPr>
      <w:r w:rsidRPr="0093204D">
        <w:t>N</w:t>
      </w:r>
      <w:r w:rsidR="00EE371D" w:rsidRPr="0093204D">
        <w:t xml:space="preserve">WAS Workforce Strategy </w:t>
      </w:r>
      <w:r w:rsidR="00A716C1" w:rsidRPr="0093204D">
        <w:t>2020-2023</w:t>
      </w:r>
    </w:p>
    <w:p w14:paraId="62119AA7" w14:textId="77777777" w:rsidR="00B62A95" w:rsidRPr="0093204D" w:rsidRDefault="00B62A95" w:rsidP="00B62A95">
      <w:pPr>
        <w:pStyle w:val="ListParagraph"/>
        <w:numPr>
          <w:ilvl w:val="0"/>
          <w:numId w:val="0"/>
        </w:numPr>
        <w:ind w:left="720"/>
      </w:pPr>
    </w:p>
    <w:p w14:paraId="1E7A5851" w14:textId="072DDC66" w:rsidR="00C86A01" w:rsidRPr="00903C16" w:rsidRDefault="00381352" w:rsidP="007E1837">
      <w:pPr>
        <w:autoSpaceDE w:val="0"/>
        <w:autoSpaceDN w:val="0"/>
        <w:adjustRightInd w:val="0"/>
        <w:spacing w:after="0"/>
        <w:rPr>
          <w:rFonts w:cs="Arial"/>
          <w:color w:val="auto"/>
          <w:szCs w:val="24"/>
        </w:rPr>
      </w:pPr>
      <w:r w:rsidRPr="00903C16">
        <w:rPr>
          <w:rFonts w:cs="Arial"/>
          <w:color w:val="auto"/>
          <w:szCs w:val="24"/>
        </w:rPr>
        <w:t>GMCA will work on wider sharing and translation of this intelligence for varied audiences in GM.</w:t>
      </w:r>
      <w:r w:rsidR="00FE1123" w:rsidRPr="00903C16">
        <w:rPr>
          <w:rFonts w:cs="Arial"/>
          <w:color w:val="auto"/>
          <w:szCs w:val="24"/>
        </w:rPr>
        <w:t xml:space="preserve"> We</w:t>
      </w:r>
      <w:r w:rsidRPr="00903C16">
        <w:rPr>
          <w:rFonts w:cs="Arial"/>
          <w:color w:val="auto"/>
          <w:szCs w:val="24"/>
        </w:rPr>
        <w:t xml:space="preserve"> will also look across devolved powers in the work and skills team to see where the skills system can better align to the needs of the sector</w:t>
      </w:r>
      <w:r w:rsidR="00D0431F" w:rsidRPr="00903C16">
        <w:rPr>
          <w:rFonts w:cs="Arial"/>
          <w:color w:val="auto"/>
          <w:szCs w:val="24"/>
        </w:rPr>
        <w:t>.</w:t>
      </w:r>
      <w:r w:rsidR="00394D40" w:rsidRPr="00903C16">
        <w:rPr>
          <w:rFonts w:cs="Arial"/>
          <w:color w:val="auto"/>
          <w:szCs w:val="24"/>
        </w:rPr>
        <w:t xml:space="preserve"> The objectives of this intelligence are as follows: </w:t>
      </w:r>
    </w:p>
    <w:p w14:paraId="211109F6" w14:textId="6CE8085B" w:rsidR="00455DA7" w:rsidRPr="00903C16" w:rsidRDefault="00394D40" w:rsidP="00B62A95">
      <w:pPr>
        <w:pStyle w:val="ListParagraph"/>
        <w:numPr>
          <w:ilvl w:val="0"/>
          <w:numId w:val="8"/>
        </w:numPr>
      </w:pPr>
      <w:r w:rsidRPr="00903C16">
        <w:t xml:space="preserve">Provide a </w:t>
      </w:r>
      <w:r w:rsidRPr="002C1621">
        <w:rPr>
          <w:b/>
          <w:bCs/>
        </w:rPr>
        <w:t>better understanding</w:t>
      </w:r>
      <w:r w:rsidRPr="00903C16">
        <w:t xml:space="preserve"> of the progression pathways to roles within the</w:t>
      </w:r>
      <w:r w:rsidR="008B0772" w:rsidRPr="00903C16">
        <w:t xml:space="preserve"> </w:t>
      </w:r>
      <w:r w:rsidR="00EF5C17" w:rsidRPr="00903C16">
        <w:t>emergency services in GM</w:t>
      </w:r>
    </w:p>
    <w:p w14:paraId="17EB81CE" w14:textId="59F0A976" w:rsidR="007E1837" w:rsidRPr="00903C16" w:rsidRDefault="00394D40" w:rsidP="00B62A95">
      <w:pPr>
        <w:pStyle w:val="ListParagraph"/>
        <w:numPr>
          <w:ilvl w:val="0"/>
          <w:numId w:val="8"/>
        </w:numPr>
      </w:pPr>
      <w:r w:rsidRPr="002C1621">
        <w:rPr>
          <w:b/>
          <w:bCs/>
        </w:rPr>
        <w:t>Identify</w:t>
      </w:r>
      <w:r w:rsidR="00A416BA" w:rsidRPr="00903C16">
        <w:t xml:space="preserve"> how </w:t>
      </w:r>
      <w:r w:rsidR="00E84444" w:rsidRPr="00903C16">
        <w:t xml:space="preserve">the emergency services workforce </w:t>
      </w:r>
      <w:r w:rsidR="0001268C" w:rsidRPr="00903C16">
        <w:t>can b</w:t>
      </w:r>
      <w:r w:rsidR="00E84444" w:rsidRPr="00903C16">
        <w:t>est s</w:t>
      </w:r>
      <w:r w:rsidR="00F56C11" w:rsidRPr="00903C16">
        <w:t>erve</w:t>
      </w:r>
      <w:r w:rsidR="00E84444" w:rsidRPr="00903C16">
        <w:t xml:space="preserve"> our residents.</w:t>
      </w:r>
    </w:p>
    <w:p w14:paraId="137F55C0" w14:textId="63BD1993" w:rsidR="007E1837" w:rsidRPr="00903C16" w:rsidRDefault="00394D40" w:rsidP="00B62A95">
      <w:pPr>
        <w:pStyle w:val="ListParagraph"/>
        <w:numPr>
          <w:ilvl w:val="0"/>
          <w:numId w:val="8"/>
        </w:numPr>
      </w:pPr>
      <w:r w:rsidRPr="00903C16">
        <w:lastRenderedPageBreak/>
        <w:t xml:space="preserve">Better </w:t>
      </w:r>
      <w:r w:rsidRPr="002C1621">
        <w:rPr>
          <w:b/>
          <w:bCs/>
        </w:rPr>
        <w:t>inform and implement</w:t>
      </w:r>
      <w:r w:rsidRPr="00903C16">
        <w:t xml:space="preserve"> existing skills provision for the benefit of GM residents</w:t>
      </w:r>
      <w:r w:rsidR="008B0772" w:rsidRPr="00903C16">
        <w:t xml:space="preserve"> </w:t>
      </w:r>
      <w:r w:rsidR="007E1837" w:rsidRPr="00903C16">
        <w:t xml:space="preserve">and the </w:t>
      </w:r>
      <w:r w:rsidR="00907E48" w:rsidRPr="00903C16">
        <w:t>wider emergency services</w:t>
      </w:r>
      <w:r w:rsidRPr="00903C16">
        <w:t xml:space="preserve">. </w:t>
      </w:r>
    </w:p>
    <w:p w14:paraId="6A48AE78" w14:textId="66731C53" w:rsidR="007E1837" w:rsidRPr="00903C16" w:rsidRDefault="00394D40" w:rsidP="00B62A95">
      <w:pPr>
        <w:pStyle w:val="ListParagraph"/>
        <w:numPr>
          <w:ilvl w:val="0"/>
          <w:numId w:val="8"/>
        </w:numPr>
      </w:pPr>
      <w:r w:rsidRPr="00903C16">
        <w:t xml:space="preserve">Identify </w:t>
      </w:r>
      <w:r w:rsidR="00907E48" w:rsidRPr="00903C16">
        <w:t xml:space="preserve">opportunities to improve the </w:t>
      </w:r>
      <w:r w:rsidR="00907E48" w:rsidRPr="002C1621">
        <w:rPr>
          <w:b/>
          <w:bCs/>
        </w:rPr>
        <w:t>diversity</w:t>
      </w:r>
      <w:r w:rsidR="00907E48" w:rsidRPr="00903C16">
        <w:t xml:space="preserve"> of the sector to better </w:t>
      </w:r>
      <w:r w:rsidR="00A416BA" w:rsidRPr="00903C16">
        <w:t>represent the GM population.</w:t>
      </w:r>
    </w:p>
    <w:p w14:paraId="4B858E03" w14:textId="2366672E" w:rsidR="007E1837" w:rsidRPr="00903C16" w:rsidRDefault="00394D40" w:rsidP="00B62A95">
      <w:pPr>
        <w:pStyle w:val="ListParagraph"/>
        <w:numPr>
          <w:ilvl w:val="0"/>
          <w:numId w:val="8"/>
        </w:numPr>
      </w:pPr>
      <w:r w:rsidRPr="002C1621">
        <w:rPr>
          <w:b/>
          <w:bCs/>
        </w:rPr>
        <w:t>Understand the future trends</w:t>
      </w:r>
      <w:r w:rsidRPr="00903C16">
        <w:t xml:space="preserve"> within the sector – in particular, how these trends will impact the existing workforce and future skills needs. </w:t>
      </w:r>
    </w:p>
    <w:p w14:paraId="0075C79C" w14:textId="458D8CBA" w:rsidR="00A15A1F" w:rsidRDefault="00394D40" w:rsidP="00B62A95">
      <w:pPr>
        <w:pStyle w:val="ListParagraph"/>
        <w:numPr>
          <w:ilvl w:val="0"/>
          <w:numId w:val="8"/>
        </w:numPr>
      </w:pPr>
      <w:r>
        <w:t xml:space="preserve">Understand the </w:t>
      </w:r>
      <w:r w:rsidRPr="0708D23D">
        <w:rPr>
          <w:b/>
          <w:bCs/>
        </w:rPr>
        <w:t>impacts of COVID</w:t>
      </w:r>
      <w:r w:rsidR="636DCF86" w:rsidRPr="0708D23D">
        <w:rPr>
          <w:b/>
          <w:bCs/>
        </w:rPr>
        <w:t>-</w:t>
      </w:r>
      <w:r w:rsidRPr="0708D23D">
        <w:rPr>
          <w:b/>
          <w:bCs/>
        </w:rPr>
        <w:t>19</w:t>
      </w:r>
      <w:r>
        <w:t xml:space="preserve"> </w:t>
      </w:r>
      <w:r w:rsidR="007E1837">
        <w:t xml:space="preserve">on </w:t>
      </w:r>
      <w:r>
        <w:t>the skills-base within the sector</w:t>
      </w:r>
      <w:r w:rsidR="007E1837">
        <w:t xml:space="preserve"> </w:t>
      </w:r>
      <w:r>
        <w:t xml:space="preserve">including challenges and </w:t>
      </w:r>
      <w:r w:rsidR="00F22EEC">
        <w:t>opportunities.</w:t>
      </w:r>
      <w:r>
        <w:t xml:space="preserve"> </w:t>
      </w:r>
    </w:p>
    <w:p w14:paraId="6106A943" w14:textId="77777777" w:rsidR="00B62A95" w:rsidRPr="00903C16" w:rsidRDefault="00B62A95" w:rsidP="00B62A95">
      <w:pPr>
        <w:pStyle w:val="ListParagraph"/>
        <w:numPr>
          <w:ilvl w:val="0"/>
          <w:numId w:val="0"/>
        </w:numPr>
        <w:ind w:left="360"/>
      </w:pPr>
    </w:p>
    <w:p w14:paraId="06E90AB6" w14:textId="77777777" w:rsidR="00B62A95" w:rsidRDefault="00394D40" w:rsidP="00B62A95">
      <w:pPr>
        <w:autoSpaceDE w:val="0"/>
        <w:autoSpaceDN w:val="0"/>
        <w:adjustRightInd w:val="0"/>
        <w:spacing w:after="0"/>
        <w:rPr>
          <w:rFonts w:cs="Arial"/>
          <w:color w:val="auto"/>
          <w:szCs w:val="24"/>
        </w:rPr>
      </w:pPr>
      <w:r w:rsidRPr="00903C16">
        <w:rPr>
          <w:rFonts w:cs="Arial"/>
          <w:color w:val="auto"/>
          <w:szCs w:val="24"/>
        </w:rPr>
        <w:t>GM residents need to be able to understand the occupations and progression pathways</w:t>
      </w:r>
      <w:r w:rsidR="000D3CB8" w:rsidRPr="00903C16">
        <w:rPr>
          <w:rFonts w:cs="Arial"/>
          <w:color w:val="auto"/>
          <w:szCs w:val="24"/>
        </w:rPr>
        <w:t>,</w:t>
      </w:r>
      <w:r w:rsidRPr="00903C16">
        <w:rPr>
          <w:rFonts w:cs="Arial"/>
          <w:color w:val="auto"/>
          <w:szCs w:val="24"/>
        </w:rPr>
        <w:t xml:space="preserve"> as well as the technical skills and wider attributes required in different areas of the industry and at different levels. There is the need for</w:t>
      </w:r>
      <w:r w:rsidRPr="00903C16">
        <w:rPr>
          <w:bCs/>
          <w:i/>
          <w:iCs/>
          <w:color w:val="auto"/>
          <w:szCs w:val="24"/>
        </w:rPr>
        <w:t xml:space="preserve"> </w:t>
      </w:r>
      <w:r w:rsidRPr="00903C16">
        <w:rPr>
          <w:rFonts w:cs="Arial"/>
          <w:color w:val="auto"/>
          <w:szCs w:val="24"/>
        </w:rPr>
        <w:t>key stakeholders working with different groups to be able to translate these key skills and labour market messages for the following groups</w:t>
      </w:r>
      <w:r w:rsidR="00B62A95">
        <w:rPr>
          <w:rFonts w:cs="Arial"/>
          <w:color w:val="auto"/>
          <w:szCs w:val="24"/>
        </w:rPr>
        <w:t>:</w:t>
      </w:r>
    </w:p>
    <w:p w14:paraId="66DD3A02" w14:textId="40EAB330" w:rsidR="008B0772" w:rsidRPr="00B62A95" w:rsidRDefault="00394D40" w:rsidP="00B62A95">
      <w:pPr>
        <w:pStyle w:val="ListParagraph"/>
      </w:pPr>
      <w:r w:rsidRPr="00B62A95">
        <w:t xml:space="preserve">Young people </w:t>
      </w:r>
    </w:p>
    <w:p w14:paraId="32553507" w14:textId="12587C18" w:rsidR="008B0772" w:rsidRPr="005A3949" w:rsidRDefault="00344D71" w:rsidP="00B62A95">
      <w:pPr>
        <w:pStyle w:val="ListParagraph"/>
        <w:numPr>
          <w:ilvl w:val="0"/>
          <w:numId w:val="9"/>
        </w:numPr>
      </w:pPr>
      <w:r w:rsidRPr="005A3949">
        <w:t>Career i</w:t>
      </w:r>
      <w:r w:rsidR="00394D40" w:rsidRPr="005A3949">
        <w:t xml:space="preserve">nfluencers </w:t>
      </w:r>
      <w:r w:rsidR="009C7595" w:rsidRPr="005A3949">
        <w:t xml:space="preserve">- </w:t>
      </w:r>
      <w:r w:rsidR="00912D5E" w:rsidRPr="005A3949">
        <w:t>teachers, career advisors</w:t>
      </w:r>
      <w:r w:rsidR="009C7595" w:rsidRPr="005A3949">
        <w:t>,</w:t>
      </w:r>
      <w:r w:rsidR="00912D5E" w:rsidRPr="005A3949">
        <w:t xml:space="preserve"> parents, work coaches</w:t>
      </w:r>
    </w:p>
    <w:p w14:paraId="50705AFD" w14:textId="59DFAD85" w:rsidR="008B0772" w:rsidRPr="005A3949" w:rsidRDefault="00394D40" w:rsidP="00B62A95">
      <w:pPr>
        <w:pStyle w:val="ListParagraph"/>
        <w:numPr>
          <w:ilvl w:val="0"/>
          <w:numId w:val="9"/>
        </w:numPr>
      </w:pPr>
      <w:r w:rsidRPr="005A3949">
        <w:t xml:space="preserve">People looking to switch careers or looking for work </w:t>
      </w:r>
    </w:p>
    <w:p w14:paraId="7842146E" w14:textId="7B391383" w:rsidR="008B0772" w:rsidRPr="005A3949" w:rsidRDefault="00394D40" w:rsidP="00B62A95">
      <w:pPr>
        <w:pStyle w:val="ListParagraph"/>
        <w:numPr>
          <w:ilvl w:val="0"/>
          <w:numId w:val="9"/>
        </w:numPr>
      </w:pPr>
      <w:r w:rsidRPr="005A3949">
        <w:t xml:space="preserve">Skills providers of all types </w:t>
      </w:r>
    </w:p>
    <w:p w14:paraId="62A8E700" w14:textId="22C77E61" w:rsidR="008B0772" w:rsidRPr="005A3949" w:rsidRDefault="00394D40" w:rsidP="00B62A95">
      <w:pPr>
        <w:pStyle w:val="ListParagraph"/>
        <w:numPr>
          <w:ilvl w:val="0"/>
          <w:numId w:val="9"/>
        </w:numPr>
      </w:pPr>
      <w:r w:rsidRPr="005A3949">
        <w:t xml:space="preserve">Employers </w:t>
      </w:r>
    </w:p>
    <w:p w14:paraId="0B5C8E5B" w14:textId="51C3AF19" w:rsidR="005A3949" w:rsidRDefault="00394D40" w:rsidP="00B62A95">
      <w:pPr>
        <w:pStyle w:val="ListParagraph"/>
        <w:numPr>
          <w:ilvl w:val="0"/>
          <w:numId w:val="9"/>
        </w:numPr>
      </w:pPr>
      <w:r w:rsidRPr="005A3949">
        <w:t xml:space="preserve">Individuals wanting to progress in work </w:t>
      </w:r>
    </w:p>
    <w:p w14:paraId="5B212660" w14:textId="77777777" w:rsidR="00B62A95" w:rsidRPr="005A3949" w:rsidRDefault="00B62A95" w:rsidP="00B62A95">
      <w:pPr>
        <w:pStyle w:val="ListParagraph"/>
        <w:numPr>
          <w:ilvl w:val="0"/>
          <w:numId w:val="0"/>
        </w:numPr>
        <w:ind w:left="720"/>
      </w:pPr>
    </w:p>
    <w:p w14:paraId="66CC6D27" w14:textId="56021599" w:rsidR="00FC3DE6" w:rsidRPr="00903C16" w:rsidRDefault="00394D40" w:rsidP="00394D40">
      <w:pPr>
        <w:rPr>
          <w:rFonts w:cs="Arial"/>
          <w:color w:val="auto"/>
          <w:szCs w:val="24"/>
        </w:rPr>
      </w:pPr>
      <w:r w:rsidRPr="00903C16">
        <w:rPr>
          <w:rFonts w:cs="Arial"/>
          <w:color w:val="auto"/>
          <w:szCs w:val="24"/>
        </w:rPr>
        <w:t xml:space="preserve">This intelligence was gathered during </w:t>
      </w:r>
      <w:r w:rsidR="000E1195" w:rsidRPr="00903C16">
        <w:rPr>
          <w:rFonts w:cs="Arial"/>
          <w:color w:val="auto"/>
          <w:szCs w:val="24"/>
        </w:rPr>
        <w:t>2022</w:t>
      </w:r>
      <w:r w:rsidRPr="00903C16">
        <w:rPr>
          <w:rFonts w:cs="Arial"/>
          <w:color w:val="auto"/>
          <w:szCs w:val="24"/>
        </w:rPr>
        <w:t xml:space="preserve"> and is accurate as of the release date of this report. </w:t>
      </w:r>
      <w:r w:rsidR="00F91501">
        <w:rPr>
          <w:rFonts w:cs="Arial"/>
          <w:color w:val="auto"/>
          <w:szCs w:val="24"/>
        </w:rPr>
        <w:t xml:space="preserve">The report focuses on the paid workforce and does not consider the high number of volunteers within this sector. Their important contribution is acknowledged but is not within the scope. </w:t>
      </w:r>
      <w:r w:rsidRPr="00903C16">
        <w:rPr>
          <w:rFonts w:cs="Arial"/>
          <w:color w:val="auto"/>
          <w:szCs w:val="24"/>
        </w:rPr>
        <w:t xml:space="preserve">The report is intended as an initial platform of intelligence and research, which will be built on and updated by GMCA. </w:t>
      </w:r>
    </w:p>
    <w:p w14:paraId="69B8F979" w14:textId="42BF7B51" w:rsidR="000755C2" w:rsidRPr="00903C16" w:rsidRDefault="00394D40" w:rsidP="001B42F2">
      <w:pPr>
        <w:rPr>
          <w:rFonts w:cs="Arial"/>
          <w:color w:val="auto"/>
          <w:szCs w:val="24"/>
        </w:rPr>
      </w:pPr>
      <w:r w:rsidRPr="00903C16">
        <w:rPr>
          <w:rFonts w:cs="Arial"/>
          <w:color w:val="auto"/>
          <w:szCs w:val="24"/>
        </w:rPr>
        <w:t xml:space="preserve">GMCA understands the need to regularly update this intelligence accordingly. Plans are laid out towards the end of the report for further intelligence gathering and </w:t>
      </w:r>
      <w:r w:rsidR="00AF4065" w:rsidRPr="00903C16">
        <w:rPr>
          <w:rFonts w:cs="Arial"/>
          <w:color w:val="auto"/>
          <w:szCs w:val="24"/>
        </w:rPr>
        <w:t>research</w:t>
      </w:r>
      <w:r w:rsidRPr="00903C16">
        <w:rPr>
          <w:rFonts w:cs="Arial"/>
          <w:color w:val="auto"/>
          <w:szCs w:val="24"/>
        </w:rPr>
        <w:t>.</w:t>
      </w:r>
      <w:r w:rsidR="000755C2" w:rsidRPr="00903C16">
        <w:rPr>
          <w:color w:val="auto"/>
        </w:rPr>
        <w:br w:type="page"/>
      </w:r>
    </w:p>
    <w:p w14:paraId="6DE42230" w14:textId="7B78F0C0" w:rsidR="00FD3C96" w:rsidRPr="00903C16" w:rsidRDefault="00A727A2" w:rsidP="008D0846">
      <w:pPr>
        <w:pStyle w:val="Heading3"/>
        <w:rPr>
          <w:color w:val="auto"/>
        </w:rPr>
      </w:pPr>
      <w:bookmarkStart w:id="2" w:name="_Toc125643717"/>
      <w:r w:rsidRPr="00903C16">
        <w:rPr>
          <w:color w:val="auto"/>
        </w:rPr>
        <w:lastRenderedPageBreak/>
        <w:t>Executive Summary</w:t>
      </w:r>
      <w:bookmarkEnd w:id="2"/>
    </w:p>
    <w:p w14:paraId="576147D6" w14:textId="4B0929E5" w:rsidR="00DF12C2" w:rsidRPr="00903C16" w:rsidRDefault="006A6CEF" w:rsidP="00CE4824">
      <w:pPr>
        <w:rPr>
          <w:i/>
          <w:color w:val="auto"/>
          <w:lang w:val="en-US"/>
        </w:rPr>
      </w:pPr>
      <w:r w:rsidRPr="00903C16">
        <w:rPr>
          <w:iCs/>
          <w:color w:val="auto"/>
          <w:lang w:val="en-US"/>
        </w:rPr>
        <w:t xml:space="preserve">The </w:t>
      </w:r>
      <w:r w:rsidR="008806FB" w:rsidRPr="00903C16">
        <w:rPr>
          <w:iCs/>
          <w:color w:val="auto"/>
          <w:lang w:val="en-US"/>
        </w:rPr>
        <w:t>999-call</w:t>
      </w:r>
      <w:r w:rsidRPr="00903C16">
        <w:rPr>
          <w:iCs/>
          <w:color w:val="auto"/>
          <w:lang w:val="en-US"/>
        </w:rPr>
        <w:t xml:space="preserve"> originated in London in 1936 and was the world's first automatic telephone service to call the emergency services. </w:t>
      </w:r>
      <w:r w:rsidR="00016B04" w:rsidRPr="00903C16">
        <w:rPr>
          <w:iCs/>
          <w:color w:val="auto"/>
          <w:lang w:val="en-US"/>
        </w:rPr>
        <w:t xml:space="preserve">Today over 50,000 emergency calls are made in the UK each day. </w:t>
      </w:r>
      <w:r w:rsidR="00DF12C2" w:rsidRPr="00903C16">
        <w:rPr>
          <w:iCs/>
          <w:color w:val="auto"/>
          <w:lang w:val="en-US"/>
        </w:rPr>
        <w:t xml:space="preserve">Of these, more than half asked for police assistance. The next most requested was the ambulance service, followed by the fire </w:t>
      </w:r>
      <w:r w:rsidR="00EE7EC8">
        <w:rPr>
          <w:iCs/>
          <w:color w:val="auto"/>
          <w:lang w:val="en-US"/>
        </w:rPr>
        <w:t>and rescue service</w:t>
      </w:r>
      <w:r w:rsidR="00DF12C2" w:rsidRPr="00903C16">
        <w:rPr>
          <w:iCs/>
          <w:color w:val="auto"/>
          <w:lang w:val="en-US"/>
        </w:rPr>
        <w:t>.</w:t>
      </w:r>
    </w:p>
    <w:p w14:paraId="169850CC" w14:textId="467C8C79" w:rsidR="00433B81" w:rsidRPr="00903C16" w:rsidRDefault="00A76912" w:rsidP="497B6B81">
      <w:pPr>
        <w:rPr>
          <w:color w:val="auto"/>
          <w:lang w:val="en-US"/>
        </w:rPr>
      </w:pPr>
      <w:r w:rsidRPr="497B6B81">
        <w:rPr>
          <w:color w:val="auto"/>
          <w:lang w:val="en-US"/>
        </w:rPr>
        <w:t>As well as being a vital service to the community, th</w:t>
      </w:r>
      <w:r w:rsidR="006234B0" w:rsidRPr="497B6B81">
        <w:rPr>
          <w:color w:val="auto"/>
          <w:lang w:val="en-US"/>
        </w:rPr>
        <w:t>e emergency services are also a large employer in GM</w:t>
      </w:r>
      <w:r w:rsidR="0075590C" w:rsidRPr="497B6B81">
        <w:rPr>
          <w:color w:val="auto"/>
          <w:lang w:val="en-US"/>
        </w:rPr>
        <w:t xml:space="preserve">. </w:t>
      </w:r>
      <w:r w:rsidR="00246BAB" w:rsidRPr="497B6B81">
        <w:rPr>
          <w:color w:val="auto"/>
          <w:lang w:val="en-US"/>
        </w:rPr>
        <w:t xml:space="preserve">This report contains insight </w:t>
      </w:r>
      <w:r w:rsidR="00126E5D" w:rsidRPr="497B6B81">
        <w:rPr>
          <w:color w:val="auto"/>
          <w:lang w:val="en-US"/>
        </w:rPr>
        <w:t xml:space="preserve">and opinion </w:t>
      </w:r>
      <w:r w:rsidR="00246BAB" w:rsidRPr="497B6B81">
        <w:rPr>
          <w:color w:val="auto"/>
          <w:lang w:val="en-US"/>
        </w:rPr>
        <w:t>from</w:t>
      </w:r>
      <w:r w:rsidR="005A6F9F" w:rsidRPr="497B6B81">
        <w:rPr>
          <w:color w:val="auto"/>
          <w:lang w:val="en-US"/>
        </w:rPr>
        <w:t xml:space="preserve"> </w:t>
      </w:r>
      <w:r w:rsidR="00126E5D" w:rsidRPr="497B6B81">
        <w:rPr>
          <w:color w:val="auto"/>
          <w:lang w:val="en-US"/>
        </w:rPr>
        <w:t>many</w:t>
      </w:r>
      <w:r w:rsidR="005A6F9F" w:rsidRPr="497B6B81">
        <w:rPr>
          <w:color w:val="auto"/>
          <w:lang w:val="en-US"/>
        </w:rPr>
        <w:t xml:space="preserve"> members of th</w:t>
      </w:r>
      <w:r w:rsidR="007C5400" w:rsidRPr="497B6B81">
        <w:rPr>
          <w:color w:val="auto"/>
          <w:lang w:val="en-US"/>
        </w:rPr>
        <w:t>is</w:t>
      </w:r>
      <w:r w:rsidR="005A6F9F" w:rsidRPr="497B6B81">
        <w:rPr>
          <w:color w:val="auto"/>
          <w:lang w:val="en-US"/>
        </w:rPr>
        <w:t xml:space="preserve"> workforce</w:t>
      </w:r>
      <w:r w:rsidR="00C60067" w:rsidRPr="497B6B81">
        <w:rPr>
          <w:color w:val="auto"/>
          <w:lang w:val="en-US"/>
        </w:rPr>
        <w:t>.</w:t>
      </w:r>
      <w:r w:rsidR="00C365D9" w:rsidRPr="497B6B81">
        <w:rPr>
          <w:color w:val="auto"/>
          <w:lang w:val="en-US"/>
        </w:rPr>
        <w:t xml:space="preserve"> </w:t>
      </w:r>
      <w:r w:rsidR="00C365D9" w:rsidRPr="497B6B81">
        <w:rPr>
          <w:color w:val="auto"/>
        </w:rPr>
        <w:t>It</w:t>
      </w:r>
      <w:r w:rsidR="00C71917" w:rsidRPr="497B6B81">
        <w:rPr>
          <w:color w:val="auto"/>
        </w:rPr>
        <w:t xml:space="preserve"> looks primarily at the skills and labour challenges in </w:t>
      </w:r>
      <w:r w:rsidR="008957F7" w:rsidRPr="497B6B81">
        <w:rPr>
          <w:color w:val="auto"/>
        </w:rPr>
        <w:t>e</w:t>
      </w:r>
      <w:r w:rsidR="003F4981" w:rsidRPr="497B6B81">
        <w:rPr>
          <w:color w:val="auto"/>
        </w:rPr>
        <w:t>mergency services</w:t>
      </w:r>
      <w:r w:rsidR="008957F7" w:rsidRPr="497B6B81">
        <w:rPr>
          <w:color w:val="auto"/>
        </w:rPr>
        <w:t xml:space="preserve"> </w:t>
      </w:r>
      <w:r w:rsidR="00C71917" w:rsidRPr="497B6B81">
        <w:rPr>
          <w:color w:val="auto"/>
        </w:rPr>
        <w:t xml:space="preserve">and aims to better inform and guide responses from GMCA, </w:t>
      </w:r>
      <w:r w:rsidR="003F4981" w:rsidRPr="497B6B81">
        <w:rPr>
          <w:color w:val="auto"/>
        </w:rPr>
        <w:t>career leads</w:t>
      </w:r>
      <w:r w:rsidR="00C71917" w:rsidRPr="497B6B81">
        <w:rPr>
          <w:color w:val="auto"/>
        </w:rPr>
        <w:t xml:space="preserve">, training providers and other stakeholders. </w:t>
      </w:r>
      <w:r w:rsidR="00BC23DA" w:rsidRPr="497B6B81">
        <w:rPr>
          <w:color w:val="auto"/>
        </w:rPr>
        <w:t>Whereas Police and Fire operate within the GM boundary</w:t>
      </w:r>
      <w:r w:rsidR="00A16175" w:rsidRPr="497B6B81">
        <w:rPr>
          <w:color w:val="auto"/>
        </w:rPr>
        <w:t xml:space="preserve">, the Ambulance Service </w:t>
      </w:r>
      <w:r w:rsidR="003960B4" w:rsidRPr="497B6B81">
        <w:rPr>
          <w:color w:val="auto"/>
        </w:rPr>
        <w:t xml:space="preserve">covers a wider geographical area and so </w:t>
      </w:r>
      <w:r w:rsidR="008F443A" w:rsidRPr="497B6B81">
        <w:rPr>
          <w:color w:val="auto"/>
        </w:rPr>
        <w:t>there has been some wider North West input into this report</w:t>
      </w:r>
      <w:r w:rsidR="00481291" w:rsidRPr="497B6B81">
        <w:rPr>
          <w:color w:val="auto"/>
        </w:rPr>
        <w:t>, but the findings largely reflect GM’s workforce</w:t>
      </w:r>
      <w:r w:rsidR="008F443A" w:rsidRPr="497B6B81">
        <w:rPr>
          <w:color w:val="auto"/>
        </w:rPr>
        <w:t>.</w:t>
      </w:r>
    </w:p>
    <w:p w14:paraId="74DB681C" w14:textId="77777777" w:rsidR="00F41F30" w:rsidRPr="00903C16" w:rsidRDefault="00C71917" w:rsidP="00CE4824">
      <w:pPr>
        <w:rPr>
          <w:i/>
          <w:iCs/>
          <w:color w:val="auto"/>
        </w:rPr>
      </w:pPr>
      <w:r w:rsidRPr="00903C16">
        <w:rPr>
          <w:i/>
          <w:iCs/>
          <w:color w:val="auto"/>
        </w:rPr>
        <w:t xml:space="preserve">Key findings from this report include: </w:t>
      </w:r>
    </w:p>
    <w:p w14:paraId="2B397276" w14:textId="410EB824" w:rsidR="00AE12FC" w:rsidRPr="00903C16" w:rsidRDefault="00516BEE" w:rsidP="00B62A95">
      <w:pPr>
        <w:pStyle w:val="ListParagraph"/>
      </w:pPr>
      <w:r w:rsidRPr="00903C16">
        <w:t>E</w:t>
      </w:r>
      <w:r w:rsidR="007C5400" w:rsidRPr="00903C16">
        <w:t xml:space="preserve">mergency services have been affected </w:t>
      </w:r>
      <w:r w:rsidR="00337CB5" w:rsidRPr="00903C16">
        <w:t>by repeated financial cuts</w:t>
      </w:r>
      <w:r w:rsidR="00EF77A8" w:rsidRPr="00903C16">
        <w:t>, which coupled with changing demographics and wider economic challenges, has put the workforce under huge pressure</w:t>
      </w:r>
      <w:r w:rsidR="00AE12FC" w:rsidRPr="00903C16">
        <w:t>.</w:t>
      </w:r>
    </w:p>
    <w:p w14:paraId="6CBB066E" w14:textId="3E9E8315" w:rsidR="00EF77A8" w:rsidRPr="00903C16" w:rsidRDefault="00EF77A8" w:rsidP="00B62A95">
      <w:pPr>
        <w:pStyle w:val="ListParagraph"/>
      </w:pPr>
      <w:r>
        <w:t xml:space="preserve">Mental health is a </w:t>
      </w:r>
      <w:r w:rsidR="00C30157">
        <w:t xml:space="preserve">large and growing area of </w:t>
      </w:r>
      <w:r>
        <w:t>concern</w:t>
      </w:r>
      <w:r w:rsidR="00BB1A0D">
        <w:t xml:space="preserve">, both in terms of </w:t>
      </w:r>
      <w:r w:rsidR="00DD4296">
        <w:t>employees</w:t>
      </w:r>
      <w:r w:rsidR="78FE39CD">
        <w:t>’</w:t>
      </w:r>
      <w:r w:rsidR="00BB1A0D">
        <w:t xml:space="preserve"> own wellbeing and also in terms of engaging with service users.</w:t>
      </w:r>
    </w:p>
    <w:p w14:paraId="10DA8319" w14:textId="18E80268" w:rsidR="000C38DF" w:rsidRPr="00903C16" w:rsidRDefault="000C38DF" w:rsidP="00B62A95">
      <w:pPr>
        <w:pStyle w:val="ListParagraph"/>
      </w:pPr>
      <w:r w:rsidRPr="00903C16">
        <w:t>Retention can be an issue with</w:t>
      </w:r>
      <w:r w:rsidR="00756290" w:rsidRPr="00903C16">
        <w:t xml:space="preserve"> staff leaving due to a variety of reasons.</w:t>
      </w:r>
      <w:r w:rsidR="0054597A" w:rsidRPr="00903C16">
        <w:t xml:space="preserve"> </w:t>
      </w:r>
      <w:r w:rsidR="004361A7" w:rsidRPr="00903C16">
        <w:t>More flexible working conditions are desired by many stakeholders.</w:t>
      </w:r>
    </w:p>
    <w:p w14:paraId="09DF7ACF" w14:textId="4FD872B0" w:rsidR="00F41F30" w:rsidRPr="00903C16" w:rsidRDefault="000C38DF" w:rsidP="00B62A95">
      <w:pPr>
        <w:pStyle w:val="ListParagraph"/>
      </w:pPr>
      <w:r w:rsidRPr="00903C16">
        <w:t xml:space="preserve">More </w:t>
      </w:r>
      <w:r w:rsidR="00AC2153">
        <w:t>blue</w:t>
      </w:r>
      <w:r w:rsidR="00E2757D">
        <w:t>-</w:t>
      </w:r>
      <w:r w:rsidR="00AC2153">
        <w:t xml:space="preserve">light </w:t>
      </w:r>
      <w:r w:rsidRPr="00903C16">
        <w:t xml:space="preserve">collaborative working within the services is needed and has shown to be </w:t>
      </w:r>
      <w:r w:rsidR="000418A3" w:rsidRPr="00903C16">
        <w:t xml:space="preserve">an </w:t>
      </w:r>
      <w:r w:rsidRPr="00903C16">
        <w:t>effective</w:t>
      </w:r>
      <w:r w:rsidR="000418A3" w:rsidRPr="00903C16">
        <w:t xml:space="preserve"> way of managing resource</w:t>
      </w:r>
      <w:r w:rsidR="00DD4296">
        <w:t>.</w:t>
      </w:r>
    </w:p>
    <w:p w14:paraId="485C7136" w14:textId="13172D1D" w:rsidR="00924590" w:rsidRPr="00903C16" w:rsidRDefault="00756290" w:rsidP="00B62A95">
      <w:pPr>
        <w:pStyle w:val="ListParagraph"/>
      </w:pPr>
      <w:r w:rsidRPr="00903C16">
        <w:t>All GM services are keen to improve the</w:t>
      </w:r>
      <w:r w:rsidR="000418A3" w:rsidRPr="00903C16">
        <w:t xml:space="preserve"> diversity of their workforce to better represent their communities. Progress has been made but work still needs to be done.</w:t>
      </w:r>
    </w:p>
    <w:p w14:paraId="0339FE52" w14:textId="16632DFE" w:rsidR="00516BEE" w:rsidRPr="00903C16" w:rsidRDefault="00E1302D" w:rsidP="00B62A95">
      <w:pPr>
        <w:pStyle w:val="ListParagraph"/>
      </w:pPr>
      <w:r w:rsidRPr="00903C16">
        <w:t>Apprenticeships are being well used by the service</w:t>
      </w:r>
      <w:r w:rsidR="00F613EF" w:rsidRPr="00903C16">
        <w:t>s and there are clear well established pathways</w:t>
      </w:r>
      <w:r w:rsidR="00235B57">
        <w:t xml:space="preserve"> into many roles</w:t>
      </w:r>
      <w:r w:rsidR="00F613EF" w:rsidRPr="00903C16">
        <w:t>.</w:t>
      </w:r>
      <w:r w:rsidR="00AE4E36" w:rsidRPr="00903C16">
        <w:t xml:space="preserve"> </w:t>
      </w:r>
    </w:p>
    <w:p w14:paraId="54F789BB" w14:textId="35D8D991" w:rsidR="000A5FA5" w:rsidRPr="00903C16" w:rsidRDefault="0039258F" w:rsidP="00B62A95">
      <w:pPr>
        <w:pStyle w:val="ListParagraph"/>
      </w:pPr>
      <w:r w:rsidRPr="00903C16">
        <w:lastRenderedPageBreak/>
        <w:t xml:space="preserve">The </w:t>
      </w:r>
      <w:r w:rsidR="007C1652">
        <w:t>wider</w:t>
      </w:r>
      <w:r w:rsidRPr="00903C16">
        <w:t xml:space="preserve"> world is changing fast with climate change, the rise of </w:t>
      </w:r>
      <w:r w:rsidR="008806FB" w:rsidRPr="00903C16">
        <w:t>cyber-crime</w:t>
      </w:r>
      <w:r w:rsidRPr="00903C16">
        <w:t xml:space="preserve">, and an ageing population </w:t>
      </w:r>
      <w:r w:rsidR="000A3FDA">
        <w:t>affecting</w:t>
      </w:r>
      <w:r w:rsidR="00B878DB">
        <w:t xml:space="preserve"> each emergency service</w:t>
      </w:r>
      <w:r w:rsidR="000A3FDA">
        <w:t>. This means that the workforces</w:t>
      </w:r>
      <w:r w:rsidR="00B878DB">
        <w:t xml:space="preserve"> needs</w:t>
      </w:r>
      <w:r w:rsidR="006B689B">
        <w:t xml:space="preserve"> different </w:t>
      </w:r>
      <w:r w:rsidR="00913EE1">
        <w:t>skillsets,</w:t>
      </w:r>
      <w:r w:rsidR="006B689B">
        <w:t xml:space="preserve"> </w:t>
      </w:r>
      <w:r w:rsidR="00263E8C">
        <w:t>particularly</w:t>
      </w:r>
      <w:r w:rsidR="00B878DB">
        <w:t xml:space="preserve"> better digital skills.</w:t>
      </w:r>
    </w:p>
    <w:p w14:paraId="07A9F542" w14:textId="76B70081" w:rsidR="00F13C62" w:rsidRDefault="00FA623C" w:rsidP="00B72849">
      <w:pPr>
        <w:pStyle w:val="ListParagraph"/>
      </w:pPr>
      <w:r w:rsidRPr="00903C16">
        <w:t>Soft skills including strong communication (across different communities</w:t>
      </w:r>
      <w:r w:rsidR="00BB7332" w:rsidRPr="00903C16">
        <w:t xml:space="preserve">) and empathy are of increasing importance. </w:t>
      </w:r>
    </w:p>
    <w:p w14:paraId="659B4C26" w14:textId="77777777" w:rsidR="00F13C62" w:rsidRPr="00F13C62" w:rsidRDefault="00F13C62" w:rsidP="00F13C62">
      <w:pPr>
        <w:pStyle w:val="ListParagraph"/>
        <w:numPr>
          <w:ilvl w:val="0"/>
          <w:numId w:val="0"/>
        </w:numPr>
        <w:ind w:left="720"/>
      </w:pPr>
    </w:p>
    <w:p w14:paraId="149C0EBC" w14:textId="2ACFF9AC" w:rsidR="00A22730" w:rsidRPr="00903C16" w:rsidRDefault="001B345B" w:rsidP="00B72849">
      <w:pPr>
        <w:pStyle w:val="Heading3"/>
        <w:rPr>
          <w:color w:val="auto"/>
        </w:rPr>
      </w:pPr>
      <w:bookmarkStart w:id="3" w:name="_Toc125643718"/>
      <w:r w:rsidRPr="00903C16">
        <w:rPr>
          <w:color w:val="auto"/>
        </w:rPr>
        <w:t>Recommendations</w:t>
      </w:r>
      <w:bookmarkEnd w:id="3"/>
      <w:r w:rsidR="00A22730" w:rsidRPr="00903C16">
        <w:rPr>
          <w:i/>
          <w:iCs/>
          <w:color w:val="auto"/>
        </w:rPr>
        <w:t xml:space="preserve"> </w:t>
      </w:r>
    </w:p>
    <w:p w14:paraId="22650F99" w14:textId="4909BA30" w:rsidR="00194A0A" w:rsidRPr="00903C16" w:rsidRDefault="00194A0A" w:rsidP="00194A0A">
      <w:pPr>
        <w:rPr>
          <w:bCs/>
          <w:color w:val="auto"/>
        </w:rPr>
      </w:pPr>
      <w:r w:rsidRPr="00903C16">
        <w:rPr>
          <w:bCs/>
          <w:color w:val="auto"/>
        </w:rPr>
        <w:t>Full and detailed recommendations are given at the end of this report, but a list of the core recommendations can be found below. These recommendations are not likely to be short-term fixes, and several require a long-term system change. They serve to summarise key areas of activity based on the greatest need – activity which will need input from all corners of the sector, including employers</w:t>
      </w:r>
      <w:r w:rsidR="006A251E" w:rsidRPr="00903C16">
        <w:rPr>
          <w:bCs/>
          <w:color w:val="auto"/>
        </w:rPr>
        <w:t>,</w:t>
      </w:r>
      <w:r w:rsidRPr="00903C16">
        <w:rPr>
          <w:bCs/>
          <w:color w:val="auto"/>
        </w:rPr>
        <w:t xml:space="preserve"> skills providers, and </w:t>
      </w:r>
      <w:r w:rsidR="006A251E" w:rsidRPr="00903C16">
        <w:rPr>
          <w:bCs/>
          <w:color w:val="auto"/>
        </w:rPr>
        <w:t>government</w:t>
      </w:r>
      <w:r w:rsidRPr="00903C16">
        <w:rPr>
          <w:bCs/>
          <w:color w:val="auto"/>
        </w:rPr>
        <w:t>.</w:t>
      </w:r>
    </w:p>
    <w:p w14:paraId="24C30250" w14:textId="7254C4D4" w:rsidR="007D49D4" w:rsidRPr="00903C16" w:rsidRDefault="00120F2D" w:rsidP="00194A0A">
      <w:pPr>
        <w:rPr>
          <w:color w:val="auto"/>
        </w:rPr>
      </w:pPr>
      <w:r w:rsidRPr="00903C16">
        <w:rPr>
          <w:color w:val="auto"/>
        </w:rPr>
        <w:t>R</w:t>
      </w:r>
      <w:r w:rsidR="007D49D4" w:rsidRPr="00903C16">
        <w:rPr>
          <w:color w:val="auto"/>
        </w:rPr>
        <w:t xml:space="preserve">ecommendations from this report include: </w:t>
      </w:r>
    </w:p>
    <w:p w14:paraId="34A2035A" w14:textId="7707928E" w:rsidR="0001216D" w:rsidRPr="00903C16" w:rsidRDefault="007D49D4" w:rsidP="00B62A95">
      <w:pPr>
        <w:pStyle w:val="ListParagraph"/>
        <w:numPr>
          <w:ilvl w:val="0"/>
          <w:numId w:val="2"/>
        </w:numPr>
      </w:pPr>
      <w:r w:rsidRPr="00903C16">
        <w:t xml:space="preserve">Commissioning activity </w:t>
      </w:r>
      <w:r w:rsidR="002864A7" w:rsidRPr="00903C16">
        <w:t xml:space="preserve">or </w:t>
      </w:r>
      <w:r w:rsidR="006F35E3" w:rsidRPr="00903C16">
        <w:t xml:space="preserve">training </w:t>
      </w:r>
      <w:r w:rsidRPr="00903C16">
        <w:t>should take place to</w:t>
      </w:r>
      <w:r w:rsidR="00726BB6" w:rsidRPr="00903C16">
        <w:t xml:space="preserve"> fill </w:t>
      </w:r>
      <w:r w:rsidR="00726BB6" w:rsidRPr="00AC2153">
        <w:t>s</w:t>
      </w:r>
      <w:r w:rsidRPr="00AC2153">
        <w:t>k</w:t>
      </w:r>
      <w:r w:rsidRPr="00903C16">
        <w:t xml:space="preserve">ills gaps </w:t>
      </w:r>
      <w:r w:rsidR="00A37F47">
        <w:t xml:space="preserve">in all three functions </w:t>
      </w:r>
      <w:r w:rsidR="002864A7" w:rsidRPr="00903C16">
        <w:t>around</w:t>
      </w:r>
      <w:r w:rsidR="000A42D0">
        <w:t xml:space="preserve"> performance management, mental health training, resilience and cyber security </w:t>
      </w:r>
    </w:p>
    <w:p w14:paraId="589FD7D1" w14:textId="6322DE6E" w:rsidR="004E61EC" w:rsidRPr="00903C16" w:rsidRDefault="00A54E09" w:rsidP="00B62A95">
      <w:pPr>
        <w:pStyle w:val="ListParagraph"/>
        <w:numPr>
          <w:ilvl w:val="0"/>
          <w:numId w:val="2"/>
        </w:numPr>
      </w:pPr>
      <w:r w:rsidRPr="00903C16">
        <w:t>Careers</w:t>
      </w:r>
      <w:r w:rsidR="004E61EC" w:rsidRPr="00903C16">
        <w:t xml:space="preserve"> advice should </w:t>
      </w:r>
      <w:r w:rsidR="004E61EC" w:rsidRPr="00E30A36">
        <w:rPr>
          <w:b/>
          <w:bCs/>
        </w:rPr>
        <w:t>position</w:t>
      </w:r>
      <w:r w:rsidR="00C21418" w:rsidRPr="00E30A36">
        <w:rPr>
          <w:b/>
          <w:bCs/>
        </w:rPr>
        <w:t xml:space="preserve"> emergency services </w:t>
      </w:r>
      <w:r w:rsidR="00E21A92" w:rsidRPr="00903C16">
        <w:t xml:space="preserve">careers </w:t>
      </w:r>
      <w:r w:rsidR="00321AB7" w:rsidRPr="00903C16">
        <w:t>a</w:t>
      </w:r>
      <w:r w:rsidR="00FF0A29" w:rsidRPr="00903C16">
        <w:t>s the opportunity to make a real difference to people’s lives</w:t>
      </w:r>
      <w:r w:rsidR="00EE6735" w:rsidRPr="00903C16">
        <w:t xml:space="preserve">. They should also highlight the </w:t>
      </w:r>
      <w:r w:rsidR="00F05A03" w:rsidRPr="00903C16">
        <w:t xml:space="preserve">vast range of roles and different specialities beyond just </w:t>
      </w:r>
      <w:r w:rsidR="00DD1359">
        <w:t xml:space="preserve">“front-line” roles like </w:t>
      </w:r>
      <w:r w:rsidR="00F05A03" w:rsidRPr="00903C16">
        <w:t>police officer</w:t>
      </w:r>
      <w:r w:rsidR="00DD1359">
        <w:t>s</w:t>
      </w:r>
      <w:r w:rsidR="00F05A03" w:rsidRPr="00903C16">
        <w:t>, fire fighters and paramedic</w:t>
      </w:r>
      <w:r w:rsidR="00DD1359">
        <w:t>s</w:t>
      </w:r>
      <w:r w:rsidR="00F05A03" w:rsidRPr="00903C16">
        <w:t>.</w:t>
      </w:r>
    </w:p>
    <w:p w14:paraId="7028A9F6" w14:textId="3F30106A" w:rsidR="004E61EC" w:rsidRPr="00903C16" w:rsidRDefault="004E61EC" w:rsidP="00B62A95">
      <w:pPr>
        <w:pStyle w:val="ListParagraph"/>
        <w:numPr>
          <w:ilvl w:val="0"/>
          <w:numId w:val="2"/>
        </w:numPr>
      </w:pPr>
      <w:r w:rsidRPr="00903C16">
        <w:t xml:space="preserve">Employers should ensure that that they are working to </w:t>
      </w:r>
      <w:r w:rsidRPr="00E30A36">
        <w:rPr>
          <w:b/>
          <w:bCs/>
        </w:rPr>
        <w:t>improve representation in the sector</w:t>
      </w:r>
      <w:r w:rsidR="00F05A03" w:rsidRPr="00903C16">
        <w:t xml:space="preserve"> to better reflect the communities of GM.</w:t>
      </w:r>
    </w:p>
    <w:p w14:paraId="1D6508C2" w14:textId="597D12DC" w:rsidR="004E61EC" w:rsidRPr="00903C16" w:rsidRDefault="00237FBC" w:rsidP="00B62A95">
      <w:pPr>
        <w:pStyle w:val="ListParagraph"/>
        <w:numPr>
          <w:ilvl w:val="0"/>
          <w:numId w:val="2"/>
        </w:numPr>
      </w:pPr>
      <w:r>
        <w:rPr>
          <w:b/>
          <w:bCs/>
        </w:rPr>
        <w:t>Additional dedicated specialists</w:t>
      </w:r>
      <w:r w:rsidR="004E61EC" w:rsidRPr="00903C16">
        <w:t xml:space="preserve"> should be encouraged </w:t>
      </w:r>
      <w:r w:rsidR="00DE2E16" w:rsidRPr="00903C16">
        <w:t>to work in/with</w:t>
      </w:r>
      <w:r w:rsidR="004E61EC" w:rsidRPr="00903C16">
        <w:t xml:space="preserve"> the sector</w:t>
      </w:r>
      <w:r>
        <w:t xml:space="preserve">. </w:t>
      </w:r>
      <w:r w:rsidR="00726BB6" w:rsidRPr="00903C16">
        <w:t xml:space="preserve">Those with transferrable skills </w:t>
      </w:r>
      <w:r w:rsidR="00DE2E16" w:rsidRPr="00903C16">
        <w:t>such as digital expertise will become increasing</w:t>
      </w:r>
      <w:r w:rsidR="00777A6C" w:rsidRPr="00903C16">
        <w:t>ly in demand.</w:t>
      </w:r>
    </w:p>
    <w:p w14:paraId="26051C73" w14:textId="26E55245" w:rsidR="007D49D4" w:rsidRPr="00903C16" w:rsidRDefault="00D005A4" w:rsidP="00B62A95">
      <w:pPr>
        <w:pStyle w:val="ListParagraph"/>
        <w:numPr>
          <w:ilvl w:val="0"/>
          <w:numId w:val="2"/>
        </w:numPr>
      </w:pPr>
      <w:r>
        <w:t xml:space="preserve">Greater </w:t>
      </w:r>
      <w:r w:rsidR="00DD1359" w:rsidRPr="497B6B81">
        <w:rPr>
          <w:b/>
          <w:bCs/>
        </w:rPr>
        <w:t>m</w:t>
      </w:r>
      <w:r w:rsidR="002864A7" w:rsidRPr="497B6B81">
        <w:rPr>
          <w:b/>
          <w:bCs/>
        </w:rPr>
        <w:t>ental heal</w:t>
      </w:r>
      <w:r w:rsidR="00F71180" w:rsidRPr="497B6B81">
        <w:rPr>
          <w:b/>
          <w:bCs/>
        </w:rPr>
        <w:t>th</w:t>
      </w:r>
      <w:r w:rsidR="0021763C">
        <w:t xml:space="preserve"> </w:t>
      </w:r>
      <w:r w:rsidR="000F51F9">
        <w:t xml:space="preserve">awareness and </w:t>
      </w:r>
      <w:r w:rsidR="0021763C">
        <w:t>support</w:t>
      </w:r>
      <w:r>
        <w:t xml:space="preserve"> is need</w:t>
      </w:r>
      <w:r w:rsidR="006B00B6">
        <w:t>ed</w:t>
      </w:r>
      <w:r w:rsidR="00AF676E">
        <w:t xml:space="preserve">. This is both for </w:t>
      </w:r>
      <w:r w:rsidR="00B878DB">
        <w:t>employees</w:t>
      </w:r>
      <w:r w:rsidR="4FEAC203">
        <w:t>’</w:t>
      </w:r>
      <w:r w:rsidR="00AF676E">
        <w:t xml:space="preserve"> own wellbeing</w:t>
      </w:r>
      <w:r w:rsidR="0021763C">
        <w:t xml:space="preserve"> and for when engaging with GM residents </w:t>
      </w:r>
      <w:r w:rsidR="002B1C48">
        <w:t>with additional mental health needs.</w:t>
      </w:r>
    </w:p>
    <w:p w14:paraId="44C09A72" w14:textId="5D225D3A" w:rsidR="00F71180" w:rsidRPr="00903C16" w:rsidRDefault="00F71180" w:rsidP="00B62A95">
      <w:pPr>
        <w:pStyle w:val="ListParagraph"/>
        <w:numPr>
          <w:ilvl w:val="0"/>
          <w:numId w:val="2"/>
        </w:numPr>
      </w:pPr>
      <w:r w:rsidRPr="00E30A36">
        <w:rPr>
          <w:b/>
          <w:bCs/>
        </w:rPr>
        <w:lastRenderedPageBreak/>
        <w:t xml:space="preserve">Flexible </w:t>
      </w:r>
      <w:r w:rsidR="00D005A4" w:rsidRPr="00E30A36">
        <w:rPr>
          <w:b/>
          <w:bCs/>
        </w:rPr>
        <w:t>and hybrid</w:t>
      </w:r>
      <w:r w:rsidR="00D005A4" w:rsidRPr="00903C16">
        <w:t xml:space="preserve"> working should be considered </w:t>
      </w:r>
      <w:r w:rsidR="000F51F9" w:rsidRPr="00903C16">
        <w:t xml:space="preserve">where possible </w:t>
      </w:r>
      <w:r w:rsidR="00D005A4" w:rsidRPr="00903C16">
        <w:t>to open up employment to a broader demographic.</w:t>
      </w:r>
    </w:p>
    <w:p w14:paraId="21B266AF" w14:textId="33EFEA7E" w:rsidR="00777A6C" w:rsidRDefault="00777A6C" w:rsidP="00B62A95">
      <w:pPr>
        <w:pStyle w:val="ListParagraph"/>
        <w:numPr>
          <w:ilvl w:val="0"/>
          <w:numId w:val="2"/>
        </w:numPr>
      </w:pPr>
      <w:r>
        <w:t xml:space="preserve">GMP, GMFRS and NWAS should </w:t>
      </w:r>
      <w:r w:rsidR="00546DB9">
        <w:t xml:space="preserve">all </w:t>
      </w:r>
      <w:r w:rsidR="002F0D55">
        <w:t xml:space="preserve">aim to </w:t>
      </w:r>
      <w:r w:rsidR="0081767D" w:rsidRPr="497B6B81">
        <w:rPr>
          <w:b/>
          <w:bCs/>
        </w:rPr>
        <w:t>join the Good Employment Charter</w:t>
      </w:r>
      <w:r w:rsidR="002F0D55">
        <w:t xml:space="preserve"> and </w:t>
      </w:r>
      <w:r w:rsidR="000A6D37">
        <w:t xml:space="preserve">where possible, </w:t>
      </w:r>
      <w:r w:rsidR="002F0D55">
        <w:t xml:space="preserve">offer attractive pay, terms and conditions to all members of their service including </w:t>
      </w:r>
      <w:r w:rsidR="00D005A4">
        <w:t>apprentices</w:t>
      </w:r>
      <w:r w:rsidR="00DD358A">
        <w:t xml:space="preserve">. </w:t>
      </w:r>
    </w:p>
    <w:p w14:paraId="1603BF44" w14:textId="77777777" w:rsidR="000A6D37" w:rsidRDefault="000A6D37" w:rsidP="000A6D37">
      <w:pPr>
        <w:pStyle w:val="ListParagraph"/>
        <w:numPr>
          <w:ilvl w:val="0"/>
          <w:numId w:val="0"/>
        </w:numPr>
        <w:ind w:left="1080"/>
      </w:pPr>
    </w:p>
    <w:p w14:paraId="5488BDF6" w14:textId="77777777" w:rsidR="000A6D37" w:rsidRPr="00903C16" w:rsidRDefault="000A6D37" w:rsidP="000A6D37">
      <w:pPr>
        <w:pStyle w:val="ListParagraph"/>
        <w:numPr>
          <w:ilvl w:val="0"/>
          <w:numId w:val="0"/>
        </w:numPr>
        <w:ind w:left="1080"/>
      </w:pPr>
    </w:p>
    <w:p w14:paraId="674E5E13" w14:textId="5663255F" w:rsidR="00EE2541" w:rsidRPr="00903C16" w:rsidRDefault="00EE2541" w:rsidP="00EE2541">
      <w:pPr>
        <w:spacing w:after="0"/>
        <w:jc w:val="both"/>
        <w:rPr>
          <w:rFonts w:cs="Arial"/>
          <w:b/>
          <w:color w:val="auto"/>
          <w:szCs w:val="24"/>
        </w:rPr>
      </w:pPr>
      <w:r w:rsidRPr="00903C16">
        <w:rPr>
          <w:rFonts w:cs="Arial"/>
          <w:b/>
          <w:color w:val="auto"/>
          <w:szCs w:val="24"/>
        </w:rPr>
        <w:t>CONTACT OFFICER:</w:t>
      </w:r>
    </w:p>
    <w:p w14:paraId="71B9FA83" w14:textId="6DD63CD0" w:rsidR="00EE2541" w:rsidRPr="00903C16" w:rsidRDefault="00EE2541" w:rsidP="00EE2541">
      <w:pPr>
        <w:spacing w:after="0"/>
        <w:jc w:val="both"/>
        <w:rPr>
          <w:rFonts w:cs="Arial"/>
          <w:color w:val="auto"/>
          <w:szCs w:val="24"/>
          <w:u w:val="single"/>
        </w:rPr>
      </w:pPr>
      <w:r w:rsidRPr="00903C16">
        <w:rPr>
          <w:rFonts w:cs="Arial"/>
          <w:color w:val="auto"/>
          <w:szCs w:val="24"/>
        </w:rPr>
        <w:t xml:space="preserve">Philip Pennill, GMCA, </w:t>
      </w:r>
      <w:hyperlink r:id="rId10" w:history="1">
        <w:r w:rsidRPr="00903C16">
          <w:rPr>
            <w:rStyle w:val="Hyperlink"/>
            <w:rFonts w:cs="Arial"/>
            <w:color w:val="auto"/>
            <w:szCs w:val="24"/>
          </w:rPr>
          <w:t>philip.pennill@greatermanchester-ca.gov.uk</w:t>
        </w:r>
      </w:hyperlink>
    </w:p>
    <w:p w14:paraId="30057AD2" w14:textId="77777777" w:rsidR="00EE2541" w:rsidRPr="00903C16" w:rsidRDefault="00EE2541">
      <w:pPr>
        <w:spacing w:line="259" w:lineRule="auto"/>
        <w:rPr>
          <w:b/>
          <w:bCs/>
          <w:color w:val="auto"/>
          <w:sz w:val="32"/>
          <w:szCs w:val="24"/>
        </w:rPr>
      </w:pPr>
      <w:r w:rsidRPr="00903C16">
        <w:rPr>
          <w:color w:val="auto"/>
        </w:rPr>
        <w:br w:type="page"/>
      </w:r>
    </w:p>
    <w:p w14:paraId="0F431BED" w14:textId="4058B8F9" w:rsidR="00A22730" w:rsidRPr="00903C16" w:rsidRDefault="000B1D5C">
      <w:pPr>
        <w:pStyle w:val="Heading3"/>
        <w:numPr>
          <w:ilvl w:val="0"/>
          <w:numId w:val="3"/>
        </w:numPr>
      </w:pPr>
      <w:bookmarkStart w:id="4" w:name="_Toc125643719"/>
      <w:r w:rsidRPr="00903C16">
        <w:lastRenderedPageBreak/>
        <w:t>Introduction</w:t>
      </w:r>
      <w:bookmarkEnd w:id="4"/>
    </w:p>
    <w:p w14:paraId="7321F230" w14:textId="68548D2C" w:rsidR="00F13C62" w:rsidRPr="00E64020" w:rsidRDefault="009B7DC6" w:rsidP="009D0C27">
      <w:pPr>
        <w:pStyle w:val="ListParagraph"/>
        <w:numPr>
          <w:ilvl w:val="1"/>
          <w:numId w:val="20"/>
        </w:numPr>
        <w:spacing w:after="160"/>
      </w:pPr>
      <w:r w:rsidRPr="00E3000C">
        <w:t xml:space="preserve">Emergency services and rescue services are organisations which ensure public safety and health by addressing different emergencies. There are three primary emergency services that can be summoned directly by the public: </w:t>
      </w:r>
      <w:r w:rsidR="00EE66B6">
        <w:t xml:space="preserve">the </w:t>
      </w:r>
      <w:r w:rsidRPr="00E3000C">
        <w:t>Police, Fire and Rescue Services</w:t>
      </w:r>
      <w:r w:rsidR="00E3000C">
        <w:t>,</w:t>
      </w:r>
      <w:r w:rsidRPr="00E3000C">
        <w:t xml:space="preserve"> and Ambulance</w:t>
      </w:r>
      <w:r w:rsidR="00EE66B6">
        <w:t xml:space="preserve"> Service</w:t>
      </w:r>
      <w:r w:rsidRPr="00E3000C">
        <w:t>.</w:t>
      </w:r>
      <w:r w:rsidR="00EE66B6">
        <w:t xml:space="preserve"> Each of the three will be covered in this work.</w:t>
      </w:r>
      <w:r w:rsidRPr="00E3000C">
        <w:t xml:space="preserve"> A fourth service – HM </w:t>
      </w:r>
      <w:r w:rsidR="00BE0B7D">
        <w:t>C</w:t>
      </w:r>
      <w:r w:rsidRPr="00E3000C">
        <w:t xml:space="preserve">oastguard – is not found within </w:t>
      </w:r>
      <w:r w:rsidR="00E3000C">
        <w:t>Greater Manchester</w:t>
      </w:r>
      <w:r w:rsidRPr="00E3000C">
        <w:t xml:space="preserve"> and is not discussed in this report. The sector’s importance is obvious</w:t>
      </w:r>
      <w:r w:rsidR="00BE0B7D">
        <w:t>;</w:t>
      </w:r>
      <w:r w:rsidRPr="00E3000C">
        <w:t xml:space="preserve"> </w:t>
      </w:r>
      <w:r w:rsidR="00621288">
        <w:t xml:space="preserve">all three are critical to public protection, and </w:t>
      </w:r>
      <w:r w:rsidRPr="00E3000C">
        <w:t>it</w:t>
      </w:r>
      <w:r w:rsidR="00BE0B7D">
        <w:t xml:space="preserve"> i</w:t>
      </w:r>
      <w:r w:rsidRPr="00E3000C">
        <w:t xml:space="preserve">s thought the average adult rings 999 twice during their lifetime. </w:t>
      </w:r>
      <w:r w:rsidR="00621288">
        <w:t>O</w:t>
      </w:r>
      <w:r w:rsidRPr="00E3000C">
        <w:t>ver 33 million 999 calls were made during 2021</w:t>
      </w:r>
      <w:r w:rsidR="00B878DB">
        <w:rPr>
          <w:rStyle w:val="FootnoteReference"/>
        </w:rPr>
        <w:footnoteReference w:id="2"/>
      </w:r>
      <w:r w:rsidR="00F13C62">
        <w:t>.</w:t>
      </w:r>
    </w:p>
    <w:p w14:paraId="583391E2" w14:textId="2DD5D700" w:rsidR="005E4160" w:rsidRDefault="0022024A" w:rsidP="009D0C27">
      <w:pPr>
        <w:pStyle w:val="ListParagraph"/>
        <w:numPr>
          <w:ilvl w:val="1"/>
          <w:numId w:val="20"/>
        </w:numPr>
        <w:spacing w:after="160"/>
      </w:pPr>
      <w:r w:rsidRPr="00903C16">
        <w:t xml:space="preserve">Law enforcement in the United Kingdom is organised separately in each </w:t>
      </w:r>
      <w:r w:rsidR="00DC5D81">
        <w:t xml:space="preserve">nation of the UK. </w:t>
      </w:r>
      <w:r w:rsidRPr="00903C16">
        <w:t xml:space="preserve">Most law enforcement is carried out by police officers serving in regional police services (known as territorial police forces) within one of those jurisdictions. These regional services are </w:t>
      </w:r>
      <w:r w:rsidR="00F30436">
        <w:t>supported</w:t>
      </w:r>
      <w:r w:rsidRPr="00903C16">
        <w:t xml:space="preserve"> by UK-wide agencies, such as the National Crime Agency and the national specialist units of certain territorial police forces, such as the Specialist Operations directorate of the Metropolitan Police.</w:t>
      </w:r>
    </w:p>
    <w:p w14:paraId="6FB456FE" w14:textId="0BF8E6DD" w:rsidR="005E4160" w:rsidRDefault="0022024A" w:rsidP="009D0C27">
      <w:pPr>
        <w:pStyle w:val="ListParagraph"/>
        <w:numPr>
          <w:ilvl w:val="1"/>
          <w:numId w:val="20"/>
        </w:numPr>
        <w:spacing w:after="160"/>
      </w:pPr>
      <w:r w:rsidRPr="00903C16">
        <w:t>There are 45 'territorial' forces in the UK and 3 'special' police forces (British Tran</w:t>
      </w:r>
      <w:r w:rsidR="00610422" w:rsidRPr="00903C16">
        <w:t>s</w:t>
      </w:r>
      <w:r w:rsidRPr="00903C16">
        <w:t xml:space="preserve">port Police, Civil Nuclear Constabulary, and Ministry of Defence Police). </w:t>
      </w:r>
      <w:r w:rsidR="00E90BE3">
        <w:t>Northern Ireland and Scotland have national police forces covering the whole region.</w:t>
      </w:r>
      <w:r w:rsidR="00216A19">
        <w:t xml:space="preserve"> England and Wales contain the</w:t>
      </w:r>
      <w:r w:rsidRPr="00903C16">
        <w:t> 43 other regional forces covering incl</w:t>
      </w:r>
      <w:r w:rsidR="009D0C27">
        <w:t>u</w:t>
      </w:r>
      <w:r w:rsidRPr="00903C16">
        <w:t>ding Greater Manchester Police</w:t>
      </w:r>
      <w:r w:rsidR="00B41E09">
        <w:t>.</w:t>
      </w:r>
    </w:p>
    <w:p w14:paraId="158D75B9" w14:textId="7C2BD4F0" w:rsidR="005E4160" w:rsidRPr="00903C16" w:rsidRDefault="0022024A" w:rsidP="009D0C27">
      <w:pPr>
        <w:pStyle w:val="ListParagraph"/>
        <w:numPr>
          <w:ilvl w:val="1"/>
          <w:numId w:val="20"/>
        </w:numPr>
        <w:spacing w:after="160"/>
      </w:pPr>
      <w:r w:rsidRPr="00903C16">
        <w:t xml:space="preserve">Police officers are granted certain powers to enable them to execute their duties. Their primary duties are the protection of life and property, preservation of the peace, and </w:t>
      </w:r>
      <w:r w:rsidR="00076B5D" w:rsidRPr="00903C16">
        <w:t xml:space="preserve">detection </w:t>
      </w:r>
      <w:r w:rsidR="00076B5D">
        <w:t xml:space="preserve">&amp; </w:t>
      </w:r>
      <w:r w:rsidRPr="00903C16">
        <w:t>prevention</w:t>
      </w:r>
      <w:r w:rsidR="00076B5D">
        <w:t xml:space="preserve"> </w:t>
      </w:r>
      <w:r w:rsidRPr="00903C16">
        <w:t xml:space="preserve">of criminal offences. </w:t>
      </w:r>
      <w:r w:rsidR="00431E5E">
        <w:t>Police o</w:t>
      </w:r>
      <w:r w:rsidRPr="00903C16">
        <w:t xml:space="preserve">fficers exercise their powers to police with the implicit consent of the public. "Policing by consent" is the phrase used to describe this. It expresses </w:t>
      </w:r>
      <w:r w:rsidRPr="00903C16">
        <w:lastRenderedPageBreak/>
        <w:t>that the legitimacy of policing in the eyes of the public is based upon a general consensus of support that follows from transparency about their powers, their integrity in exercising those powers and their accountability for doing so.</w:t>
      </w:r>
    </w:p>
    <w:p w14:paraId="2BD9E931" w14:textId="1FB86ECA" w:rsidR="005E4160" w:rsidRPr="00903C16" w:rsidRDefault="009E36C7" w:rsidP="009D0C27">
      <w:pPr>
        <w:pStyle w:val="ListParagraph"/>
        <w:numPr>
          <w:ilvl w:val="1"/>
          <w:numId w:val="20"/>
        </w:numPr>
        <w:spacing w:after="160"/>
      </w:pPr>
      <w:r w:rsidRPr="00903C16">
        <w:t>Greater Manchester Police was directly created from two amalgamated city police forces, </w:t>
      </w:r>
      <w:r w:rsidR="00140709" w:rsidRPr="00903C16">
        <w:t xml:space="preserve">Manchester and Salford Police </w:t>
      </w:r>
      <w:r w:rsidRPr="00903C16">
        <w:t>and parts of what were </w:t>
      </w:r>
      <w:r w:rsidR="00140709" w:rsidRPr="00903C16">
        <w:t>Lancashire, Cheshire and West Yorkshire Constabularies</w:t>
      </w:r>
      <w:r w:rsidRPr="00903C16">
        <w:t>.</w:t>
      </w:r>
      <w:r w:rsidR="009A1F9E" w:rsidRPr="00903C16">
        <w:t xml:space="preserve"> </w:t>
      </w:r>
      <w:r w:rsidR="00140709" w:rsidRPr="00903C16">
        <w:t>I</w:t>
      </w:r>
      <w:r w:rsidR="009A1F9E" w:rsidRPr="00903C16">
        <w:t>n 1974</w:t>
      </w:r>
      <w:r w:rsidR="000A0326" w:rsidRPr="00903C16">
        <w:t>,</w:t>
      </w:r>
      <w:r w:rsidR="009A1F9E" w:rsidRPr="00903C16">
        <w:t xml:space="preserve"> the Local Government Act created the Metropolitan County of Greater Manchester and with it, Greater Manchester Police</w:t>
      </w:r>
      <w:r w:rsidR="0085243A" w:rsidRPr="00903C16">
        <w:t>. The area GMP polices is split into geographical divisions, with each Metropolitan borough of Greater Manchester being assigned one. In 2021, GMP</w:t>
      </w:r>
      <w:r w:rsidR="000F7D6E">
        <w:t xml:space="preserve"> restructured </w:t>
      </w:r>
      <w:r w:rsidR="00E87A79">
        <w:t>divisions</w:t>
      </w:r>
      <w:r w:rsidR="0085243A" w:rsidRPr="00903C16">
        <w:t xml:space="preserve"> to form command areas. Each command area is run by a chief superintendent, with each 'division' or 'cluster' being led by a superintendent.</w:t>
      </w:r>
    </w:p>
    <w:p w14:paraId="5C0AD6CF" w14:textId="62C98F92" w:rsidR="00E50B84" w:rsidRDefault="00E50B84" w:rsidP="009D0C27">
      <w:pPr>
        <w:pStyle w:val="ListParagraph"/>
        <w:numPr>
          <w:ilvl w:val="1"/>
          <w:numId w:val="20"/>
        </w:numPr>
        <w:spacing w:after="160"/>
      </w:pPr>
      <w:r>
        <w:t xml:space="preserve">In recent years, the </w:t>
      </w:r>
      <w:r w:rsidR="00E64020">
        <w:t>Police</w:t>
      </w:r>
      <w:r>
        <w:t xml:space="preserve"> have faced several challenges and opportunities: </w:t>
      </w:r>
    </w:p>
    <w:p w14:paraId="382BCDB5" w14:textId="2226C9D0" w:rsidR="00B85F20" w:rsidRPr="00903C16" w:rsidRDefault="00321389" w:rsidP="009D0C27">
      <w:pPr>
        <w:pStyle w:val="ListParagraph"/>
        <w:numPr>
          <w:ilvl w:val="0"/>
          <w:numId w:val="10"/>
        </w:numPr>
        <w:ind w:left="1080"/>
      </w:pPr>
      <w:r w:rsidRPr="00903C16">
        <w:t xml:space="preserve">The growing </w:t>
      </w:r>
      <w:r w:rsidR="00127D5F">
        <w:t>diversity</w:t>
      </w:r>
      <w:r w:rsidRPr="00903C16">
        <w:t xml:space="preserve"> of communities means there is a need for change within policing for the service to</w:t>
      </w:r>
      <w:r w:rsidR="004C2DDF" w:rsidRPr="00903C16">
        <w:t xml:space="preserve"> </w:t>
      </w:r>
      <w:r w:rsidRPr="00903C16">
        <w:t>meet the communities’ needs. This is made clear in the Policing Vision 2025 report, set out by the National Police Chiefs’ Council, which envisions attracting and retaining “a workforce of confident professionals able to operate with a high degree of autonomy and accountability”, that will “better reflect communities”.</w:t>
      </w:r>
    </w:p>
    <w:p w14:paraId="505D6920" w14:textId="3CFD1B07" w:rsidR="00B85F20" w:rsidRPr="00903C16" w:rsidRDefault="007169F0" w:rsidP="009D0C27">
      <w:pPr>
        <w:pStyle w:val="ListParagraph"/>
        <w:numPr>
          <w:ilvl w:val="0"/>
          <w:numId w:val="10"/>
        </w:numPr>
        <w:ind w:left="1080"/>
      </w:pPr>
      <w:r>
        <w:t>New and emerging types of crime are creating new challenges</w:t>
      </w:r>
      <w:r w:rsidR="006C6295">
        <w:t>. Online crime</w:t>
      </w:r>
      <w:r w:rsidR="00127D5F">
        <w:t xml:space="preserve"> </w:t>
      </w:r>
      <w:r w:rsidR="006C6295">
        <w:t>has grown dramatically</w:t>
      </w:r>
      <w:r w:rsidR="00797B1D">
        <w:t xml:space="preserve"> in recent years. The </w:t>
      </w:r>
      <w:r w:rsidR="006C6295">
        <w:t xml:space="preserve">internet </w:t>
      </w:r>
      <w:r w:rsidR="083E03EA">
        <w:t xml:space="preserve">presents </w:t>
      </w:r>
      <w:r w:rsidR="00127D5F">
        <w:t>three challenges</w:t>
      </w:r>
      <w:r w:rsidR="007F3E2C">
        <w:t xml:space="preserve"> -</w:t>
      </w:r>
      <w:r w:rsidR="006C6295">
        <w:t xml:space="preserve"> new types of crime, enabling some </w:t>
      </w:r>
      <w:r w:rsidR="007F3E2C">
        <w:t>crimes</w:t>
      </w:r>
      <w:r w:rsidR="006C6295">
        <w:t xml:space="preserve"> to be carried out on an industrial scale, and facilitating many forms of “traditional” crime.</w:t>
      </w:r>
    </w:p>
    <w:p w14:paraId="593CABFB" w14:textId="4FD1389F" w:rsidR="00AB10B4" w:rsidRPr="00903C16" w:rsidRDefault="00D21866" w:rsidP="009D0C27">
      <w:pPr>
        <w:pStyle w:val="ListParagraph"/>
        <w:numPr>
          <w:ilvl w:val="0"/>
          <w:numId w:val="10"/>
        </w:numPr>
        <w:ind w:left="1080"/>
      </w:pPr>
      <w:r>
        <w:t xml:space="preserve">All UK Police Forces have </w:t>
      </w:r>
      <w:r w:rsidR="13170200">
        <w:t>faced</w:t>
      </w:r>
      <w:r>
        <w:t xml:space="preserve"> major cuts </w:t>
      </w:r>
      <w:r w:rsidR="00CF5D20">
        <w:t>as central government cut budgets</w:t>
      </w:r>
      <w:r>
        <w:t xml:space="preserve"> over recent years, with knock-on effects on levels of engagement and morale, which in some cases have </w:t>
      </w:r>
      <w:r w:rsidR="022D5582">
        <w:t>been</w:t>
      </w:r>
      <w:r>
        <w:t xml:space="preserve"> significant.</w:t>
      </w:r>
    </w:p>
    <w:p w14:paraId="75EF2E56" w14:textId="628D4C96" w:rsidR="00D21866" w:rsidRPr="00903C16" w:rsidRDefault="00CE5EA5" w:rsidP="009D0C27">
      <w:pPr>
        <w:pStyle w:val="ListParagraph"/>
        <w:numPr>
          <w:ilvl w:val="0"/>
          <w:numId w:val="10"/>
        </w:numPr>
        <w:ind w:left="1080"/>
      </w:pPr>
      <w:r>
        <w:t xml:space="preserve">While they are now easing, </w:t>
      </w:r>
      <w:r w:rsidR="003E2334">
        <w:t>COVID</w:t>
      </w:r>
      <w:r w:rsidR="1B752EE1">
        <w:t>-</w:t>
      </w:r>
      <w:r w:rsidR="003E2334">
        <w:t xml:space="preserve">19 </w:t>
      </w:r>
      <w:r w:rsidR="733912CF">
        <w:t xml:space="preserve">restrictions </w:t>
      </w:r>
      <w:r w:rsidR="003E2334">
        <w:t>placed additional</w:t>
      </w:r>
      <w:r w:rsidR="00D21866">
        <w:t xml:space="preserve"> demands on frontline officers, as well </w:t>
      </w:r>
      <w:r w:rsidR="17971E40">
        <w:t>burdening them with the</w:t>
      </w:r>
      <w:r w:rsidR="00D21866">
        <w:t xml:space="preserve"> workload</w:t>
      </w:r>
      <w:r w:rsidR="65F3EF4F">
        <w:t>s</w:t>
      </w:r>
      <w:r w:rsidR="00D21866">
        <w:t xml:space="preserve"> of colleagues  absent through sickness or </w:t>
      </w:r>
      <w:r w:rsidR="0E16B6FA">
        <w:t>mandatory</w:t>
      </w:r>
      <w:r w:rsidR="00D21866">
        <w:t xml:space="preserve"> isolat</w:t>
      </w:r>
      <w:r w:rsidR="0CB742E7">
        <w:t>ion</w:t>
      </w:r>
      <w:r w:rsidR="00D21866">
        <w:t>.</w:t>
      </w:r>
      <w:r w:rsidR="00AB10B4">
        <w:t xml:space="preserve"> </w:t>
      </w:r>
      <w:r w:rsidR="00D21866">
        <w:t>Factors that had a notable impact on officers during C</w:t>
      </w:r>
      <w:r w:rsidR="644F6946">
        <w:t>OVID</w:t>
      </w:r>
      <w:r w:rsidR="00D21866">
        <w:t xml:space="preserve">-19 lockdowns included </w:t>
      </w:r>
      <w:r w:rsidR="00D21866">
        <w:lastRenderedPageBreak/>
        <w:t xml:space="preserve">negative public perception of the police, with concerns that mainstream and social media had distorted the reality of policing during the pandemic, placing them in a difficult ‘no win’ situation. </w:t>
      </w:r>
    </w:p>
    <w:p w14:paraId="68C41115" w14:textId="0E46DFC9" w:rsidR="00D11E1E" w:rsidRPr="00903C16" w:rsidRDefault="00921233" w:rsidP="009D0C27">
      <w:pPr>
        <w:pStyle w:val="ListParagraph"/>
        <w:numPr>
          <w:ilvl w:val="0"/>
          <w:numId w:val="10"/>
        </w:numPr>
        <w:ind w:left="1080"/>
      </w:pPr>
      <w:r>
        <w:t xml:space="preserve">In Greater Manchester, GMP was placed in Special Measures by the </w:t>
      </w:r>
      <w:r w:rsidR="009D3DDA">
        <w:t>police watchdog due to poor performance</w:t>
      </w:r>
      <w:r w:rsidR="0E8B136A">
        <w:t>.</w:t>
      </w:r>
      <w:r w:rsidR="009D3DDA">
        <w:t xml:space="preserve"> </w:t>
      </w:r>
      <w:r w:rsidR="00D11E1E" w:rsidRPr="00903C16">
        <w:t xml:space="preserve">In its latest </w:t>
      </w:r>
      <w:r w:rsidR="00C664CC" w:rsidRPr="00C664CC">
        <w:t xml:space="preserve">police effectiveness, efficiency and legitimacy (PEEL) inspection </w:t>
      </w:r>
      <w:r w:rsidR="006F3FB8">
        <w:t>published in March 2022</w:t>
      </w:r>
      <w:r w:rsidR="00B878DB">
        <w:rPr>
          <w:rStyle w:val="FootnoteReference"/>
        </w:rPr>
        <w:footnoteReference w:id="3"/>
      </w:r>
      <w:r w:rsidR="00D11E1E" w:rsidRPr="00903C16">
        <w:t>, Greater Manchester Police was rated</w:t>
      </w:r>
      <w:r w:rsidR="004116D2">
        <w:t xml:space="preserve"> adequate in 1 (of 10) areas, </w:t>
      </w:r>
      <w:r w:rsidR="008A4DA3">
        <w:t xml:space="preserve">“requires improvement” in 6 areas, and “inadequate” in 3 areas. </w:t>
      </w:r>
      <w:r w:rsidR="00736AB8">
        <w:t xml:space="preserve"> </w:t>
      </w:r>
    </w:p>
    <w:p w14:paraId="60B204AB" w14:textId="0A9CF309" w:rsidR="008F12B8" w:rsidRDefault="008F12B8" w:rsidP="009D0C27">
      <w:pPr>
        <w:pStyle w:val="ListParagraph"/>
        <w:ind w:left="1080"/>
      </w:pPr>
      <w:r>
        <w:t>However</w:t>
      </w:r>
      <w:r w:rsidR="00E86125">
        <w:t xml:space="preserve">, progress has been made and in </w:t>
      </w:r>
      <w:r w:rsidR="005577FD">
        <w:t>October 2022</w:t>
      </w:r>
      <w:r w:rsidR="005577FD">
        <w:rPr>
          <w:rStyle w:val="FootnoteReference"/>
        </w:rPr>
        <w:footnoteReference w:id="4"/>
      </w:r>
      <w:r w:rsidR="005577FD">
        <w:t xml:space="preserve"> it was announced that </w:t>
      </w:r>
      <w:r w:rsidR="005577FD" w:rsidRPr="005577FD">
        <w:t>Greater Manchester Police ha</w:t>
      </w:r>
      <w:r w:rsidR="005577FD">
        <w:t>d</w:t>
      </w:r>
      <w:r w:rsidR="005577FD" w:rsidRPr="005577FD">
        <w:t xml:space="preserve"> been removed</w:t>
      </w:r>
      <w:r w:rsidR="006D62A2">
        <w:t xml:space="preserve"> </w:t>
      </w:r>
      <w:r w:rsidR="005577FD" w:rsidRPr="005577FD">
        <w:t xml:space="preserve">from special measures and </w:t>
      </w:r>
      <w:r w:rsidR="005577FD">
        <w:t>was no</w:t>
      </w:r>
      <w:r w:rsidR="005577FD" w:rsidRPr="005577FD">
        <w:t xml:space="preserve"> longer required to be in the Inspectorate’s monitoring process</w:t>
      </w:r>
      <w:r w:rsidR="005577FD">
        <w:t>.</w:t>
      </w:r>
    </w:p>
    <w:p w14:paraId="4C2CCF74" w14:textId="2A76A6D9" w:rsidR="005577FD" w:rsidRDefault="008225D7" w:rsidP="009D0C27">
      <w:pPr>
        <w:pStyle w:val="ListParagraph"/>
        <w:ind w:left="1080"/>
      </w:pPr>
      <w:r w:rsidRPr="008225D7">
        <w:t>GMP reported advancement in all areas highlighted as causes for concern by HMICFRS, and in particular the areas in which the public would more immediately see and feel progress</w:t>
      </w:r>
      <w:r w:rsidR="00F06F42">
        <w:t>:</w:t>
      </w:r>
    </w:p>
    <w:p w14:paraId="24EB8C9B" w14:textId="2778A722" w:rsidR="00F06F42" w:rsidRDefault="00F06F42" w:rsidP="009D0C27">
      <w:pPr>
        <w:pStyle w:val="ListParagraph"/>
        <w:ind w:left="1080"/>
      </w:pPr>
      <w:r w:rsidRPr="00F06F42">
        <w:t>In terms of national performance, GMP is now in the top ten of Force performance for 999 answer times, and 8th nationally in terms of percentage of calls answered in under 10 seconds.  This performance is the best of any large metropolitan Force.</w:t>
      </w:r>
    </w:p>
    <w:p w14:paraId="43143C30" w14:textId="12D8F0CD" w:rsidR="000864A9" w:rsidRDefault="00307394" w:rsidP="009D0C27">
      <w:pPr>
        <w:pStyle w:val="ListParagraph"/>
        <w:ind w:left="1080"/>
      </w:pPr>
      <w:r>
        <w:t xml:space="preserve">Other improvements are shown </w:t>
      </w:r>
      <w:r w:rsidR="00906A7E">
        <w:t xml:space="preserve">in a GMP graphic </w:t>
      </w:r>
      <w:r>
        <w:t>below</w:t>
      </w:r>
      <w:r w:rsidR="00906A7E">
        <w:t>:</w:t>
      </w:r>
    </w:p>
    <w:p w14:paraId="31B0F853" w14:textId="54312BEC" w:rsidR="0038084A" w:rsidRDefault="0038084A" w:rsidP="009D0C27">
      <w:r>
        <w:rPr>
          <w:noProof/>
        </w:rPr>
        <w:lastRenderedPageBreak/>
        <w:drawing>
          <wp:inline distT="0" distB="0" distL="0" distR="0" wp14:anchorId="7D6ED36C" wp14:editId="5192A4DE">
            <wp:extent cx="5781675" cy="7482168"/>
            <wp:effectExtent l="19050" t="19050" r="9525" b="24130"/>
            <wp:docPr id="5" name="Picture 5" descr="Greater Manchester Police have improved in all areas of crime response and reporting over the las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eater Manchester Police have improved in all areas of crime response and reporting over the last 2 ye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894" cy="7509628"/>
                    </a:xfrm>
                    <a:prstGeom prst="rect">
                      <a:avLst/>
                    </a:prstGeom>
                    <a:noFill/>
                    <a:ln>
                      <a:solidFill>
                        <a:schemeClr val="tx1"/>
                      </a:solidFill>
                    </a:ln>
                  </pic:spPr>
                </pic:pic>
              </a:graphicData>
            </a:graphic>
          </wp:inline>
        </w:drawing>
      </w:r>
    </w:p>
    <w:p w14:paraId="123B751F" w14:textId="05740063" w:rsidR="006908D2" w:rsidRPr="006908D2" w:rsidRDefault="006908D2" w:rsidP="009D0C27">
      <w:pPr>
        <w:jc w:val="center"/>
        <w:rPr>
          <w:b/>
          <w:bCs/>
        </w:rPr>
      </w:pPr>
      <w:r w:rsidRPr="006908D2">
        <w:rPr>
          <w:b/>
          <w:bCs/>
        </w:rPr>
        <w:t xml:space="preserve">FIGURE </w:t>
      </w:r>
      <w:r w:rsidR="00E66ECB">
        <w:rPr>
          <w:b/>
          <w:bCs/>
        </w:rPr>
        <w:t>1</w:t>
      </w:r>
      <w:r w:rsidRPr="006908D2">
        <w:rPr>
          <w:b/>
          <w:bCs/>
        </w:rPr>
        <w:t xml:space="preserve"> –</w:t>
      </w:r>
      <w:r>
        <w:rPr>
          <w:b/>
          <w:bCs/>
        </w:rPr>
        <w:t xml:space="preserve"> GMP </w:t>
      </w:r>
      <w:r w:rsidR="00B80F75">
        <w:rPr>
          <w:b/>
          <w:bCs/>
        </w:rPr>
        <w:t>October 2022 Improvement Journey</w:t>
      </w:r>
    </w:p>
    <w:p w14:paraId="2495AE25" w14:textId="2891C0D8" w:rsidR="00BA697E" w:rsidRPr="00913EE1" w:rsidRDefault="00B80F75" w:rsidP="009D0C27">
      <w:pPr>
        <w:spacing w:line="259" w:lineRule="auto"/>
        <w:rPr>
          <w:rFonts w:cs="Arial"/>
          <w:b/>
          <w:color w:val="auto"/>
          <w:szCs w:val="24"/>
          <w:shd w:val="clear" w:color="auto" w:fill="FFFFFF"/>
        </w:rPr>
      </w:pPr>
      <w:r>
        <w:br w:type="page"/>
      </w:r>
    </w:p>
    <w:p w14:paraId="5D56DAF0" w14:textId="1F68F0D3" w:rsidR="00D51C2E" w:rsidRPr="00E64020" w:rsidRDefault="00D51C2E" w:rsidP="009D0C27">
      <w:pPr>
        <w:pStyle w:val="ListParagraph"/>
        <w:numPr>
          <w:ilvl w:val="1"/>
          <w:numId w:val="20"/>
        </w:numPr>
        <w:spacing w:after="160"/>
      </w:pPr>
      <w:r w:rsidRPr="00E64020">
        <w:lastRenderedPageBreak/>
        <w:t>The Fire and Rescue Services Act 2004</w:t>
      </w:r>
      <w:r w:rsidR="00B878DB">
        <w:rPr>
          <w:rStyle w:val="FootnoteReference"/>
        </w:rPr>
        <w:footnoteReference w:id="5"/>
      </w:r>
      <w:r w:rsidRPr="00E64020">
        <w:t xml:space="preserve"> sets out the responsibilities of Fire and Rescue Authorities (FRAs). There are four key responsibilities for FRAs that they must ensure that they make provision for including:</w:t>
      </w:r>
    </w:p>
    <w:p w14:paraId="4D374412" w14:textId="77777777" w:rsidR="00D51C2E" w:rsidRPr="00903C16" w:rsidRDefault="00D51C2E" w:rsidP="009D0C27">
      <w:pPr>
        <w:pStyle w:val="ListParagraph"/>
        <w:numPr>
          <w:ilvl w:val="0"/>
          <w:numId w:val="21"/>
        </w:numPr>
      </w:pPr>
      <w:r w:rsidRPr="00903C16">
        <w:t>extinguishing fires in their area</w:t>
      </w:r>
    </w:p>
    <w:p w14:paraId="5C3B46D2" w14:textId="77777777" w:rsidR="00D51C2E" w:rsidRPr="00903C16" w:rsidRDefault="00D51C2E" w:rsidP="009D0C27">
      <w:pPr>
        <w:pStyle w:val="ListParagraph"/>
        <w:numPr>
          <w:ilvl w:val="0"/>
          <w:numId w:val="21"/>
        </w:numPr>
      </w:pPr>
      <w:r w:rsidRPr="00903C16">
        <w:t>protecting life and property in the event of fires in their area</w:t>
      </w:r>
    </w:p>
    <w:p w14:paraId="6918CFC9" w14:textId="77777777" w:rsidR="00D51C2E" w:rsidRPr="00903C16" w:rsidRDefault="00D51C2E" w:rsidP="009D0C27">
      <w:pPr>
        <w:pStyle w:val="ListParagraph"/>
        <w:numPr>
          <w:ilvl w:val="0"/>
          <w:numId w:val="21"/>
        </w:numPr>
      </w:pPr>
      <w:r w:rsidRPr="00903C16">
        <w:t>rescuing and protecting people in the event of a road traffic collision, and</w:t>
      </w:r>
    </w:p>
    <w:p w14:paraId="6542492A" w14:textId="502D4A70" w:rsidR="00913EE1" w:rsidRDefault="00D51C2E" w:rsidP="009D0C27">
      <w:pPr>
        <w:pStyle w:val="ListParagraph"/>
        <w:numPr>
          <w:ilvl w:val="0"/>
          <w:numId w:val="21"/>
        </w:numPr>
      </w:pPr>
      <w:r w:rsidRPr="00903C16">
        <w:t>rescuing and protecting people in the event of other emergencies.</w:t>
      </w:r>
    </w:p>
    <w:p w14:paraId="748D8619" w14:textId="77777777" w:rsidR="009D0C27" w:rsidRPr="00903C16" w:rsidRDefault="009D0C27" w:rsidP="009D0C27">
      <w:pPr>
        <w:pStyle w:val="ListParagraph"/>
        <w:numPr>
          <w:ilvl w:val="0"/>
          <w:numId w:val="0"/>
        </w:numPr>
        <w:ind w:left="1080"/>
      </w:pPr>
    </w:p>
    <w:p w14:paraId="6BC36D69" w14:textId="3E6112B7" w:rsidR="00756F4B" w:rsidRDefault="00756F4B" w:rsidP="009D0C27">
      <w:pPr>
        <w:pStyle w:val="ListParagraph"/>
        <w:numPr>
          <w:ilvl w:val="1"/>
          <w:numId w:val="20"/>
        </w:numPr>
        <w:spacing w:after="160"/>
      </w:pPr>
      <w:r>
        <w:t>In the early 1900s,</w:t>
      </w:r>
      <w:r w:rsidR="00C65645" w:rsidRPr="00756F4B">
        <w:t xml:space="preserve"> the Fire Brigade was a branch of the Police Force, and the rank structure was that of </w:t>
      </w:r>
      <w:r w:rsidR="00900061">
        <w:t xml:space="preserve">the </w:t>
      </w:r>
      <w:r w:rsidR="00C65645" w:rsidRPr="00756F4B">
        <w:t>police</w:t>
      </w:r>
      <w:r w:rsidR="00900061">
        <w:t xml:space="preserve"> force</w:t>
      </w:r>
      <w:r w:rsidR="00C65645" w:rsidRPr="00756F4B">
        <w:t xml:space="preserve">. When the Fire Service was made independent of the police a new rank structure and markings was designed for the uniform which was revamped in 1960’s. Now there are numerous styles used but the insignia remains constant. There are basically two uniforms worn by firefighters, a working uniform and a fire tunic. </w:t>
      </w:r>
      <w:r w:rsidR="00AA03EE">
        <w:t>The modern rank structure is below</w:t>
      </w:r>
      <w:r w:rsidR="00C65645" w:rsidRPr="00756F4B">
        <w:t>:</w:t>
      </w:r>
    </w:p>
    <w:p w14:paraId="56266871" w14:textId="78530E83" w:rsidR="00756F4B" w:rsidRDefault="00756F4B" w:rsidP="009D0C27">
      <w:pPr>
        <w:pStyle w:val="ListParagraph"/>
        <w:numPr>
          <w:ilvl w:val="0"/>
          <w:numId w:val="22"/>
        </w:numPr>
      </w:pPr>
      <w:r>
        <w:t>Firefighter</w:t>
      </w:r>
    </w:p>
    <w:p w14:paraId="1688AA64" w14:textId="1856D497" w:rsidR="00C65645" w:rsidRPr="00903C16" w:rsidRDefault="00C65645" w:rsidP="009D0C27">
      <w:pPr>
        <w:pStyle w:val="ListParagraph"/>
        <w:numPr>
          <w:ilvl w:val="0"/>
          <w:numId w:val="22"/>
        </w:numPr>
      </w:pPr>
      <w:r w:rsidRPr="00903C16">
        <w:t>Crew Manager</w:t>
      </w:r>
    </w:p>
    <w:p w14:paraId="13FD746E" w14:textId="77777777" w:rsidR="00C65645" w:rsidRPr="00903C16" w:rsidRDefault="00C65645" w:rsidP="009D0C27">
      <w:pPr>
        <w:pStyle w:val="ListParagraph"/>
        <w:numPr>
          <w:ilvl w:val="0"/>
          <w:numId w:val="22"/>
        </w:numPr>
      </w:pPr>
      <w:r w:rsidRPr="00903C16">
        <w:t>Watch Manager</w:t>
      </w:r>
    </w:p>
    <w:p w14:paraId="7D6858FA" w14:textId="77777777" w:rsidR="00C65645" w:rsidRPr="00903C16" w:rsidRDefault="00C65645" w:rsidP="009D0C27">
      <w:pPr>
        <w:pStyle w:val="ListParagraph"/>
        <w:numPr>
          <w:ilvl w:val="0"/>
          <w:numId w:val="22"/>
        </w:numPr>
      </w:pPr>
      <w:r w:rsidRPr="00903C16">
        <w:t>Station Manager</w:t>
      </w:r>
    </w:p>
    <w:p w14:paraId="272A77CB" w14:textId="77777777" w:rsidR="00C65645" w:rsidRPr="00903C16" w:rsidRDefault="00C65645" w:rsidP="009D0C27">
      <w:pPr>
        <w:pStyle w:val="ListParagraph"/>
        <w:numPr>
          <w:ilvl w:val="0"/>
          <w:numId w:val="22"/>
        </w:numPr>
      </w:pPr>
      <w:r w:rsidRPr="00903C16">
        <w:t>Group Manager</w:t>
      </w:r>
    </w:p>
    <w:p w14:paraId="23425BB9" w14:textId="77777777" w:rsidR="00C65645" w:rsidRPr="00903C16" w:rsidRDefault="00C65645" w:rsidP="009D0C27">
      <w:pPr>
        <w:pStyle w:val="ListParagraph"/>
        <w:numPr>
          <w:ilvl w:val="0"/>
          <w:numId w:val="22"/>
        </w:numPr>
      </w:pPr>
      <w:r w:rsidRPr="00903C16">
        <w:t>Area Manager</w:t>
      </w:r>
    </w:p>
    <w:p w14:paraId="43C58BCB" w14:textId="3AFDB57D" w:rsidR="00C65645" w:rsidRDefault="00C65645" w:rsidP="009D0C27">
      <w:pPr>
        <w:pStyle w:val="ListParagraph"/>
        <w:numPr>
          <w:ilvl w:val="0"/>
          <w:numId w:val="22"/>
        </w:numPr>
      </w:pPr>
      <w:r w:rsidRPr="00903C16">
        <w:t>Brigade Manager</w:t>
      </w:r>
    </w:p>
    <w:p w14:paraId="32283F19" w14:textId="77777777" w:rsidR="00913EE1" w:rsidRPr="00903C16" w:rsidRDefault="00913EE1" w:rsidP="009D0C27">
      <w:pPr>
        <w:pStyle w:val="ListParagraph"/>
        <w:numPr>
          <w:ilvl w:val="0"/>
          <w:numId w:val="0"/>
        </w:numPr>
        <w:spacing w:after="160"/>
        <w:ind w:left="1080"/>
      </w:pPr>
    </w:p>
    <w:p w14:paraId="7DEFB4E8" w14:textId="114870E4" w:rsidR="00913EE1" w:rsidRPr="00756F4B" w:rsidRDefault="0080118F" w:rsidP="009D0C27">
      <w:pPr>
        <w:pStyle w:val="ListParagraph"/>
        <w:numPr>
          <w:ilvl w:val="1"/>
          <w:numId w:val="20"/>
        </w:numPr>
        <w:spacing w:after="160"/>
      </w:pPr>
      <w:r>
        <w:t>Since its founding, t</w:t>
      </w:r>
      <w:r w:rsidR="006B75F5" w:rsidRPr="00756F4B">
        <w:t xml:space="preserve">he role of the fire and rescue service has changed </w:t>
      </w:r>
      <w:r w:rsidR="00D43242" w:rsidRPr="00756F4B">
        <w:t>considerably,</w:t>
      </w:r>
      <w:r w:rsidR="006B75F5" w:rsidRPr="00756F4B">
        <w:t xml:space="preserve"> and the work undertaken by firefighters in the community changed to reflect the new demands made on the service. In a modern fire and rescue service,</w:t>
      </w:r>
      <w:r w:rsidR="003D18E8" w:rsidRPr="00756F4B">
        <w:t xml:space="preserve"> </w:t>
      </w:r>
      <w:r w:rsidR="007F3564" w:rsidRPr="00756F4B">
        <w:t>a</w:t>
      </w:r>
      <w:r w:rsidR="009A3A77" w:rsidRPr="00756F4B">
        <w:t xml:space="preserve">s well as fighting fires, Firefighters attend other </w:t>
      </w:r>
      <w:r w:rsidR="009A3A77" w:rsidRPr="00756F4B">
        <w:lastRenderedPageBreak/>
        <w:t>emergencies such as road, rail and air traffic accidents, chemical spills, floods, and terror attacks.</w:t>
      </w:r>
      <w:r w:rsidR="002A7AA4" w:rsidRPr="00756F4B">
        <w:t xml:space="preserve"> There is</w:t>
      </w:r>
      <w:r w:rsidR="009A3A77" w:rsidRPr="00756F4B">
        <w:t xml:space="preserve"> a firm emphasis on fire prevention, and </w:t>
      </w:r>
      <w:r w:rsidR="002A7AA4" w:rsidRPr="00756F4B">
        <w:t xml:space="preserve">GM </w:t>
      </w:r>
      <w:r w:rsidR="009A3A77" w:rsidRPr="00756F4B">
        <w:t xml:space="preserve">Firefighters spend a great deal of time promoting fire safety within the community. </w:t>
      </w:r>
      <w:r w:rsidR="000C05C3" w:rsidRPr="003236F4">
        <w:t>Firefighters carry out building inspections to make sure that local businesses are complying with fire safety regulations. They also work closely with other public services and community organisations to promote important fire and water safety advice.</w:t>
      </w:r>
    </w:p>
    <w:p w14:paraId="35D28401" w14:textId="1467E478" w:rsidR="00913EE1" w:rsidRDefault="00632331" w:rsidP="009D0C27">
      <w:pPr>
        <w:pStyle w:val="ListParagraph"/>
        <w:numPr>
          <w:ilvl w:val="1"/>
          <w:numId w:val="20"/>
        </w:numPr>
        <w:spacing w:after="160"/>
      </w:pPr>
      <w:r w:rsidRPr="00B41E09">
        <w:t>GMFRS is one of the largest fire and rescue services in England, covering an area of 493 square miles, with more than 1</w:t>
      </w:r>
      <w:r>
        <w:t>,</w:t>
      </w:r>
      <w:r w:rsidRPr="00B41E09">
        <w:t>6</w:t>
      </w:r>
      <w:r>
        <w:t>00</w:t>
      </w:r>
      <w:r w:rsidRPr="00B41E09">
        <w:t xml:space="preserve"> members of staff and serving a population of 2.8 million residents. The Service has 45 sites across Greater Manchester, including the Training and Safety Centre, the Training and Development Centre, the Technical Services Centre, </w:t>
      </w:r>
      <w:r>
        <w:t>the</w:t>
      </w:r>
      <w:r w:rsidRPr="00B41E09">
        <w:t xml:space="preserve"> headquarters in Swinton, and 41 fire stations aligned to Greater Manchester’s 10 local councils. Responsibility for the Service sits with the Mayor of Greater Manchester, Andy Burnham. The Service’s assets and employees are part of the Greater Manchester Combined Authority (GMCA). </w:t>
      </w:r>
    </w:p>
    <w:p w14:paraId="3DA4A7FF" w14:textId="77777777" w:rsidR="00632331" w:rsidRPr="00B41E09" w:rsidRDefault="00632331" w:rsidP="009D0C27">
      <w:pPr>
        <w:pStyle w:val="ListParagraph"/>
        <w:numPr>
          <w:ilvl w:val="1"/>
          <w:numId w:val="20"/>
        </w:numPr>
        <w:spacing w:after="160"/>
      </w:pPr>
      <w:r w:rsidRPr="00B41E09">
        <w:t>A Fire Plan 2021-2025</w:t>
      </w:r>
      <w:r>
        <w:rPr>
          <w:rStyle w:val="FootnoteReference"/>
          <w:szCs w:val="24"/>
        </w:rPr>
        <w:footnoteReference w:id="6"/>
      </w:r>
      <w:r w:rsidRPr="00B41E09">
        <w:t xml:space="preserve"> forms part the wider Greater Manchester Strategy, which aims to make the city-region one of the best places in the world to grow up, get on and grow old. GMFRS must integrate working with partners across the city-region to enable this ambition. It includes six priorities for the Service and a series of commitments under each one and was written by the Mayor and the Deputy Mayor, in collaboration with the Chief Fire Officer. The priorities for Greater Manchester Fire &amp; Rescue Service are:</w:t>
      </w:r>
    </w:p>
    <w:p w14:paraId="70CDA8E4" w14:textId="77777777" w:rsidR="00632331" w:rsidRPr="00B41E09" w:rsidRDefault="00632331" w:rsidP="009D0C27">
      <w:pPr>
        <w:pStyle w:val="ListParagraph"/>
        <w:numPr>
          <w:ilvl w:val="0"/>
          <w:numId w:val="23"/>
        </w:numPr>
      </w:pPr>
      <w:r w:rsidRPr="00B41E09">
        <w:t xml:space="preserve">Provide a fast, safe and effective response </w:t>
      </w:r>
    </w:p>
    <w:p w14:paraId="1CD52911" w14:textId="77777777" w:rsidR="00632331" w:rsidRPr="00B41E09" w:rsidRDefault="00632331" w:rsidP="009D0C27">
      <w:pPr>
        <w:pStyle w:val="ListParagraph"/>
        <w:numPr>
          <w:ilvl w:val="0"/>
          <w:numId w:val="23"/>
        </w:numPr>
      </w:pPr>
      <w:r w:rsidRPr="00B41E09">
        <w:t xml:space="preserve">Help people reduce the risks of fires and other emergencies </w:t>
      </w:r>
    </w:p>
    <w:p w14:paraId="38953CEE" w14:textId="77777777" w:rsidR="00632331" w:rsidRPr="00B41E09" w:rsidRDefault="00632331" w:rsidP="009D0C27">
      <w:pPr>
        <w:pStyle w:val="ListParagraph"/>
        <w:numPr>
          <w:ilvl w:val="0"/>
          <w:numId w:val="23"/>
        </w:numPr>
      </w:pPr>
      <w:r w:rsidRPr="00B41E09">
        <w:t xml:space="preserve">Help protect the built environment </w:t>
      </w:r>
    </w:p>
    <w:p w14:paraId="504F4270" w14:textId="77777777" w:rsidR="00632331" w:rsidRPr="00B41E09" w:rsidRDefault="00632331" w:rsidP="009D0C27">
      <w:pPr>
        <w:pStyle w:val="ListParagraph"/>
        <w:numPr>
          <w:ilvl w:val="0"/>
          <w:numId w:val="23"/>
        </w:numPr>
      </w:pPr>
      <w:r w:rsidRPr="00B41E09">
        <w:t xml:space="preserve">Use resources sustainably and deliver the most value </w:t>
      </w:r>
    </w:p>
    <w:p w14:paraId="0BB4A393" w14:textId="5F9AC40C" w:rsidR="00632331" w:rsidRDefault="00632331" w:rsidP="009D0C27">
      <w:pPr>
        <w:pStyle w:val="ListParagraph"/>
        <w:numPr>
          <w:ilvl w:val="0"/>
          <w:numId w:val="23"/>
        </w:numPr>
      </w:pPr>
      <w:r w:rsidRPr="00B41E09">
        <w:lastRenderedPageBreak/>
        <w:t xml:space="preserve">Develop a culture of excellence, equality and inclusivity </w:t>
      </w:r>
    </w:p>
    <w:p w14:paraId="4F5FE164" w14:textId="048BC604" w:rsidR="00B36049" w:rsidRDefault="00B36049" w:rsidP="009D0C27">
      <w:pPr>
        <w:pStyle w:val="ListParagraph"/>
        <w:numPr>
          <w:ilvl w:val="0"/>
          <w:numId w:val="23"/>
        </w:numPr>
      </w:pPr>
      <w:r w:rsidRPr="00B41E09">
        <w:t>Integrate services in every locality with those of partner agencies</w:t>
      </w:r>
    </w:p>
    <w:p w14:paraId="013828F3" w14:textId="77777777" w:rsidR="00913EE1" w:rsidRPr="00B41E09" w:rsidRDefault="00913EE1" w:rsidP="009D0C27"/>
    <w:p w14:paraId="0A0B41FD" w14:textId="1BD1AF5E" w:rsidR="00913EE1" w:rsidRDefault="000C05C3" w:rsidP="009D0C27">
      <w:pPr>
        <w:pStyle w:val="ListParagraph"/>
        <w:numPr>
          <w:ilvl w:val="1"/>
          <w:numId w:val="20"/>
        </w:numPr>
        <w:spacing w:after="160"/>
      </w:pPr>
      <w:r>
        <w:t xml:space="preserve">Across the UK, there are full-time firefighters who work for the fire service full time and </w:t>
      </w:r>
      <w:r w:rsidR="2F656B80">
        <w:t>‘</w:t>
      </w:r>
      <w:r>
        <w:t>retained</w:t>
      </w:r>
      <w:r w:rsidR="7C849F82">
        <w:t>’</w:t>
      </w:r>
      <w:r>
        <w:t xml:space="preserve"> firefighters who are on-call responders. </w:t>
      </w:r>
      <w:r w:rsidR="00EA6069">
        <w:t>GM Fire and Rescue Service (GMFRS)</w:t>
      </w:r>
      <w:r>
        <w:t xml:space="preserve"> only has full time firefighters in the workforce. </w:t>
      </w:r>
      <w:r w:rsidR="00D20777">
        <w:t>Within</w:t>
      </w:r>
      <w:r w:rsidR="00EA6069">
        <w:t xml:space="preserve"> GMFRS</w:t>
      </w:r>
      <w:r w:rsidR="00D20777">
        <w:t xml:space="preserve">, there is a </w:t>
      </w:r>
      <w:r w:rsidR="00BA1DB4">
        <w:t>rigorous</w:t>
      </w:r>
      <w:r w:rsidR="00D20777">
        <w:t xml:space="preserve"> ten ste</w:t>
      </w:r>
      <w:r w:rsidR="00BA1DB4">
        <w:t xml:space="preserve">p application process for </w:t>
      </w:r>
      <w:r w:rsidR="00627A9B">
        <w:t>candidates before they star</w:t>
      </w:r>
      <w:r w:rsidR="00F63DD4">
        <w:t xml:space="preserve">t a firefighter </w:t>
      </w:r>
      <w:r w:rsidR="00753F6B">
        <w:t>role</w:t>
      </w:r>
      <w:r w:rsidR="00B32D17">
        <w:t>.</w:t>
      </w:r>
      <w:r w:rsidR="00935F73">
        <w:t xml:space="preserve"> </w:t>
      </w:r>
      <w:r w:rsidR="00B32D17">
        <w:t>T</w:t>
      </w:r>
      <w:r w:rsidR="00935F73">
        <w:t xml:space="preserve">his includes taster days, </w:t>
      </w:r>
      <w:r w:rsidR="00CA0E0B">
        <w:t>psychometric assessments, functional skill and fitness tests.</w:t>
      </w:r>
    </w:p>
    <w:p w14:paraId="2EA010A8" w14:textId="2F1C38AE" w:rsidR="00913EE1" w:rsidRPr="00B41E09" w:rsidRDefault="007F3564" w:rsidP="009D0C27">
      <w:pPr>
        <w:pStyle w:val="ListParagraph"/>
        <w:numPr>
          <w:ilvl w:val="1"/>
          <w:numId w:val="20"/>
        </w:numPr>
        <w:spacing w:after="160"/>
      </w:pPr>
      <w:r w:rsidRPr="00B41E09">
        <w:t>The fire service's Integrated Personal Development System has developed role maps, supported by national occupational standards, for all roles within the UK fire service.</w:t>
      </w:r>
      <w:r w:rsidR="00830392" w:rsidRPr="00B41E09">
        <w:t xml:space="preserve"> </w:t>
      </w:r>
      <w:r w:rsidR="006848D9" w:rsidRPr="00B41E09">
        <w:t xml:space="preserve">Whilst fire fighters accounts for around three quarters of the workforce, a range of managerial and support services jobs exist within </w:t>
      </w:r>
      <w:r w:rsidR="00E1287B">
        <w:t>various back office functions</w:t>
      </w:r>
      <w:r w:rsidR="00906ECC">
        <w:t>.</w:t>
      </w:r>
      <w:r w:rsidR="00560CCC">
        <w:t xml:space="preserve"> </w:t>
      </w:r>
      <w:r w:rsidR="00D762DD" w:rsidRPr="00B41E09">
        <w:t>A</w:t>
      </w:r>
      <w:r w:rsidR="002A7AA4" w:rsidRPr="00B41E09">
        <w:t xml:space="preserve">t management level, </w:t>
      </w:r>
      <w:r w:rsidR="00EC3706" w:rsidRPr="00B41E09">
        <w:t xml:space="preserve">there are </w:t>
      </w:r>
      <w:r w:rsidR="002A7AA4" w:rsidRPr="00B41E09">
        <w:t xml:space="preserve">extra supervisory activities, which include managing operational incidents and directing the day-to-day tasks of personnel on fire stations. </w:t>
      </w:r>
      <w:r w:rsidR="00EC3706" w:rsidRPr="00B41E09">
        <w:t xml:space="preserve">The </w:t>
      </w:r>
      <w:r w:rsidR="002A7AA4" w:rsidRPr="00B41E09">
        <w:t>operational aspects of firefighting, although important, are a minor part of a senior manager's role in a large serv</w:t>
      </w:r>
      <w:r w:rsidR="00913EE1">
        <w:t>i</w:t>
      </w:r>
      <w:r w:rsidR="002A7AA4" w:rsidRPr="00B41E09">
        <w:t>ce</w:t>
      </w:r>
      <w:r w:rsidR="00B41E09">
        <w:t>.</w:t>
      </w:r>
    </w:p>
    <w:p w14:paraId="5EF1E4FC" w14:textId="50A62FF7" w:rsidR="00B87D60" w:rsidRPr="00903C16" w:rsidRDefault="001B255B" w:rsidP="009D0C27">
      <w:pPr>
        <w:rPr>
          <w:b/>
          <w:bCs/>
          <w:color w:val="auto"/>
          <w:szCs w:val="24"/>
        </w:rPr>
      </w:pPr>
      <w:r>
        <w:rPr>
          <w:b/>
          <w:bCs/>
          <w:color w:val="auto"/>
          <w:szCs w:val="24"/>
        </w:rPr>
        <w:t>Fire Service</w:t>
      </w:r>
      <w:r w:rsidR="00C244C8" w:rsidRPr="00903C16">
        <w:rPr>
          <w:b/>
          <w:bCs/>
          <w:color w:val="auto"/>
          <w:szCs w:val="24"/>
        </w:rPr>
        <w:t xml:space="preserve"> </w:t>
      </w:r>
      <w:r w:rsidR="00201306" w:rsidRPr="00903C16">
        <w:rPr>
          <w:b/>
          <w:bCs/>
          <w:color w:val="auto"/>
          <w:szCs w:val="24"/>
        </w:rPr>
        <w:t xml:space="preserve">Challenges and </w:t>
      </w:r>
      <w:r w:rsidR="00C244C8" w:rsidRPr="00903C16">
        <w:rPr>
          <w:b/>
          <w:bCs/>
          <w:color w:val="auto"/>
          <w:szCs w:val="24"/>
        </w:rPr>
        <w:t>Opport</w:t>
      </w:r>
      <w:r w:rsidR="00551723" w:rsidRPr="00903C16">
        <w:rPr>
          <w:b/>
          <w:bCs/>
          <w:color w:val="auto"/>
          <w:szCs w:val="24"/>
        </w:rPr>
        <w:t>unities</w:t>
      </w:r>
    </w:p>
    <w:p w14:paraId="139DBD7F" w14:textId="270BC381" w:rsidR="00832006" w:rsidRPr="00903C16" w:rsidRDefault="00E018FC" w:rsidP="009D0C27">
      <w:pPr>
        <w:pStyle w:val="ListParagraph"/>
        <w:numPr>
          <w:ilvl w:val="1"/>
          <w:numId w:val="20"/>
        </w:numPr>
        <w:spacing w:after="160"/>
      </w:pPr>
      <w:r>
        <w:t xml:space="preserve">The primary function of GMFRS is to provide the best emergency response to </w:t>
      </w:r>
      <w:r w:rsidR="006D5D83">
        <w:t xml:space="preserve">GM </w:t>
      </w:r>
      <w:r>
        <w:t>communities</w:t>
      </w:r>
      <w:r w:rsidR="006D5D83">
        <w:t>. Over the last decade,</w:t>
      </w:r>
      <w:r>
        <w:t xml:space="preserve"> focus</w:t>
      </w:r>
      <w:r w:rsidR="006D5D83">
        <w:t xml:space="preserve"> has been</w:t>
      </w:r>
      <w:r>
        <w:t xml:space="preserve"> on prevention and protection work to try and stop incidents happening in the first place</w:t>
      </w:r>
      <w:r w:rsidR="006D5D83">
        <w:t>.</w:t>
      </w:r>
      <w:r w:rsidR="00832006">
        <w:t xml:space="preserve"> For example</w:t>
      </w:r>
      <w:r w:rsidR="62E2C29F">
        <w:t>,</w:t>
      </w:r>
      <w:r w:rsidR="00832006">
        <w:t xml:space="preserve"> there are currently more than 600 high-rise residential buildings in the region, the tallest of which stands at 64 floors, with more than 100 further planning proposals for buildings over 20 floors in height. High-rise buildings, new construction methods and limited access due to urban growth require GMFRS </w:t>
      </w:r>
      <w:r w:rsidR="00681412">
        <w:t>to fundamentally change the</w:t>
      </w:r>
      <w:r w:rsidR="00832006">
        <w:t xml:space="preserve"> approach </w:t>
      </w:r>
      <w:r w:rsidR="00681412">
        <w:t>to</w:t>
      </w:r>
      <w:r w:rsidR="00832006">
        <w:t xml:space="preserve"> incident</w:t>
      </w:r>
      <w:r w:rsidR="00681412">
        <w:t>s,</w:t>
      </w:r>
      <w:r w:rsidR="00832006">
        <w:t xml:space="preserve"> and the training firefighters need to do their job safely and effectively. </w:t>
      </w:r>
    </w:p>
    <w:p w14:paraId="39D031F3" w14:textId="5E590946" w:rsidR="00913EE1" w:rsidRPr="00903C16" w:rsidRDefault="00832006" w:rsidP="009D0C27">
      <w:pPr>
        <w:pStyle w:val="ListParagraph"/>
        <w:numPr>
          <w:ilvl w:val="1"/>
          <w:numId w:val="20"/>
        </w:numPr>
        <w:spacing w:after="160"/>
      </w:pPr>
      <w:r w:rsidRPr="00903C16">
        <w:lastRenderedPageBreak/>
        <w:t xml:space="preserve">A major fire is not only a threat to life but can create huge disruption and economic losses. Following the fire at Grenfell Tower there has been increasing evidence of construction failures and buildings failing to perform to expected standards in a fire. In response to this increased threat, the Greater Manchester High Rise Task Force was established </w:t>
      </w:r>
      <w:r w:rsidR="008921EA">
        <w:t>in recent years</w:t>
      </w:r>
      <w:r w:rsidRPr="00903C16">
        <w:t xml:space="preserve">. The task force brings together GMFRS, local authorities, landlords, building control, senior civil servants, universities, and other specialists to provide an integrated response. </w:t>
      </w:r>
    </w:p>
    <w:p w14:paraId="242A14D8" w14:textId="45150A8E" w:rsidR="006F505C" w:rsidRPr="00903C16" w:rsidRDefault="00295373" w:rsidP="009D0C27">
      <w:pPr>
        <w:pStyle w:val="ListParagraph"/>
        <w:numPr>
          <w:ilvl w:val="1"/>
          <w:numId w:val="20"/>
        </w:numPr>
        <w:spacing w:after="160"/>
      </w:pPr>
      <w:r w:rsidRPr="00903C16">
        <w:t>GMFRS’s inspection by Her Majesty’s Inspectorate of Constabulary and Fire and Rescue Services (HMICFRS)</w:t>
      </w:r>
      <w:r w:rsidR="00E353F0">
        <w:rPr>
          <w:rStyle w:val="FootnoteReference"/>
        </w:rPr>
        <w:footnoteReference w:id="7"/>
      </w:r>
      <w:r w:rsidRPr="00903C16">
        <w:t xml:space="preserve"> in 2018 judged the culture of the service to be inadequate and requiring significant improvement. It specifically identified leadership, staff engagement and the need to engender a culture that is fair, inclusive and promotes professional development. Prior to its inspection, GMFRS and the Mayor had already acknowledged the need for improvement and initiated the Programme for Change. This major review looked at all areas of the Service </w:t>
      </w:r>
      <w:r w:rsidR="00E1761C" w:rsidRPr="00903C16">
        <w:t>and was broadly</w:t>
      </w:r>
      <w:r w:rsidRPr="00903C16">
        <w:t xml:space="preserve"> consistent with HMICFRS’ findings. Following station visits from the Mayor and Deputy Mayor, and extensive meetings between staff groups across the Service, the GMFRS Leadership, Culture and People Strategic plan was developed, building on the work that had already begun. These improvements include:  </w:t>
      </w:r>
    </w:p>
    <w:p w14:paraId="5D3C6291" w14:textId="77777777" w:rsidR="006F505C" w:rsidRPr="00903C16" w:rsidRDefault="00295373" w:rsidP="009D0C27">
      <w:pPr>
        <w:pStyle w:val="ListParagraph"/>
        <w:numPr>
          <w:ilvl w:val="0"/>
          <w:numId w:val="24"/>
        </w:numPr>
      </w:pPr>
      <w:r w:rsidRPr="00903C16">
        <w:t xml:space="preserve">The development of a new leadership programme based on best industry practice. </w:t>
      </w:r>
    </w:p>
    <w:p w14:paraId="01EA12E2" w14:textId="28DD61C5" w:rsidR="006F505C" w:rsidRPr="00903C16" w:rsidRDefault="00295373" w:rsidP="009D0C27">
      <w:pPr>
        <w:pStyle w:val="ListParagraph"/>
        <w:numPr>
          <w:ilvl w:val="0"/>
          <w:numId w:val="24"/>
        </w:numPr>
      </w:pPr>
      <w:r>
        <w:t xml:space="preserve">Introduction of the </w:t>
      </w:r>
      <w:r w:rsidR="3A188DB0">
        <w:t>‘</w:t>
      </w:r>
      <w:r>
        <w:t>Best Companies</w:t>
      </w:r>
      <w:r w:rsidR="21FF2C87">
        <w:t>’</w:t>
      </w:r>
      <w:r>
        <w:t xml:space="preserve"> engagement survey to benchmark engagement and identify priority areas for improvement. </w:t>
      </w:r>
    </w:p>
    <w:p w14:paraId="4BD2E650" w14:textId="59C4CD0F" w:rsidR="006F505C" w:rsidRPr="00903C16" w:rsidRDefault="00295373" w:rsidP="009D0C27">
      <w:pPr>
        <w:pStyle w:val="ListParagraph"/>
        <w:numPr>
          <w:ilvl w:val="0"/>
          <w:numId w:val="24"/>
        </w:numPr>
      </w:pPr>
      <w:r w:rsidRPr="00903C16">
        <w:t>The adoption of a comprehensive Equality, Diversity and Inclusivity (EDI) Strategy</w:t>
      </w:r>
      <w:r w:rsidR="00E353F0">
        <w:rPr>
          <w:rStyle w:val="FootnoteReference"/>
        </w:rPr>
        <w:footnoteReference w:id="8"/>
      </w:r>
      <w:r w:rsidRPr="00903C16">
        <w:t xml:space="preserve"> including a new Attraction Strategy to help recruit a more diverse workforce. </w:t>
      </w:r>
    </w:p>
    <w:p w14:paraId="31134277" w14:textId="77777777" w:rsidR="006F505C" w:rsidRPr="00903C16" w:rsidRDefault="00295373" w:rsidP="009D0C27">
      <w:pPr>
        <w:pStyle w:val="ListParagraph"/>
        <w:numPr>
          <w:ilvl w:val="0"/>
          <w:numId w:val="24"/>
        </w:numPr>
      </w:pPr>
      <w:r w:rsidRPr="00903C16">
        <w:lastRenderedPageBreak/>
        <w:t xml:space="preserve">The development of a new Equality Impact Assessment tool.  </w:t>
      </w:r>
    </w:p>
    <w:p w14:paraId="69D8E360" w14:textId="4FA18DB2" w:rsidR="006F505C" w:rsidRPr="00903C16" w:rsidRDefault="00295373" w:rsidP="009D0C27">
      <w:pPr>
        <w:pStyle w:val="ListParagraph"/>
        <w:numPr>
          <w:ilvl w:val="0"/>
          <w:numId w:val="24"/>
        </w:numPr>
      </w:pPr>
      <w:r w:rsidRPr="00903C16">
        <w:t xml:space="preserve">Work to update the female and </w:t>
      </w:r>
      <w:r w:rsidR="004A084F" w:rsidRPr="00903C16">
        <w:t>gender-neutral</w:t>
      </w:r>
      <w:r w:rsidRPr="00903C16">
        <w:t xml:space="preserve"> facilities across the estate. </w:t>
      </w:r>
    </w:p>
    <w:p w14:paraId="57DD262D" w14:textId="2FC904E0" w:rsidR="00295373" w:rsidRDefault="00295373" w:rsidP="009D0C27">
      <w:pPr>
        <w:pStyle w:val="ListParagraph"/>
        <w:numPr>
          <w:ilvl w:val="0"/>
          <w:numId w:val="24"/>
        </w:numPr>
      </w:pPr>
      <w:r w:rsidRPr="00903C16">
        <w:t>The development of a refreshed vision, mission and values.</w:t>
      </w:r>
    </w:p>
    <w:p w14:paraId="4DCCD925" w14:textId="77777777" w:rsidR="001F0176" w:rsidRPr="00903C16" w:rsidRDefault="001F0176" w:rsidP="009D0C27">
      <w:pPr>
        <w:pStyle w:val="ListParagraph"/>
        <w:numPr>
          <w:ilvl w:val="0"/>
          <w:numId w:val="0"/>
        </w:numPr>
        <w:spacing w:after="160"/>
        <w:ind w:left="1080"/>
      </w:pPr>
    </w:p>
    <w:p w14:paraId="514C9078" w14:textId="7DE97C3C" w:rsidR="00F624D1" w:rsidRPr="00903C16" w:rsidRDefault="001B255B" w:rsidP="003C580E">
      <w:pPr>
        <w:pStyle w:val="Heading4"/>
      </w:pPr>
      <w:r>
        <w:t>Ambulance Service</w:t>
      </w:r>
    </w:p>
    <w:p w14:paraId="73032575" w14:textId="4B9EC4C6" w:rsidR="00913EE1" w:rsidRDefault="00FA4B0B" w:rsidP="009D0C27">
      <w:pPr>
        <w:pStyle w:val="ListParagraph"/>
        <w:numPr>
          <w:ilvl w:val="1"/>
          <w:numId w:val="20"/>
        </w:numPr>
        <w:spacing w:after="160"/>
      </w:pPr>
      <w:r>
        <w:t xml:space="preserve">Ambulances serve a critical role within the NHS, </w:t>
      </w:r>
      <w:r w:rsidR="0052197B">
        <w:t xml:space="preserve">responding to emergencies and safely transporting patients when required. </w:t>
      </w:r>
      <w:r w:rsidR="000131F8" w:rsidRPr="00B41E09">
        <w:t>There are 10 ambulance trusts across England. Each trust covers a large</w:t>
      </w:r>
      <w:r w:rsidR="0052197B">
        <w:t xml:space="preserve"> regional</w:t>
      </w:r>
      <w:r w:rsidR="000131F8" w:rsidRPr="00B41E09">
        <w:t xml:space="preserve"> geography, covering multiple local integrated systems which include hospitals with A&amp;E departments and varying community, primary and social care provision.</w:t>
      </w:r>
      <w:r w:rsidR="00F606EC" w:rsidRPr="00B41E09">
        <w:t xml:space="preserve"> Emergency 999 calls for an ambulance are prioritised into two categories: emergencies which are immediately life-threatening and emergencies which are not life-threatening. Each year about one in twenty people in the United Kingdom will use the accident and emergency ambulance service. However, responding to 999 calls makes up only 10% of the total number of ambulance service journeys, they are also involved in </w:t>
      </w:r>
      <w:r w:rsidR="0066017E" w:rsidRPr="00B41E09">
        <w:t>non-emergency</w:t>
      </w:r>
      <w:r w:rsidR="00F606EC" w:rsidRPr="00B41E09">
        <w:t xml:space="preserve"> work through the patient transport service.</w:t>
      </w:r>
    </w:p>
    <w:p w14:paraId="2FA03581" w14:textId="5AC0E819" w:rsidR="00D40960" w:rsidRDefault="00D40960" w:rsidP="009D0C27">
      <w:pPr>
        <w:pStyle w:val="ListParagraph"/>
        <w:numPr>
          <w:ilvl w:val="1"/>
          <w:numId w:val="20"/>
        </w:numPr>
        <w:spacing w:after="160"/>
      </w:pPr>
      <w:r w:rsidRPr="00B41E09">
        <w:t>Ambulance services are at the heart of the urgent and emergency care system.</w:t>
      </w:r>
      <w:r w:rsidR="0003040F" w:rsidRPr="00B41E09">
        <w:t xml:space="preserve"> </w:t>
      </w:r>
      <w:r w:rsidRPr="00B41E09">
        <w:t>In 2017 the NHS introduced new ambulance standards to ensure the best, most appropriate response is provided for each patient first time.</w:t>
      </w:r>
      <w:r w:rsidR="00585D8E" w:rsidRPr="00B41E09">
        <w:t xml:space="preserve"> The stated</w:t>
      </w:r>
      <w:r w:rsidRPr="00B41E09">
        <w:t xml:space="preserve"> aim is that all ambulance services:</w:t>
      </w:r>
      <w:r w:rsidR="009E0C72" w:rsidRPr="00B41E09">
        <w:t xml:space="preserve"> </w:t>
      </w:r>
      <w:r w:rsidRPr="00B41E09">
        <w:t>Meet all targets and deliver all patient outcomes</w:t>
      </w:r>
      <w:r w:rsidR="009E0C72" w:rsidRPr="00B41E09">
        <w:t xml:space="preserve">; </w:t>
      </w:r>
      <w:r w:rsidRPr="00B41E09">
        <w:t>Are efficient and effective;</w:t>
      </w:r>
      <w:r w:rsidR="009E0C72" w:rsidRPr="00B41E09">
        <w:t xml:space="preserve"> </w:t>
      </w:r>
      <w:r w:rsidRPr="00B41E09">
        <w:t>Have a satisfied, happy and productive workforce;</w:t>
      </w:r>
      <w:r w:rsidR="009E0C72" w:rsidRPr="00B41E09">
        <w:t xml:space="preserve"> </w:t>
      </w:r>
      <w:r w:rsidRPr="00B41E09">
        <w:t>Are integrated into the wider urgent and emergency care system;</w:t>
      </w:r>
      <w:r w:rsidR="009E0C72" w:rsidRPr="00B41E09">
        <w:t xml:space="preserve"> </w:t>
      </w:r>
      <w:r w:rsidRPr="00B41E09">
        <w:t>Are digitally fit for the future.</w:t>
      </w:r>
      <w:r w:rsidR="00133911" w:rsidRPr="00B41E09">
        <w:t xml:space="preserve"> Ambulance services are changing to work in different ways. This means patients </w:t>
      </w:r>
      <w:r w:rsidR="00327787">
        <w:t>being</w:t>
      </w:r>
      <w:r w:rsidR="00133911" w:rsidRPr="00B41E09">
        <w:t xml:space="preserve"> treated by skilled paramedics in their own home, given advice over the telephone</w:t>
      </w:r>
      <w:r w:rsidR="00327787">
        <w:t>,</w:t>
      </w:r>
      <w:r w:rsidR="00133911" w:rsidRPr="00B41E09">
        <w:t xml:space="preserve"> or taken to a more appropriate setting outside</w:t>
      </w:r>
      <w:r w:rsidR="00327787">
        <w:t xml:space="preserve"> </w:t>
      </w:r>
      <w:r w:rsidR="00133911" w:rsidRPr="00B41E09">
        <w:t>hospital</w:t>
      </w:r>
      <w:r w:rsidR="00327787">
        <w:t>s</w:t>
      </w:r>
      <w:r w:rsidR="00133911" w:rsidRPr="00B41E09">
        <w:t xml:space="preserve">. </w:t>
      </w:r>
    </w:p>
    <w:p w14:paraId="3594FBE5" w14:textId="77777777" w:rsidR="00913EE1" w:rsidRPr="00B8641C" w:rsidRDefault="00913EE1" w:rsidP="009D0C27">
      <w:pPr>
        <w:pStyle w:val="ListParagraph"/>
        <w:numPr>
          <w:ilvl w:val="0"/>
          <w:numId w:val="0"/>
        </w:numPr>
        <w:spacing w:after="160"/>
        <w:ind w:left="720"/>
      </w:pPr>
    </w:p>
    <w:p w14:paraId="760FF5CC" w14:textId="10F96414" w:rsidR="00913EE1" w:rsidRDefault="00084426" w:rsidP="009D0C27">
      <w:pPr>
        <w:pStyle w:val="ListParagraph"/>
        <w:numPr>
          <w:ilvl w:val="1"/>
          <w:numId w:val="20"/>
        </w:numPr>
        <w:spacing w:after="160"/>
      </w:pPr>
      <w:r w:rsidRPr="00B41E09">
        <w:lastRenderedPageBreak/>
        <w:t>The North West Ambulance Service NHS Trust (NWAS) is the ambulance service for North West England. It is one of ten ambulance trusts providing England with Emergency medical services, and is part of the National Health Service, receiving direct government funding for its role.</w:t>
      </w:r>
      <w:r w:rsidR="00133911" w:rsidRPr="00B41E09">
        <w:t xml:space="preserve"> </w:t>
      </w:r>
      <w:r w:rsidR="00A94D8E">
        <w:t xml:space="preserve">Aside from its direct delivery role, </w:t>
      </w:r>
      <w:r w:rsidR="00133911" w:rsidRPr="00B41E09">
        <w:t>NWAS has successfully registered with the Education Skills Funding Agency as an apprenticeship employer-provider</w:t>
      </w:r>
      <w:r w:rsidR="00A94D8E">
        <w:t xml:space="preserve"> to train staff</w:t>
      </w:r>
      <w:r w:rsidR="00133911" w:rsidRPr="00B41E09">
        <w:t>.</w:t>
      </w:r>
    </w:p>
    <w:p w14:paraId="4BE24BD5" w14:textId="7D8E2754" w:rsidR="001F0176" w:rsidRPr="00B41E09" w:rsidRDefault="00AF567D" w:rsidP="009D0C27">
      <w:pPr>
        <w:pStyle w:val="ListParagraph"/>
        <w:numPr>
          <w:ilvl w:val="1"/>
          <w:numId w:val="20"/>
        </w:numPr>
        <w:spacing w:after="160"/>
      </w:pPr>
      <w:r>
        <w:t>In</w:t>
      </w:r>
      <w:r w:rsidR="00084426" w:rsidRPr="00B41E09">
        <w:t xml:space="preserve"> July 2006, following the merger of four previous services (Cumbria Ambulance Service; Lancashire Ambulance Service; Cheshire and Mersey Ambulance Service; and Greater Manchester Ambulance Service)</w:t>
      </w:r>
      <w:r>
        <w:t>, NWAS was formed</w:t>
      </w:r>
      <w:r w:rsidR="00084426" w:rsidRPr="00B41E09">
        <w:t>.</w:t>
      </w:r>
      <w:r w:rsidR="00B41E09">
        <w:t xml:space="preserve"> </w:t>
      </w:r>
      <w:r w:rsidR="00084426" w:rsidRPr="00B41E09">
        <w:t>Based in Bolton, the trust provides services to almost 7 million people in Greater Manchester, Cheshire, Merseyside, Lancashire, Cumbria, and the North Western fringes of the High Peak district of Derbyshire</w:t>
      </w:r>
      <w:r w:rsidR="004864C3">
        <w:t>,</w:t>
      </w:r>
      <w:r w:rsidR="00084426" w:rsidRPr="00B41E09">
        <w:t xml:space="preserve"> in an area of 5,500 square miles (14,000 </w:t>
      </w:r>
      <w:r w:rsidR="009E069A">
        <w:t xml:space="preserve">sq. </w:t>
      </w:r>
      <w:r w:rsidR="00084426" w:rsidRPr="00B41E09">
        <w:t>km). NWAS provides emergency ambulance response via the 999 system, as well as operating the NHS 111 advice service for North West England.</w:t>
      </w:r>
      <w:r w:rsidR="00F370C4" w:rsidRPr="00B41E09">
        <w:t xml:space="preserve"> </w:t>
      </w:r>
      <w:r w:rsidR="00FB1BD7" w:rsidRPr="00B41E09">
        <w:t xml:space="preserve">The </w:t>
      </w:r>
      <w:r w:rsidR="00084426" w:rsidRPr="00B41E09">
        <w:t>trust currently operates from 104 ambulance stations across the North West. It also maintains three Emergency Operations Centres (EOCs) for the handling of 999 calls and dispatch of emergency ambulances</w:t>
      </w:r>
      <w:r>
        <w:t>, one of which is in Manchester</w:t>
      </w:r>
      <w:r w:rsidR="00084426" w:rsidRPr="00B41E09">
        <w:t>.</w:t>
      </w:r>
    </w:p>
    <w:p w14:paraId="3774CB7D" w14:textId="0C659ACF" w:rsidR="00084426" w:rsidRDefault="00B91D98" w:rsidP="009D0C27">
      <w:pPr>
        <w:pStyle w:val="ListParagraph"/>
        <w:numPr>
          <w:ilvl w:val="1"/>
          <w:numId w:val="20"/>
        </w:numPr>
        <w:spacing w:after="160"/>
      </w:pPr>
      <w:r w:rsidRPr="00D15D60">
        <w:t>NWAS was the first ambulance trust to be inspected by the Care Quality Commission (CQC), in August 2014</w:t>
      </w:r>
      <w:r w:rsidR="00E353F0">
        <w:rPr>
          <w:rStyle w:val="FootnoteReference"/>
        </w:rPr>
        <w:footnoteReference w:id="9"/>
      </w:r>
      <w:r w:rsidRPr="00D15D60">
        <w:t xml:space="preserve">. The CQC found the trust provided safe and effective services which were well-led and with a clear focus on </w:t>
      </w:r>
      <w:r w:rsidR="0066017E" w:rsidRPr="00D15D60">
        <w:t>quality,</w:t>
      </w:r>
      <w:r w:rsidRPr="00D15D60">
        <w:t xml:space="preserve"> but it was criticised for taking too many callers to hospital and for sending ambulances when other responses would have been more appropriate.</w:t>
      </w:r>
      <w:r w:rsidR="0097360F" w:rsidRPr="00D15D60">
        <w:t xml:space="preserve"> </w:t>
      </w:r>
      <w:r w:rsidRPr="00D15D60">
        <w:t>The trust was subsequently inspected in 2018</w:t>
      </w:r>
      <w:r w:rsidR="00E353F0">
        <w:rPr>
          <w:rStyle w:val="FootnoteReference"/>
        </w:rPr>
        <w:footnoteReference w:id="10"/>
      </w:r>
      <w:r w:rsidRPr="00D15D60">
        <w:t xml:space="preserve"> and was found to have improved with a rating of "Good"</w:t>
      </w:r>
    </w:p>
    <w:p w14:paraId="30F0BF48" w14:textId="77777777" w:rsidR="00913EE1" w:rsidRPr="00D15D60" w:rsidRDefault="00913EE1" w:rsidP="009D0C27">
      <w:pPr>
        <w:pStyle w:val="ListParagraph"/>
        <w:numPr>
          <w:ilvl w:val="0"/>
          <w:numId w:val="0"/>
        </w:numPr>
        <w:spacing w:after="160"/>
        <w:ind w:left="720"/>
      </w:pPr>
    </w:p>
    <w:p w14:paraId="1B9A0959" w14:textId="540A0336" w:rsidR="000131F8" w:rsidRPr="00903C16" w:rsidRDefault="00F252EC" w:rsidP="009D0C27">
      <w:pPr>
        <w:ind w:left="720" w:hanging="720"/>
        <w:rPr>
          <w:b/>
          <w:bCs/>
          <w:color w:val="auto"/>
        </w:rPr>
      </w:pPr>
      <w:r>
        <w:rPr>
          <w:b/>
          <w:bCs/>
          <w:color w:val="auto"/>
        </w:rPr>
        <w:lastRenderedPageBreak/>
        <w:t>Ambulance Service</w:t>
      </w:r>
      <w:r w:rsidR="000131F8" w:rsidRPr="00903C16">
        <w:rPr>
          <w:b/>
          <w:bCs/>
          <w:color w:val="auto"/>
        </w:rPr>
        <w:t xml:space="preserve"> Challenges</w:t>
      </w:r>
      <w:r>
        <w:rPr>
          <w:b/>
          <w:bCs/>
          <w:color w:val="auto"/>
        </w:rPr>
        <w:t xml:space="preserve"> and Opportunities</w:t>
      </w:r>
    </w:p>
    <w:p w14:paraId="063B2D06" w14:textId="4EDA835E" w:rsidR="00913EE1" w:rsidRPr="00903C16" w:rsidRDefault="00386254" w:rsidP="009D0C27">
      <w:pPr>
        <w:pStyle w:val="ListParagraph"/>
        <w:numPr>
          <w:ilvl w:val="1"/>
          <w:numId w:val="20"/>
        </w:numPr>
        <w:spacing w:after="160"/>
      </w:pPr>
      <w:r w:rsidRPr="00903C16">
        <w:t xml:space="preserve">There is a common misconception that an ambulance is simply 'a blue light taxi' or that ambulances are staffed by paramedics whose main job is to transport someone to hospital. This narrow understanding of what the ambulance service does fails to reflect the broad and evolving role the service has to play within health and care systems, particularly as services become more integrated. One </w:t>
      </w:r>
      <w:r w:rsidR="0066576B">
        <w:t xml:space="preserve">broader </w:t>
      </w:r>
      <w:r w:rsidRPr="00903C16">
        <w:t>challenge for the NHS is to try to shift public perception and increase understanding of the important role ambulance services can play as a front door to the NHS (particularly given many ambulance trusts also manage the NHS 111 service), in signposting and referring frequent and vulnerable patients to other services, and in delivering clinical treatment and care.</w:t>
      </w:r>
    </w:p>
    <w:p w14:paraId="1BD224D3" w14:textId="5FEC79A9" w:rsidR="00913EE1" w:rsidRPr="00903C16" w:rsidRDefault="00DB4A12" w:rsidP="009D0C27">
      <w:pPr>
        <w:pStyle w:val="ListParagraph"/>
        <w:numPr>
          <w:ilvl w:val="1"/>
          <w:numId w:val="20"/>
        </w:numPr>
        <w:spacing w:after="160"/>
      </w:pPr>
      <w:r w:rsidRPr="00903C16">
        <w:t>Similarly to the rest of the health and care sector, the ambulance service has struggled due to large increases in demand, a lack of funding and widespread workforce shortages. The service experiences higher levels of sickness absence than other services and ambulance staff are more likely to be physically assaulted or experience verbal abuse when working.</w:t>
      </w:r>
    </w:p>
    <w:p w14:paraId="14F0EC46" w14:textId="1125D78F" w:rsidR="00913EE1" w:rsidRPr="00903C16" w:rsidRDefault="009603A7" w:rsidP="009D0C27">
      <w:pPr>
        <w:pStyle w:val="ListParagraph"/>
        <w:numPr>
          <w:ilvl w:val="1"/>
          <w:numId w:val="20"/>
        </w:numPr>
        <w:spacing w:after="160"/>
      </w:pPr>
      <w:r w:rsidRPr="00903C16">
        <w:t xml:space="preserve">A huge challenge </w:t>
      </w:r>
      <w:r w:rsidR="00866F5C">
        <w:t>many ambulance services see is a “bottleneck”</w:t>
      </w:r>
      <w:r w:rsidRPr="00903C16">
        <w:t xml:space="preserve"> when staff and vehicles are delayed handing patients over to acute hospitals. This happens when hospitals are running at capacity and there are no beds available. These delays result with the risk to patients being extended from the hospital, out into the community, as ambulances are unable to be re-deployed to people waiting for an ambulance; meaning people have to wait longer due to other parts of the health system.</w:t>
      </w:r>
    </w:p>
    <w:p w14:paraId="107871C4" w14:textId="569522AD" w:rsidR="00913EE1" w:rsidRPr="00903C16" w:rsidRDefault="00866F5C" w:rsidP="009D0C27">
      <w:pPr>
        <w:pStyle w:val="ListParagraph"/>
        <w:numPr>
          <w:ilvl w:val="1"/>
          <w:numId w:val="20"/>
        </w:numPr>
        <w:spacing w:after="160"/>
      </w:pPr>
      <w:r>
        <w:t>Another concern is t</w:t>
      </w:r>
      <w:r w:rsidR="00A54F55" w:rsidRPr="00903C16">
        <w:t xml:space="preserve">he potential loss of more senior and experienced staff to primary care at a time when ambulance trusts are already understaffed and struggling to recruit to the levels they need. The service could lose vital mentoring and supervisory capacity, </w:t>
      </w:r>
      <w:r>
        <w:t>impacting</w:t>
      </w:r>
      <w:r w:rsidR="00A54F55" w:rsidRPr="00903C16">
        <w:t xml:space="preserve"> the quality of the whole Emergency Care system. Appropriate training must therefore be factored in to </w:t>
      </w:r>
      <w:r w:rsidR="00A54F55" w:rsidRPr="00903C16">
        <w:lastRenderedPageBreak/>
        <w:t>equip paramedics with the right skills to manage lower acuity cases in primary care.</w:t>
      </w:r>
    </w:p>
    <w:p w14:paraId="0A872B0A" w14:textId="1CD6E0D5" w:rsidR="00913EE1" w:rsidRPr="00903C16" w:rsidRDefault="00781C3D" w:rsidP="009D0C27">
      <w:pPr>
        <w:pStyle w:val="ListParagraph"/>
        <w:numPr>
          <w:ilvl w:val="1"/>
          <w:numId w:val="20"/>
        </w:numPr>
        <w:spacing w:after="160"/>
      </w:pPr>
      <w:r w:rsidRPr="00903C16">
        <w:t xml:space="preserve">Ambulance Trusts receive funding through annual NHS Service Level Agreements made with primary care trusts and clinical commissioning groups in a particular geographic area. </w:t>
      </w:r>
      <w:r w:rsidR="0081108D">
        <w:t>Often this funding falls short; some a</w:t>
      </w:r>
      <w:r w:rsidRPr="00903C16">
        <w:t>mbulance trusts also generate income from their attendance at public events like music festivals, and from the provision of commercial training. Many have charitable funds that also receive donations. Each Ambulance Trust has a Board which allocates it annual expenditure.</w:t>
      </w:r>
    </w:p>
    <w:p w14:paraId="410D8E97" w14:textId="383C82F4" w:rsidR="00913EE1" w:rsidRPr="00903C16" w:rsidRDefault="00781C3D" w:rsidP="009D0C27">
      <w:pPr>
        <w:pStyle w:val="ListParagraph"/>
        <w:numPr>
          <w:ilvl w:val="1"/>
          <w:numId w:val="20"/>
        </w:numPr>
        <w:spacing w:after="160"/>
      </w:pPr>
      <w:r w:rsidRPr="00903C16">
        <w:t xml:space="preserve">Ambulance service provision has historically been under-funded, with financial settlements not keeping up with ever-increasing demand faced by the sector. This has </w:t>
      </w:r>
      <w:r w:rsidR="008A2E45">
        <w:t>a</w:t>
      </w:r>
      <w:r w:rsidRPr="00903C16">
        <w:t xml:space="preserve"> negative impact on patient experience and clinical outcomes, as well as the mental health and wellbeing of ambulance service staff. The latest independent demand and capacity review modelling commissioned for ambulance trusts in England forecasts an annual funding gap of £237.5m</w:t>
      </w:r>
      <w:r w:rsidR="0081108D">
        <w:rPr>
          <w:rStyle w:val="FootnoteReference"/>
        </w:rPr>
        <w:footnoteReference w:id="11"/>
      </w:r>
      <w:r w:rsidRPr="00903C16">
        <w:t>.</w:t>
      </w:r>
    </w:p>
    <w:p w14:paraId="78226F2C" w14:textId="657A6037" w:rsidR="00913EE1" w:rsidRPr="00903C16" w:rsidRDefault="00C64D67" w:rsidP="009D0C27">
      <w:pPr>
        <w:pStyle w:val="ListParagraph"/>
        <w:numPr>
          <w:ilvl w:val="1"/>
          <w:numId w:val="20"/>
        </w:numPr>
        <w:spacing w:after="160"/>
      </w:pPr>
      <w:r w:rsidRPr="00903C16">
        <w:t>The ambulance se</w:t>
      </w:r>
      <w:r w:rsidR="008A2E45">
        <w:t>rvices</w:t>
      </w:r>
      <w:r w:rsidRPr="00903C16">
        <w:t xml:space="preserve"> made a significant and highly-valued contribution to the COVID</w:t>
      </w:r>
      <w:r w:rsidR="3D926486" w:rsidRPr="00903C16">
        <w:t>-</w:t>
      </w:r>
      <w:r w:rsidRPr="00903C16">
        <w:t>19 pandemic health response across the country. During the first wave, ambulance services received additional funding to enable them to increase capacity to address the challenges they were faced with. Learning from COVID</w:t>
      </w:r>
      <w:r w:rsidR="3FEE0146" w:rsidRPr="00903C16">
        <w:t>-</w:t>
      </w:r>
      <w:r w:rsidRPr="00903C16">
        <w:t>19 strongly highlights the need for ambulance services to be adequately funded on a recurrent basis, so that their capacity to respond safely to predicted demand can be fully and appropriately resourced with the necessary skill mix all year round.</w:t>
      </w:r>
      <w:r w:rsidR="000C72A8" w:rsidRPr="000C72A8">
        <w:t xml:space="preserve"> </w:t>
      </w:r>
      <w:r w:rsidR="000C72A8">
        <w:t>Call demand for NWAS 111 has remained 40% above pre-</w:t>
      </w:r>
      <w:r w:rsidR="00057E34">
        <w:t>pandemic</w:t>
      </w:r>
      <w:r w:rsidR="000C72A8">
        <w:t xml:space="preserve"> levels throughout the past year</w:t>
      </w:r>
      <w:r w:rsidR="00E353F0">
        <w:rPr>
          <w:rStyle w:val="FootnoteReference"/>
        </w:rPr>
        <w:footnoteReference w:id="12"/>
      </w:r>
      <w:r w:rsidR="000C72A8">
        <w:t>. Throughout COVID</w:t>
      </w:r>
      <w:r w:rsidR="62C58D74">
        <w:t>-</w:t>
      </w:r>
      <w:r w:rsidR="000C72A8">
        <w:t xml:space="preserve">19, the </w:t>
      </w:r>
      <w:r w:rsidR="00375652">
        <w:t>111-service</w:t>
      </w:r>
      <w:r w:rsidR="000C72A8">
        <w:t xml:space="preserve"> expanded rapidly with non-recurrent funding to </w:t>
      </w:r>
      <w:r w:rsidR="000C72A8">
        <w:lastRenderedPageBreak/>
        <w:t>support a growth in call demand. Unfortunately, the current call volume continues to outstrip the 111 funding.</w:t>
      </w:r>
    </w:p>
    <w:p w14:paraId="38B13C68" w14:textId="68575B92" w:rsidR="00FC60FA" w:rsidRPr="00903C16" w:rsidRDefault="00DB4A12" w:rsidP="009D0C27">
      <w:pPr>
        <w:pStyle w:val="ListParagraph"/>
        <w:numPr>
          <w:ilvl w:val="1"/>
          <w:numId w:val="20"/>
        </w:numPr>
        <w:spacing w:after="160"/>
      </w:pPr>
      <w:r w:rsidRPr="00903C16">
        <w:t>Whilst demand, money and recruitment</w:t>
      </w:r>
      <w:r w:rsidR="007A729A">
        <w:t>/</w:t>
      </w:r>
      <w:r w:rsidRPr="00903C16">
        <w:t xml:space="preserve">retention challenges are in some way consistent across ambulance trusts, there are a range of factors that can impact the operational model and performance of an ambulance service. There is variation in terms of: </w:t>
      </w:r>
    </w:p>
    <w:p w14:paraId="61A107B1" w14:textId="4FFC913E" w:rsidR="00FC60FA" w:rsidRPr="00903C16" w:rsidRDefault="00DB4A12" w:rsidP="009D0C27">
      <w:pPr>
        <w:pStyle w:val="ListParagraph"/>
        <w:numPr>
          <w:ilvl w:val="0"/>
          <w:numId w:val="26"/>
        </w:numPr>
      </w:pPr>
      <w:r>
        <w:t xml:space="preserve">The size of the different </w:t>
      </w:r>
      <w:r w:rsidR="009603A7">
        <w:t>geography’s</w:t>
      </w:r>
      <w:r>
        <w:t xml:space="preserve"> population count </w:t>
      </w:r>
    </w:p>
    <w:p w14:paraId="3C6A5845" w14:textId="275CC6B9" w:rsidR="00FC60FA" w:rsidRPr="00903C16" w:rsidRDefault="00DB4A12" w:rsidP="009D0C27">
      <w:pPr>
        <w:pStyle w:val="ListParagraph"/>
        <w:numPr>
          <w:ilvl w:val="0"/>
          <w:numId w:val="26"/>
        </w:numPr>
      </w:pPr>
      <w:r>
        <w:t xml:space="preserve">Population profile – in particular around age </w:t>
      </w:r>
    </w:p>
    <w:p w14:paraId="2FE81DF5" w14:textId="77777777" w:rsidR="00FC60FA" w:rsidRPr="00903C16" w:rsidRDefault="00DB4A12" w:rsidP="009D0C27">
      <w:pPr>
        <w:pStyle w:val="ListParagraph"/>
        <w:numPr>
          <w:ilvl w:val="0"/>
          <w:numId w:val="26"/>
        </w:numPr>
      </w:pPr>
      <w:r w:rsidRPr="00903C16">
        <w:t>How rural or urban the geography i.e. spread of densely populated cities and more sparsely populated areas</w:t>
      </w:r>
    </w:p>
    <w:p w14:paraId="1264832F" w14:textId="77777777" w:rsidR="00FC60FA" w:rsidRPr="00903C16" w:rsidRDefault="00DB4A12" w:rsidP="009D0C27">
      <w:pPr>
        <w:pStyle w:val="ListParagraph"/>
        <w:numPr>
          <w:ilvl w:val="0"/>
          <w:numId w:val="26"/>
        </w:numPr>
      </w:pPr>
      <w:r w:rsidRPr="00903C16">
        <w:t>The number and spread of A&amp;E departments</w:t>
      </w:r>
    </w:p>
    <w:p w14:paraId="32D24878" w14:textId="77777777" w:rsidR="00FC60FA" w:rsidRPr="00903C16" w:rsidRDefault="00DB4A12" w:rsidP="009D0C27">
      <w:pPr>
        <w:pStyle w:val="ListParagraph"/>
        <w:numPr>
          <w:ilvl w:val="0"/>
          <w:numId w:val="26"/>
        </w:numPr>
      </w:pPr>
      <w:r w:rsidRPr="00903C16">
        <w:t xml:space="preserve">The different health and care systems e.g. the number and type of specialist services, </w:t>
      </w:r>
    </w:p>
    <w:p w14:paraId="55B20B16" w14:textId="34047798" w:rsidR="00FC60FA" w:rsidRPr="00903C16" w:rsidRDefault="00DB4A12" w:rsidP="009D0C27">
      <w:pPr>
        <w:pStyle w:val="ListParagraph"/>
        <w:numPr>
          <w:ilvl w:val="0"/>
          <w:numId w:val="26"/>
        </w:numPr>
      </w:pPr>
      <w:r w:rsidRPr="00903C16">
        <w:t xml:space="preserve">The performance and </w:t>
      </w:r>
      <w:r w:rsidR="00885A9C">
        <w:t xml:space="preserve">patient </w:t>
      </w:r>
      <w:r w:rsidRPr="00903C16">
        <w:t>flow in local acute hospitals</w:t>
      </w:r>
    </w:p>
    <w:p w14:paraId="153EF085" w14:textId="2609814C" w:rsidR="00DB4A12" w:rsidRPr="00903C16" w:rsidRDefault="00DB4A12" w:rsidP="009D0C27">
      <w:pPr>
        <w:pStyle w:val="ListParagraph"/>
        <w:numPr>
          <w:ilvl w:val="0"/>
          <w:numId w:val="26"/>
        </w:numPr>
      </w:pPr>
      <w:r w:rsidRPr="00903C16">
        <w:t>The quality of community services, care homes and primary care, other emergency services including the fire service and police service.</w:t>
      </w:r>
    </w:p>
    <w:p w14:paraId="064428B6" w14:textId="77777777" w:rsidR="00F252EC" w:rsidRDefault="00F252EC" w:rsidP="009D0C27">
      <w:pPr>
        <w:spacing w:line="259" w:lineRule="auto"/>
        <w:rPr>
          <w:b/>
          <w:bCs/>
          <w:color w:val="auto"/>
          <w:sz w:val="32"/>
          <w:szCs w:val="24"/>
        </w:rPr>
      </w:pPr>
      <w:r>
        <w:rPr>
          <w:color w:val="auto"/>
        </w:rPr>
        <w:br w:type="page"/>
      </w:r>
    </w:p>
    <w:p w14:paraId="0BF8004B" w14:textId="76607326" w:rsidR="00AC04F9" w:rsidRPr="00903C16" w:rsidRDefault="009D3AE0">
      <w:pPr>
        <w:pStyle w:val="Heading3"/>
        <w:numPr>
          <w:ilvl w:val="0"/>
          <w:numId w:val="3"/>
        </w:numPr>
        <w:rPr>
          <w:color w:val="auto"/>
        </w:rPr>
      </w:pPr>
      <w:bookmarkStart w:id="5" w:name="_Toc125643720"/>
      <w:r w:rsidRPr="00903C16">
        <w:rPr>
          <w:color w:val="auto"/>
        </w:rPr>
        <w:lastRenderedPageBreak/>
        <w:t>Industry Context</w:t>
      </w:r>
      <w:bookmarkEnd w:id="5"/>
      <w:r w:rsidRPr="00903C16">
        <w:rPr>
          <w:color w:val="auto"/>
        </w:rPr>
        <w:t xml:space="preserve"> </w:t>
      </w:r>
    </w:p>
    <w:p w14:paraId="61F2F8EC" w14:textId="40B39875" w:rsidR="0046328E" w:rsidRDefault="00C01653" w:rsidP="00C01653">
      <w:pPr>
        <w:ind w:left="720" w:hanging="720"/>
      </w:pPr>
      <w:r>
        <w:t>(2.1)</w:t>
      </w:r>
      <w:r>
        <w:tab/>
      </w:r>
      <w:r w:rsidR="00EC5C6C">
        <w:t xml:space="preserve">The Emergency Services are funded </w:t>
      </w:r>
      <w:r w:rsidR="00571DDE">
        <w:t>directly by central government departments</w:t>
      </w:r>
      <w:r w:rsidR="006129F5">
        <w:t xml:space="preserve"> </w:t>
      </w:r>
      <w:r w:rsidR="193BA6B6">
        <w:t xml:space="preserve">and </w:t>
      </w:r>
      <w:r w:rsidR="006129F5">
        <w:t>so as a result</w:t>
      </w:r>
      <w:r w:rsidR="3F8F5C6A">
        <w:t>,</w:t>
      </w:r>
      <w:r w:rsidR="006129F5">
        <w:t xml:space="preserve"> are more vulnerable to policy changes</w:t>
      </w:r>
      <w:r w:rsidR="00571DDE">
        <w:t xml:space="preserve">. </w:t>
      </w:r>
      <w:r w:rsidR="0046328E" w:rsidRPr="00E3000C">
        <w:t xml:space="preserve">While the Police and Fire services are overseen by the Home Office, the Department of Health is responsible for the National Health Service, and by extension the Emergency Medical Services. Like many publicly-funded institutions in the United Kingdom, the emergency services have had to cope with years of budget cuts pursued by British governments since 2010. Between 2009/10 and 2013/14, for example, the Police Service expenditure for the UK fell from </w:t>
      </w:r>
      <w:r w:rsidR="0046328E">
        <w:t>£</w:t>
      </w:r>
      <w:r w:rsidR="0046328E" w:rsidRPr="00B741A2">
        <w:t>19.3bn to £16.35bn</w:t>
      </w:r>
      <w:r w:rsidR="008E44B7">
        <w:t xml:space="preserve"> </w:t>
      </w:r>
      <w:r w:rsidR="00DC0363">
        <w:t xml:space="preserve">in nominal terms </w:t>
      </w:r>
      <w:r w:rsidR="008E44B7">
        <w:t>and continued to decline until 2017</w:t>
      </w:r>
      <w:r w:rsidR="008E44B7">
        <w:rPr>
          <w:rStyle w:val="FootnoteReference"/>
        </w:rPr>
        <w:footnoteReference w:id="13"/>
      </w:r>
      <w:r w:rsidR="0046328E" w:rsidRPr="00E3000C">
        <w:t xml:space="preserve">. </w:t>
      </w:r>
      <w:r w:rsidR="00DC0363">
        <w:t>The amount of</w:t>
      </w:r>
      <w:r w:rsidR="00F31576">
        <w:t xml:space="preserve"> </w:t>
      </w:r>
      <w:r w:rsidR="00B62A40">
        <w:t>public s</w:t>
      </w:r>
      <w:r w:rsidR="003823C0">
        <w:t xml:space="preserve">pending on </w:t>
      </w:r>
      <w:r w:rsidR="00820DDC">
        <w:t xml:space="preserve">the </w:t>
      </w:r>
      <w:r w:rsidR="00851B45">
        <w:t xml:space="preserve">police service has risen </w:t>
      </w:r>
      <w:r w:rsidR="00393098">
        <w:t xml:space="preserve">since </w:t>
      </w:r>
      <w:r w:rsidR="00FA198B">
        <w:t>then</w:t>
      </w:r>
      <w:r w:rsidR="00087C22">
        <w:t xml:space="preserve"> and was £24.9</w:t>
      </w:r>
      <w:r w:rsidR="003D089A">
        <w:t>bn in 2022.</w:t>
      </w:r>
      <w:r w:rsidR="00FA198B">
        <w:t xml:space="preserve"> </w:t>
      </w:r>
      <w:r w:rsidR="0046328E" w:rsidRPr="00E3000C">
        <w:t xml:space="preserve">Fire services expenditure also declined during this period, experiencing a net decrease of around </w:t>
      </w:r>
      <w:r w:rsidR="0046328E">
        <w:t>£</w:t>
      </w:r>
      <w:r w:rsidR="0046328E" w:rsidRPr="00E3000C">
        <w:t>30</w:t>
      </w:r>
      <w:r w:rsidR="0046328E">
        <w:t>m</w:t>
      </w:r>
      <w:r w:rsidR="0046328E" w:rsidRPr="00E3000C">
        <w:t xml:space="preserve"> between 2009/10 and 2018/19. There have been spending increases in this area since 2018/19, however, rising to </w:t>
      </w:r>
      <w:r w:rsidR="00420B93">
        <w:t>£3.1bn</w:t>
      </w:r>
      <w:r w:rsidR="0046328E" w:rsidRPr="00E3000C">
        <w:t xml:space="preserve"> by 2020/21</w:t>
      </w:r>
      <w:r w:rsidR="0046328E">
        <w:rPr>
          <w:rStyle w:val="FootnoteReference"/>
        </w:rPr>
        <w:footnoteReference w:id="14"/>
      </w:r>
      <w:r w:rsidR="0046328E" w:rsidRPr="00E3000C">
        <w:t xml:space="preserve">. </w:t>
      </w:r>
    </w:p>
    <w:p w14:paraId="41445CFC" w14:textId="0A5249BE" w:rsidR="0046328E" w:rsidRDefault="00C01653" w:rsidP="00C01653">
      <w:pPr>
        <w:ind w:left="720" w:hanging="720"/>
      </w:pPr>
      <w:r>
        <w:t>(2.2)</w:t>
      </w:r>
      <w:r>
        <w:tab/>
      </w:r>
      <w:r w:rsidR="00A33902">
        <w:t xml:space="preserve">Less funding led to </w:t>
      </w:r>
      <w:r w:rsidR="00420B93">
        <w:t>staffing cuts in most areas of the Emergency Services</w:t>
      </w:r>
      <w:r w:rsidR="0046328E" w:rsidRPr="00903C16">
        <w:t>. In 2010, for example, there were over 14</w:t>
      </w:r>
      <w:r w:rsidR="0046328E">
        <w:t>3,000</w:t>
      </w:r>
      <w:r w:rsidR="0046328E" w:rsidRPr="00903C16">
        <w:t xml:space="preserve"> police officers in England and Wales, compared with just over 123</w:t>
      </w:r>
      <w:r w:rsidR="0046328E">
        <w:t xml:space="preserve">,000 </w:t>
      </w:r>
      <w:r w:rsidR="0046328E" w:rsidRPr="00903C16">
        <w:t>in 2019. The number of fire and rescue workers in England decreased by approximately 1</w:t>
      </w:r>
      <w:r w:rsidR="0046328E">
        <w:t xml:space="preserve">0,000 </w:t>
      </w:r>
      <w:r w:rsidR="0046328E" w:rsidRPr="00903C16">
        <w:t>during the same time period.</w:t>
      </w:r>
      <w:r w:rsidR="0046328E">
        <w:rPr>
          <w:rStyle w:val="FootnoteReference"/>
        </w:rPr>
        <w:footnoteReference w:id="15"/>
      </w:r>
      <w:r w:rsidR="0046328E" w:rsidRPr="00903C16">
        <w:t xml:space="preserve"> </w:t>
      </w:r>
    </w:p>
    <w:p w14:paraId="76B014EC" w14:textId="2DF636C0" w:rsidR="0046328E" w:rsidRDefault="00C01653" w:rsidP="00C01653">
      <w:pPr>
        <w:ind w:left="720" w:hanging="720"/>
      </w:pPr>
      <w:r>
        <w:t>(2.3)</w:t>
      </w:r>
      <w:r>
        <w:tab/>
      </w:r>
      <w:r w:rsidR="0046328E" w:rsidRPr="00903C16">
        <w:t xml:space="preserve">Unlike the police and fire services, the number of ambulance staff in England </w:t>
      </w:r>
      <w:r w:rsidR="002F7CC8">
        <w:t xml:space="preserve">saw a large increase </w:t>
      </w:r>
      <w:r w:rsidR="00657B1F">
        <w:t>in the past decade</w:t>
      </w:r>
      <w:r w:rsidR="0046328E" w:rsidRPr="00903C16">
        <w:t>, reaching a peak of over 2</w:t>
      </w:r>
      <w:r w:rsidR="0046328E">
        <w:t>1,000</w:t>
      </w:r>
      <w:r w:rsidR="0046328E" w:rsidRPr="00903C16">
        <w:t xml:space="preserve"> qualified staff in 2019, although this fell again to just 16</w:t>
      </w:r>
      <w:r w:rsidR="0046328E">
        <w:t>,700</w:t>
      </w:r>
      <w:r w:rsidR="0046328E" w:rsidRPr="00903C16">
        <w:t xml:space="preserve"> in 2020. Ambulances in the United Kingdom have also had to contend with rising demand for their services, and in late 2019 less than 69 percent of who people who attended accident and emergency (A&amp;E) departments in England </w:t>
      </w:r>
      <w:r w:rsidR="0046328E" w:rsidRPr="00903C16">
        <w:lastRenderedPageBreak/>
        <w:t>were seen within four hours, missing the target of 95 percent. The last time this target was met was in June 2013, when 95.3 percent of patients were seen within four hours of arriving at A&amp;E</w:t>
      </w:r>
      <w:r w:rsidR="0046328E">
        <w:rPr>
          <w:rStyle w:val="FootnoteReference"/>
        </w:rPr>
        <w:footnoteReference w:id="16"/>
      </w:r>
      <w:r w:rsidR="0046328E">
        <w:t>.</w:t>
      </w:r>
    </w:p>
    <w:p w14:paraId="5A51B899" w14:textId="5E2AAC1D" w:rsidR="0046328E" w:rsidRDefault="00DC5D51" w:rsidP="00C01653">
      <w:pPr>
        <w:ind w:left="720" w:hanging="720"/>
      </w:pPr>
      <w:r>
        <w:t>(2.4)</w:t>
      </w:r>
      <w:r>
        <w:tab/>
      </w:r>
      <w:r w:rsidR="0046328E">
        <w:t xml:space="preserve">All these factors mean that this is a challenging time for the emergency services. With a growing, ageing, and more diverse population there are new skill needs and the workforce must be equipped to meet new challenges. Almost everyone in </w:t>
      </w:r>
      <w:r w:rsidR="003079C3">
        <w:t>a</w:t>
      </w:r>
      <w:r w:rsidR="0046328E">
        <w:t xml:space="preserve"> city</w:t>
      </w:r>
      <w:r w:rsidR="54AFC977">
        <w:t xml:space="preserve"> </w:t>
      </w:r>
      <w:r w:rsidR="0046328E">
        <w:t>region</w:t>
      </w:r>
      <w:r w:rsidR="003079C3">
        <w:t xml:space="preserve"> like GM</w:t>
      </w:r>
      <w:r w:rsidR="0046328E">
        <w:t xml:space="preserve"> will need these services at some point in their life - usually at a time of their greatest stress. There are systemic </w:t>
      </w:r>
      <w:r w:rsidR="003079C3">
        <w:t>challenges</w:t>
      </w:r>
      <w:r w:rsidR="0046328E">
        <w:t xml:space="preserve"> on each of these services, but this report aims to consider what can be done </w:t>
      </w:r>
      <w:r w:rsidR="002370CE">
        <w:t xml:space="preserve">to adjust skills and work policy </w:t>
      </w:r>
      <w:r w:rsidR="0046328E">
        <w:t>within GM.</w:t>
      </w:r>
    </w:p>
    <w:p w14:paraId="746DDB38" w14:textId="489B88B5" w:rsidR="0046328E" w:rsidRDefault="00DC5D51" w:rsidP="00C01653">
      <w:pPr>
        <w:ind w:left="720" w:hanging="720"/>
      </w:pPr>
      <w:r>
        <w:t>(2.5)</w:t>
      </w:r>
      <w:r>
        <w:tab/>
      </w:r>
      <w:r w:rsidR="00F252EC">
        <w:t>Preventing an emergency</w:t>
      </w:r>
      <w:r w:rsidR="00091B8D">
        <w:t xml:space="preserve"> from happening altogether</w:t>
      </w:r>
      <w:r w:rsidR="00F252EC">
        <w:t xml:space="preserve"> is far safer and more effective than responding to one after</w:t>
      </w:r>
      <w:r w:rsidR="41257876">
        <w:t xml:space="preserve"> the fact</w:t>
      </w:r>
      <w:r w:rsidR="00F252EC">
        <w:t xml:space="preserve">. Working together addressing local problems is best achieved through integrated working with other agencies and Greater Manchester’s advanced devolved structures afford the region more opportunity to do this than other places. GMFRS, Greater Manchester Police (GMP) and the region’s 10 local authorities share the same Greater Manchester geographical boundaries, supporting the ambition of creating a single integrated public service team. </w:t>
      </w:r>
      <w:r w:rsidR="002270A8">
        <w:t xml:space="preserve">There are already crossovers. </w:t>
      </w:r>
      <w:r w:rsidR="00F252EC">
        <w:t xml:space="preserve">GMP’s priorities include keeping people safe; reducing harm; and strengthening communities and places - aims that GMFRS also shares. </w:t>
      </w:r>
    </w:p>
    <w:p w14:paraId="21FFB0AC" w14:textId="1C2D4F48" w:rsidR="0046328E" w:rsidRDefault="00DC5D51" w:rsidP="00C01653">
      <w:pPr>
        <w:ind w:left="720" w:hanging="720"/>
      </w:pPr>
      <w:r>
        <w:t>(2.6)</w:t>
      </w:r>
      <w:r>
        <w:tab/>
      </w:r>
      <w:r w:rsidR="00F252EC" w:rsidRPr="0046328E">
        <w:t xml:space="preserve">The locations that demand the most resources from GMFRS, GMP and local authorities are frequently the same. For instance, </w:t>
      </w:r>
      <w:r w:rsidR="00CD138F">
        <w:t>mapping</w:t>
      </w:r>
      <w:r w:rsidR="00F252EC" w:rsidRPr="0046328E">
        <w:t xml:space="preserve"> the location of certain kinds of deliberate fires and the location of anti-social behaviour incidents</w:t>
      </w:r>
      <w:r w:rsidR="00CD138F">
        <w:t xml:space="preserve"> reveals that the two</w:t>
      </w:r>
      <w:r w:rsidR="00F252EC" w:rsidRPr="0046328E">
        <w:t xml:space="preserve"> very closely correlate. A joint preventative approach with these other services is the most effective way of tackling these threats. </w:t>
      </w:r>
      <w:r w:rsidR="007F18A3">
        <w:t xml:space="preserve">Some </w:t>
      </w:r>
      <w:r w:rsidR="00F252EC" w:rsidRPr="0046328E">
        <w:t>framework</w:t>
      </w:r>
      <w:r w:rsidR="007F18A3">
        <w:t>s</w:t>
      </w:r>
      <w:r w:rsidR="00F252EC" w:rsidRPr="0046328E">
        <w:t xml:space="preserve"> for joint and integrated working already exists in Greater Manchester. For instance, Community Safety Partnerships bring </w:t>
      </w:r>
      <w:r w:rsidR="00F252EC" w:rsidRPr="0046328E">
        <w:lastRenderedPageBreak/>
        <w:t>together different public services to address local problems collectively. Place-based teams exist across the region, tackling local problems together, sometimes in an integrated way, where officers from different organisations serve as a single public service team, with the same priorities, aims and outcomes</w:t>
      </w:r>
      <w:r w:rsidR="0046328E">
        <w:t>.</w:t>
      </w:r>
    </w:p>
    <w:p w14:paraId="4DC640FA" w14:textId="12018E30" w:rsidR="00F252EC" w:rsidRPr="0046328E" w:rsidRDefault="004435B9" w:rsidP="00DC5D51">
      <w:pPr>
        <w:pStyle w:val="ListParagraph"/>
        <w:numPr>
          <w:ilvl w:val="1"/>
          <w:numId w:val="36"/>
        </w:numPr>
      </w:pPr>
      <w:r>
        <w:t xml:space="preserve">GM’s emergency services have various factors </w:t>
      </w:r>
      <w:r w:rsidR="00353AAD">
        <w:t>which are characteristics of the city region w</w:t>
      </w:r>
      <w:r w:rsidR="00697D6F">
        <w:t>hich impact</w:t>
      </w:r>
      <w:r>
        <w:t xml:space="preserve"> service delivery,</w:t>
      </w:r>
      <w:r w:rsidR="00F252EC" w:rsidRPr="0046328E">
        <w:t xml:space="preserve"> inclu</w:t>
      </w:r>
      <w:r>
        <w:t>ding:</w:t>
      </w:r>
    </w:p>
    <w:p w14:paraId="49B78CB0" w14:textId="77777777" w:rsidR="00F252EC" w:rsidRPr="00903C16" w:rsidRDefault="00F252EC" w:rsidP="00B62A95">
      <w:pPr>
        <w:pStyle w:val="ListParagraph"/>
        <w:numPr>
          <w:ilvl w:val="0"/>
          <w:numId w:val="11"/>
        </w:numPr>
      </w:pPr>
      <w:r w:rsidRPr="00903C16">
        <w:t>1.22 million households, a quarter of which are in areas which are in the top 10% most deprived nationally</w:t>
      </w:r>
    </w:p>
    <w:p w14:paraId="219D1BEC" w14:textId="77777777" w:rsidR="00F252EC" w:rsidRPr="00903C16" w:rsidRDefault="00F252EC" w:rsidP="00B62A95">
      <w:pPr>
        <w:pStyle w:val="ListParagraph"/>
        <w:numPr>
          <w:ilvl w:val="0"/>
          <w:numId w:val="11"/>
        </w:numPr>
      </w:pPr>
      <w:r w:rsidRPr="00903C16">
        <w:t>57 towns and city centres</w:t>
      </w:r>
    </w:p>
    <w:p w14:paraId="2344FA5D" w14:textId="77777777" w:rsidR="00F252EC" w:rsidRPr="00903C16" w:rsidRDefault="00F252EC" w:rsidP="00B62A95">
      <w:pPr>
        <w:pStyle w:val="ListParagraph"/>
        <w:numPr>
          <w:ilvl w:val="0"/>
          <w:numId w:val="11"/>
        </w:numPr>
      </w:pPr>
      <w:r w:rsidRPr="00903C16">
        <w:t>130 miles of railways</w:t>
      </w:r>
    </w:p>
    <w:p w14:paraId="28457C28" w14:textId="77777777" w:rsidR="00F252EC" w:rsidRPr="00903C16" w:rsidRDefault="00F252EC" w:rsidP="00B62A95">
      <w:pPr>
        <w:pStyle w:val="ListParagraph"/>
        <w:numPr>
          <w:ilvl w:val="0"/>
          <w:numId w:val="11"/>
        </w:numPr>
      </w:pPr>
      <w:r w:rsidRPr="00903C16">
        <w:t>39 Control Of Major Accident Sites</w:t>
      </w:r>
    </w:p>
    <w:p w14:paraId="0CB8D11E" w14:textId="6B2C0D39" w:rsidR="00F252EC" w:rsidRPr="00903C16" w:rsidRDefault="00F252EC" w:rsidP="00B62A95">
      <w:pPr>
        <w:pStyle w:val="ListParagraph"/>
        <w:numPr>
          <w:ilvl w:val="0"/>
          <w:numId w:val="11"/>
        </w:numPr>
      </w:pPr>
      <w:r w:rsidRPr="00903C16">
        <w:t xml:space="preserve">62 miles of Metrolink </w:t>
      </w:r>
      <w:r w:rsidR="003C501E">
        <w:t>lines</w:t>
      </w:r>
    </w:p>
    <w:p w14:paraId="293B236C" w14:textId="77777777" w:rsidR="00F252EC" w:rsidRPr="00903C16" w:rsidRDefault="00F252EC" w:rsidP="00B62A95">
      <w:pPr>
        <w:pStyle w:val="ListParagraph"/>
        <w:numPr>
          <w:ilvl w:val="0"/>
          <w:numId w:val="11"/>
        </w:numPr>
      </w:pPr>
      <w:r w:rsidRPr="00903C16">
        <w:t>600+ high rise residential buildings</w:t>
      </w:r>
    </w:p>
    <w:p w14:paraId="5CCAB090" w14:textId="77777777" w:rsidR="00F252EC" w:rsidRPr="00D1273D" w:rsidRDefault="00F252EC" w:rsidP="00B62A95">
      <w:pPr>
        <w:pStyle w:val="ListParagraph"/>
        <w:numPr>
          <w:ilvl w:val="0"/>
          <w:numId w:val="11"/>
        </w:numPr>
      </w:pPr>
      <w:r w:rsidRPr="00903C16">
        <w:t>555,000 people living with long term health conditions</w:t>
      </w:r>
    </w:p>
    <w:p w14:paraId="0121573A" w14:textId="0DD87F1B" w:rsidR="00540AD2" w:rsidRPr="006204FA" w:rsidRDefault="001C7DF9" w:rsidP="001C7DF9">
      <w:pPr>
        <w:rPr>
          <w:b/>
          <w:bCs/>
          <w:color w:val="auto"/>
        </w:rPr>
      </w:pPr>
      <w:r w:rsidRPr="006204FA">
        <w:rPr>
          <w:b/>
          <w:bCs/>
          <w:color w:val="auto"/>
        </w:rPr>
        <w:t>Police</w:t>
      </w:r>
    </w:p>
    <w:p w14:paraId="5F72D417" w14:textId="2BD76556" w:rsidR="00C87C51" w:rsidRPr="00DC5D51" w:rsidRDefault="00DC5D51" w:rsidP="00C01653">
      <w:pPr>
        <w:ind w:left="720" w:hanging="720"/>
        <w:rPr>
          <w:color w:val="auto"/>
        </w:rPr>
      </w:pPr>
      <w:r w:rsidRPr="00DC5D51">
        <w:rPr>
          <w:color w:val="auto"/>
        </w:rPr>
        <w:t>(2.8)</w:t>
      </w:r>
      <w:r w:rsidRPr="00DC5D51">
        <w:rPr>
          <w:color w:val="auto"/>
        </w:rPr>
        <w:tab/>
      </w:r>
      <w:r w:rsidR="006204FA" w:rsidRPr="00DC5D51">
        <w:rPr>
          <w:color w:val="auto"/>
        </w:rPr>
        <w:t>Greater Manchester Police had a crime severity score of 19 for all crimes recorded in the year ending 31 March 2021</w:t>
      </w:r>
      <w:r w:rsidR="00E353F0" w:rsidRPr="00DC5D51">
        <w:rPr>
          <w:rStyle w:val="FootnoteReference"/>
          <w:color w:val="auto"/>
        </w:rPr>
        <w:footnoteReference w:id="17"/>
      </w:r>
      <w:r w:rsidR="006204FA" w:rsidRPr="00DC5D51">
        <w:rPr>
          <w:color w:val="auto"/>
        </w:rPr>
        <w:t>. This was the second highest score across forces in England and Wales. Crime severity scores tell us the amount of harm caused to society by crime for each force area. To calculate this score, all crimes recorded in a force are given different weightings based on their severity. More serious crimes have higher weightings and less serious crimes have lower weightings.</w:t>
      </w:r>
      <w:r w:rsidR="00C72F0D" w:rsidRPr="00DC5D51">
        <w:rPr>
          <w:color w:val="auto"/>
        </w:rPr>
        <w:t xml:space="preserve"> Greater Manchester Police has both severe and high crime demand. For offences recorded in the year ending 31 March 2021, only 8.5 percent resulted in action being taken. This is significantly below the average throughout forces in England and Wales of 14.4 percent.</w:t>
      </w:r>
      <w:r w:rsidR="00C87C51" w:rsidRPr="00DC5D51">
        <w:rPr>
          <w:color w:val="auto"/>
        </w:rPr>
        <w:t xml:space="preserve"> </w:t>
      </w:r>
    </w:p>
    <w:p w14:paraId="090ED85E" w14:textId="540A84A2" w:rsidR="00FE748F" w:rsidRDefault="000A6853" w:rsidP="000A6853">
      <w:pPr>
        <w:ind w:left="720" w:hanging="720"/>
        <w:rPr>
          <w:color w:val="auto"/>
        </w:rPr>
      </w:pPr>
      <w:r>
        <w:rPr>
          <w:color w:val="auto"/>
        </w:rPr>
        <w:lastRenderedPageBreak/>
        <w:t>(2.</w:t>
      </w:r>
      <w:r w:rsidR="00DC5D51">
        <w:rPr>
          <w:color w:val="auto"/>
        </w:rPr>
        <w:t>9</w:t>
      </w:r>
      <w:r>
        <w:rPr>
          <w:color w:val="auto"/>
        </w:rPr>
        <w:t>)</w:t>
      </w:r>
      <w:r>
        <w:rPr>
          <w:color w:val="auto"/>
        </w:rPr>
        <w:tab/>
      </w:r>
      <w:r w:rsidR="000C1D5B" w:rsidRPr="000C1D5B">
        <w:rPr>
          <w:color w:val="auto"/>
        </w:rPr>
        <w:t xml:space="preserve">Caution is needed with Greater Manchester Police’s crime severity score for the year ending 31 March 2021 due to the findings from victim service assessments for the force. For a review of records from April to June 2020, </w:t>
      </w:r>
      <w:r w:rsidR="00986FEA">
        <w:rPr>
          <w:color w:val="auto"/>
        </w:rPr>
        <w:t xml:space="preserve">its </w:t>
      </w:r>
      <w:r w:rsidR="000C1D5B" w:rsidRPr="000C1D5B">
        <w:rPr>
          <w:color w:val="auto"/>
        </w:rPr>
        <w:t>estimated that the force was recording 77.7</w:t>
      </w:r>
      <w:r w:rsidR="008E4337">
        <w:rPr>
          <w:color w:val="auto"/>
        </w:rPr>
        <w:t>%</w:t>
      </w:r>
      <w:r w:rsidR="000C1D5B" w:rsidRPr="000C1D5B">
        <w:rPr>
          <w:color w:val="auto"/>
        </w:rPr>
        <w:t xml:space="preserve"> of reports of crime (with a confidence interval of +/- 3.2</w:t>
      </w:r>
      <w:r w:rsidR="008E4337">
        <w:rPr>
          <w:color w:val="auto"/>
        </w:rPr>
        <w:t>%</w:t>
      </w:r>
      <w:r w:rsidR="000C1D5B" w:rsidRPr="000C1D5B">
        <w:rPr>
          <w:color w:val="auto"/>
        </w:rPr>
        <w:t>). As such, the force’s true crime severity score for the year ending 31 March 2021 may be higher than reported due to under-recording of crime in this period.</w:t>
      </w:r>
      <w:r w:rsidR="000C1D5B">
        <w:rPr>
          <w:color w:val="auto"/>
        </w:rPr>
        <w:t xml:space="preserve"> </w:t>
      </w:r>
      <w:r w:rsidR="000C1D5B" w:rsidRPr="000C1D5B">
        <w:rPr>
          <w:color w:val="auto"/>
        </w:rPr>
        <w:t>For the force’s most recent victim service assessment,</w:t>
      </w:r>
      <w:r w:rsidR="00AC22CD">
        <w:rPr>
          <w:color w:val="auto"/>
        </w:rPr>
        <w:t xml:space="preserve"> </w:t>
      </w:r>
      <w:r w:rsidR="000C1D5B" w:rsidRPr="000C1D5B">
        <w:rPr>
          <w:color w:val="auto"/>
        </w:rPr>
        <w:t xml:space="preserve">records </w:t>
      </w:r>
      <w:r w:rsidR="00AC22CD">
        <w:rPr>
          <w:color w:val="auto"/>
        </w:rPr>
        <w:t xml:space="preserve">were reviewed </w:t>
      </w:r>
      <w:r w:rsidR="000C1D5B" w:rsidRPr="000C1D5B">
        <w:rPr>
          <w:color w:val="auto"/>
        </w:rPr>
        <w:t>from May to July 2021</w:t>
      </w:r>
      <w:r w:rsidR="00F96F29">
        <w:rPr>
          <w:rStyle w:val="FootnoteReference"/>
          <w:color w:val="auto"/>
        </w:rPr>
        <w:footnoteReference w:id="18"/>
      </w:r>
      <w:r w:rsidR="000C1D5B" w:rsidRPr="000C1D5B">
        <w:rPr>
          <w:color w:val="auto"/>
        </w:rPr>
        <w:t xml:space="preserve"> and estimated that the force was recording 90.6</w:t>
      </w:r>
      <w:r w:rsidR="008E4337">
        <w:rPr>
          <w:color w:val="auto"/>
        </w:rPr>
        <w:t xml:space="preserve">% </w:t>
      </w:r>
      <w:r w:rsidR="000C1D5B" w:rsidRPr="000C1D5B">
        <w:rPr>
          <w:color w:val="auto"/>
        </w:rPr>
        <w:t>of reports of crime (with a confidence interval of +/- 2.8</w:t>
      </w:r>
      <w:r w:rsidR="008E4337">
        <w:rPr>
          <w:color w:val="auto"/>
        </w:rPr>
        <w:t>%</w:t>
      </w:r>
      <w:r w:rsidR="000C1D5B" w:rsidRPr="000C1D5B">
        <w:rPr>
          <w:color w:val="auto"/>
        </w:rPr>
        <w:t>).</w:t>
      </w:r>
      <w:r w:rsidR="00A93525">
        <w:rPr>
          <w:color w:val="auto"/>
        </w:rPr>
        <w:t xml:space="preserve"> As discussed earlier in the report though, huge progress has and is being made under the new Chief Constable and stakeholders in GMP have indicated that they expect improved results to be </w:t>
      </w:r>
      <w:r w:rsidR="00666D96">
        <w:rPr>
          <w:color w:val="auto"/>
        </w:rPr>
        <w:t>found at future inspections.</w:t>
      </w:r>
    </w:p>
    <w:p w14:paraId="4D999230" w14:textId="20F9A800" w:rsidR="001C7DF9" w:rsidRPr="00903C16" w:rsidRDefault="001C7DF9" w:rsidP="001C7DF9">
      <w:pPr>
        <w:rPr>
          <w:b/>
          <w:bCs/>
          <w:color w:val="auto"/>
        </w:rPr>
      </w:pPr>
      <w:r w:rsidRPr="00903C16">
        <w:rPr>
          <w:b/>
          <w:bCs/>
          <w:color w:val="auto"/>
        </w:rPr>
        <w:t>Fire</w:t>
      </w:r>
      <w:r w:rsidR="00081AB3">
        <w:rPr>
          <w:b/>
          <w:bCs/>
          <w:color w:val="auto"/>
        </w:rPr>
        <w:t xml:space="preserve"> and Rescue Service</w:t>
      </w:r>
    </w:p>
    <w:p w14:paraId="2E728EC6" w14:textId="407E3D17" w:rsidR="00931326" w:rsidRPr="00903C16" w:rsidRDefault="00C72F0D" w:rsidP="00C72F0D">
      <w:pPr>
        <w:ind w:left="720" w:hanging="720"/>
        <w:rPr>
          <w:color w:val="auto"/>
        </w:rPr>
      </w:pPr>
      <w:r>
        <w:rPr>
          <w:color w:val="auto"/>
        </w:rPr>
        <w:t>(2.</w:t>
      </w:r>
      <w:r w:rsidR="00DC5D51">
        <w:rPr>
          <w:color w:val="auto"/>
        </w:rPr>
        <w:t>10</w:t>
      </w:r>
      <w:r>
        <w:rPr>
          <w:color w:val="auto"/>
        </w:rPr>
        <w:t>)</w:t>
      </w:r>
      <w:r>
        <w:rPr>
          <w:color w:val="auto"/>
        </w:rPr>
        <w:tab/>
      </w:r>
      <w:r w:rsidR="000E640C" w:rsidRPr="00903C16">
        <w:rPr>
          <w:color w:val="auto"/>
        </w:rPr>
        <w:t>The total number of incidents attended by FRSs in England peaked in the year to March 2004, at over one million incidents. For around a decade, there was a general decline in incidents attended and by the year ending March 2015 there were fewer than half a million incidents</w:t>
      </w:r>
      <w:r w:rsidR="00DE5EC3" w:rsidRPr="00903C16">
        <w:rPr>
          <w:color w:val="auto"/>
        </w:rPr>
        <w:t xml:space="preserve">. </w:t>
      </w:r>
      <w:r w:rsidR="00931326" w:rsidRPr="00903C16">
        <w:rPr>
          <w:color w:val="auto"/>
        </w:rPr>
        <w:t>In the year ending March 2022:</w:t>
      </w:r>
      <w:r w:rsidR="000E640C" w:rsidRPr="00903C16">
        <w:rPr>
          <w:color w:val="auto"/>
        </w:rPr>
        <w:t xml:space="preserve"> </w:t>
      </w:r>
      <w:r w:rsidR="00931326" w:rsidRPr="00903C16">
        <w:rPr>
          <w:color w:val="auto"/>
        </w:rPr>
        <w:t xml:space="preserve">577,053 incidents were attended by FRSs, this was an 11 per cent increase compared with the previous year (518,270), a three per cent increase compared with five years ago (560,694) </w:t>
      </w:r>
      <w:r w:rsidR="00C5461F">
        <w:rPr>
          <w:color w:val="auto"/>
        </w:rPr>
        <w:t>but</w:t>
      </w:r>
      <w:r w:rsidR="00931326" w:rsidRPr="00903C16">
        <w:rPr>
          <w:color w:val="auto"/>
        </w:rPr>
        <w:t xml:space="preserve"> a five per cent decrease compared with ten years ago (606,941)</w:t>
      </w:r>
      <w:r w:rsidR="000E640C" w:rsidRPr="00903C16">
        <w:rPr>
          <w:color w:val="auto"/>
        </w:rPr>
        <w:t>.</w:t>
      </w:r>
      <w:r w:rsidR="00DE5EC3" w:rsidRPr="00903C16">
        <w:rPr>
          <w:color w:val="auto"/>
        </w:rPr>
        <w:t xml:space="preserve"> In contrast to the earlier decreases</w:t>
      </w:r>
      <w:r w:rsidR="00AD4F6E">
        <w:rPr>
          <w:color w:val="auto"/>
        </w:rPr>
        <w:t xml:space="preserve"> </w:t>
      </w:r>
      <w:r w:rsidR="00DE5EC3" w:rsidRPr="00903C16">
        <w:rPr>
          <w:color w:val="auto"/>
        </w:rPr>
        <w:t>(caused by a reduction in fires), the increase in total incidents over the four years to March 2019 was driven mainly due to the number of flooding incidents and collaboration incidents attended.</w:t>
      </w:r>
    </w:p>
    <w:p w14:paraId="7BDC0E6E" w14:textId="4411E514" w:rsidR="00931326" w:rsidRDefault="00C72F0D" w:rsidP="00C72F0D">
      <w:pPr>
        <w:ind w:left="720" w:hanging="720"/>
        <w:rPr>
          <w:color w:val="auto"/>
        </w:rPr>
      </w:pPr>
      <w:r>
        <w:rPr>
          <w:color w:val="auto"/>
        </w:rPr>
        <w:t>(2.</w:t>
      </w:r>
      <w:r w:rsidR="00DC5D51">
        <w:rPr>
          <w:color w:val="auto"/>
        </w:rPr>
        <w:t>11</w:t>
      </w:r>
      <w:r>
        <w:rPr>
          <w:color w:val="auto"/>
        </w:rPr>
        <w:t>)</w:t>
      </w:r>
      <w:r>
        <w:rPr>
          <w:color w:val="auto"/>
        </w:rPr>
        <w:tab/>
      </w:r>
      <w:r w:rsidR="00DE5EC3" w:rsidRPr="00903C16">
        <w:rPr>
          <w:color w:val="auto"/>
        </w:rPr>
        <w:t>O</w:t>
      </w:r>
      <w:r w:rsidR="00931326" w:rsidRPr="00903C16">
        <w:rPr>
          <w:color w:val="auto"/>
        </w:rPr>
        <w:t xml:space="preserve">f all incidents attended by FRSs, fires accounted for 26 per cent, fire false alarms 40 per cent and non-fire incidents 34 per cent, compared with fires </w:t>
      </w:r>
      <w:r w:rsidR="00931326" w:rsidRPr="00903C16">
        <w:rPr>
          <w:color w:val="auto"/>
        </w:rPr>
        <w:lastRenderedPageBreak/>
        <w:t>accounting for 37 per cent, fire false alarms 41 per cent and non-fire incidents 22 per cent ten years ago</w:t>
      </w:r>
      <w:r w:rsidR="00A670F4" w:rsidRPr="00903C16">
        <w:rPr>
          <w:color w:val="auto"/>
        </w:rPr>
        <w:t>.</w:t>
      </w:r>
    </w:p>
    <w:p w14:paraId="3F4CE29A" w14:textId="6AA30A2A" w:rsidR="00D77BBD" w:rsidRPr="00903C16" w:rsidRDefault="00D77BBD" w:rsidP="00931326">
      <w:pPr>
        <w:rPr>
          <w:color w:val="auto"/>
        </w:rPr>
      </w:pPr>
      <w:r w:rsidRPr="00D77BBD">
        <w:rPr>
          <w:noProof/>
          <w:color w:val="auto"/>
        </w:rPr>
        <w:drawing>
          <wp:inline distT="0" distB="0" distL="0" distR="0" wp14:anchorId="0BC9DF14" wp14:editId="12D9C9A1">
            <wp:extent cx="5731510" cy="3799840"/>
            <wp:effectExtent l="19050" t="19050" r="21590" b="10160"/>
            <wp:docPr id="33" name="Picture 33" descr="Bar chart showing types of incident to which GMFRS responded with nor fire incidents showing the largest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ypes of incident to which GMFRS responded with nor fire incidents showing the largest increase."/>
                    <pic:cNvPicPr/>
                  </pic:nvPicPr>
                  <pic:blipFill>
                    <a:blip r:embed="rId12"/>
                    <a:stretch>
                      <a:fillRect/>
                    </a:stretch>
                  </pic:blipFill>
                  <pic:spPr>
                    <a:xfrm>
                      <a:off x="0" y="0"/>
                      <a:ext cx="5731510" cy="3799840"/>
                    </a:xfrm>
                    <a:prstGeom prst="rect">
                      <a:avLst/>
                    </a:prstGeom>
                    <a:ln>
                      <a:solidFill>
                        <a:schemeClr val="tx1"/>
                      </a:solidFill>
                    </a:ln>
                  </pic:spPr>
                </pic:pic>
              </a:graphicData>
            </a:graphic>
          </wp:inline>
        </w:drawing>
      </w:r>
    </w:p>
    <w:p w14:paraId="3E2894BD" w14:textId="2732A21C" w:rsidR="00F74505" w:rsidRDefault="00F74505" w:rsidP="00F070E2">
      <w:pPr>
        <w:jc w:val="center"/>
        <w:rPr>
          <w:b/>
          <w:bCs/>
          <w:color w:val="auto"/>
        </w:rPr>
      </w:pPr>
      <w:r w:rsidRPr="00604EA3">
        <w:rPr>
          <w:b/>
          <w:bCs/>
          <w:color w:val="auto"/>
        </w:rPr>
        <w:t xml:space="preserve">FIGURE </w:t>
      </w:r>
      <w:r w:rsidR="00B95528" w:rsidRPr="00604EA3">
        <w:rPr>
          <w:b/>
          <w:bCs/>
          <w:color w:val="auto"/>
        </w:rPr>
        <w:t>2</w:t>
      </w:r>
      <w:r>
        <w:rPr>
          <w:b/>
          <w:bCs/>
          <w:color w:val="auto"/>
        </w:rPr>
        <w:t xml:space="preserve"> </w:t>
      </w:r>
      <w:r w:rsidR="00F070E2">
        <w:rPr>
          <w:b/>
          <w:bCs/>
          <w:color w:val="auto"/>
        </w:rPr>
        <w:t>–</w:t>
      </w:r>
      <w:r>
        <w:rPr>
          <w:b/>
          <w:bCs/>
          <w:color w:val="auto"/>
        </w:rPr>
        <w:t xml:space="preserve"> </w:t>
      </w:r>
      <w:r w:rsidR="00F070E2">
        <w:rPr>
          <w:b/>
          <w:bCs/>
          <w:color w:val="auto"/>
        </w:rPr>
        <w:t>Types of Incidents</w:t>
      </w:r>
      <w:r w:rsidR="00B95528">
        <w:rPr>
          <w:b/>
          <w:bCs/>
          <w:color w:val="auto"/>
        </w:rPr>
        <w:t xml:space="preserve"> to which</w:t>
      </w:r>
      <w:r w:rsidR="00F070E2">
        <w:rPr>
          <w:b/>
          <w:bCs/>
          <w:color w:val="auto"/>
        </w:rPr>
        <w:t xml:space="preserve"> GMFRS responde</w:t>
      </w:r>
      <w:r w:rsidR="00B95528">
        <w:rPr>
          <w:b/>
          <w:bCs/>
          <w:color w:val="auto"/>
        </w:rPr>
        <w:t>d</w:t>
      </w:r>
    </w:p>
    <w:p w14:paraId="57935688" w14:textId="6C70EFC7" w:rsidR="001C7DF9" w:rsidRPr="00556225" w:rsidRDefault="00081AB3" w:rsidP="001C7DF9">
      <w:pPr>
        <w:rPr>
          <w:b/>
          <w:bCs/>
          <w:color w:val="auto"/>
        </w:rPr>
      </w:pPr>
      <w:r>
        <w:rPr>
          <w:b/>
          <w:bCs/>
          <w:color w:val="auto"/>
        </w:rPr>
        <w:t>Ambulance Service</w:t>
      </w:r>
    </w:p>
    <w:p w14:paraId="6E51AE1A" w14:textId="7ECBEFC8" w:rsidR="00D1273D" w:rsidRPr="006D0380" w:rsidRDefault="00C72F0D" w:rsidP="00C72F0D">
      <w:pPr>
        <w:ind w:left="720" w:hanging="720"/>
        <w:rPr>
          <w:color w:val="auto"/>
        </w:rPr>
      </w:pPr>
      <w:r>
        <w:rPr>
          <w:color w:val="auto"/>
        </w:rPr>
        <w:t>(2.</w:t>
      </w:r>
      <w:r w:rsidR="00DC5D51">
        <w:rPr>
          <w:color w:val="auto"/>
        </w:rPr>
        <w:t>12</w:t>
      </w:r>
      <w:r>
        <w:rPr>
          <w:color w:val="auto"/>
        </w:rPr>
        <w:t>)</w:t>
      </w:r>
      <w:r>
        <w:rPr>
          <w:color w:val="auto"/>
        </w:rPr>
        <w:tab/>
      </w:r>
      <w:r w:rsidR="006D0380" w:rsidRPr="006D0380">
        <w:rPr>
          <w:color w:val="auto"/>
        </w:rPr>
        <w:t xml:space="preserve">The emergency call volume varied throughout last year, as COVID restrictions and rules changed, but for the total whole year, </w:t>
      </w:r>
      <w:r w:rsidR="00DB6B94">
        <w:rPr>
          <w:color w:val="auto"/>
        </w:rPr>
        <w:t>there was</w:t>
      </w:r>
      <w:r w:rsidR="006D0380" w:rsidRPr="006D0380">
        <w:rPr>
          <w:color w:val="auto"/>
        </w:rPr>
        <w:t xml:space="preserve"> higher than normal call volume with an increase of 21.56% when compared to the previous financial year. With the challenges of hospital handover impacting on availability, it was important to implement Hear and Treat</w:t>
      </w:r>
      <w:r w:rsidR="00634E28">
        <w:rPr>
          <w:color w:val="auto"/>
        </w:rPr>
        <w:t xml:space="preserve"> and</w:t>
      </w:r>
      <w:r w:rsidR="006D0380" w:rsidRPr="006D0380">
        <w:rPr>
          <w:color w:val="auto"/>
        </w:rPr>
        <w:t xml:space="preserve"> See and Treat</w:t>
      </w:r>
      <w:r w:rsidR="00634E28">
        <w:rPr>
          <w:color w:val="auto"/>
        </w:rPr>
        <w:t xml:space="preserve"> strategies to</w:t>
      </w:r>
      <w:r w:rsidR="006D0380" w:rsidRPr="006D0380">
        <w:rPr>
          <w:color w:val="auto"/>
        </w:rPr>
        <w:t xml:space="preserve"> signpost</w:t>
      </w:r>
      <w:r w:rsidR="00634E28">
        <w:rPr>
          <w:color w:val="auto"/>
        </w:rPr>
        <w:t xml:space="preserve"> </w:t>
      </w:r>
      <w:r w:rsidR="006D0380" w:rsidRPr="006D0380">
        <w:rPr>
          <w:color w:val="auto"/>
        </w:rPr>
        <w:t>patients presenting with minor conditions. Through increased triage only 32% of all calls received resulted in a journey to an emergency departmen</w:t>
      </w:r>
      <w:r w:rsidR="00FA1C47">
        <w:rPr>
          <w:color w:val="auto"/>
        </w:rPr>
        <w:t>t</w:t>
      </w:r>
    </w:p>
    <w:p w14:paraId="5577E419" w14:textId="69E291C8" w:rsidR="00C72F0D" w:rsidRDefault="00C72F0D">
      <w:pPr>
        <w:spacing w:line="259" w:lineRule="auto"/>
        <w:rPr>
          <w:b/>
          <w:bCs/>
          <w:color w:val="auto"/>
        </w:rPr>
      </w:pPr>
      <w:r>
        <w:rPr>
          <w:b/>
          <w:bCs/>
          <w:color w:val="auto"/>
        </w:rPr>
        <w:br w:type="page"/>
      </w:r>
    </w:p>
    <w:p w14:paraId="2B104E0C" w14:textId="6DB1740F" w:rsidR="009D3AE0" w:rsidRPr="00903C16" w:rsidRDefault="006D078D">
      <w:pPr>
        <w:pStyle w:val="Heading3"/>
        <w:numPr>
          <w:ilvl w:val="0"/>
          <w:numId w:val="3"/>
        </w:numPr>
        <w:rPr>
          <w:color w:val="auto"/>
        </w:rPr>
      </w:pPr>
      <w:bookmarkStart w:id="6" w:name="_Toc125643721"/>
      <w:r w:rsidRPr="00903C16">
        <w:rPr>
          <w:color w:val="auto"/>
        </w:rPr>
        <w:lastRenderedPageBreak/>
        <w:t>Labour Market Informatio</w:t>
      </w:r>
      <w:r w:rsidR="00AC04F9" w:rsidRPr="00903C16">
        <w:rPr>
          <w:color w:val="auto"/>
        </w:rPr>
        <w:t>n</w:t>
      </w:r>
      <w:bookmarkEnd w:id="6"/>
    </w:p>
    <w:p w14:paraId="528B955C" w14:textId="59B62EB0" w:rsidR="00A45AC5" w:rsidRPr="00903C16" w:rsidRDefault="00F070E2" w:rsidP="00F070E2">
      <w:pPr>
        <w:ind w:left="720" w:hanging="720"/>
        <w:rPr>
          <w:color w:val="auto"/>
        </w:rPr>
      </w:pPr>
      <w:r>
        <w:rPr>
          <w:color w:val="auto"/>
        </w:rPr>
        <w:t>(3.1)</w:t>
      </w:r>
      <w:r>
        <w:rPr>
          <w:color w:val="auto"/>
        </w:rPr>
        <w:tab/>
      </w:r>
      <w:r w:rsidR="00685C1C" w:rsidRPr="00903C16">
        <w:rPr>
          <w:color w:val="auto"/>
        </w:rPr>
        <w:t xml:space="preserve">One of the overriding reasons why people choose a career in the emergency services is the opportunity to make a real difference to people’s lives. Police officers </w:t>
      </w:r>
      <w:r w:rsidR="009C53FC">
        <w:rPr>
          <w:color w:val="auto"/>
        </w:rPr>
        <w:t>report being</w:t>
      </w:r>
      <w:r w:rsidR="00685C1C" w:rsidRPr="00903C16">
        <w:rPr>
          <w:color w:val="auto"/>
        </w:rPr>
        <w:t xml:space="preserve"> attracted by the prospect of </w:t>
      </w:r>
      <w:r w:rsidR="009C53FC">
        <w:rPr>
          <w:color w:val="auto"/>
        </w:rPr>
        <w:t>reducing</w:t>
      </w:r>
      <w:r w:rsidR="00685C1C" w:rsidRPr="00903C16">
        <w:rPr>
          <w:color w:val="auto"/>
        </w:rPr>
        <w:t xml:space="preserve"> crime and the fear of crime. Firefighters can perform </w:t>
      </w:r>
      <w:r w:rsidR="00B83B85">
        <w:rPr>
          <w:color w:val="auto"/>
        </w:rPr>
        <w:t>life-saving duties</w:t>
      </w:r>
      <w:r w:rsidR="00685C1C" w:rsidRPr="00903C16">
        <w:rPr>
          <w:color w:val="auto"/>
        </w:rPr>
        <w:t xml:space="preserve"> by rescuing people from fires, accidents and natural disasters. </w:t>
      </w:r>
      <w:r w:rsidR="00B83B85">
        <w:rPr>
          <w:color w:val="auto"/>
        </w:rPr>
        <w:t>Paramedics</w:t>
      </w:r>
      <w:r w:rsidR="00685C1C" w:rsidRPr="00903C16">
        <w:rPr>
          <w:color w:val="auto"/>
        </w:rPr>
        <w:t xml:space="preserve"> may find themselves </w:t>
      </w:r>
      <w:r w:rsidR="00685C1C">
        <w:rPr>
          <w:color w:val="auto"/>
        </w:rPr>
        <w:t>saving lives on a daily basis</w:t>
      </w:r>
      <w:r w:rsidR="00685C1C" w:rsidRPr="00903C16">
        <w:rPr>
          <w:color w:val="auto"/>
        </w:rPr>
        <w:t>. The idea that no two days are the same in work is attractive for many young people</w:t>
      </w:r>
      <w:r w:rsidR="00685C1C">
        <w:rPr>
          <w:color w:val="auto"/>
        </w:rPr>
        <w:t xml:space="preserve"> and career switchers</w:t>
      </w:r>
      <w:r w:rsidR="00685C1C" w:rsidRPr="00903C16">
        <w:rPr>
          <w:color w:val="auto"/>
        </w:rPr>
        <w:t>.</w:t>
      </w:r>
    </w:p>
    <w:p w14:paraId="44564779" w14:textId="593D7E92" w:rsidR="00A45AC5" w:rsidRPr="00903C16" w:rsidRDefault="00F070E2" w:rsidP="497B6B81">
      <w:pPr>
        <w:ind w:left="720" w:hanging="720"/>
        <w:rPr>
          <w:color w:val="auto"/>
        </w:rPr>
      </w:pPr>
      <w:r w:rsidRPr="497B6B81">
        <w:rPr>
          <w:color w:val="auto"/>
        </w:rPr>
        <w:t>(3.2)</w:t>
      </w:r>
      <w:r>
        <w:tab/>
      </w:r>
      <w:r w:rsidR="00685C1C" w:rsidRPr="497B6B81">
        <w:rPr>
          <w:color w:val="auto"/>
        </w:rPr>
        <w:t xml:space="preserve">On a national basis, there are around 145,000 police officers in the UK, 50,000 fire and rescue personnel and around 17,000 qualified paramedics and ambulance staff currently employed in the emergency services. </w:t>
      </w:r>
      <w:r w:rsidR="00B83B85" w:rsidRPr="497B6B81">
        <w:rPr>
          <w:color w:val="auto"/>
        </w:rPr>
        <w:t>Many generally feel there is great respect given</w:t>
      </w:r>
      <w:r w:rsidR="00685C1C" w:rsidRPr="497B6B81">
        <w:rPr>
          <w:color w:val="auto"/>
        </w:rPr>
        <w:t xml:space="preserve"> to career</w:t>
      </w:r>
      <w:r w:rsidR="00B83B85" w:rsidRPr="497B6B81">
        <w:rPr>
          <w:color w:val="auto"/>
        </w:rPr>
        <w:t>s</w:t>
      </w:r>
      <w:r w:rsidR="00685C1C" w:rsidRPr="497B6B81">
        <w:rPr>
          <w:color w:val="auto"/>
        </w:rPr>
        <w:t xml:space="preserve"> in the emergency services and the sector reputation is high.</w:t>
      </w:r>
      <w:r w:rsidR="00314B98" w:rsidRPr="497B6B81">
        <w:rPr>
          <w:color w:val="auto"/>
        </w:rPr>
        <w:t xml:space="preserve"> </w:t>
      </w:r>
      <w:r w:rsidR="56271058" w:rsidRPr="497B6B81">
        <w:rPr>
          <w:color w:val="auto"/>
        </w:rPr>
        <w:t>Firefighters and paramedics consistently rank amongst the professions most trusted by the public, in the UK and globally, placing these workers in a unique position to play a wider role in the communities they serve</w:t>
      </w:r>
      <w:r w:rsidR="68443626" w:rsidRPr="497B6B81">
        <w:rPr>
          <w:color w:val="auto"/>
        </w:rPr>
        <w:t>.</w:t>
      </w:r>
      <w:r w:rsidR="56271058" w:rsidRPr="497B6B81">
        <w:rPr>
          <w:color w:val="auto"/>
        </w:rPr>
        <w:t xml:space="preserve"> </w:t>
      </w:r>
      <w:r w:rsidR="00685C1C" w:rsidRPr="497B6B81">
        <w:rPr>
          <w:color w:val="auto"/>
        </w:rPr>
        <w:t>The services are attractive with good job security, a high standard of training and a perception of professional development and a career pathway.</w:t>
      </w:r>
      <w:r w:rsidR="118A5D6D" w:rsidRPr="497B6B81">
        <w:rPr>
          <w:color w:val="auto"/>
        </w:rPr>
        <w:t xml:space="preserve"> </w:t>
      </w:r>
    </w:p>
    <w:p w14:paraId="3311E572" w14:textId="7ACC33F4" w:rsidR="004B3A42" w:rsidRDefault="004B3A42" w:rsidP="004B3A42">
      <w:pPr>
        <w:ind w:left="720" w:hanging="720"/>
        <w:rPr>
          <w:color w:val="auto"/>
        </w:rPr>
      </w:pPr>
      <w:r>
        <w:rPr>
          <w:color w:val="auto"/>
        </w:rPr>
        <w:t>(3.3)</w:t>
      </w:r>
      <w:r>
        <w:rPr>
          <w:color w:val="auto"/>
        </w:rPr>
        <w:tab/>
      </w:r>
      <w:r w:rsidR="0009203A">
        <w:rPr>
          <w:color w:val="auto"/>
        </w:rPr>
        <w:t>The workforce in e</w:t>
      </w:r>
      <w:r>
        <w:rPr>
          <w:color w:val="auto"/>
        </w:rPr>
        <w:t xml:space="preserve">mergency </w:t>
      </w:r>
      <w:r w:rsidRPr="00160375">
        <w:rPr>
          <w:color w:val="auto"/>
        </w:rPr>
        <w:t xml:space="preserve">services </w:t>
      </w:r>
      <w:r w:rsidR="0009203A">
        <w:rPr>
          <w:color w:val="auto"/>
        </w:rPr>
        <w:t>should</w:t>
      </w:r>
      <w:r w:rsidRPr="00160375">
        <w:rPr>
          <w:color w:val="auto"/>
        </w:rPr>
        <w:t xml:space="preserve"> represent the people they serve. </w:t>
      </w:r>
      <w:r>
        <w:rPr>
          <w:color w:val="auto"/>
        </w:rPr>
        <w:t>T</w:t>
      </w:r>
      <w:r w:rsidRPr="00160375">
        <w:rPr>
          <w:color w:val="auto"/>
        </w:rPr>
        <w:t xml:space="preserve">his is not only true for ethical and well-being reasons, but because a service that reflects its communities is more effective at engaging with them. </w:t>
      </w:r>
      <w:r>
        <w:rPr>
          <w:color w:val="auto"/>
        </w:rPr>
        <w:t xml:space="preserve">Speaking to stakeholders from each of </w:t>
      </w:r>
      <w:r w:rsidR="0009203A">
        <w:rPr>
          <w:color w:val="auto"/>
        </w:rPr>
        <w:t>the</w:t>
      </w:r>
      <w:r>
        <w:rPr>
          <w:color w:val="auto"/>
        </w:rPr>
        <w:t xml:space="preserve"> services, it is evident that this is an ongoing priority across GM. </w:t>
      </w:r>
      <w:r w:rsidRPr="002E6F89">
        <w:rPr>
          <w:color w:val="auto"/>
        </w:rPr>
        <w:t>Creating an inclusive culture where staff feel supported to fulfil their potential</w:t>
      </w:r>
      <w:r w:rsidR="0009203A">
        <w:rPr>
          <w:color w:val="auto"/>
        </w:rPr>
        <w:t xml:space="preserve"> and</w:t>
      </w:r>
      <w:r w:rsidRPr="002E6F89">
        <w:rPr>
          <w:color w:val="auto"/>
        </w:rPr>
        <w:t xml:space="preserve"> are valued and welcomed for the diversity they bring to their role is essential in delivering our values and encouraging innovation.</w:t>
      </w:r>
    </w:p>
    <w:p w14:paraId="78C634B8" w14:textId="7C3621C2" w:rsidR="001C7DF9" w:rsidRPr="00903C16" w:rsidRDefault="001C7DF9" w:rsidP="001C7DF9">
      <w:pPr>
        <w:rPr>
          <w:b/>
          <w:bCs/>
          <w:color w:val="auto"/>
        </w:rPr>
      </w:pPr>
      <w:r w:rsidRPr="00903C16">
        <w:rPr>
          <w:b/>
          <w:bCs/>
          <w:color w:val="auto"/>
        </w:rPr>
        <w:t>Police</w:t>
      </w:r>
    </w:p>
    <w:p w14:paraId="1788AED4" w14:textId="55268836" w:rsidR="00295247" w:rsidRPr="00903C16" w:rsidRDefault="00685C1C" w:rsidP="00685C1C">
      <w:pPr>
        <w:ind w:left="720" w:hanging="720"/>
        <w:rPr>
          <w:color w:val="auto"/>
        </w:rPr>
      </w:pPr>
      <w:r>
        <w:rPr>
          <w:color w:val="auto"/>
        </w:rPr>
        <w:t>(3.</w:t>
      </w:r>
      <w:r w:rsidR="004B3A42">
        <w:rPr>
          <w:color w:val="auto"/>
        </w:rPr>
        <w:t>4</w:t>
      </w:r>
      <w:r>
        <w:rPr>
          <w:color w:val="auto"/>
        </w:rPr>
        <w:t>)</w:t>
      </w:r>
      <w:r>
        <w:rPr>
          <w:color w:val="auto"/>
        </w:rPr>
        <w:tab/>
      </w:r>
      <w:r w:rsidR="00DF4B15" w:rsidRPr="00903C16">
        <w:rPr>
          <w:color w:val="auto"/>
        </w:rPr>
        <w:t xml:space="preserve">The total workforce (officers, staff, Police Community Support Officers and designated officers) as </w:t>
      </w:r>
      <w:r w:rsidR="00807497" w:rsidRPr="00903C16">
        <w:rPr>
          <w:color w:val="auto"/>
        </w:rPr>
        <w:t>of</w:t>
      </w:r>
      <w:r w:rsidR="00DF4B15" w:rsidRPr="00903C16">
        <w:rPr>
          <w:color w:val="auto"/>
        </w:rPr>
        <w:t xml:space="preserve"> 31 March 2022, was 225,229 FTE, an increase of </w:t>
      </w:r>
      <w:r w:rsidR="00DF4B15" w:rsidRPr="00903C16">
        <w:rPr>
          <w:color w:val="auto"/>
        </w:rPr>
        <w:lastRenderedPageBreak/>
        <w:t xml:space="preserve">2% on the previous year. </w:t>
      </w:r>
      <w:r w:rsidR="00057C21" w:rsidRPr="00903C16">
        <w:rPr>
          <w:color w:val="auto"/>
        </w:rPr>
        <w:t xml:space="preserve">There </w:t>
      </w:r>
      <w:r w:rsidR="004A042E" w:rsidRPr="00903C16">
        <w:rPr>
          <w:color w:val="auto"/>
        </w:rPr>
        <w:t xml:space="preserve">were </w:t>
      </w:r>
      <w:r w:rsidR="00057C21" w:rsidRPr="00903C16">
        <w:rPr>
          <w:color w:val="auto"/>
        </w:rPr>
        <w:t xml:space="preserve">40,228 full-time equivalent (FTE) officers in post as </w:t>
      </w:r>
      <w:r w:rsidR="00807497" w:rsidRPr="00903C16">
        <w:rPr>
          <w:color w:val="auto"/>
        </w:rPr>
        <w:t>of</w:t>
      </w:r>
      <w:r w:rsidR="00057C21" w:rsidRPr="00903C16">
        <w:rPr>
          <w:color w:val="auto"/>
        </w:rPr>
        <w:t xml:space="preserve"> 31 March 2022 in the 43 territorial police forces in England and Wales. This was an increase of 4% on March 2021 (up 4,927 FTEs from 135,301 officers)</w:t>
      </w:r>
      <w:r w:rsidR="00F96F29">
        <w:rPr>
          <w:color w:val="auto"/>
        </w:rPr>
        <w:t>.</w:t>
      </w:r>
      <w:r w:rsidR="00F96F29">
        <w:rPr>
          <w:rStyle w:val="FootnoteReference"/>
          <w:color w:val="auto"/>
        </w:rPr>
        <w:footnoteReference w:id="19"/>
      </w:r>
    </w:p>
    <w:p w14:paraId="5E1A8B43" w14:textId="0772880E" w:rsidR="00057C21" w:rsidRPr="00903C16" w:rsidRDefault="0074136C" w:rsidP="0074136C">
      <w:pPr>
        <w:ind w:left="720" w:hanging="720"/>
        <w:rPr>
          <w:color w:val="auto"/>
        </w:rPr>
      </w:pPr>
      <w:r>
        <w:rPr>
          <w:color w:val="auto"/>
        </w:rPr>
        <w:t>(3.4)</w:t>
      </w:r>
      <w:r>
        <w:rPr>
          <w:color w:val="auto"/>
        </w:rPr>
        <w:tab/>
      </w:r>
      <w:r w:rsidR="00057C21" w:rsidRPr="00903C16">
        <w:rPr>
          <w:color w:val="auto"/>
        </w:rPr>
        <w:t>Excluding transfers, 12,789 new police officers (FTE) joined the 43 territorial police forces in England and Wales in the year ending March 2022, an increase of 662 (or 5.5%) on the previous year. This is the second highest number of joiners in a year since records began, just behind the year ending March 2020 when there were 12,883 joiners (excluding transfers)</w:t>
      </w:r>
    </w:p>
    <w:p w14:paraId="256B3AB1" w14:textId="3C62D022" w:rsidR="00295247" w:rsidRDefault="0074136C" w:rsidP="0074136C">
      <w:pPr>
        <w:ind w:left="720" w:hanging="720"/>
        <w:rPr>
          <w:color w:val="auto"/>
        </w:rPr>
      </w:pPr>
      <w:r w:rsidRPr="0708D23D">
        <w:rPr>
          <w:color w:val="auto"/>
        </w:rPr>
        <w:t>(3.5)</w:t>
      </w:r>
      <w:r>
        <w:tab/>
      </w:r>
      <w:r w:rsidRPr="0708D23D">
        <w:rPr>
          <w:color w:val="auto"/>
        </w:rPr>
        <w:t>E</w:t>
      </w:r>
      <w:r w:rsidR="00057C21" w:rsidRPr="0708D23D">
        <w:rPr>
          <w:color w:val="auto"/>
        </w:rPr>
        <w:t>xcluding transfers, 8,117 (FTE) police officers left the 43 territorial police forces in England and Wales in the year ending March 2022, the highest number of annual leavers since comparable records began in the financial year ending March 2003</w:t>
      </w:r>
      <w:r w:rsidR="75A48134" w:rsidRPr="0708D23D">
        <w:rPr>
          <w:color w:val="auto"/>
        </w:rPr>
        <w:t>.</w:t>
      </w:r>
      <w:r w:rsidR="00DF4B15" w:rsidRPr="0708D23D">
        <w:rPr>
          <w:color w:val="auto"/>
        </w:rPr>
        <w:t xml:space="preserve"> </w:t>
      </w:r>
      <w:r w:rsidR="00057C21" w:rsidRPr="0708D23D">
        <w:rPr>
          <w:color w:val="auto"/>
        </w:rPr>
        <w:t xml:space="preserve">The police officer leaver rate (leavers as a proportion of headcount at the start of the year) was 6.0%, similar to levels seen between the financial years ending 2016 and 2019 and follows a dip in leaver rate seen in the previous year coinciding with the COVID-19 pandemic. </w:t>
      </w:r>
    </w:p>
    <w:p w14:paraId="1C86BB99" w14:textId="5D5CEACD" w:rsidR="00295247" w:rsidRPr="00903C16" w:rsidRDefault="00295247" w:rsidP="00057C21">
      <w:pPr>
        <w:rPr>
          <w:color w:val="auto"/>
        </w:rPr>
      </w:pPr>
      <w:r w:rsidRPr="00295247">
        <w:rPr>
          <w:noProof/>
          <w:color w:val="auto"/>
        </w:rPr>
        <w:lastRenderedPageBreak/>
        <w:drawing>
          <wp:inline distT="0" distB="0" distL="0" distR="0" wp14:anchorId="50A8B521" wp14:editId="4FE1C650">
            <wp:extent cx="5762847" cy="3841686"/>
            <wp:effectExtent l="19050" t="19050" r="9525" b="26035"/>
            <wp:docPr id="31" name="Picture 31" descr="Change in police officer numbers demonstrating a rise over the las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nge in police officer numbers demonstrating a rise over the last 4 ye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330" cy="3891338"/>
                    </a:xfrm>
                    <a:prstGeom prst="rect">
                      <a:avLst/>
                    </a:prstGeom>
                    <a:noFill/>
                    <a:ln>
                      <a:solidFill>
                        <a:schemeClr val="tx1"/>
                      </a:solidFill>
                    </a:ln>
                  </pic:spPr>
                </pic:pic>
              </a:graphicData>
            </a:graphic>
          </wp:inline>
        </w:drawing>
      </w:r>
    </w:p>
    <w:p w14:paraId="14A313AE" w14:textId="0F73BD43" w:rsidR="0074136C" w:rsidRDefault="0074136C" w:rsidP="0074136C">
      <w:pPr>
        <w:jc w:val="center"/>
        <w:rPr>
          <w:b/>
          <w:bCs/>
          <w:color w:val="auto"/>
        </w:rPr>
      </w:pPr>
      <w:r>
        <w:rPr>
          <w:b/>
          <w:bCs/>
          <w:color w:val="auto"/>
        </w:rPr>
        <w:t xml:space="preserve">FIGURE </w:t>
      </w:r>
      <w:r w:rsidR="00C13528">
        <w:rPr>
          <w:b/>
          <w:bCs/>
          <w:color w:val="auto"/>
        </w:rPr>
        <w:t>3</w:t>
      </w:r>
      <w:r>
        <w:rPr>
          <w:b/>
          <w:bCs/>
          <w:color w:val="auto"/>
        </w:rPr>
        <w:t xml:space="preserve"> – </w:t>
      </w:r>
      <w:r w:rsidR="007D3281">
        <w:rPr>
          <w:b/>
          <w:bCs/>
          <w:color w:val="auto"/>
        </w:rPr>
        <w:t xml:space="preserve">Net </w:t>
      </w:r>
      <w:r w:rsidR="00FF65C3">
        <w:rPr>
          <w:b/>
          <w:bCs/>
          <w:color w:val="auto"/>
        </w:rPr>
        <w:t xml:space="preserve">UK </w:t>
      </w:r>
      <w:r w:rsidR="00B36D7C">
        <w:rPr>
          <w:b/>
          <w:bCs/>
          <w:color w:val="auto"/>
        </w:rPr>
        <w:t xml:space="preserve">Police Officer </w:t>
      </w:r>
      <w:r w:rsidR="007D3281">
        <w:rPr>
          <w:b/>
          <w:bCs/>
          <w:color w:val="auto"/>
        </w:rPr>
        <w:t>Changes</w:t>
      </w:r>
      <w:r w:rsidR="00B36D7C">
        <w:rPr>
          <w:b/>
          <w:bCs/>
          <w:color w:val="auto"/>
        </w:rPr>
        <w:t xml:space="preserve"> </w:t>
      </w:r>
      <w:r w:rsidR="00FF65C3">
        <w:rPr>
          <w:b/>
          <w:bCs/>
          <w:color w:val="auto"/>
        </w:rPr>
        <w:t>since 2010</w:t>
      </w:r>
    </w:p>
    <w:p w14:paraId="3DD89FE8" w14:textId="73C58EDB" w:rsidR="00570404" w:rsidRPr="00903C16" w:rsidRDefault="0074136C" w:rsidP="0074136C">
      <w:pPr>
        <w:ind w:left="720" w:hanging="720"/>
        <w:rPr>
          <w:color w:val="auto"/>
        </w:rPr>
      </w:pPr>
      <w:r>
        <w:rPr>
          <w:color w:val="auto"/>
        </w:rPr>
        <w:t>(3.6)</w:t>
      </w:r>
      <w:r>
        <w:rPr>
          <w:color w:val="auto"/>
        </w:rPr>
        <w:tab/>
      </w:r>
      <w:r w:rsidR="00570404" w:rsidRPr="00903C16">
        <w:rPr>
          <w:color w:val="auto"/>
        </w:rPr>
        <w:t xml:space="preserve">Throughout the </w:t>
      </w:r>
      <w:r w:rsidR="00C157B9">
        <w:rPr>
          <w:color w:val="auto"/>
        </w:rPr>
        <w:t>UK</w:t>
      </w:r>
      <w:r w:rsidR="00570404" w:rsidRPr="00903C16">
        <w:rPr>
          <w:color w:val="auto"/>
        </w:rPr>
        <w:t xml:space="preserve">, the rank structure of police forces is identical up to the rank of Chief Superintendent. At higher ranks, structures are distinct within London where the Metropolitan Police Service and the City of London Police have a series of Commander and Commissioner ranks as their top ranks whereas other UK police forces have assistants, deputies and a Chief Constable as their top ranks. Within a rank there may be different roles and responsibilities, which reflects skills, knowledge, training and experience in a particular field. For example Detectives work alongside their uniformed counterparts as equals in pay and rank and are accredited police officers who work as Serious and Complex Crime Investigators or Specialist Investigators. </w:t>
      </w:r>
      <w:r w:rsidR="00EE556C">
        <w:rPr>
          <w:color w:val="auto"/>
        </w:rPr>
        <w:t>These officers are</w:t>
      </w:r>
      <w:r w:rsidR="00570404" w:rsidRPr="00903C16">
        <w:rPr>
          <w:color w:val="auto"/>
        </w:rPr>
        <w:t xml:space="preserve"> responsible for managing a range of investigations including those concerning robbery, drugs, domestic violence, public and child protection, company fraud, cybercrime, homicide and counter-terrorism.</w:t>
      </w:r>
    </w:p>
    <w:p w14:paraId="5591794A" w14:textId="399BB4F5" w:rsidR="006112AA" w:rsidRPr="00903C16" w:rsidRDefault="00A3351A" w:rsidP="0053708A">
      <w:pPr>
        <w:ind w:left="720" w:hanging="720"/>
        <w:rPr>
          <w:color w:val="auto"/>
        </w:rPr>
      </w:pPr>
      <w:r>
        <w:rPr>
          <w:color w:val="auto"/>
        </w:rPr>
        <w:lastRenderedPageBreak/>
        <w:t>(3.7)</w:t>
      </w:r>
      <w:r>
        <w:rPr>
          <w:color w:val="auto"/>
        </w:rPr>
        <w:tab/>
      </w:r>
      <w:r w:rsidR="00EE556C">
        <w:rPr>
          <w:color w:val="auto"/>
        </w:rPr>
        <w:t>Senior officers</w:t>
      </w:r>
      <w:r w:rsidR="006112AA" w:rsidRPr="00903C16">
        <w:rPr>
          <w:color w:val="auto"/>
        </w:rPr>
        <w:t xml:space="preserve"> </w:t>
      </w:r>
      <w:r w:rsidR="007009D0">
        <w:rPr>
          <w:color w:val="auto"/>
        </w:rPr>
        <w:t>in G</w:t>
      </w:r>
      <w:r w:rsidR="00363FC4">
        <w:rPr>
          <w:color w:val="auto"/>
        </w:rPr>
        <w:t xml:space="preserve">M </w:t>
      </w:r>
      <w:r w:rsidR="006112AA" w:rsidRPr="00903C16">
        <w:rPr>
          <w:color w:val="auto"/>
        </w:rPr>
        <w:t xml:space="preserve">are aware that the force has lost experienced members of the workforce through resignations and transfers to other police forces. </w:t>
      </w:r>
      <w:r w:rsidR="00EE556C">
        <w:rPr>
          <w:color w:val="auto"/>
        </w:rPr>
        <w:t>W</w:t>
      </w:r>
      <w:r w:rsidR="006112AA" w:rsidRPr="00903C16">
        <w:rPr>
          <w:color w:val="auto"/>
        </w:rPr>
        <w:t>orking conditions were the top reason provided by those who were willing to share this with the force. The force is now seeking to put measures in place to reduce the number leaving the organisation and even to encourage officers and staff to return to employment in the force.</w:t>
      </w:r>
      <w:r w:rsidR="0053708A">
        <w:rPr>
          <w:color w:val="auto"/>
        </w:rPr>
        <w:t xml:space="preserve"> </w:t>
      </w:r>
      <w:r w:rsidR="002F1289">
        <w:rPr>
          <w:color w:val="auto"/>
        </w:rPr>
        <w:t>GM’s</w:t>
      </w:r>
      <w:r w:rsidR="006112AA" w:rsidRPr="00903C16">
        <w:rPr>
          <w:color w:val="auto"/>
        </w:rPr>
        <w:t xml:space="preserve"> </w:t>
      </w:r>
      <w:r w:rsidR="002F1289">
        <w:rPr>
          <w:color w:val="auto"/>
        </w:rPr>
        <w:t>C</w:t>
      </w:r>
      <w:r w:rsidR="006112AA" w:rsidRPr="00903C16">
        <w:rPr>
          <w:color w:val="auto"/>
        </w:rPr>
        <w:t xml:space="preserve">hief </w:t>
      </w:r>
      <w:r w:rsidR="002F1289">
        <w:rPr>
          <w:color w:val="auto"/>
        </w:rPr>
        <w:t>C</w:t>
      </w:r>
      <w:r w:rsidR="006112AA" w:rsidRPr="00903C16">
        <w:rPr>
          <w:color w:val="auto"/>
        </w:rPr>
        <w:t>onstable has invested in additional senior leaders through promotion and the recruitment of experienced senior leaders from other police forces. This is to provide leadership, direction and accountability in each of the policing districts and to fill additional roles in strategic departments.</w:t>
      </w:r>
    </w:p>
    <w:p w14:paraId="001D65F0" w14:textId="1FA83471" w:rsidR="00B2061B" w:rsidRDefault="0053708A" w:rsidP="0053708A">
      <w:pPr>
        <w:ind w:left="720" w:hanging="720"/>
      </w:pPr>
      <w:r>
        <w:rPr>
          <w:color w:val="auto"/>
        </w:rPr>
        <w:t>(3.8)</w:t>
      </w:r>
      <w:r>
        <w:rPr>
          <w:color w:val="auto"/>
        </w:rPr>
        <w:tab/>
      </w:r>
      <w:r w:rsidR="006112AA" w:rsidRPr="00903C16">
        <w:rPr>
          <w:color w:val="auto"/>
        </w:rPr>
        <w:t xml:space="preserve">The force understands its recruitment needs for the future and has been maintaining the pace of the recruitment of officers. </w:t>
      </w:r>
      <w:r w:rsidR="000251C1" w:rsidRPr="00903C16">
        <w:rPr>
          <w:color w:val="auto"/>
        </w:rPr>
        <w:t>Some of the traditional attractions of a career in policing</w:t>
      </w:r>
      <w:r w:rsidR="00CA12DA">
        <w:rPr>
          <w:color w:val="auto"/>
        </w:rPr>
        <w:t xml:space="preserve"> </w:t>
      </w:r>
      <w:r w:rsidR="000251C1" w:rsidRPr="00903C16">
        <w:rPr>
          <w:color w:val="auto"/>
        </w:rPr>
        <w:t>—</w:t>
      </w:r>
      <w:r w:rsidR="00CA12DA">
        <w:rPr>
          <w:color w:val="auto"/>
        </w:rPr>
        <w:t xml:space="preserve"> </w:t>
      </w:r>
      <w:r w:rsidR="000251C1" w:rsidRPr="00903C16">
        <w:rPr>
          <w:color w:val="auto"/>
        </w:rPr>
        <w:t>lifelong employment and secure pensions</w:t>
      </w:r>
      <w:r w:rsidR="00CA12DA">
        <w:rPr>
          <w:color w:val="auto"/>
        </w:rPr>
        <w:t xml:space="preserve"> </w:t>
      </w:r>
      <w:r w:rsidR="000251C1" w:rsidRPr="00903C16">
        <w:rPr>
          <w:color w:val="auto"/>
        </w:rPr>
        <w:t>—</w:t>
      </w:r>
      <w:r w:rsidR="00CA12DA">
        <w:rPr>
          <w:color w:val="auto"/>
        </w:rPr>
        <w:t xml:space="preserve"> </w:t>
      </w:r>
      <w:r w:rsidR="000251C1" w:rsidRPr="00903C16">
        <w:rPr>
          <w:color w:val="auto"/>
        </w:rPr>
        <w:t>cannot be relied on to attract and retain the future workforce. The social mission implicit in police work and the broad variety of challenges it offers are more likely to be attractive</w:t>
      </w:r>
      <w:r w:rsidR="00CA12DA">
        <w:rPr>
          <w:color w:val="auto"/>
        </w:rPr>
        <w:t xml:space="preserve"> </w:t>
      </w:r>
      <w:r w:rsidR="000251C1" w:rsidRPr="00903C16">
        <w:rPr>
          <w:color w:val="auto"/>
        </w:rPr>
        <w:t xml:space="preserve">and to attract a diverse range of recruits. </w:t>
      </w:r>
      <w:r w:rsidR="00163FF6">
        <w:rPr>
          <w:color w:val="auto"/>
        </w:rPr>
        <w:t xml:space="preserve">GMP </w:t>
      </w:r>
      <w:r w:rsidR="006112AA" w:rsidRPr="00903C16">
        <w:rPr>
          <w:color w:val="auto"/>
        </w:rPr>
        <w:t>has progressed its plans to achieve the requirements of the policing education qualifications framework (PEQF). Its first cohort of student officers under the framework joined in November 2021, with a new cohort of officers joining eve</w:t>
      </w:r>
      <w:r w:rsidR="00E64801">
        <w:rPr>
          <w:color w:val="auto"/>
        </w:rPr>
        <w:t>ry five weeks thereafter.</w:t>
      </w:r>
      <w:r w:rsidR="00E64801" w:rsidRPr="00E64801">
        <w:t xml:space="preserve"> </w:t>
      </w:r>
    </w:p>
    <w:p w14:paraId="70CA5E31" w14:textId="294F3BBF" w:rsidR="00E64801" w:rsidRPr="00E64801" w:rsidRDefault="0053708A" w:rsidP="0053708A">
      <w:pPr>
        <w:ind w:left="720" w:hanging="720"/>
        <w:rPr>
          <w:color w:val="auto"/>
        </w:rPr>
      </w:pPr>
      <w:r w:rsidRPr="0708D23D">
        <w:rPr>
          <w:color w:val="auto"/>
        </w:rPr>
        <w:t>(3.9)</w:t>
      </w:r>
      <w:r>
        <w:tab/>
      </w:r>
      <w:r w:rsidR="00E64801" w:rsidRPr="0708D23D">
        <w:rPr>
          <w:color w:val="auto"/>
        </w:rPr>
        <w:t>There is some understanding of what the size of the workforce will need to be over the next four years in terms of numbers of staff and officers, but more work is needed to understand the required skill set. The force is aware of its gap in capacity, particularly in relation to the length of service profile, with significant numbers of student officers and a shortage of detectives. Staff are needed in specialist roles that require specialist knowledge. Senior leaders understand the effect this will have and how they need to allocate resources, as do superintendent ranks</w:t>
      </w:r>
      <w:r w:rsidR="617F35E8" w:rsidRPr="0708D23D">
        <w:rPr>
          <w:color w:val="auto"/>
        </w:rPr>
        <w:t>,</w:t>
      </w:r>
      <w:r w:rsidR="00E64801" w:rsidRPr="0708D23D">
        <w:rPr>
          <w:color w:val="auto"/>
        </w:rPr>
        <w:t xml:space="preserve"> as they live with the consequences of skills gaps on a daily basis. For example, they have recently had to move newly trained officers into the control room to cope with demand.</w:t>
      </w:r>
    </w:p>
    <w:p w14:paraId="48E700FF" w14:textId="1C23988B" w:rsidR="006112AA" w:rsidRDefault="0053708A" w:rsidP="0053708A">
      <w:pPr>
        <w:ind w:left="720" w:hanging="720"/>
        <w:rPr>
          <w:color w:val="auto"/>
        </w:rPr>
      </w:pPr>
      <w:r>
        <w:rPr>
          <w:color w:val="auto"/>
        </w:rPr>
        <w:lastRenderedPageBreak/>
        <w:t>(3.10)</w:t>
      </w:r>
      <w:r>
        <w:rPr>
          <w:color w:val="auto"/>
        </w:rPr>
        <w:tab/>
      </w:r>
      <w:r w:rsidR="00AC7775">
        <w:rPr>
          <w:color w:val="auto"/>
        </w:rPr>
        <w:t>GMP</w:t>
      </w:r>
      <w:r w:rsidR="00E64801" w:rsidRPr="00E64801">
        <w:rPr>
          <w:color w:val="auto"/>
        </w:rPr>
        <w:t xml:space="preserve"> external relations and performance branch is now developing reports to better understand current and future demand. Further work is needed on understanding the demand that the frontline generates for the back office. This demand is starting to create some difficult pinch points in the organisation. For example, new student officers are creating a lot of demand </w:t>
      </w:r>
      <w:r w:rsidR="00DA1C4C">
        <w:rPr>
          <w:color w:val="auto"/>
        </w:rPr>
        <w:t>for HR services</w:t>
      </w:r>
      <w:r w:rsidR="00E64801" w:rsidRPr="00E64801">
        <w:rPr>
          <w:color w:val="auto"/>
        </w:rPr>
        <w:t>. This type of demand isn’t fully understood throughout the organisation, but it is now being incorporated into the force review and change programmes.</w:t>
      </w:r>
    </w:p>
    <w:p w14:paraId="367D8177" w14:textId="5C8FB89D" w:rsidR="006112AA" w:rsidRDefault="00B36D7C" w:rsidP="00B36D7C">
      <w:pPr>
        <w:ind w:left="720" w:hanging="720"/>
        <w:rPr>
          <w:color w:val="auto"/>
        </w:rPr>
      </w:pPr>
      <w:r>
        <w:rPr>
          <w:color w:val="auto"/>
        </w:rPr>
        <w:t>(3.11)</w:t>
      </w:r>
      <w:r>
        <w:rPr>
          <w:color w:val="auto"/>
        </w:rPr>
        <w:tab/>
      </w:r>
      <w:r w:rsidR="006112AA" w:rsidRPr="00903C16">
        <w:rPr>
          <w:color w:val="auto"/>
        </w:rPr>
        <w:t xml:space="preserve">The force has previously had a high number of leavers, including a number of experienced officers transferring to other police forces. In the year ending 31 March 2021, of the 364 FTE officers who left </w:t>
      </w:r>
      <w:r w:rsidR="003C0BD3">
        <w:rPr>
          <w:color w:val="auto"/>
        </w:rPr>
        <w:t>GMP</w:t>
      </w:r>
      <w:r w:rsidR="006112AA" w:rsidRPr="00903C16">
        <w:rPr>
          <w:color w:val="auto"/>
        </w:rPr>
        <w:t>, 19</w:t>
      </w:r>
      <w:r w:rsidR="003C0BD3">
        <w:rPr>
          <w:color w:val="auto"/>
        </w:rPr>
        <w:t>%</w:t>
      </w:r>
      <w:r w:rsidR="006112AA" w:rsidRPr="00903C16">
        <w:rPr>
          <w:color w:val="auto"/>
        </w:rPr>
        <w:t>transferred to other forces and 17</w:t>
      </w:r>
      <w:r w:rsidR="003C0BD3">
        <w:rPr>
          <w:color w:val="auto"/>
        </w:rPr>
        <w:t>%</w:t>
      </w:r>
      <w:r w:rsidR="006112AA" w:rsidRPr="00903C16">
        <w:rPr>
          <w:color w:val="auto"/>
        </w:rPr>
        <w:t xml:space="preserve"> resigned from the force. Of those who completed an exit questionnaire, the most common reason for leaving was the working conditions. </w:t>
      </w:r>
      <w:r w:rsidR="003C0BD3">
        <w:rPr>
          <w:color w:val="auto"/>
        </w:rPr>
        <w:t>GMP</w:t>
      </w:r>
      <w:r w:rsidR="006112AA" w:rsidRPr="00903C16">
        <w:rPr>
          <w:color w:val="auto"/>
        </w:rPr>
        <w:t xml:space="preserve"> now has a process to identify earlier those considering such a move and seeks to address any motivating factors to persuade officers to stay. The force is also actively seeking to support officers returning to the force, who bring the skills and experience it had previously lost.</w:t>
      </w:r>
    </w:p>
    <w:p w14:paraId="4BA5AFB7" w14:textId="7EDB48A9" w:rsidR="00515EAF" w:rsidRPr="00903C16" w:rsidRDefault="00515EAF" w:rsidP="006112AA">
      <w:pPr>
        <w:rPr>
          <w:color w:val="auto"/>
        </w:rPr>
      </w:pPr>
      <w:r w:rsidRPr="00515EAF">
        <w:rPr>
          <w:noProof/>
          <w:color w:val="auto"/>
        </w:rPr>
        <w:lastRenderedPageBreak/>
        <w:drawing>
          <wp:inline distT="0" distB="0" distL="0" distR="0" wp14:anchorId="3D7F7657" wp14:editId="64BBCF4C">
            <wp:extent cx="5731510" cy="3682365"/>
            <wp:effectExtent l="19050" t="19050" r="21590" b="13335"/>
            <wp:docPr id="32" name="Picture 32" descr="Chart showing UK police workforce experience with 25% having between 1 and 5 years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howing UK police workforce experience with 25% having between 1 and 5 years experience "/>
                    <pic:cNvPicPr/>
                  </pic:nvPicPr>
                  <pic:blipFill>
                    <a:blip r:embed="rId14"/>
                    <a:stretch>
                      <a:fillRect/>
                    </a:stretch>
                  </pic:blipFill>
                  <pic:spPr>
                    <a:xfrm>
                      <a:off x="0" y="0"/>
                      <a:ext cx="5731510" cy="3682365"/>
                    </a:xfrm>
                    <a:prstGeom prst="rect">
                      <a:avLst/>
                    </a:prstGeom>
                    <a:ln>
                      <a:solidFill>
                        <a:schemeClr val="tx1"/>
                      </a:solidFill>
                    </a:ln>
                  </pic:spPr>
                </pic:pic>
              </a:graphicData>
            </a:graphic>
          </wp:inline>
        </w:drawing>
      </w:r>
    </w:p>
    <w:p w14:paraId="6A541524" w14:textId="04AA8252" w:rsidR="00FF65C3" w:rsidRDefault="00FF65C3" w:rsidP="00FF65C3">
      <w:pPr>
        <w:jc w:val="center"/>
        <w:rPr>
          <w:b/>
          <w:bCs/>
          <w:color w:val="auto"/>
        </w:rPr>
      </w:pPr>
      <w:r>
        <w:rPr>
          <w:b/>
          <w:bCs/>
          <w:color w:val="auto"/>
        </w:rPr>
        <w:t xml:space="preserve">FIGURE </w:t>
      </w:r>
      <w:r w:rsidR="00C13528">
        <w:rPr>
          <w:b/>
          <w:bCs/>
          <w:color w:val="auto"/>
        </w:rPr>
        <w:t>4</w:t>
      </w:r>
      <w:r>
        <w:rPr>
          <w:b/>
          <w:bCs/>
          <w:color w:val="auto"/>
        </w:rPr>
        <w:t xml:space="preserve"> – UK Police </w:t>
      </w:r>
      <w:r w:rsidR="00D32A19">
        <w:rPr>
          <w:b/>
          <w:bCs/>
          <w:color w:val="auto"/>
        </w:rPr>
        <w:t>Workforce Experience</w:t>
      </w:r>
    </w:p>
    <w:p w14:paraId="5430ED5F" w14:textId="1D112726" w:rsidR="004B3A42" w:rsidRDefault="007E19AB" w:rsidP="007E19AB">
      <w:pPr>
        <w:ind w:left="720" w:hanging="720"/>
        <w:rPr>
          <w:color w:val="auto"/>
        </w:rPr>
      </w:pPr>
      <w:r>
        <w:rPr>
          <w:color w:val="auto"/>
        </w:rPr>
        <w:t>(3.</w:t>
      </w:r>
      <w:r w:rsidR="000B2A84">
        <w:rPr>
          <w:color w:val="auto"/>
        </w:rPr>
        <w:t>12</w:t>
      </w:r>
      <w:r>
        <w:rPr>
          <w:color w:val="auto"/>
        </w:rPr>
        <w:t>)</w:t>
      </w:r>
      <w:r>
        <w:rPr>
          <w:color w:val="auto"/>
        </w:rPr>
        <w:tab/>
      </w:r>
      <w:r w:rsidR="004B3A42" w:rsidRPr="00417D45">
        <w:rPr>
          <w:color w:val="auto"/>
        </w:rPr>
        <w:t xml:space="preserve">One crucial factor in public trust is the extent to which police forces reflect the communities they serve. </w:t>
      </w:r>
      <w:r w:rsidR="004B3A42">
        <w:rPr>
          <w:color w:val="auto"/>
        </w:rPr>
        <w:t>T</w:t>
      </w:r>
      <w:r w:rsidR="004B3A42" w:rsidRPr="00417D45">
        <w:rPr>
          <w:color w:val="auto"/>
        </w:rPr>
        <w:t xml:space="preserve">oday’s police forces </w:t>
      </w:r>
      <w:r w:rsidR="004B3A42">
        <w:rPr>
          <w:color w:val="auto"/>
        </w:rPr>
        <w:t xml:space="preserve">are </w:t>
      </w:r>
      <w:r w:rsidR="004B3A42" w:rsidRPr="00417D45">
        <w:rPr>
          <w:color w:val="auto"/>
        </w:rPr>
        <w:t>far more diverse than in the past</w:t>
      </w:r>
      <w:r w:rsidR="004B3A42">
        <w:rPr>
          <w:color w:val="auto"/>
        </w:rPr>
        <w:t xml:space="preserve"> and almost all forces (including GMP) have a </w:t>
      </w:r>
      <w:r w:rsidR="004B3A42" w:rsidRPr="00417D45">
        <w:rPr>
          <w:color w:val="auto"/>
        </w:rPr>
        <w:t xml:space="preserve">workplace diversity and inclusion policy. However, diversity goes beyond issues such as ethnicity and gender and having the right policies. Leaders also need to embrace talent from different educational backgrounds and with different lifestyles, and capitalize on the breadth of ideas, experience, and knowledge this talent can offer. Encouraging a culture of experimentation will be important to be successful in a digital age. This means initiatives such as Police Now, a U.K.-based project that aims to engage with local communities to attract a more diverse group of future police leaders, and direct-entry schemes that enable workers with external experience to join the police at higher ranks. </w:t>
      </w:r>
    </w:p>
    <w:p w14:paraId="740F3498" w14:textId="79810A80" w:rsidR="004B3A42" w:rsidRPr="00417D45" w:rsidRDefault="007E19AB" w:rsidP="007E19AB">
      <w:pPr>
        <w:ind w:left="720" w:hanging="720"/>
        <w:rPr>
          <w:color w:val="auto"/>
        </w:rPr>
      </w:pPr>
      <w:r>
        <w:rPr>
          <w:color w:val="auto"/>
        </w:rPr>
        <w:t>(3.</w:t>
      </w:r>
      <w:r w:rsidR="003C0BD3">
        <w:rPr>
          <w:color w:val="auto"/>
        </w:rPr>
        <w:t>13</w:t>
      </w:r>
      <w:r>
        <w:rPr>
          <w:color w:val="auto"/>
        </w:rPr>
        <w:t>)</w:t>
      </w:r>
      <w:r>
        <w:rPr>
          <w:color w:val="auto"/>
        </w:rPr>
        <w:tab/>
      </w:r>
      <w:r w:rsidR="004B3A42" w:rsidRPr="00725E74">
        <w:rPr>
          <w:color w:val="auto"/>
        </w:rPr>
        <w:t xml:space="preserve">The force has set its recruitment priorities to improve the diversity of its workforce and better reflect the community it serves. It has proactively sought to attract applications from under-represented groups. For the year ending 31 </w:t>
      </w:r>
      <w:r w:rsidR="004B3A42" w:rsidRPr="00725E74">
        <w:rPr>
          <w:color w:val="auto"/>
        </w:rPr>
        <w:lastRenderedPageBreak/>
        <w:t xml:space="preserve">March 2021, the proportion of police officers joining </w:t>
      </w:r>
      <w:r w:rsidR="004B3A42">
        <w:rPr>
          <w:color w:val="auto"/>
        </w:rPr>
        <w:t>GMP</w:t>
      </w:r>
      <w:r w:rsidR="004B3A42" w:rsidRPr="00725E74">
        <w:rPr>
          <w:color w:val="auto"/>
        </w:rPr>
        <w:t xml:space="preserve"> from Black, Asian and other minority ethnic (BAME) backgrounds was slightly higher than the proportion of BAME individuals in the force area (16.</w:t>
      </w:r>
      <w:r w:rsidR="00A61E2C">
        <w:rPr>
          <w:color w:val="auto"/>
        </w:rPr>
        <w:t>8%</w:t>
      </w:r>
      <w:r w:rsidR="004B3A42" w:rsidRPr="00725E74">
        <w:rPr>
          <w:color w:val="auto"/>
        </w:rPr>
        <w:t xml:space="preserve"> of those who stated their ethnicity, compared to 16.2</w:t>
      </w:r>
      <w:r w:rsidR="00A61E2C">
        <w:rPr>
          <w:color w:val="auto"/>
        </w:rPr>
        <w:t>% of GM</w:t>
      </w:r>
      <w:r w:rsidR="004B3A42" w:rsidRPr="00725E74">
        <w:rPr>
          <w:color w:val="auto"/>
        </w:rPr>
        <w:t>). Should this positive recruitment rate continue, it will increase the force’s total proportion of police officers from BAME backgrounds, which was 9.3 percent as of 31 March 2021</w:t>
      </w:r>
      <w:r w:rsidR="004B3A42">
        <w:rPr>
          <w:color w:val="auto"/>
        </w:rPr>
        <w:t>.</w:t>
      </w:r>
      <w:r w:rsidR="004B3A42">
        <w:rPr>
          <w:rStyle w:val="FootnoteReference"/>
          <w:color w:val="auto"/>
        </w:rPr>
        <w:footnoteReference w:id="20"/>
      </w:r>
    </w:p>
    <w:p w14:paraId="2D391C21" w14:textId="6DFAE2A0" w:rsidR="001C7DF9" w:rsidRPr="00903C16" w:rsidRDefault="001C7DF9" w:rsidP="001C7DF9">
      <w:pPr>
        <w:rPr>
          <w:b/>
          <w:bCs/>
          <w:color w:val="auto"/>
        </w:rPr>
      </w:pPr>
      <w:r w:rsidRPr="00903C16">
        <w:rPr>
          <w:b/>
          <w:bCs/>
          <w:color w:val="auto"/>
        </w:rPr>
        <w:t>Fire</w:t>
      </w:r>
    </w:p>
    <w:p w14:paraId="61911B01" w14:textId="11211318" w:rsidR="002B023C" w:rsidRPr="00BD4F66" w:rsidRDefault="005227A3" w:rsidP="002B023C">
      <w:pPr>
        <w:ind w:left="720" w:hanging="720"/>
        <w:rPr>
          <w:color w:val="auto"/>
        </w:rPr>
      </w:pPr>
      <w:r>
        <w:rPr>
          <w:color w:val="auto"/>
        </w:rPr>
        <w:t>(3.1</w:t>
      </w:r>
      <w:r w:rsidR="002B023C">
        <w:rPr>
          <w:color w:val="auto"/>
        </w:rPr>
        <w:t>4</w:t>
      </w:r>
      <w:r>
        <w:rPr>
          <w:color w:val="auto"/>
        </w:rPr>
        <w:t>)</w:t>
      </w:r>
      <w:r>
        <w:rPr>
          <w:color w:val="auto"/>
        </w:rPr>
        <w:tab/>
      </w:r>
      <w:r w:rsidR="00213964" w:rsidRPr="00903C16">
        <w:rPr>
          <w:color w:val="auto"/>
        </w:rPr>
        <w:t xml:space="preserve">From 2011 to 2020, the total number of firefighters </w:t>
      </w:r>
      <w:r>
        <w:rPr>
          <w:color w:val="auto"/>
        </w:rPr>
        <w:t xml:space="preserve">in the UK </w:t>
      </w:r>
      <w:r w:rsidR="00213964" w:rsidRPr="00903C16">
        <w:rPr>
          <w:color w:val="auto"/>
        </w:rPr>
        <w:t xml:space="preserve">went down from around 43,000 to around 35,000. </w:t>
      </w:r>
      <w:r w:rsidR="002B023C">
        <w:rPr>
          <w:color w:val="auto"/>
        </w:rPr>
        <w:t>T</w:t>
      </w:r>
      <w:r w:rsidR="002B023C" w:rsidRPr="00BD4F66">
        <w:rPr>
          <w:color w:val="auto"/>
        </w:rPr>
        <w:t>he absolute number of staff leaving FRSs each year has fluctuated between around 3,500 and 4,640 since data become available in 2009 to 2010. In 2021 to 2022, 4,640 staff left FRSs, the largest number in the time series, and a 32</w:t>
      </w:r>
      <w:r w:rsidR="00366807">
        <w:rPr>
          <w:color w:val="auto"/>
        </w:rPr>
        <w:t xml:space="preserve">% </w:t>
      </w:r>
      <w:r w:rsidR="002B023C" w:rsidRPr="00BD4F66">
        <w:rPr>
          <w:color w:val="auto"/>
        </w:rPr>
        <w:t xml:space="preserve">increase on the previous year. This follows two successive years of decreases in the number of leavers - down from 4,294 in 2018 to 2019 to 4,194 in 2019 to 2020 (a </w:t>
      </w:r>
      <w:r w:rsidR="00366807">
        <w:rPr>
          <w:color w:val="auto"/>
        </w:rPr>
        <w:t>2%</w:t>
      </w:r>
      <w:r w:rsidR="002B023C" w:rsidRPr="00BD4F66">
        <w:rPr>
          <w:color w:val="auto"/>
        </w:rPr>
        <w:t xml:space="preserve"> decrease) to 3,522 in 2020 to 2021 (a 16</w:t>
      </w:r>
      <w:r w:rsidR="00366807">
        <w:rPr>
          <w:color w:val="auto"/>
        </w:rPr>
        <w:t>%</w:t>
      </w:r>
      <w:r w:rsidR="002B023C" w:rsidRPr="00BD4F66">
        <w:rPr>
          <w:color w:val="auto"/>
        </w:rPr>
        <w:t xml:space="preserve"> decrease).</w:t>
      </w:r>
    </w:p>
    <w:p w14:paraId="16C5E41C" w14:textId="182CBFA1" w:rsidR="002B023C" w:rsidRPr="00BD4F66" w:rsidRDefault="002B023C" w:rsidP="002B023C">
      <w:pPr>
        <w:ind w:left="720" w:hanging="720"/>
        <w:rPr>
          <w:color w:val="auto"/>
        </w:rPr>
      </w:pPr>
      <w:r>
        <w:rPr>
          <w:color w:val="auto"/>
        </w:rPr>
        <w:t>(3.15)</w:t>
      </w:r>
      <w:r>
        <w:rPr>
          <w:color w:val="auto"/>
        </w:rPr>
        <w:tab/>
      </w:r>
      <w:r w:rsidRPr="00BD4F66">
        <w:rPr>
          <w:color w:val="auto"/>
        </w:rPr>
        <w:t xml:space="preserve">Since 2010 to 2011, the proportion of FRS staff that left FRSs increased slowly from </w:t>
      </w:r>
      <w:r w:rsidR="004A4C5B">
        <w:rPr>
          <w:color w:val="auto"/>
        </w:rPr>
        <w:t>7% to 10%</w:t>
      </w:r>
      <w:r w:rsidRPr="00BD4F66">
        <w:rPr>
          <w:color w:val="auto"/>
        </w:rPr>
        <w:t xml:space="preserve"> in financial year 2018 to 2019. This proportion then decreased slightly to </w:t>
      </w:r>
      <w:r w:rsidR="004A4C5B">
        <w:rPr>
          <w:color w:val="auto"/>
        </w:rPr>
        <w:t>9%</w:t>
      </w:r>
      <w:r w:rsidRPr="00BD4F66">
        <w:rPr>
          <w:color w:val="auto"/>
        </w:rPr>
        <w:t xml:space="preserve"> in financial year 2019 to 2020 and again to </w:t>
      </w:r>
      <w:r w:rsidR="004A4C5B">
        <w:rPr>
          <w:color w:val="auto"/>
        </w:rPr>
        <w:t>8%</w:t>
      </w:r>
      <w:r w:rsidRPr="00BD4F66">
        <w:rPr>
          <w:color w:val="auto"/>
        </w:rPr>
        <w:t xml:space="preserve"> in financial year 2020 to 2021. During the financial year 2021 to 2022, the proportion of staff who left increased to </w:t>
      </w:r>
      <w:r w:rsidR="004A4C5B">
        <w:rPr>
          <w:color w:val="auto"/>
        </w:rPr>
        <w:t>10%</w:t>
      </w:r>
      <w:r w:rsidRPr="00BD4F66">
        <w:rPr>
          <w:color w:val="auto"/>
        </w:rPr>
        <w:t>, the joint largest proportion in the time serie</w:t>
      </w:r>
      <w:r w:rsidR="00FB64AA">
        <w:rPr>
          <w:color w:val="auto"/>
        </w:rPr>
        <w:t>s</w:t>
      </w:r>
      <w:r w:rsidRPr="00BD4F66">
        <w:rPr>
          <w:color w:val="auto"/>
        </w:rPr>
        <w:t>.</w:t>
      </w:r>
    </w:p>
    <w:p w14:paraId="40CCCB7B" w14:textId="39CD2ED0" w:rsidR="002B023C" w:rsidRDefault="002B023C" w:rsidP="002B023C">
      <w:pPr>
        <w:ind w:left="720" w:hanging="720"/>
        <w:rPr>
          <w:color w:val="auto"/>
        </w:rPr>
      </w:pPr>
      <w:r>
        <w:rPr>
          <w:color w:val="auto"/>
        </w:rPr>
        <w:t>(3.16)</w:t>
      </w:r>
      <w:r>
        <w:rPr>
          <w:color w:val="auto"/>
        </w:rPr>
        <w:tab/>
      </w:r>
      <w:r w:rsidRPr="00BD4F66">
        <w:rPr>
          <w:color w:val="auto"/>
        </w:rPr>
        <w:t>The proportion of firefighters that left the FRSs has followed a similar trend to the proportion of all staff that left. During the financial year 2021 to 2022, the proportion of firefighters who left increased to ten per cent, the largest proportion in the time series.</w:t>
      </w:r>
      <w:r w:rsidRPr="009B2DF8">
        <w:t xml:space="preserve"> </w:t>
      </w:r>
      <w:r w:rsidRPr="009B2DF8">
        <w:rPr>
          <w:color w:val="auto"/>
        </w:rPr>
        <w:t>The reason for staff leaving FRSs in 2021 to 2022 varied by staff role. For</w:t>
      </w:r>
      <w:r w:rsidR="00366807">
        <w:rPr>
          <w:color w:val="auto"/>
        </w:rPr>
        <w:t xml:space="preserve"> full-</w:t>
      </w:r>
      <w:r w:rsidRPr="009B2DF8">
        <w:rPr>
          <w:color w:val="auto"/>
        </w:rPr>
        <w:t>time firefighters, the most common reason was retirement, which accounted for 65</w:t>
      </w:r>
      <w:r w:rsidR="0076261F">
        <w:rPr>
          <w:color w:val="auto"/>
        </w:rPr>
        <w:t xml:space="preserve">% </w:t>
      </w:r>
      <w:r w:rsidRPr="009B2DF8">
        <w:rPr>
          <w:color w:val="auto"/>
        </w:rPr>
        <w:t xml:space="preserve">of leavers, as in most of the last five </w:t>
      </w:r>
      <w:r w:rsidRPr="009B2DF8">
        <w:rPr>
          <w:color w:val="auto"/>
        </w:rPr>
        <w:lastRenderedPageBreak/>
        <w:t>year</w:t>
      </w:r>
      <w:r w:rsidR="0076261F">
        <w:rPr>
          <w:color w:val="auto"/>
        </w:rPr>
        <w:t>s</w:t>
      </w:r>
      <w:r w:rsidRPr="009B2DF8">
        <w:rPr>
          <w:color w:val="auto"/>
        </w:rPr>
        <w:t xml:space="preserve">. However, retirement accounted for </w:t>
      </w:r>
      <w:r w:rsidR="0076261F">
        <w:rPr>
          <w:color w:val="auto"/>
        </w:rPr>
        <w:t>13%</w:t>
      </w:r>
      <w:r w:rsidRPr="009B2DF8">
        <w:rPr>
          <w:color w:val="auto"/>
        </w:rPr>
        <w:t xml:space="preserve"> of on-call firefighter leavers, </w:t>
      </w:r>
      <w:r w:rsidR="0076261F">
        <w:rPr>
          <w:color w:val="auto"/>
        </w:rPr>
        <w:t>22%</w:t>
      </w:r>
      <w:r w:rsidRPr="009B2DF8">
        <w:rPr>
          <w:color w:val="auto"/>
        </w:rPr>
        <w:t xml:space="preserve"> of fire control leavers and </w:t>
      </w:r>
      <w:r w:rsidR="0076261F">
        <w:rPr>
          <w:color w:val="auto"/>
        </w:rPr>
        <w:t>17%</w:t>
      </w:r>
      <w:r w:rsidRPr="009B2DF8">
        <w:rPr>
          <w:color w:val="auto"/>
        </w:rPr>
        <w:t xml:space="preserve"> of support staff leavers.</w:t>
      </w:r>
    </w:p>
    <w:p w14:paraId="4CD51168" w14:textId="110D783D" w:rsidR="00213964" w:rsidRDefault="002B023C" w:rsidP="005227A3">
      <w:pPr>
        <w:ind w:left="720" w:hanging="720"/>
        <w:rPr>
          <w:color w:val="auto"/>
        </w:rPr>
      </w:pPr>
      <w:r>
        <w:rPr>
          <w:color w:val="auto"/>
        </w:rPr>
        <w:t>(3.17)</w:t>
      </w:r>
      <w:r>
        <w:rPr>
          <w:color w:val="auto"/>
        </w:rPr>
        <w:tab/>
      </w:r>
      <w:r w:rsidR="001E079A">
        <w:rPr>
          <w:color w:val="auto"/>
        </w:rPr>
        <w:t xml:space="preserve">Regarding reflecting the communities in which the Emergency Services operate, </w:t>
      </w:r>
      <w:r w:rsidR="00150692">
        <w:rPr>
          <w:color w:val="auto"/>
        </w:rPr>
        <w:t>the fire service has seen</w:t>
      </w:r>
      <w:r w:rsidR="00213964" w:rsidRPr="00903C16">
        <w:rPr>
          <w:color w:val="auto"/>
        </w:rPr>
        <w:t xml:space="preserve"> a decrease</w:t>
      </w:r>
      <w:r w:rsidR="00150692">
        <w:rPr>
          <w:color w:val="auto"/>
        </w:rPr>
        <w:t xml:space="preserve"> over recent years</w:t>
      </w:r>
      <w:r w:rsidR="00213964" w:rsidRPr="00903C16">
        <w:rPr>
          <w:color w:val="auto"/>
        </w:rPr>
        <w:t xml:space="preserve"> in the number of firefighters in every ethnic group except the Mixed and Asian ethnic groups</w:t>
      </w:r>
      <w:r w:rsidR="006B7AF2" w:rsidRPr="00903C16">
        <w:rPr>
          <w:color w:val="auto"/>
        </w:rPr>
        <w:t xml:space="preserve">. </w:t>
      </w:r>
      <w:r w:rsidR="00213964" w:rsidRPr="00903C16">
        <w:rPr>
          <w:color w:val="auto"/>
        </w:rPr>
        <w:t>In 2020, 95.6% of firefighters in England were White (out of those whose ethnicity was known). For comparison, 85.1% of working age people in England (aged 16 to 64 years) were White at the time of the 2011 Census</w:t>
      </w:r>
      <w:r w:rsidR="006B7AF2" w:rsidRPr="00903C16">
        <w:rPr>
          <w:color w:val="auto"/>
        </w:rPr>
        <w:t>.</w:t>
      </w:r>
      <w:r w:rsidR="00213964" w:rsidRPr="00903C16">
        <w:rPr>
          <w:color w:val="auto"/>
        </w:rPr>
        <w:t xml:space="preserve"> Overall, the percentage of fire and rescue services staff (including support staff) from Asian, Black, Mixed and Other backgrounds went up from 4.0% in 2011 to 5.0% in 2020</w:t>
      </w:r>
      <w:r w:rsidR="00F96F29">
        <w:rPr>
          <w:color w:val="auto"/>
        </w:rPr>
        <w:t>.</w:t>
      </w:r>
      <w:r w:rsidR="00F96F29">
        <w:rPr>
          <w:rStyle w:val="FootnoteReference"/>
          <w:color w:val="auto"/>
        </w:rPr>
        <w:footnoteReference w:id="21"/>
      </w:r>
    </w:p>
    <w:p w14:paraId="0426D770" w14:textId="01E419A9" w:rsidR="004B3A42" w:rsidRPr="0037586D" w:rsidRDefault="007E19AB" w:rsidP="007E19AB">
      <w:pPr>
        <w:ind w:left="720" w:hanging="720"/>
        <w:rPr>
          <w:color w:val="auto"/>
        </w:rPr>
      </w:pPr>
      <w:r>
        <w:rPr>
          <w:color w:val="auto"/>
        </w:rPr>
        <w:t>(3.</w:t>
      </w:r>
      <w:r w:rsidR="002B023C">
        <w:rPr>
          <w:color w:val="auto"/>
        </w:rPr>
        <w:t>18</w:t>
      </w:r>
      <w:r>
        <w:rPr>
          <w:color w:val="auto"/>
        </w:rPr>
        <w:t>)</w:t>
      </w:r>
      <w:r>
        <w:rPr>
          <w:color w:val="auto"/>
        </w:rPr>
        <w:tab/>
      </w:r>
      <w:r w:rsidR="004B3A42" w:rsidRPr="0037586D">
        <w:rPr>
          <w:color w:val="auto"/>
        </w:rPr>
        <w:t>To reduce fires and other emergencies even further, GMFRS must have a positive presence in all its communities. This involves outreach work in all of our communities to demonstrate the fire service can be a career choice for all, regardless of gender, age, race, religion or sexuality. The Service must be able to understand the specific risks in different communities and implement the most effective ways to promote safety advice and guidance to them. The threats facing our region can be complex and this requires a modern, agile and progressive service. Creating a more representative workforce will provide huge benefits for fire and rescue services. This includes greater access to talent and different ways of thinking, and improved understanding of and engagement with their local communities.</w:t>
      </w:r>
    </w:p>
    <w:p w14:paraId="6123A207" w14:textId="28C1DAEF" w:rsidR="004B3A42" w:rsidRDefault="007E19AB" w:rsidP="007E19AB">
      <w:pPr>
        <w:ind w:left="720" w:hanging="720"/>
        <w:rPr>
          <w:color w:val="auto"/>
        </w:rPr>
      </w:pPr>
      <w:r>
        <w:rPr>
          <w:color w:val="auto"/>
        </w:rPr>
        <w:t>(3.</w:t>
      </w:r>
      <w:r w:rsidR="00C43EB7">
        <w:rPr>
          <w:color w:val="auto"/>
        </w:rPr>
        <w:t>19</w:t>
      </w:r>
      <w:r>
        <w:rPr>
          <w:color w:val="auto"/>
        </w:rPr>
        <w:t>)</w:t>
      </w:r>
      <w:r>
        <w:rPr>
          <w:color w:val="auto"/>
        </w:rPr>
        <w:tab/>
      </w:r>
      <w:r w:rsidR="004B3A42" w:rsidRPr="0037586D">
        <w:rPr>
          <w:color w:val="auto"/>
        </w:rPr>
        <w:t xml:space="preserve">Improving the diversity of new recruits is the first step, but it is essential </w:t>
      </w:r>
      <w:r w:rsidR="001C649D" w:rsidRPr="0037586D">
        <w:rPr>
          <w:color w:val="auto"/>
        </w:rPr>
        <w:t>it’s</w:t>
      </w:r>
      <w:r w:rsidR="004B3A42" w:rsidRPr="0037586D">
        <w:rPr>
          <w:color w:val="auto"/>
        </w:rPr>
        <w:t xml:space="preserve"> in a culture in which a diverse workforce want to stay and progress. The number of women in uniformed leadership roles is particularly low and must be improved. Improving the culture of the Service is vital for the wellbeing and development of staff and </w:t>
      </w:r>
      <w:r w:rsidR="004B3A42">
        <w:rPr>
          <w:color w:val="auto"/>
        </w:rPr>
        <w:t xml:space="preserve">GMFRS </w:t>
      </w:r>
      <w:r w:rsidR="004B3A42" w:rsidRPr="0037586D">
        <w:rPr>
          <w:color w:val="auto"/>
        </w:rPr>
        <w:t>are working hard to make it better</w:t>
      </w:r>
      <w:r w:rsidR="00790AF8">
        <w:rPr>
          <w:color w:val="auto"/>
        </w:rPr>
        <w:t>.</w:t>
      </w:r>
      <w:r w:rsidR="004B3A42">
        <w:rPr>
          <w:color w:val="auto"/>
        </w:rPr>
        <w:t xml:space="preserve"> </w:t>
      </w:r>
      <w:r w:rsidR="004B3A42" w:rsidRPr="0037586D">
        <w:rPr>
          <w:color w:val="auto"/>
        </w:rPr>
        <w:t xml:space="preserve">The </w:t>
      </w:r>
      <w:r w:rsidR="004B3A42" w:rsidRPr="0037586D">
        <w:rPr>
          <w:color w:val="auto"/>
        </w:rPr>
        <w:lastRenderedPageBreak/>
        <w:t xml:space="preserve">Service has appointed an EDI Manager to implement the EDI Strategy and ensure it is effectively embedded. Champions have been created to oversee and promote EDI activity across the Service. Established staff networks currently include the Rainbow Staff Network, and networks for women; </w:t>
      </w:r>
      <w:r w:rsidR="00DA4E00">
        <w:rPr>
          <w:color w:val="auto"/>
        </w:rPr>
        <w:t>ethnically</w:t>
      </w:r>
      <w:r w:rsidR="004B3A42" w:rsidRPr="0037586D">
        <w:rPr>
          <w:color w:val="auto"/>
        </w:rPr>
        <w:t xml:space="preserve"> diverse staff members; and people with disabilities. Each network is championed by a member of the senior leadership team. A Reverse Mentoring Programme with senior leaders aims to create a meaningful understanding of the lived experience of employees from different protected groups. Online training to include specific packages on a wider range of EDI topics such inclusive language, allyship, and race bias has also been refreshed. The service carries out positive action initiatives (such as taster days) to promote roles throughout the service. </w:t>
      </w:r>
    </w:p>
    <w:p w14:paraId="2F0BC52E" w14:textId="6C86DE89" w:rsidR="004B3A42" w:rsidRDefault="004B3A42" w:rsidP="00B62A95">
      <w:pPr>
        <w:pStyle w:val="ListParagraph"/>
        <w:numPr>
          <w:ilvl w:val="0"/>
          <w:numId w:val="27"/>
        </w:numPr>
      </w:pPr>
      <w:r w:rsidRPr="00FE291D">
        <w:t>8.2</w:t>
      </w:r>
      <w:r w:rsidR="002F3E1E">
        <w:t>%</w:t>
      </w:r>
      <w:r w:rsidRPr="00FE291D">
        <w:t xml:space="preserve"> (2,862) of firefighters employed by FRAs were women compared with 7.5 </w:t>
      </w:r>
      <w:r w:rsidR="002F3E1E">
        <w:t>%</w:t>
      </w:r>
      <w:r w:rsidRPr="00FE291D">
        <w:t xml:space="preserve"> (2,644) in the previous year and 5.2</w:t>
      </w:r>
      <w:r w:rsidR="002F3E1E">
        <w:t>%</w:t>
      </w:r>
      <w:r w:rsidRPr="00FE291D">
        <w:t xml:space="preserve"> (1,833) five years ago</w:t>
      </w:r>
      <w:r>
        <w:t>.</w:t>
      </w:r>
    </w:p>
    <w:p w14:paraId="719838FE" w14:textId="3BDA4249" w:rsidR="004B3A42" w:rsidRDefault="004B3A42" w:rsidP="00B62A95">
      <w:pPr>
        <w:pStyle w:val="ListParagraph"/>
        <w:numPr>
          <w:ilvl w:val="0"/>
          <w:numId w:val="27"/>
        </w:numPr>
      </w:pPr>
      <w:r w:rsidRPr="00FE291D">
        <w:t>5.0</w:t>
      </w:r>
      <w:r w:rsidR="002F3E1E">
        <w:t>%</w:t>
      </w:r>
      <w:r w:rsidRPr="00FE291D">
        <w:t xml:space="preserve"> (1,582) of firefighters employed by FRAs who stated their ethnicity were from an ethnic minority, compared with 4.</w:t>
      </w:r>
      <w:r w:rsidR="002F3E1E">
        <w:t>7%</w:t>
      </w:r>
      <w:r w:rsidRPr="00FE291D">
        <w:t xml:space="preserve"> (1,517) in the previous year and 3.9 </w:t>
      </w:r>
      <w:r w:rsidR="002F3E1E">
        <w:t>%</w:t>
      </w:r>
      <w:r w:rsidRPr="00FE291D">
        <w:t xml:space="preserve"> (1,255) five years ago</w:t>
      </w:r>
      <w:r>
        <w:t>.</w:t>
      </w:r>
    </w:p>
    <w:p w14:paraId="77CF6CD2" w14:textId="0DD762CD" w:rsidR="004B3A42" w:rsidRDefault="004B3A42" w:rsidP="00B62A95">
      <w:pPr>
        <w:pStyle w:val="ListParagraph"/>
        <w:numPr>
          <w:ilvl w:val="0"/>
          <w:numId w:val="27"/>
        </w:numPr>
      </w:pPr>
      <w:r w:rsidRPr="00FE291D">
        <w:t>The average age of firefighters employed by FRAs was 41 compared with 42 five years ago</w:t>
      </w:r>
      <w:r>
        <w:t>.</w:t>
      </w:r>
    </w:p>
    <w:p w14:paraId="6B8E9A90" w14:textId="56AF015D" w:rsidR="004B3A42" w:rsidRDefault="004B3A42" w:rsidP="00B62A95">
      <w:pPr>
        <w:pStyle w:val="ListParagraph"/>
        <w:numPr>
          <w:ilvl w:val="0"/>
          <w:numId w:val="27"/>
        </w:numPr>
      </w:pPr>
      <w:r w:rsidRPr="00FE291D">
        <w:t>Of those who stated their sexual orientation, 3.9</w:t>
      </w:r>
      <w:r w:rsidR="002F3E1E">
        <w:t>%</w:t>
      </w:r>
      <w:r w:rsidRPr="00FE291D">
        <w:t xml:space="preserve"> (872) of firefighters employed by FRAs were lesbian/gay or bisexual, compared with 3.4</w:t>
      </w:r>
      <w:r w:rsidR="002F3E1E">
        <w:t>%</w:t>
      </w:r>
      <w:r w:rsidRPr="00FE291D">
        <w:t xml:space="preserve"> (750) in the previous year and 2.6 </w:t>
      </w:r>
      <w:r w:rsidR="002F3E1E">
        <w:t>%</w:t>
      </w:r>
      <w:r w:rsidRPr="00FE291D">
        <w:t xml:space="preserve"> (451) five years ago</w:t>
      </w:r>
      <w:r>
        <w:rPr>
          <w:rStyle w:val="FootnoteReference"/>
        </w:rPr>
        <w:footnoteReference w:id="22"/>
      </w:r>
      <w:r w:rsidR="00604EA3">
        <w:t>.</w:t>
      </w:r>
    </w:p>
    <w:p w14:paraId="1D588D43" w14:textId="77777777" w:rsidR="00604EA3" w:rsidRPr="00FE291D" w:rsidRDefault="00604EA3" w:rsidP="00604EA3">
      <w:pPr>
        <w:pStyle w:val="ListParagraph"/>
        <w:numPr>
          <w:ilvl w:val="0"/>
          <w:numId w:val="0"/>
        </w:numPr>
        <w:ind w:left="1080"/>
      </w:pPr>
    </w:p>
    <w:p w14:paraId="1CCF425E" w14:textId="4D6A3D4A" w:rsidR="001C7DF9" w:rsidRPr="00903C16" w:rsidRDefault="00FC4853" w:rsidP="001C7DF9">
      <w:pPr>
        <w:rPr>
          <w:b/>
          <w:bCs/>
          <w:color w:val="auto"/>
        </w:rPr>
      </w:pPr>
      <w:r>
        <w:rPr>
          <w:b/>
          <w:bCs/>
          <w:color w:val="auto"/>
        </w:rPr>
        <w:t xml:space="preserve">Ambulance Service </w:t>
      </w:r>
    </w:p>
    <w:p w14:paraId="7A073A29" w14:textId="16B35F00" w:rsidR="00081AB3" w:rsidRPr="00B41E09" w:rsidRDefault="00081AB3" w:rsidP="00081AB3">
      <w:pPr>
        <w:ind w:left="720" w:hanging="720"/>
      </w:pPr>
      <w:r>
        <w:t>(3.</w:t>
      </w:r>
      <w:r w:rsidR="00790AF8">
        <w:t>20</w:t>
      </w:r>
      <w:r>
        <w:t>)</w:t>
      </w:r>
      <w:r>
        <w:tab/>
      </w:r>
      <w:r w:rsidRPr="00081AB3">
        <w:rPr>
          <w:color w:val="auto"/>
        </w:rPr>
        <w:t xml:space="preserve">Emergency ambulance crews now typically comprise an emergency care assistant and a paramedic. All crews are required to train to a very high level, which enables them to deal with any aspect of emergency care, from minor </w:t>
      </w:r>
      <w:r w:rsidRPr="00081AB3">
        <w:rPr>
          <w:color w:val="auto"/>
        </w:rPr>
        <w:lastRenderedPageBreak/>
        <w:t>injuries to cardiac arrest, or multiple casualties sustained in serious road accidents. Emergency ambulances carry a wide range of equipment including intravenous drips, drugs, oxygen and heart defibrillators. There are more than 300 roles within the service – these include.</w:t>
      </w:r>
    </w:p>
    <w:p w14:paraId="0D18A660" w14:textId="110716F2" w:rsidR="00DC710F" w:rsidRPr="007E19AB" w:rsidRDefault="00DC710F" w:rsidP="00B62A95">
      <w:pPr>
        <w:pStyle w:val="ListParagraph"/>
        <w:numPr>
          <w:ilvl w:val="0"/>
          <w:numId w:val="28"/>
        </w:numPr>
        <w:rPr>
          <w:b/>
          <w:bCs/>
        </w:rPr>
      </w:pPr>
      <w:r w:rsidRPr="007E19AB">
        <w:rPr>
          <w:b/>
        </w:rPr>
        <w:t>Paramedics</w:t>
      </w:r>
      <w:r w:rsidRPr="007E19AB">
        <w:rPr>
          <w:bCs/>
        </w:rPr>
        <w:t xml:space="preserve"> provide top quality clinical care when responding to patients in emergency incidents.</w:t>
      </w:r>
      <w:r w:rsidRPr="007E19AB">
        <w:rPr>
          <w:b/>
          <w:bCs/>
        </w:rPr>
        <w:t xml:space="preserve"> </w:t>
      </w:r>
      <w:r w:rsidRPr="00B41E09">
        <w:t>To be a paramedic, you have to be registered with the Health Care Professions Council (HCPC). To be eligible, you'll need a Paramedic bachelor’s degree</w:t>
      </w:r>
      <w:r w:rsidRPr="007E19AB">
        <w:rPr>
          <w:b/>
          <w:bCs/>
        </w:rPr>
        <w:t>.</w:t>
      </w:r>
      <w:r w:rsidRPr="007E19AB">
        <w:rPr>
          <w:rFonts w:ascii="Roboto" w:hAnsi="Roboto"/>
          <w:color w:val="333333"/>
          <w:shd w:val="clear" w:color="auto" w:fill="FFFFFF"/>
        </w:rPr>
        <w:t xml:space="preserve"> </w:t>
      </w:r>
    </w:p>
    <w:p w14:paraId="024F3B5F" w14:textId="272F2F24" w:rsidR="00081AB3" w:rsidRPr="00B41E09" w:rsidRDefault="00081AB3" w:rsidP="00B62A95">
      <w:pPr>
        <w:pStyle w:val="ListParagraph"/>
        <w:numPr>
          <w:ilvl w:val="0"/>
          <w:numId w:val="28"/>
        </w:numPr>
      </w:pPr>
      <w:r w:rsidRPr="007E19AB">
        <w:rPr>
          <w:b/>
          <w:bCs/>
        </w:rPr>
        <w:t>Advanced paramedic</w:t>
      </w:r>
      <w:r w:rsidR="00EC15FA" w:rsidRPr="00EC15FA">
        <w:rPr>
          <w:b/>
          <w:bCs/>
        </w:rPr>
        <w:t>s</w:t>
      </w:r>
      <w:r w:rsidR="00EC15FA">
        <w:t xml:space="preserve"> </w:t>
      </w:r>
      <w:r w:rsidRPr="00B41E09">
        <w:t>offer a high level of clinical skills and leadership to help patients and support colleagues</w:t>
      </w:r>
      <w:r w:rsidR="00BF27C8">
        <w:t xml:space="preserve"> over and above Paramedics</w:t>
      </w:r>
      <w:r w:rsidRPr="00B41E09">
        <w:t>.</w:t>
      </w:r>
    </w:p>
    <w:p w14:paraId="34A56462" w14:textId="77777777" w:rsidR="00081AB3" w:rsidRPr="00B41E09" w:rsidRDefault="00081AB3" w:rsidP="00B62A95">
      <w:pPr>
        <w:pStyle w:val="ListParagraph"/>
        <w:numPr>
          <w:ilvl w:val="0"/>
          <w:numId w:val="28"/>
        </w:numPr>
      </w:pPr>
      <w:r w:rsidRPr="007E19AB">
        <w:rPr>
          <w:b/>
          <w:bCs/>
        </w:rPr>
        <w:t>Ambulance care assistant (PTS)</w:t>
      </w:r>
      <w:r w:rsidRPr="00B41E09">
        <w:t xml:space="preserve"> support and care for those who need help getting to and from healthcare appointments.</w:t>
      </w:r>
    </w:p>
    <w:p w14:paraId="25688401" w14:textId="77777777" w:rsidR="00921F80" w:rsidRDefault="00921F80" w:rsidP="00B62A95">
      <w:pPr>
        <w:pStyle w:val="ListParagraph"/>
        <w:numPr>
          <w:ilvl w:val="0"/>
          <w:numId w:val="28"/>
        </w:numPr>
      </w:pPr>
      <w:r w:rsidRPr="007E19AB">
        <w:rPr>
          <w:b/>
        </w:rPr>
        <w:t>Senior Paramedic Team Leader</w:t>
      </w:r>
      <w:r>
        <w:rPr>
          <w:b/>
        </w:rPr>
        <w:t xml:space="preserve">s </w:t>
      </w:r>
      <w:r>
        <w:t>are often the first role with management responsibility, and are</w:t>
      </w:r>
      <w:r w:rsidRPr="007E19AB">
        <w:t xml:space="preserve"> the first step on a clinical career ladder. </w:t>
      </w:r>
    </w:p>
    <w:p w14:paraId="270DC571" w14:textId="2D59C7B3" w:rsidR="00081AB3" w:rsidRPr="007E19AB" w:rsidRDefault="00081AB3" w:rsidP="00B62A95">
      <w:pPr>
        <w:pStyle w:val="ListParagraph"/>
        <w:numPr>
          <w:ilvl w:val="0"/>
          <w:numId w:val="28"/>
        </w:numPr>
        <w:rPr>
          <w:bCs/>
        </w:rPr>
      </w:pPr>
      <w:r w:rsidRPr="007E19AB">
        <w:rPr>
          <w:b/>
          <w:bCs/>
        </w:rPr>
        <w:t>Consultant paramedics</w:t>
      </w:r>
      <w:r w:rsidRPr="00B41E09">
        <w:t xml:space="preserve"> are highly specialist paramedics who have a very high level of clinical knowledge and skill, often in a core area or subject such as research or education.</w:t>
      </w:r>
    </w:p>
    <w:p w14:paraId="6BA0E663" w14:textId="77777777" w:rsidR="00921F80" w:rsidRPr="00B41E09" w:rsidRDefault="00921F80" w:rsidP="00B62A95">
      <w:pPr>
        <w:pStyle w:val="ListParagraph"/>
        <w:numPr>
          <w:ilvl w:val="0"/>
          <w:numId w:val="28"/>
        </w:numPr>
      </w:pPr>
      <w:r w:rsidRPr="00B41E09">
        <w:t xml:space="preserve">Clinical Hub include </w:t>
      </w:r>
      <w:r w:rsidRPr="007E19AB">
        <w:rPr>
          <w:b/>
          <w:bCs/>
        </w:rPr>
        <w:t>nurses, paramedics, pharmacists</w:t>
      </w:r>
      <w:r w:rsidRPr="00B41E09">
        <w:t xml:space="preserve"> and </w:t>
      </w:r>
      <w:r w:rsidRPr="007E19AB">
        <w:rPr>
          <w:b/>
          <w:bCs/>
        </w:rPr>
        <w:t>mental health nurses</w:t>
      </w:r>
      <w:r w:rsidRPr="00B41E09">
        <w:t xml:space="preserve"> are all part of the team.</w:t>
      </w:r>
    </w:p>
    <w:p w14:paraId="565C3540" w14:textId="12D42009" w:rsidR="00081AB3" w:rsidRDefault="00081AB3" w:rsidP="00B62A95">
      <w:pPr>
        <w:pStyle w:val="ListParagraph"/>
        <w:numPr>
          <w:ilvl w:val="0"/>
          <w:numId w:val="28"/>
        </w:numPr>
      </w:pPr>
      <w:r w:rsidRPr="0708D23D">
        <w:rPr>
          <w:b/>
          <w:bCs/>
        </w:rPr>
        <w:t>Corporate and Support Roles include</w:t>
      </w:r>
      <w:r>
        <w:t xml:space="preserve">: Emergency medical advisor (EMA) 999 call handlers are the first point of contact for patients who've found themselves in an emergency situation: MERIT doctors provide advanced medical advice in the event of a mass casualty or major incident in the North West: NHS 111 clinical advisors are responsible for the assessment of the health and clinical needs of a 111 patient. </w:t>
      </w:r>
    </w:p>
    <w:p w14:paraId="6EDDA52D" w14:textId="77777777" w:rsidR="00604EA3" w:rsidRPr="00B41E09" w:rsidRDefault="00604EA3" w:rsidP="00604EA3">
      <w:pPr>
        <w:pStyle w:val="ListParagraph"/>
        <w:numPr>
          <w:ilvl w:val="0"/>
          <w:numId w:val="0"/>
        </w:numPr>
        <w:ind w:left="1080"/>
      </w:pPr>
    </w:p>
    <w:p w14:paraId="40336D42" w14:textId="2E116DD2" w:rsidR="00CC24AD" w:rsidRPr="00903C16" w:rsidRDefault="007E19AB" w:rsidP="00FC4853">
      <w:pPr>
        <w:ind w:left="720" w:hanging="720"/>
        <w:rPr>
          <w:color w:val="auto"/>
        </w:rPr>
      </w:pPr>
      <w:r>
        <w:rPr>
          <w:color w:val="auto"/>
        </w:rPr>
        <w:t>(3.</w:t>
      </w:r>
      <w:r w:rsidR="00921F80">
        <w:rPr>
          <w:color w:val="auto"/>
        </w:rPr>
        <w:t>21</w:t>
      </w:r>
      <w:r>
        <w:rPr>
          <w:color w:val="auto"/>
        </w:rPr>
        <w:t>)</w:t>
      </w:r>
      <w:r>
        <w:rPr>
          <w:color w:val="auto"/>
        </w:rPr>
        <w:tab/>
      </w:r>
      <w:r w:rsidR="006B7AF2" w:rsidRPr="00903C16">
        <w:rPr>
          <w:color w:val="auto"/>
        </w:rPr>
        <w:t>The number of ambulance staff</w:t>
      </w:r>
      <w:r w:rsidR="00165D09">
        <w:rPr>
          <w:color w:val="auto"/>
        </w:rPr>
        <w:t xml:space="preserve"> in the UK</w:t>
      </w:r>
      <w:r w:rsidR="006B7AF2" w:rsidRPr="00903C16">
        <w:rPr>
          <w:color w:val="auto"/>
        </w:rPr>
        <w:t xml:space="preserve"> peaked in November 2018 to reach a total of 21,271 full-time equivalent employees. However, dropped significantly in the following year.</w:t>
      </w:r>
      <w:r w:rsidR="00BC7C6D" w:rsidRPr="00903C16">
        <w:rPr>
          <w:color w:val="auto"/>
        </w:rPr>
        <w:t xml:space="preserve"> </w:t>
      </w:r>
      <w:r w:rsidR="00CC24AD" w:rsidRPr="00903C16">
        <w:rPr>
          <w:color w:val="auto"/>
        </w:rPr>
        <w:t xml:space="preserve">Before the COVID-19 pandemic, there were almost 2,000 vacancies across the ambulance sector. The vacancy rate </w:t>
      </w:r>
      <w:r w:rsidR="00CC24AD" w:rsidRPr="00903C16">
        <w:rPr>
          <w:color w:val="auto"/>
        </w:rPr>
        <w:lastRenderedPageBreak/>
        <w:t xml:space="preserve">varied between regions, with some areas as high as 10.8% and other areas as low as 0.5%. The interim people plan projected the need for an additional 2,500 paramedics by 2023, but no </w:t>
      </w:r>
      <w:r w:rsidR="009F2364">
        <w:rPr>
          <w:color w:val="auto"/>
        </w:rPr>
        <w:t xml:space="preserve">additional </w:t>
      </w:r>
      <w:r w:rsidR="00CC24AD" w:rsidRPr="00903C16">
        <w:rPr>
          <w:color w:val="auto"/>
        </w:rPr>
        <w:t xml:space="preserve">funding was attached to realise this figure. </w:t>
      </w:r>
      <w:r w:rsidR="009F2364">
        <w:rPr>
          <w:color w:val="auto"/>
        </w:rPr>
        <w:t>T</w:t>
      </w:r>
      <w:r w:rsidR="00CC24AD" w:rsidRPr="00903C16">
        <w:rPr>
          <w:color w:val="auto"/>
        </w:rPr>
        <w:t xml:space="preserve">he sector has serious concerns that this figure is insufficient to cover anything more than attrition, nor does it </w:t>
      </w:r>
      <w:r w:rsidR="009F2364">
        <w:rPr>
          <w:color w:val="auto"/>
        </w:rPr>
        <w:t>account for</w:t>
      </w:r>
      <w:r w:rsidR="00CC24AD" w:rsidRPr="00903C16">
        <w:rPr>
          <w:color w:val="auto"/>
        </w:rPr>
        <w:t xml:space="preserve"> the increasing role that paramedics are expected to play within the primary care setting</w:t>
      </w:r>
      <w:r w:rsidR="004C05B5">
        <w:rPr>
          <w:color w:val="auto"/>
        </w:rPr>
        <w:t>s</w:t>
      </w:r>
      <w:r w:rsidR="00CC24AD" w:rsidRPr="00903C16">
        <w:rPr>
          <w:color w:val="auto"/>
        </w:rPr>
        <w:t>.</w:t>
      </w:r>
    </w:p>
    <w:p w14:paraId="753A292A" w14:textId="442BDDF3" w:rsidR="00CC24AD" w:rsidRPr="00903C16" w:rsidRDefault="00FC4853" w:rsidP="00FC4853">
      <w:pPr>
        <w:ind w:left="720" w:hanging="720"/>
        <w:rPr>
          <w:color w:val="auto"/>
        </w:rPr>
      </w:pPr>
      <w:r>
        <w:rPr>
          <w:color w:val="auto"/>
        </w:rPr>
        <w:t>(3.</w:t>
      </w:r>
      <w:r w:rsidR="004C05B5">
        <w:rPr>
          <w:color w:val="auto"/>
        </w:rPr>
        <w:t>22</w:t>
      </w:r>
      <w:r>
        <w:rPr>
          <w:color w:val="auto"/>
        </w:rPr>
        <w:t>)</w:t>
      </w:r>
      <w:r>
        <w:rPr>
          <w:color w:val="auto"/>
        </w:rPr>
        <w:tab/>
      </w:r>
      <w:r w:rsidR="00CC24AD" w:rsidRPr="00903C16">
        <w:rPr>
          <w:color w:val="auto"/>
        </w:rPr>
        <w:t xml:space="preserve">This concern has grown in the wake of the pandemic, with some ambulance trust leaders reporting that staff are leaving their organisations due to burnout, early retirement, or other effects from working in the pandemic. </w:t>
      </w:r>
      <w:r w:rsidR="006210F6" w:rsidRPr="00903C16">
        <w:rPr>
          <w:color w:val="auto"/>
        </w:rPr>
        <w:t>All</w:t>
      </w:r>
      <w:r w:rsidR="00CC24AD" w:rsidRPr="00903C16">
        <w:rPr>
          <w:color w:val="auto"/>
        </w:rPr>
        <w:t xml:space="preserve"> staff</w:t>
      </w:r>
      <w:r w:rsidR="006210F6" w:rsidRPr="00903C16">
        <w:rPr>
          <w:color w:val="auto"/>
        </w:rPr>
        <w:t xml:space="preserve"> </w:t>
      </w:r>
      <w:r w:rsidR="006210F6">
        <w:rPr>
          <w:color w:val="auto"/>
        </w:rPr>
        <w:t xml:space="preserve">spoken to report </w:t>
      </w:r>
      <w:r w:rsidR="006210F6" w:rsidRPr="00903C16">
        <w:rPr>
          <w:color w:val="auto"/>
        </w:rPr>
        <w:t>feeling pressures</w:t>
      </w:r>
      <w:r w:rsidR="00CC24AD" w:rsidRPr="00903C16">
        <w:rPr>
          <w:color w:val="auto"/>
        </w:rPr>
        <w:t>, including those working in emergency operations centres, who are daily facing very visible demand challenges</w:t>
      </w:r>
      <w:r w:rsidR="006210F6">
        <w:rPr>
          <w:color w:val="auto"/>
        </w:rPr>
        <w:t>,</w:t>
      </w:r>
      <w:r w:rsidR="00CC24AD" w:rsidRPr="00903C16">
        <w:rPr>
          <w:color w:val="auto"/>
        </w:rPr>
        <w:t xml:space="preserve"> and delayed responses. </w:t>
      </w:r>
    </w:p>
    <w:p w14:paraId="398D62CA" w14:textId="77777777" w:rsidR="005C5501" w:rsidRDefault="00FF0C29" w:rsidP="005C5501">
      <w:pPr>
        <w:ind w:left="720" w:hanging="720"/>
        <w:rPr>
          <w:color w:val="auto"/>
        </w:rPr>
      </w:pPr>
      <w:r>
        <w:rPr>
          <w:color w:val="auto"/>
        </w:rPr>
        <w:t>(3.</w:t>
      </w:r>
      <w:r w:rsidR="004C05B5">
        <w:rPr>
          <w:color w:val="auto"/>
        </w:rPr>
        <w:t>23</w:t>
      </w:r>
      <w:r>
        <w:rPr>
          <w:color w:val="auto"/>
        </w:rPr>
        <w:t>)</w:t>
      </w:r>
      <w:r>
        <w:rPr>
          <w:color w:val="auto"/>
        </w:rPr>
        <w:tab/>
      </w:r>
      <w:r w:rsidR="00CC24AD" w:rsidRPr="00903C16">
        <w:rPr>
          <w:color w:val="auto"/>
        </w:rPr>
        <w:t xml:space="preserve">Retention of </w:t>
      </w:r>
      <w:r w:rsidR="00732D16">
        <w:rPr>
          <w:color w:val="auto"/>
        </w:rPr>
        <w:t>all</w:t>
      </w:r>
      <w:r w:rsidR="00CC24AD" w:rsidRPr="00903C16">
        <w:rPr>
          <w:color w:val="auto"/>
        </w:rPr>
        <w:t xml:space="preserve"> staff </w:t>
      </w:r>
      <w:r w:rsidR="006210F6">
        <w:rPr>
          <w:color w:val="auto"/>
        </w:rPr>
        <w:t>remains</w:t>
      </w:r>
      <w:r w:rsidR="00CC24AD" w:rsidRPr="00903C16">
        <w:rPr>
          <w:color w:val="auto"/>
        </w:rPr>
        <w:t xml:space="preserve"> a </w:t>
      </w:r>
      <w:r w:rsidR="006210F6">
        <w:rPr>
          <w:color w:val="auto"/>
        </w:rPr>
        <w:t>huge</w:t>
      </w:r>
      <w:r w:rsidR="00CC24AD" w:rsidRPr="00903C16">
        <w:rPr>
          <w:color w:val="auto"/>
        </w:rPr>
        <w:t xml:space="preserve"> challenge, with recruitment also necessary to meet increasing demand and tackle the care backlog resulting from the pandemic. </w:t>
      </w:r>
      <w:r w:rsidR="00DB6B94" w:rsidRPr="00B2061B">
        <w:rPr>
          <w:color w:val="262626" w:themeColor="text1"/>
        </w:rPr>
        <w:t>The recruitment programme over 2021/22</w:t>
      </w:r>
      <w:r w:rsidR="002D15A0">
        <w:rPr>
          <w:rStyle w:val="FootnoteReference"/>
          <w:color w:val="262626" w:themeColor="text1"/>
        </w:rPr>
        <w:footnoteReference w:id="23"/>
      </w:r>
      <w:r w:rsidR="00DB6B94" w:rsidRPr="00B2061B">
        <w:rPr>
          <w:color w:val="262626" w:themeColor="text1"/>
        </w:rPr>
        <w:t xml:space="preserve"> </w:t>
      </w:r>
      <w:r w:rsidR="00800EB7" w:rsidRPr="00B2061B">
        <w:rPr>
          <w:color w:val="262626" w:themeColor="text1"/>
        </w:rPr>
        <w:t xml:space="preserve">was </w:t>
      </w:r>
      <w:r w:rsidR="00DB6B94" w:rsidRPr="00B2061B">
        <w:rPr>
          <w:color w:val="262626" w:themeColor="text1"/>
        </w:rPr>
        <w:t>extensive with 241 FTE new frontline staff being recruited and trained between 1 April 2021 and 31 March 2022. Unfortunately, over the past 10 months a rise in attrition rates, particularly in the health advisor skill set, has further increased the need to recruit and train new staff</w:t>
      </w:r>
      <w:r w:rsidR="00FA3893">
        <w:rPr>
          <w:color w:val="262626" w:themeColor="text1"/>
        </w:rPr>
        <w:t xml:space="preserve">. </w:t>
      </w:r>
      <w:r w:rsidR="00CC24AD" w:rsidRPr="00903C16">
        <w:rPr>
          <w:color w:val="auto"/>
        </w:rPr>
        <w:t>A fully costed and funded workforce plan is vital to addressing this, but in the interim, ambulance services have been adapting the way they work to begin meeting these challenges.</w:t>
      </w:r>
      <w:r w:rsidR="005C5501" w:rsidRPr="005C5501">
        <w:rPr>
          <w:color w:val="auto"/>
        </w:rPr>
        <w:t xml:space="preserve"> </w:t>
      </w:r>
    </w:p>
    <w:p w14:paraId="09CCAB70" w14:textId="773A4536" w:rsidR="006B7AF2" w:rsidRDefault="005C5501" w:rsidP="005C5501">
      <w:pPr>
        <w:ind w:left="720" w:hanging="720"/>
        <w:rPr>
          <w:color w:val="auto"/>
        </w:rPr>
      </w:pPr>
      <w:r>
        <w:rPr>
          <w:color w:val="auto"/>
        </w:rPr>
        <w:t>(3.24)</w:t>
      </w:r>
      <w:r>
        <w:rPr>
          <w:color w:val="auto"/>
        </w:rPr>
        <w:tab/>
        <w:t>Other large retention challenges</w:t>
      </w:r>
      <w:r w:rsidRPr="00C3181C">
        <w:rPr>
          <w:color w:val="auto"/>
        </w:rPr>
        <w:t xml:space="preserve"> are in call centre environments and the projected risks to </w:t>
      </w:r>
      <w:r>
        <w:rPr>
          <w:color w:val="auto"/>
        </w:rPr>
        <w:t>the NWAS</w:t>
      </w:r>
      <w:r w:rsidRPr="00C3181C">
        <w:rPr>
          <w:color w:val="auto"/>
        </w:rPr>
        <w:t xml:space="preserve"> Paramedic workforce </w:t>
      </w:r>
      <w:r>
        <w:rPr>
          <w:color w:val="auto"/>
        </w:rPr>
        <w:t>mentioned above,</w:t>
      </w:r>
      <w:r w:rsidRPr="00C3181C">
        <w:rPr>
          <w:color w:val="auto"/>
        </w:rPr>
        <w:t xml:space="preserve"> arising from the GP contract reform in 2021. </w:t>
      </w:r>
      <w:r>
        <w:rPr>
          <w:color w:val="auto"/>
        </w:rPr>
        <w:t>NWAS has</w:t>
      </w:r>
      <w:r w:rsidRPr="00C3181C">
        <w:rPr>
          <w:color w:val="auto"/>
        </w:rPr>
        <w:t xml:space="preserve"> comprehensive action plans for </w:t>
      </w:r>
      <w:r>
        <w:rPr>
          <w:color w:val="auto"/>
        </w:rPr>
        <w:t>its</w:t>
      </w:r>
      <w:r w:rsidRPr="00C3181C">
        <w:rPr>
          <w:color w:val="auto"/>
        </w:rPr>
        <w:t xml:space="preserve"> call centres focusing on 3 key areas: improving onboarding; supporting career development and early intervention to encourage staff to stay</w:t>
      </w:r>
      <w:r>
        <w:rPr>
          <w:color w:val="auto"/>
        </w:rPr>
        <w:t xml:space="preserve"> </w:t>
      </w:r>
      <w:r w:rsidRPr="00C3181C">
        <w:rPr>
          <w:color w:val="auto"/>
        </w:rPr>
        <w:t xml:space="preserve">and </w:t>
      </w:r>
      <w:r w:rsidRPr="00C3181C">
        <w:rPr>
          <w:color w:val="auto"/>
        </w:rPr>
        <w:lastRenderedPageBreak/>
        <w:t xml:space="preserve">improving exit intelligence. </w:t>
      </w:r>
      <w:r>
        <w:rPr>
          <w:color w:val="auto"/>
        </w:rPr>
        <w:t xml:space="preserve">The </w:t>
      </w:r>
      <w:r w:rsidRPr="00C3181C">
        <w:rPr>
          <w:color w:val="auto"/>
        </w:rPr>
        <w:t xml:space="preserve">plans are focusing on improving the recruitment process to ensure we are attracting the right candidates; reviewing the support </w:t>
      </w:r>
      <w:r>
        <w:rPr>
          <w:color w:val="auto"/>
        </w:rPr>
        <w:t>o</w:t>
      </w:r>
      <w:r w:rsidRPr="00C3181C">
        <w:rPr>
          <w:color w:val="auto"/>
        </w:rPr>
        <w:t>ffered to staff in post and improving the health and wellbeing offer.</w:t>
      </w:r>
    </w:p>
    <w:p w14:paraId="3B10F86B" w14:textId="3837B349" w:rsidR="005C48A3" w:rsidRPr="000344DF" w:rsidRDefault="005C48A3" w:rsidP="00FF0C29">
      <w:pPr>
        <w:ind w:left="720" w:hanging="720"/>
        <w:rPr>
          <w:color w:val="auto"/>
        </w:rPr>
      </w:pPr>
      <w:r w:rsidRPr="005C48A3">
        <w:rPr>
          <w:rFonts w:eastAsia="Calibri" w:cs="Times New Roman"/>
          <w:noProof/>
        </w:rPr>
        <mc:AlternateContent>
          <mc:Choice Requires="wps">
            <w:drawing>
              <wp:inline distT="0" distB="0" distL="0" distR="0" wp14:anchorId="4BE5B735" wp14:editId="46CC4187">
                <wp:extent cx="5746750" cy="4311650"/>
                <wp:effectExtent l="0" t="0" r="25400" b="12700"/>
                <wp:docPr id="2" name="Text Box 2" descr="Case Study detailing Ambulance Academ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4311650"/>
                        </a:xfrm>
                        <a:prstGeom prst="rect">
                          <a:avLst/>
                        </a:prstGeom>
                        <a:solidFill>
                          <a:schemeClr val="accent2"/>
                        </a:solidFill>
                        <a:ln>
                          <a:solidFill>
                            <a:schemeClr val="tx1"/>
                          </a:solidFill>
                        </a:ln>
                      </wps:spPr>
                      <wps:txbx>
                        <w:txbxContent>
                          <w:p w14:paraId="6EEF6C51" w14:textId="1CFA1929" w:rsidR="005C48A3" w:rsidRPr="003C580E" w:rsidRDefault="005C48A3" w:rsidP="003C580E">
                            <w:pPr>
                              <w:pStyle w:val="Heading4"/>
                            </w:pPr>
                            <w:r w:rsidRPr="003C580E">
                              <w:t>Case study: Ambulance Academy</w:t>
                            </w:r>
                          </w:p>
                          <w:p w14:paraId="49C1DC94"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The Ambulance Academy contains everything the younger generations of our society need to know about careers in the ambulance service, being healthy, learning lifesaving skills and staying safe in three handy sections: </w:t>
                            </w:r>
                          </w:p>
                          <w:p w14:paraId="5791C715"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It includes a Children’s area (4-10 year-olds) with lots of information and activities for the youngest members of our communities, from what to do when somebody is hurt, and they need our help to how to stay safe. </w:t>
                            </w:r>
                          </w:p>
                          <w:p w14:paraId="2AC3E849"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Also a Young adult’s area (11-18 year-olds) with all the information in this section they will need to start planning their careers in the ambulance service and what options they may want to start thinking about in school. </w:t>
                            </w:r>
                          </w:p>
                          <w:p w14:paraId="46C8A6B4" w14:textId="0E8F4E84"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Finally an Adult’s area (educators/parents/carers) is designed to be helpful to our region’s teachers, parents, guardians or carers as they are our main influencers for educating our children on the ambulance service</w:t>
                            </w:r>
                          </w:p>
                          <w:p w14:paraId="1AB024C1" w14:textId="77777777" w:rsidR="005C48A3" w:rsidRPr="003C580E" w:rsidRDefault="005C48A3" w:rsidP="005C48A3">
                            <w:pPr>
                              <w:rPr>
                                <w:rFonts w:cs="Times New Roman"/>
                                <w14:textOutline w14:w="9525" w14:cap="rnd" w14:cmpd="sng" w14:algn="ctr">
                                  <w14:noFill/>
                                  <w14:prstDash w14:val="solid"/>
                                  <w14:bevel/>
                                </w14:textOutline>
                              </w:rPr>
                            </w:pPr>
                          </w:p>
                          <w:p w14:paraId="727EC006" w14:textId="77777777" w:rsidR="005C48A3" w:rsidRPr="003C580E" w:rsidRDefault="005C48A3" w:rsidP="005C48A3">
                            <w:pPr>
                              <w:rPr>
                                <w:color w:val="262626" w:themeColor="text1"/>
                                <w:sz w:val="28"/>
                                <w:szCs w:val="24"/>
                                <w14:textOutline w14:w="9525" w14:cap="rnd" w14:cmpd="sng" w14:algn="ctr">
                                  <w14:noFill/>
                                  <w14:prstDash w14:val="solid"/>
                                  <w14:bevel/>
                                </w14:textOutline>
                              </w:rPr>
                            </w:pPr>
                          </w:p>
                        </w:txbxContent>
                      </wps:txbx>
                      <wps:bodyPr rot="0" vert="horz" wrap="square" lIns="216000" tIns="216000" rIns="216000" bIns="216000" anchor="t" anchorCtr="0" upright="1">
                        <a:noAutofit/>
                      </wps:bodyPr>
                    </wps:wsp>
                  </a:graphicData>
                </a:graphic>
              </wp:inline>
            </w:drawing>
          </mc:Choice>
          <mc:Fallback>
            <w:pict>
              <v:shapetype w14:anchorId="4BE5B735" id="_x0000_t202" coordsize="21600,21600" o:spt="202" path="m,l,21600r21600,l21600,xe">
                <v:stroke joinstyle="miter"/>
                <v:path gradientshapeok="t" o:connecttype="rect"/>
              </v:shapetype>
              <v:shape id="Text Box 2" o:spid="_x0000_s1026" type="#_x0000_t202" alt="Case Study detailing Ambulance Academy&#10;" style="width:452.5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" fillcolor="#ed641c [3205]" strokecolor="#262626 [3213]">
                <v:textbox inset="6mm,6mm,6mm,6mm">
                  <w:txbxContent>
                    <w:p w14:paraId="6EEF6C51" w14:textId="1CFA1929" w:rsidR="005C48A3" w:rsidRPr="003C580E" w:rsidRDefault="005C48A3" w:rsidP="003C580E">
                      <w:pPr>
                        <w:pStyle w:val="Heading4"/>
                      </w:pPr>
                      <w:r w:rsidRPr="003C580E">
                        <w:t>Case study: Ambulance Academy</w:t>
                      </w:r>
                    </w:p>
                    <w:p w14:paraId="49C1DC94"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The Ambulance Academy contains everything the younger generations of our society need to know about careers in the ambulance service, being healthy, learning lifesaving skills and staying safe in three handy sections: </w:t>
                      </w:r>
                    </w:p>
                    <w:p w14:paraId="5791C715"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It includes a Children’s area (4-10 year-olds) with lots of information and activities for the youngest members of our communities, from what to do when somebody is hurt, and they need our help to how to stay safe. </w:t>
                      </w:r>
                    </w:p>
                    <w:p w14:paraId="2AC3E849" w14:textId="77777777"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 xml:space="preserve">Also a Young adult’s area (11-18 year-olds) with all the information in this section they will need to start planning their careers in the ambulance service and what options they may want to start thinking about in school. </w:t>
                      </w:r>
                    </w:p>
                    <w:p w14:paraId="46C8A6B4" w14:textId="0E8F4E84" w:rsidR="005C48A3" w:rsidRPr="003C580E" w:rsidRDefault="005C48A3" w:rsidP="005C48A3">
                      <w:pPr>
                        <w:rPr>
                          <w:rFonts w:cs="Arial"/>
                          <w:color w:val="auto"/>
                          <w:szCs w:val="24"/>
                          <w14:textOutline w14:w="9525" w14:cap="rnd" w14:cmpd="sng" w14:algn="ctr">
                            <w14:noFill/>
                            <w14:prstDash w14:val="solid"/>
                            <w14:bevel/>
                          </w14:textOutline>
                        </w:rPr>
                      </w:pPr>
                      <w:r w:rsidRPr="003C580E">
                        <w:rPr>
                          <w:rFonts w:cs="Arial"/>
                          <w:color w:val="auto"/>
                          <w:szCs w:val="24"/>
                          <w14:textOutline w14:w="9525" w14:cap="rnd" w14:cmpd="sng" w14:algn="ctr">
                            <w14:noFill/>
                            <w14:prstDash w14:val="solid"/>
                            <w14:bevel/>
                          </w14:textOutline>
                        </w:rPr>
                        <w:t>Finally an Adult’s area (educators/parents/carers) is designed to be helpful to our region’s teachers, parents, guardians or carers as they are our main influencers for educating our children on the ambulance service</w:t>
                      </w:r>
                    </w:p>
                    <w:p w14:paraId="1AB024C1" w14:textId="77777777" w:rsidR="005C48A3" w:rsidRPr="003C580E" w:rsidRDefault="005C48A3" w:rsidP="005C48A3">
                      <w:pPr>
                        <w:rPr>
                          <w:rFonts w:cs="Times New Roman"/>
                          <w14:textOutline w14:w="9525" w14:cap="rnd" w14:cmpd="sng" w14:algn="ctr">
                            <w14:noFill/>
                            <w14:prstDash w14:val="solid"/>
                            <w14:bevel/>
                          </w14:textOutline>
                        </w:rPr>
                      </w:pPr>
                    </w:p>
                    <w:p w14:paraId="727EC006" w14:textId="77777777" w:rsidR="005C48A3" w:rsidRPr="003C580E" w:rsidRDefault="005C48A3" w:rsidP="005C48A3">
                      <w:pPr>
                        <w:rPr>
                          <w:color w:val="262626" w:themeColor="text1"/>
                          <w:sz w:val="28"/>
                          <w:szCs w:val="24"/>
                          <w14:textOutline w14:w="9525" w14:cap="rnd" w14:cmpd="sng" w14:algn="ctr">
                            <w14:noFill/>
                            <w14:prstDash w14:val="solid"/>
                            <w14:bevel/>
                          </w14:textOutline>
                        </w:rPr>
                      </w:pPr>
                    </w:p>
                  </w:txbxContent>
                </v:textbox>
                <w10:anchorlock/>
              </v:shape>
            </w:pict>
          </mc:Fallback>
        </mc:AlternateContent>
      </w:r>
    </w:p>
    <w:p w14:paraId="69F3A1BF" w14:textId="2E9B7960" w:rsidR="004B3A42" w:rsidRPr="00EE6814" w:rsidRDefault="00C2504B" w:rsidP="00C2504B">
      <w:pPr>
        <w:ind w:left="720" w:hanging="720"/>
        <w:rPr>
          <w:color w:val="auto"/>
        </w:rPr>
      </w:pPr>
      <w:r>
        <w:rPr>
          <w:color w:val="auto"/>
        </w:rPr>
        <w:t>(3.2</w:t>
      </w:r>
      <w:r w:rsidR="005C5501">
        <w:rPr>
          <w:color w:val="auto"/>
        </w:rPr>
        <w:t>5</w:t>
      </w:r>
      <w:r>
        <w:rPr>
          <w:color w:val="auto"/>
        </w:rPr>
        <w:t>)</w:t>
      </w:r>
      <w:r>
        <w:rPr>
          <w:color w:val="auto"/>
        </w:rPr>
        <w:tab/>
      </w:r>
      <w:r w:rsidR="004B3A42" w:rsidRPr="00EE6814">
        <w:rPr>
          <w:color w:val="auto"/>
        </w:rPr>
        <w:t>As required within the NHS contract,  NWAS published the Workforce Race Equality Standard (WRES) data</w:t>
      </w:r>
      <w:r w:rsidR="004B3A42">
        <w:rPr>
          <w:rStyle w:val="FootnoteReference"/>
          <w:color w:val="auto"/>
        </w:rPr>
        <w:footnoteReference w:id="24"/>
      </w:r>
      <w:r w:rsidR="004B3A42" w:rsidRPr="00EE6814">
        <w:rPr>
          <w:color w:val="auto"/>
        </w:rPr>
        <w:t xml:space="preserve"> during the summer of 2021. Overall the WRES showed a mixed picture of results with some positive improvements in staff experience and representation but some areas for continued focus in recruitment, disciplinary processes and training. The data shows an increase in the number and representation of BAME staff within NWAS from 304 to 342 staff, which is a shift from 4.6%. to 5.4%. There is a higher BAME 2021/22 </w:t>
      </w:r>
      <w:r w:rsidR="004B3A42" w:rsidRPr="00EE6814">
        <w:rPr>
          <w:color w:val="auto"/>
        </w:rPr>
        <w:lastRenderedPageBreak/>
        <w:t xml:space="preserve">representation in clinical roles than non-clinical. The Trust continues to seek to increase the overall BAME representation and as detailed in ED&amp;I Priorities action plan. </w:t>
      </w:r>
    </w:p>
    <w:p w14:paraId="42910390" w14:textId="0F1477F5" w:rsidR="004B3A42" w:rsidRPr="00EE6814" w:rsidRDefault="00C2504B" w:rsidP="00C2504B">
      <w:pPr>
        <w:ind w:left="720" w:hanging="720"/>
        <w:rPr>
          <w:color w:val="auto"/>
        </w:rPr>
      </w:pPr>
      <w:r>
        <w:rPr>
          <w:color w:val="auto"/>
        </w:rPr>
        <w:t>(3.2</w:t>
      </w:r>
      <w:r w:rsidR="00731EF3">
        <w:rPr>
          <w:color w:val="auto"/>
        </w:rPr>
        <w:t>6</w:t>
      </w:r>
      <w:r>
        <w:rPr>
          <w:color w:val="auto"/>
        </w:rPr>
        <w:t>)</w:t>
      </w:r>
      <w:r w:rsidR="00731EF3">
        <w:rPr>
          <w:color w:val="auto"/>
        </w:rPr>
        <w:t xml:space="preserve"> The same report also showed that the </w:t>
      </w:r>
      <w:r w:rsidR="004B3A42" w:rsidRPr="00EE6814">
        <w:rPr>
          <w:color w:val="auto"/>
        </w:rPr>
        <w:t xml:space="preserve">Gender Pay Gap in the hourly rate of pay between male and female staff reduced from 10.89% March 2021 to 9.8% in March 2022 (using the average calculation) and from 9.2% to 8.6% using the median calculation. The average hourly rate for male and for female staff increased during the same period. Progression into the highest paid roles is also dependent on vacancies created through the year which require recruitment and this impacts on the ability to close the gender pay gap. </w:t>
      </w:r>
    </w:p>
    <w:p w14:paraId="504289B9" w14:textId="5D923B1D" w:rsidR="004B3A42" w:rsidRPr="00407790" w:rsidRDefault="00C2504B" w:rsidP="00C2504B">
      <w:pPr>
        <w:ind w:left="720" w:hanging="720"/>
        <w:rPr>
          <w:color w:val="262626" w:themeColor="text1"/>
        </w:rPr>
      </w:pPr>
      <w:r>
        <w:rPr>
          <w:color w:val="auto"/>
        </w:rPr>
        <w:t>(3.2</w:t>
      </w:r>
      <w:r w:rsidR="00274569">
        <w:rPr>
          <w:color w:val="auto"/>
        </w:rPr>
        <w:t>7</w:t>
      </w:r>
      <w:r>
        <w:rPr>
          <w:color w:val="auto"/>
        </w:rPr>
        <w:t>)</w:t>
      </w:r>
      <w:r>
        <w:rPr>
          <w:color w:val="auto"/>
        </w:rPr>
        <w:tab/>
      </w:r>
      <w:r w:rsidR="004B3A42" w:rsidRPr="00EE6814">
        <w:rPr>
          <w:color w:val="auto"/>
        </w:rPr>
        <w:t>The number of disabled staff within NWAS has increased by 62 individual staff to 314, which now represents 4.63% of the overall workforce by the end of March 2022. For the second year, the trust was required to publish the Workforce Disability Equality Standard (WDES) data, in line with NHS contract commitments. The data did highlight some differences in staff and candidate experience between staff who have a disability and staff who do not. An action plan to address this had been developed and published. The Disability Network launched in December 2021 continues to develop and has clear links to improving staff experience for the future</w:t>
      </w:r>
      <w:r w:rsidR="004B3A42" w:rsidRPr="00407790">
        <w:rPr>
          <w:color w:val="262626" w:themeColor="text1"/>
        </w:rPr>
        <w:t>.</w:t>
      </w:r>
    </w:p>
    <w:p w14:paraId="23AA52F4" w14:textId="74BA93C8" w:rsidR="004B3A42" w:rsidRPr="0037586D" w:rsidRDefault="00C2504B" w:rsidP="00C2504B">
      <w:pPr>
        <w:ind w:left="720" w:hanging="720"/>
        <w:rPr>
          <w:color w:val="auto"/>
        </w:rPr>
      </w:pPr>
      <w:r>
        <w:rPr>
          <w:color w:val="auto"/>
        </w:rPr>
        <w:t>(3.2</w:t>
      </w:r>
      <w:r w:rsidR="00274569">
        <w:rPr>
          <w:color w:val="auto"/>
        </w:rPr>
        <w:t>8</w:t>
      </w:r>
      <w:r>
        <w:rPr>
          <w:color w:val="auto"/>
        </w:rPr>
        <w:t>)</w:t>
      </w:r>
      <w:r>
        <w:rPr>
          <w:color w:val="auto"/>
        </w:rPr>
        <w:tab/>
      </w:r>
      <w:r w:rsidR="004B3A42" w:rsidRPr="0037586D">
        <w:rPr>
          <w:color w:val="auto"/>
        </w:rPr>
        <w:t>A recent NWAS staff survey</w:t>
      </w:r>
      <w:r w:rsidR="004B3A42">
        <w:rPr>
          <w:rStyle w:val="FootnoteReference"/>
          <w:color w:val="auto"/>
        </w:rPr>
        <w:footnoteReference w:id="25"/>
      </w:r>
      <w:r w:rsidR="004B3A42" w:rsidRPr="0037586D">
        <w:rPr>
          <w:color w:val="auto"/>
        </w:rPr>
        <w:t xml:space="preserve"> showed a clear disparity in the experiences of some staff from diverse groups, particularly those from BAME and disabled backgrounds, and this is seen in their experiences of bullying and harassment, discrimination and their views of the fairness of career progression opportunities. This shows more drive is required to create a full inclusive environment for NWAS staff.</w:t>
      </w:r>
    </w:p>
    <w:p w14:paraId="1C6B6186" w14:textId="6C2E31A3" w:rsidR="002C1621" w:rsidRPr="004B3A42" w:rsidRDefault="00C2504B" w:rsidP="00C2504B">
      <w:pPr>
        <w:ind w:left="720" w:hanging="720"/>
        <w:rPr>
          <w:color w:val="auto"/>
        </w:rPr>
      </w:pPr>
      <w:r>
        <w:rPr>
          <w:color w:val="auto"/>
        </w:rPr>
        <w:t>(3.2</w:t>
      </w:r>
      <w:r w:rsidR="00274569">
        <w:rPr>
          <w:color w:val="auto"/>
        </w:rPr>
        <w:t>9</w:t>
      </w:r>
      <w:r>
        <w:rPr>
          <w:color w:val="auto"/>
        </w:rPr>
        <w:t>)</w:t>
      </w:r>
      <w:r>
        <w:rPr>
          <w:color w:val="auto"/>
        </w:rPr>
        <w:tab/>
      </w:r>
      <w:r w:rsidR="004B3A42" w:rsidRPr="0037586D">
        <w:rPr>
          <w:color w:val="auto"/>
        </w:rPr>
        <w:t xml:space="preserve">There also remain challenges in the diversity of their workforce representation. Again positive progress is being made in improving levels of </w:t>
      </w:r>
      <w:r w:rsidR="004B3A42" w:rsidRPr="0037586D">
        <w:rPr>
          <w:color w:val="auto"/>
        </w:rPr>
        <w:lastRenderedPageBreak/>
        <w:t>representation from diverse groups, but more must be done – particularly in management positions where representation is low. Evidence shows that diversity in leadership is associated with more patient centred care, greater innovation, higher staff morale and access to a wider talent pool and to deliver the ambitions of this strategy we need to ensure that we can deliver leadership diversit</w:t>
      </w:r>
      <w:r w:rsidR="004B3A42">
        <w:rPr>
          <w:color w:val="auto"/>
        </w:rPr>
        <w:t>y.</w:t>
      </w:r>
      <w:r w:rsidR="002C1621">
        <w:rPr>
          <w:color w:val="auto"/>
        </w:rPr>
        <w:br w:type="page"/>
      </w:r>
    </w:p>
    <w:p w14:paraId="268DCC4A" w14:textId="37824A5B" w:rsidR="009D3AE0" w:rsidRDefault="00AC04F9">
      <w:pPr>
        <w:pStyle w:val="Heading3"/>
        <w:numPr>
          <w:ilvl w:val="0"/>
          <w:numId w:val="3"/>
        </w:numPr>
        <w:rPr>
          <w:color w:val="auto"/>
        </w:rPr>
      </w:pPr>
      <w:bookmarkStart w:id="7" w:name="_Toc125643722"/>
      <w:r w:rsidRPr="0037586D">
        <w:rPr>
          <w:color w:val="auto"/>
        </w:rPr>
        <w:lastRenderedPageBreak/>
        <w:t>Skills Demand</w:t>
      </w:r>
      <w:bookmarkEnd w:id="7"/>
    </w:p>
    <w:p w14:paraId="7FC6A929" w14:textId="06DED833" w:rsidR="006C30AA" w:rsidRPr="0047723A" w:rsidRDefault="00945281" w:rsidP="00650BEE">
      <w:pPr>
        <w:ind w:left="720" w:hanging="720"/>
        <w:rPr>
          <w:color w:val="auto"/>
        </w:rPr>
      </w:pPr>
      <w:r>
        <w:rPr>
          <w:color w:val="auto"/>
        </w:rPr>
        <w:t>(4.1)</w:t>
      </w:r>
      <w:r>
        <w:rPr>
          <w:color w:val="auto"/>
        </w:rPr>
        <w:tab/>
      </w:r>
      <w:r w:rsidR="00650BEE">
        <w:rPr>
          <w:color w:val="auto"/>
        </w:rPr>
        <w:t xml:space="preserve">All three of the emergency services face different scales of skills gaps. </w:t>
      </w:r>
      <w:r w:rsidR="002A5A3E" w:rsidRPr="0047723A">
        <w:rPr>
          <w:color w:val="auto"/>
        </w:rPr>
        <w:t>I</w:t>
      </w:r>
      <w:r w:rsidR="001021A8" w:rsidRPr="0047723A">
        <w:rPr>
          <w:color w:val="auto"/>
        </w:rPr>
        <w:t>t is important to understand the difference between a skills gap and a labour gap.</w:t>
      </w:r>
      <w:r w:rsidR="006C30AA" w:rsidRPr="0047723A">
        <w:rPr>
          <w:color w:val="auto"/>
        </w:rPr>
        <w:t xml:space="preserve"> </w:t>
      </w:r>
      <w:r w:rsidR="001021A8" w:rsidRPr="0047723A">
        <w:rPr>
          <w:color w:val="auto"/>
        </w:rPr>
        <w:t xml:space="preserve">Skills gaps (“proportion of the workforce that were considered to be lacking in full proficiency”) </w:t>
      </w:r>
      <w:r w:rsidR="00F5352B" w:rsidRPr="0047723A">
        <w:rPr>
          <w:color w:val="auto"/>
        </w:rPr>
        <w:t>can</w:t>
      </w:r>
      <w:r w:rsidR="001021A8" w:rsidRPr="0047723A">
        <w:rPr>
          <w:color w:val="auto"/>
        </w:rPr>
        <w:t xml:space="preserve"> manifest as an underqualified workforce, with outdated or inappropriate skillsets. It can be caused by a lack of provision, lack of incentive to upskill or retrain, or an unclear qualification picture. In short – a mismatch between existing skills and required skills. </w:t>
      </w:r>
      <w:r w:rsidR="002549AF">
        <w:rPr>
          <w:color w:val="auto"/>
        </w:rPr>
        <w:t xml:space="preserve">Labour gaps tend to manifest as fewer applications for entry level roles. </w:t>
      </w:r>
    </w:p>
    <w:p w14:paraId="526C20E4" w14:textId="2655A7BC" w:rsidR="006C30AA" w:rsidRDefault="002549AF" w:rsidP="002549AF">
      <w:pPr>
        <w:ind w:left="720" w:hanging="720"/>
        <w:rPr>
          <w:color w:val="auto"/>
        </w:rPr>
      </w:pPr>
      <w:r>
        <w:rPr>
          <w:color w:val="auto"/>
        </w:rPr>
        <w:t>(4.2)</w:t>
      </w:r>
      <w:r w:rsidR="0085583B">
        <w:rPr>
          <w:color w:val="auto"/>
        </w:rPr>
        <w:tab/>
        <w:t xml:space="preserve">Stakeholders in </w:t>
      </w:r>
      <w:r w:rsidR="006C30AA" w:rsidRPr="0047723A">
        <w:rPr>
          <w:color w:val="auto"/>
        </w:rPr>
        <w:t xml:space="preserve">the emergency services </w:t>
      </w:r>
      <w:r w:rsidR="0085583B">
        <w:rPr>
          <w:color w:val="auto"/>
        </w:rPr>
        <w:t>feel</w:t>
      </w:r>
      <w:r w:rsidR="006C30AA" w:rsidRPr="0047723A">
        <w:rPr>
          <w:color w:val="auto"/>
        </w:rPr>
        <w:t xml:space="preserve"> that </w:t>
      </w:r>
      <w:r w:rsidR="00F5352B" w:rsidRPr="0047723A">
        <w:rPr>
          <w:color w:val="auto"/>
        </w:rPr>
        <w:t xml:space="preserve">there isn’t a labour gap as such; </w:t>
      </w:r>
      <w:r w:rsidR="00CC68BA" w:rsidRPr="0047723A">
        <w:rPr>
          <w:color w:val="auto"/>
        </w:rPr>
        <w:t xml:space="preserve">positions tend to be oversubscribed and </w:t>
      </w:r>
      <w:r w:rsidR="00574CAB" w:rsidRPr="0047723A">
        <w:rPr>
          <w:color w:val="auto"/>
        </w:rPr>
        <w:t xml:space="preserve">the public </w:t>
      </w:r>
      <w:r w:rsidR="000C1E76" w:rsidRPr="0047723A">
        <w:rPr>
          <w:color w:val="auto"/>
        </w:rPr>
        <w:t xml:space="preserve">have good awareness of the </w:t>
      </w:r>
      <w:r w:rsidR="00533F49" w:rsidRPr="0047723A">
        <w:rPr>
          <w:color w:val="auto"/>
        </w:rPr>
        <w:t xml:space="preserve">jobs available. Career paths are </w:t>
      </w:r>
      <w:r w:rsidR="003521DB" w:rsidRPr="0047723A">
        <w:rPr>
          <w:color w:val="auto"/>
        </w:rPr>
        <w:t xml:space="preserve">promoted </w:t>
      </w:r>
      <w:r w:rsidR="00CF4BA4" w:rsidRPr="0047723A">
        <w:rPr>
          <w:color w:val="auto"/>
        </w:rPr>
        <w:t xml:space="preserve">and recruitment campaigns are </w:t>
      </w:r>
      <w:r w:rsidR="00E12B33" w:rsidRPr="0047723A">
        <w:rPr>
          <w:color w:val="auto"/>
        </w:rPr>
        <w:t>generally effective.</w:t>
      </w:r>
      <w:r w:rsidR="0037712E" w:rsidRPr="0047723A">
        <w:rPr>
          <w:color w:val="auto"/>
        </w:rPr>
        <w:t xml:space="preserve"> There are however skill ga</w:t>
      </w:r>
      <w:r w:rsidR="00AF0D92" w:rsidRPr="0047723A">
        <w:rPr>
          <w:color w:val="auto"/>
        </w:rPr>
        <w:t>ps and ongoing challenges to keep the workforce up</w:t>
      </w:r>
      <w:r w:rsidR="00412F09" w:rsidRPr="0047723A">
        <w:rPr>
          <w:color w:val="auto"/>
        </w:rPr>
        <w:t>skilled</w:t>
      </w:r>
      <w:r w:rsidR="0085583B">
        <w:rPr>
          <w:color w:val="auto"/>
        </w:rPr>
        <w:t>, particularly with changing social factors</w:t>
      </w:r>
      <w:r w:rsidR="00412F09" w:rsidRPr="0047723A">
        <w:rPr>
          <w:color w:val="auto"/>
        </w:rPr>
        <w:t>. An ageing population</w:t>
      </w:r>
      <w:r w:rsidR="000C79A8" w:rsidRPr="0047723A">
        <w:rPr>
          <w:color w:val="auto"/>
        </w:rPr>
        <w:t xml:space="preserve"> with people living longer with more health conditions; a shift towards cyber and ‘white collar’ crime and moves towards electrical ve</w:t>
      </w:r>
      <w:r w:rsidR="003C7A23" w:rsidRPr="0047723A">
        <w:rPr>
          <w:color w:val="auto"/>
        </w:rPr>
        <w:t>hicles and potential increased fire risk are just some aspects of a changing society.</w:t>
      </w:r>
    </w:p>
    <w:p w14:paraId="7A5AAC12" w14:textId="57162274" w:rsidR="002922C5" w:rsidRPr="00604EA3" w:rsidRDefault="002922C5" w:rsidP="003C580E">
      <w:pPr>
        <w:pStyle w:val="Heading4"/>
      </w:pPr>
      <w:r w:rsidRPr="00604EA3">
        <w:t>All Emergency Services</w:t>
      </w:r>
    </w:p>
    <w:p w14:paraId="038825D4" w14:textId="3D7B0C5C" w:rsidR="002922C5" w:rsidRDefault="002922C5" w:rsidP="002922C5">
      <w:pPr>
        <w:ind w:left="720" w:hanging="720"/>
        <w:rPr>
          <w:color w:val="auto"/>
        </w:rPr>
      </w:pPr>
      <w:r w:rsidRPr="004C4ACA">
        <w:rPr>
          <w:color w:val="auto"/>
        </w:rPr>
        <w:t>(4.3)</w:t>
      </w:r>
      <w:r>
        <w:rPr>
          <w:b/>
          <w:bCs/>
          <w:color w:val="auto"/>
        </w:rPr>
        <w:tab/>
      </w:r>
      <w:r w:rsidRPr="00601F4B">
        <w:rPr>
          <w:color w:val="auto"/>
        </w:rPr>
        <w:t>All services felt that as part of their improved community service it would be beneficial for their staff to have the skills to communicate more diversely. This includes staff being multi-lingual but also those with Basic Sign Language Skill</w:t>
      </w:r>
      <w:r>
        <w:rPr>
          <w:color w:val="auto"/>
        </w:rPr>
        <w:t>s.</w:t>
      </w:r>
    </w:p>
    <w:p w14:paraId="191FF016" w14:textId="3495FFC9" w:rsidR="002922C5" w:rsidRPr="00601F4B" w:rsidRDefault="002922C5" w:rsidP="002922C5">
      <w:pPr>
        <w:ind w:left="720" w:hanging="720"/>
        <w:rPr>
          <w:color w:val="auto"/>
        </w:rPr>
      </w:pPr>
      <w:r>
        <w:rPr>
          <w:color w:val="auto"/>
        </w:rPr>
        <w:t>(4.4)</w:t>
      </w:r>
      <w:r>
        <w:rPr>
          <w:color w:val="auto"/>
        </w:rPr>
        <w:tab/>
      </w:r>
      <w:r w:rsidRPr="00601F4B">
        <w:rPr>
          <w:color w:val="auto"/>
        </w:rPr>
        <w:t xml:space="preserve">Emergency Service staff work in challenging environments and also face difficult personal pressures during the employee lifecycle. Engaging and supporting staff to face those challenges and to provide a holistic approach to supporting their wellbeing is crucial to ensure staff can provide the best possible service within GM. Staff can experience unacceptable violence and aggression when carrying out their role. A number of initiatives have been </w:t>
      </w:r>
      <w:r w:rsidRPr="00601F4B">
        <w:rPr>
          <w:color w:val="auto"/>
        </w:rPr>
        <w:lastRenderedPageBreak/>
        <w:t xml:space="preserve">introduced over the last 12 months to support wellbeing. Those that are deemed positive should be used more widely across GM.  </w:t>
      </w:r>
    </w:p>
    <w:p w14:paraId="3F109616" w14:textId="79829E1A" w:rsidR="002922C5" w:rsidRPr="0047723A" w:rsidRDefault="002922C5" w:rsidP="002922C5">
      <w:pPr>
        <w:ind w:left="720" w:hanging="720"/>
        <w:rPr>
          <w:color w:val="auto"/>
        </w:rPr>
      </w:pPr>
      <w:r>
        <w:rPr>
          <w:color w:val="auto"/>
        </w:rPr>
        <w:t>(4.5)</w:t>
      </w:r>
      <w:r>
        <w:rPr>
          <w:color w:val="auto"/>
        </w:rPr>
        <w:tab/>
      </w:r>
      <w:r w:rsidRPr="00601F4B">
        <w:rPr>
          <w:color w:val="auto"/>
        </w:rPr>
        <w:t>Digital transformation remains a key enabler to emergency service improvement. New digital ways of working can improve clinical outcomes, crime response, resident safety, the user experience of both patients and staff, and staff engagement more broadly. Digital transformation, and the more effective use of data, also underpins the integration agenda and cross-organisational working which is desired in GM.</w:t>
      </w:r>
    </w:p>
    <w:p w14:paraId="0161E53E" w14:textId="77777777" w:rsidR="00773D27" w:rsidRPr="0047723A" w:rsidRDefault="00773D27" w:rsidP="003C580E">
      <w:pPr>
        <w:pStyle w:val="Heading4"/>
      </w:pPr>
      <w:r w:rsidRPr="0047723A">
        <w:t>Police</w:t>
      </w:r>
    </w:p>
    <w:p w14:paraId="6D0500A9" w14:textId="2BD6C154" w:rsidR="00773D27" w:rsidRDefault="00773D27" w:rsidP="00773D27">
      <w:pPr>
        <w:ind w:left="720" w:hanging="720"/>
        <w:rPr>
          <w:color w:val="auto"/>
        </w:rPr>
      </w:pPr>
      <w:r w:rsidRPr="00863A18">
        <w:rPr>
          <w:color w:val="auto"/>
        </w:rPr>
        <w:t>(4.</w:t>
      </w:r>
      <w:r w:rsidR="007B09F9">
        <w:rPr>
          <w:color w:val="auto"/>
        </w:rPr>
        <w:t>6</w:t>
      </w:r>
      <w:r w:rsidRPr="00863A18">
        <w:rPr>
          <w:color w:val="auto"/>
        </w:rPr>
        <w:t>)</w:t>
      </w:r>
      <w:r w:rsidRPr="00863A18">
        <w:rPr>
          <w:color w:val="auto"/>
        </w:rPr>
        <w:tab/>
      </w:r>
      <w:r w:rsidRPr="0037586D">
        <w:rPr>
          <w:color w:val="auto"/>
        </w:rPr>
        <w:t xml:space="preserve">In a time of rapid change, police agencies will need to develop a more agile workforce and rely on an increasingly expanded ecosystem of partners. Police forces already work with a wide range of partners. Future demands and the changing nature of crime will see existing partnerships deepen and new, non-traditional connections formed with a broad spectrum of organizations from the public, private and third sectors. These could range from partnering with banks to develop joint apprenticeships on financial crime to working with international charities on cross-border issues. The future police workforce may become increasingly involved with other public agencies—health and mental health services, for instance. </w:t>
      </w:r>
    </w:p>
    <w:p w14:paraId="73F751FC" w14:textId="31044E61" w:rsidR="00773D27" w:rsidRPr="0037586D" w:rsidRDefault="00773D27" w:rsidP="00773D27">
      <w:pPr>
        <w:ind w:left="720" w:hanging="720"/>
        <w:rPr>
          <w:color w:val="auto"/>
        </w:rPr>
      </w:pPr>
      <w:r>
        <w:rPr>
          <w:color w:val="auto"/>
        </w:rPr>
        <w:t>(4.</w:t>
      </w:r>
      <w:r w:rsidR="007B09F9">
        <w:rPr>
          <w:color w:val="auto"/>
        </w:rPr>
        <w:t>7</w:t>
      </w:r>
      <w:r>
        <w:rPr>
          <w:color w:val="auto"/>
        </w:rPr>
        <w:t>)</w:t>
      </w:r>
      <w:r>
        <w:rPr>
          <w:color w:val="auto"/>
        </w:rPr>
        <w:tab/>
      </w:r>
      <w:r w:rsidR="00764FB6">
        <w:rPr>
          <w:color w:val="auto"/>
        </w:rPr>
        <w:t>The Police Federation of England and Wales (</w:t>
      </w:r>
      <w:r w:rsidRPr="0037586D">
        <w:rPr>
          <w:color w:val="auto"/>
        </w:rPr>
        <w:t>PFEW</w:t>
      </w:r>
      <w:r w:rsidR="00764FB6">
        <w:rPr>
          <w:color w:val="auto"/>
        </w:rPr>
        <w:t>)</w:t>
      </w:r>
      <w:r w:rsidRPr="0037586D">
        <w:rPr>
          <w:color w:val="auto"/>
        </w:rPr>
        <w:t xml:space="preserve"> has called for forces to focus more on proactively supporting their workforce before they reach breaking point. In 2020, more than three quarters of police officers told a survey</w:t>
      </w:r>
      <w:r>
        <w:rPr>
          <w:rStyle w:val="FootnoteReference"/>
          <w:color w:val="auto"/>
        </w:rPr>
        <w:footnoteReference w:id="26"/>
      </w:r>
      <w:r w:rsidRPr="0037586D">
        <w:rPr>
          <w:color w:val="auto"/>
        </w:rPr>
        <w:t xml:space="preserve"> they were experiencing mental health or wellbeing challenges </w:t>
      </w:r>
      <w:r w:rsidR="0089030F">
        <w:rPr>
          <w:color w:val="auto"/>
        </w:rPr>
        <w:t>–</w:t>
      </w:r>
      <w:r w:rsidRPr="0037586D">
        <w:rPr>
          <w:color w:val="auto"/>
        </w:rPr>
        <w:t xml:space="preserve"> 74</w:t>
      </w:r>
      <w:r w:rsidR="0089030F">
        <w:rPr>
          <w:color w:val="auto"/>
        </w:rPr>
        <w:t xml:space="preserve">% </w:t>
      </w:r>
      <w:r w:rsidRPr="0037586D">
        <w:rPr>
          <w:color w:val="auto"/>
        </w:rPr>
        <w:t>were aware of force-provided reactive support services for mental health and wellbeing, but less than half were aware of proactive support services offered.</w:t>
      </w:r>
    </w:p>
    <w:p w14:paraId="72111912" w14:textId="54518ED3" w:rsidR="00773D27" w:rsidRPr="0037586D" w:rsidRDefault="00773D27" w:rsidP="00773D27">
      <w:pPr>
        <w:ind w:left="720" w:hanging="720"/>
        <w:rPr>
          <w:color w:val="auto"/>
        </w:rPr>
      </w:pPr>
      <w:r>
        <w:rPr>
          <w:color w:val="auto"/>
        </w:rPr>
        <w:lastRenderedPageBreak/>
        <w:t>(4.</w:t>
      </w:r>
      <w:r w:rsidR="007B09F9">
        <w:rPr>
          <w:color w:val="auto"/>
        </w:rPr>
        <w:t>8</w:t>
      </w:r>
      <w:r>
        <w:rPr>
          <w:color w:val="auto"/>
        </w:rPr>
        <w:t>)</w:t>
      </w:r>
      <w:r>
        <w:rPr>
          <w:color w:val="auto"/>
        </w:rPr>
        <w:tab/>
      </w:r>
      <w:r w:rsidRPr="0037586D">
        <w:rPr>
          <w:color w:val="auto"/>
        </w:rPr>
        <w:t>PFEW believes forces should monitor the number of traumatic incidents individual officers have attended to make informed operational decisions on where to deploy them. A Police Traumatic Event Checklist is currently being developed by PFEW and Police Care UK, in conjunction with Cambridge University. More than 1500 officers</w:t>
      </w:r>
      <w:r w:rsidR="76404873" w:rsidRPr="0037586D">
        <w:rPr>
          <w:color w:val="auto"/>
        </w:rPr>
        <w:t>’</w:t>
      </w:r>
      <w:r w:rsidRPr="0037586D">
        <w:rPr>
          <w:color w:val="auto"/>
        </w:rPr>
        <w:t xml:space="preserve"> and staff's worst reported incidents on the job were coded to create a system to identify and manage trauma. Over 90</w:t>
      </w:r>
      <w:r w:rsidR="003E0AFB">
        <w:rPr>
          <w:color w:val="auto"/>
        </w:rPr>
        <w:t xml:space="preserve">% </w:t>
      </w:r>
      <w:r w:rsidRPr="0037586D">
        <w:rPr>
          <w:color w:val="auto"/>
        </w:rPr>
        <w:t>of serving officers and staff report exposure to such events and one in five police officers currently have either Post Traumatic Stress Disorder (PTSD) or Complex Post Traumatic Stress Disorder.</w:t>
      </w:r>
      <w:r>
        <w:rPr>
          <w:rStyle w:val="FootnoteReference"/>
          <w:color w:val="auto"/>
        </w:rPr>
        <w:footnoteReference w:id="27"/>
      </w:r>
      <w:r w:rsidRPr="0037586D">
        <w:rPr>
          <w:color w:val="auto"/>
        </w:rPr>
        <w:t xml:space="preserve"> Currently, however, there is no gold standard by which trauma exposure is measured in UK policing.</w:t>
      </w:r>
    </w:p>
    <w:p w14:paraId="14FBB05E" w14:textId="3B0F57B8" w:rsidR="00773D27" w:rsidRDefault="00773D27" w:rsidP="00773D27">
      <w:pPr>
        <w:ind w:left="720" w:hanging="720"/>
        <w:rPr>
          <w:color w:val="auto"/>
        </w:rPr>
      </w:pPr>
      <w:r>
        <w:rPr>
          <w:color w:val="auto"/>
        </w:rPr>
        <w:t>(4.</w:t>
      </w:r>
      <w:r w:rsidR="007B09F9">
        <w:rPr>
          <w:color w:val="auto"/>
        </w:rPr>
        <w:t>9</w:t>
      </w:r>
      <w:r>
        <w:rPr>
          <w:color w:val="auto"/>
        </w:rPr>
        <w:t>)</w:t>
      </w:r>
      <w:r>
        <w:rPr>
          <w:color w:val="auto"/>
        </w:rPr>
        <w:tab/>
      </w:r>
      <w:r w:rsidRPr="0037586D">
        <w:rPr>
          <w:color w:val="auto"/>
        </w:rPr>
        <w:t>Provisions have improved across forces and there is some positive work taking place around mental health and wellbeing, they acknowledged, citing all forces currently have telephone counselling in place, however there is no consistency across the 43 forces with some officers receiving better care than others.</w:t>
      </w:r>
      <w:r>
        <w:rPr>
          <w:color w:val="auto"/>
        </w:rPr>
        <w:t xml:space="preserve"> </w:t>
      </w:r>
      <w:r w:rsidRPr="0037586D">
        <w:rPr>
          <w:color w:val="auto"/>
        </w:rPr>
        <w:t xml:space="preserve">High levels of workload, with overtime regularly used to manage demand, mean that </w:t>
      </w:r>
      <w:r w:rsidR="00D3558F">
        <w:rPr>
          <w:color w:val="auto"/>
        </w:rPr>
        <w:t xml:space="preserve">the </w:t>
      </w:r>
      <w:r w:rsidRPr="0037586D">
        <w:rPr>
          <w:color w:val="auto"/>
        </w:rPr>
        <w:t xml:space="preserve">workforce is </w:t>
      </w:r>
      <w:r w:rsidR="00D3558F">
        <w:rPr>
          <w:color w:val="auto"/>
        </w:rPr>
        <w:t xml:space="preserve">often </w:t>
      </w:r>
      <w:r w:rsidRPr="0037586D">
        <w:rPr>
          <w:color w:val="auto"/>
        </w:rPr>
        <w:t>fatigued. This also affects the work-life balance of the workforce. Not having resources in the right place to manage demand and not providing the tools to support the productivity of its workforce creates frustrations.</w:t>
      </w:r>
    </w:p>
    <w:p w14:paraId="16A9BE1F" w14:textId="001DF5AB" w:rsidR="00773D27" w:rsidRPr="009C3D2A" w:rsidRDefault="00773D27" w:rsidP="00773D27">
      <w:pPr>
        <w:ind w:left="720" w:hanging="720"/>
        <w:rPr>
          <w:color w:val="auto"/>
        </w:rPr>
      </w:pPr>
      <w:r>
        <w:rPr>
          <w:color w:val="auto"/>
        </w:rPr>
        <w:t>(4.</w:t>
      </w:r>
      <w:r w:rsidR="007B09F9">
        <w:rPr>
          <w:color w:val="auto"/>
        </w:rPr>
        <w:t>10</w:t>
      </w:r>
      <w:r w:rsidRPr="009C3D2A">
        <w:rPr>
          <w:color w:val="auto"/>
        </w:rPr>
        <w:t>)</w:t>
      </w:r>
      <w:r w:rsidRPr="009C3D2A">
        <w:rPr>
          <w:color w:val="auto"/>
        </w:rPr>
        <w:tab/>
        <w:t xml:space="preserve">Leadership skills for frontline supervision </w:t>
      </w:r>
      <w:r w:rsidR="00D3558F">
        <w:rPr>
          <w:color w:val="auto"/>
        </w:rPr>
        <w:t xml:space="preserve">are important </w:t>
      </w:r>
      <w:r w:rsidRPr="009C3D2A">
        <w:rPr>
          <w:color w:val="auto"/>
        </w:rPr>
        <w:t>– GMP wish to upskill staff to understand and be authoritative practitioners in maximising the productivity and capability of staff and dealing swiftly with poor performance. In addition these staff should have some integrated training which looks to blend leadership training with problem solving and evidence based policing</w:t>
      </w:r>
      <w:r w:rsidR="005C03A6">
        <w:rPr>
          <w:color w:val="auto"/>
        </w:rPr>
        <w:t xml:space="preserve"> with</w:t>
      </w:r>
      <w:r w:rsidRPr="009C3D2A">
        <w:rPr>
          <w:color w:val="auto"/>
        </w:rPr>
        <w:t xml:space="preserve"> performance management skills so they know how to interpret crime data to maximise the impact their teams can have on Neighbourhood problems.</w:t>
      </w:r>
    </w:p>
    <w:p w14:paraId="08EF790A" w14:textId="29588A49" w:rsidR="00773D27" w:rsidRPr="008F1A58" w:rsidRDefault="00773D27" w:rsidP="00773D27">
      <w:pPr>
        <w:ind w:left="720" w:hanging="720"/>
        <w:rPr>
          <w:color w:val="auto"/>
        </w:rPr>
      </w:pPr>
      <w:r>
        <w:rPr>
          <w:color w:val="auto"/>
        </w:rPr>
        <w:lastRenderedPageBreak/>
        <w:t>(4.</w:t>
      </w:r>
      <w:r w:rsidR="007B09F9">
        <w:rPr>
          <w:color w:val="auto"/>
        </w:rPr>
        <w:t>11</w:t>
      </w:r>
      <w:r>
        <w:rPr>
          <w:color w:val="auto"/>
        </w:rPr>
        <w:t>)</w:t>
      </w:r>
      <w:r>
        <w:rPr>
          <w:color w:val="auto"/>
        </w:rPr>
        <w:tab/>
      </w:r>
      <w:r w:rsidRPr="008F1A58">
        <w:rPr>
          <w:color w:val="auto"/>
        </w:rPr>
        <w:t xml:space="preserve">GMP have </w:t>
      </w:r>
      <w:r w:rsidR="005C03A6">
        <w:rPr>
          <w:color w:val="auto"/>
        </w:rPr>
        <w:t>an established aim for</w:t>
      </w:r>
      <w:r w:rsidRPr="008F1A58">
        <w:rPr>
          <w:color w:val="auto"/>
        </w:rPr>
        <w:t xml:space="preserve"> a culture in which individuals and teams understand what performance management is, and understanding what skills are needed to monitor, review, and improve performance in alignment with the organ</w:t>
      </w:r>
      <w:r w:rsidR="00414665">
        <w:rPr>
          <w:color w:val="auto"/>
        </w:rPr>
        <w:t>isation</w:t>
      </w:r>
      <w:r w:rsidRPr="008F1A58">
        <w:rPr>
          <w:color w:val="auto"/>
        </w:rPr>
        <w:t>. They highlighted this as a skills gap where staff need to:</w:t>
      </w:r>
    </w:p>
    <w:p w14:paraId="457136FE" w14:textId="77777777" w:rsidR="00414665" w:rsidRPr="008F1A58" w:rsidRDefault="00414665" w:rsidP="00B62A95">
      <w:pPr>
        <w:pStyle w:val="ListParagraph"/>
        <w:numPr>
          <w:ilvl w:val="0"/>
          <w:numId w:val="30"/>
        </w:numPr>
      </w:pPr>
      <w:r w:rsidRPr="008F1A58">
        <w:t>Know what performance management is and how it is relevant to GMP</w:t>
      </w:r>
    </w:p>
    <w:p w14:paraId="720F500E" w14:textId="77777777" w:rsidR="00414665" w:rsidRDefault="00773D27" w:rsidP="00B62A95">
      <w:pPr>
        <w:pStyle w:val="ListParagraph"/>
        <w:numPr>
          <w:ilvl w:val="0"/>
          <w:numId w:val="30"/>
        </w:numPr>
      </w:pPr>
      <w:r w:rsidRPr="008F1A58">
        <w:t>Understand the importance of good practice and how to embed it within performance management.</w:t>
      </w:r>
      <w:r w:rsidR="00414665" w:rsidRPr="00414665">
        <w:t xml:space="preserve"> </w:t>
      </w:r>
    </w:p>
    <w:p w14:paraId="2545A7E5" w14:textId="77777777" w:rsidR="00773D27" w:rsidRPr="008F1A58" w:rsidRDefault="00773D27" w:rsidP="00B62A95">
      <w:pPr>
        <w:pStyle w:val="ListParagraph"/>
        <w:numPr>
          <w:ilvl w:val="0"/>
          <w:numId w:val="30"/>
        </w:numPr>
      </w:pPr>
      <w:r w:rsidRPr="008F1A58">
        <w:t>Recognise how statistical analysis can help in performance management.</w:t>
      </w:r>
    </w:p>
    <w:p w14:paraId="7C46B476" w14:textId="77777777" w:rsidR="00773D27" w:rsidRPr="008F1A58" w:rsidRDefault="00773D27" w:rsidP="00B62A95">
      <w:pPr>
        <w:pStyle w:val="ListParagraph"/>
        <w:numPr>
          <w:ilvl w:val="0"/>
          <w:numId w:val="30"/>
        </w:numPr>
      </w:pPr>
      <w:r w:rsidRPr="008F1A58">
        <w:t>Understand how to create effective data visualisations, including graphs and charts.</w:t>
      </w:r>
    </w:p>
    <w:p w14:paraId="3F85FC84" w14:textId="77777777" w:rsidR="00773D27" w:rsidRPr="008F1A58" w:rsidRDefault="00773D27" w:rsidP="00B62A95">
      <w:pPr>
        <w:pStyle w:val="ListParagraph"/>
        <w:numPr>
          <w:ilvl w:val="0"/>
          <w:numId w:val="30"/>
        </w:numPr>
      </w:pPr>
      <w:r w:rsidRPr="008F1A58">
        <w:t>Comprehend analysis of trends and how they are affected by seasonality.</w:t>
      </w:r>
    </w:p>
    <w:p w14:paraId="1235324A" w14:textId="77777777" w:rsidR="00773D27" w:rsidRPr="008F1A58" w:rsidRDefault="00773D27" w:rsidP="00B62A95">
      <w:pPr>
        <w:pStyle w:val="ListParagraph"/>
        <w:numPr>
          <w:ilvl w:val="0"/>
          <w:numId w:val="30"/>
        </w:numPr>
      </w:pPr>
      <w:r w:rsidRPr="008F1A58">
        <w:t>Realise common pitfalls in performance management and how to  counter them.</w:t>
      </w:r>
    </w:p>
    <w:p w14:paraId="1DD70EA9" w14:textId="77777777" w:rsidR="00773D27" w:rsidRPr="008F1A58" w:rsidRDefault="00773D27" w:rsidP="00B62A95">
      <w:pPr>
        <w:pStyle w:val="ListParagraph"/>
        <w:numPr>
          <w:ilvl w:val="0"/>
          <w:numId w:val="30"/>
        </w:numPr>
      </w:pPr>
      <w:r w:rsidRPr="008F1A58">
        <w:t>Identify barriers to effective performance and how to resolve them.</w:t>
      </w:r>
    </w:p>
    <w:p w14:paraId="667F8BB3" w14:textId="77777777" w:rsidR="00156D3E" w:rsidRDefault="00773D27" w:rsidP="00B62A95">
      <w:pPr>
        <w:pStyle w:val="ListParagraph"/>
        <w:numPr>
          <w:ilvl w:val="0"/>
          <w:numId w:val="30"/>
        </w:numPr>
      </w:pPr>
      <w:r w:rsidRPr="008F1A58">
        <w:t>Identify the knowledge and skills required for performing a job efficiently.</w:t>
      </w:r>
    </w:p>
    <w:p w14:paraId="419B1B72" w14:textId="55303BF9" w:rsidR="00773D27" w:rsidRPr="00CC185A" w:rsidRDefault="00156D3E" w:rsidP="00CC185A">
      <w:pPr>
        <w:ind w:left="720" w:hanging="720"/>
        <w:rPr>
          <w:color w:val="auto"/>
        </w:rPr>
      </w:pPr>
      <w:r w:rsidRPr="497B6B81">
        <w:rPr>
          <w:color w:val="auto"/>
        </w:rPr>
        <w:t>(4.</w:t>
      </w:r>
      <w:r w:rsidR="007B09F9" w:rsidRPr="497B6B81">
        <w:rPr>
          <w:color w:val="auto"/>
        </w:rPr>
        <w:t>12</w:t>
      </w:r>
      <w:r w:rsidRPr="497B6B81">
        <w:rPr>
          <w:color w:val="auto"/>
        </w:rPr>
        <w:t>)</w:t>
      </w:r>
      <w:r>
        <w:tab/>
      </w:r>
      <w:r w:rsidR="00600D32" w:rsidRPr="497B6B81">
        <w:rPr>
          <w:color w:val="auto"/>
        </w:rPr>
        <w:t xml:space="preserve">Some stakeholders </w:t>
      </w:r>
      <w:r w:rsidR="00DE3923" w:rsidRPr="497B6B81">
        <w:rPr>
          <w:color w:val="auto"/>
        </w:rPr>
        <w:t xml:space="preserve">mentioned </w:t>
      </w:r>
      <w:r w:rsidR="007D67D0" w:rsidRPr="497B6B81">
        <w:rPr>
          <w:color w:val="auto"/>
        </w:rPr>
        <w:t xml:space="preserve">a skills need for </w:t>
      </w:r>
      <w:r w:rsidR="00773D27" w:rsidRPr="497B6B81">
        <w:rPr>
          <w:color w:val="auto"/>
        </w:rPr>
        <w:t xml:space="preserve">Response and Neighbourhood PCs and Detective Constables around Civil Orders. They need to have a good awareness as it would feed into the daily business and investigations for the officers. </w:t>
      </w:r>
      <w:r w:rsidR="00473829" w:rsidRPr="497B6B81">
        <w:rPr>
          <w:color w:val="auto"/>
        </w:rPr>
        <w:t>Specific needs</w:t>
      </w:r>
      <w:r w:rsidR="00773D27" w:rsidRPr="497B6B81">
        <w:rPr>
          <w:color w:val="auto"/>
        </w:rPr>
        <w:t xml:space="preserve"> include</w:t>
      </w:r>
      <w:r w:rsidR="00473829" w:rsidRPr="497B6B81">
        <w:rPr>
          <w:color w:val="auto"/>
        </w:rPr>
        <w:t xml:space="preserve"> having</w:t>
      </w:r>
      <w:r w:rsidR="00773D27" w:rsidRPr="497B6B81">
        <w:rPr>
          <w:color w:val="auto"/>
        </w:rPr>
        <w:t xml:space="preserve"> a clear overview of the type of order</w:t>
      </w:r>
      <w:r w:rsidR="000F687E" w:rsidRPr="497B6B81">
        <w:rPr>
          <w:color w:val="auto"/>
        </w:rPr>
        <w:t xml:space="preserve"> and when they would be suitable</w:t>
      </w:r>
      <w:r w:rsidR="005A55FB" w:rsidRPr="497B6B81">
        <w:rPr>
          <w:color w:val="auto"/>
        </w:rPr>
        <w:t>,</w:t>
      </w:r>
      <w:r w:rsidR="00773D27" w:rsidRPr="497B6B81">
        <w:rPr>
          <w:color w:val="auto"/>
        </w:rPr>
        <w:t xml:space="preserve"> which would include the processes to be undertaken, considerations as to evidence and how that would be fed into the application. </w:t>
      </w:r>
      <w:r w:rsidR="00CC185A" w:rsidRPr="497B6B81">
        <w:rPr>
          <w:color w:val="auto"/>
        </w:rPr>
        <w:t xml:space="preserve">One desired outcome would be </w:t>
      </w:r>
      <w:r w:rsidR="00773D27" w:rsidRPr="497B6B81">
        <w:rPr>
          <w:color w:val="auto"/>
        </w:rPr>
        <w:t xml:space="preserve">Neighbourhood Policing Training with staff training in the Skills for Justice Level 3 qualification in Understanding Neighbourhood Management. </w:t>
      </w:r>
      <w:r w:rsidR="00CC185A" w:rsidRPr="497B6B81">
        <w:rPr>
          <w:color w:val="auto"/>
        </w:rPr>
        <w:t>This would:</w:t>
      </w:r>
    </w:p>
    <w:p w14:paraId="7678B4F5" w14:textId="77777777" w:rsidR="00773D27" w:rsidRPr="00601F4B" w:rsidRDefault="00773D27" w:rsidP="00B62A95">
      <w:pPr>
        <w:pStyle w:val="ListParagraph"/>
        <w:numPr>
          <w:ilvl w:val="0"/>
          <w:numId w:val="12"/>
        </w:numPr>
      </w:pPr>
      <w:r w:rsidRPr="00601F4B">
        <w:t>Professionalise Neighbourhood Policing</w:t>
      </w:r>
    </w:p>
    <w:p w14:paraId="0FC32553" w14:textId="77777777" w:rsidR="00773D27" w:rsidRPr="00601F4B" w:rsidRDefault="00773D27" w:rsidP="00B62A95">
      <w:pPr>
        <w:pStyle w:val="ListParagraph"/>
        <w:numPr>
          <w:ilvl w:val="0"/>
          <w:numId w:val="12"/>
        </w:numPr>
      </w:pPr>
      <w:r w:rsidRPr="00601F4B">
        <w:t xml:space="preserve">Develop a corporate approach to Neighbourhood Policing </w:t>
      </w:r>
    </w:p>
    <w:p w14:paraId="4C7BA09E" w14:textId="77777777" w:rsidR="00773D27" w:rsidRPr="00601F4B" w:rsidRDefault="00773D27" w:rsidP="00B62A95">
      <w:pPr>
        <w:pStyle w:val="ListParagraph"/>
        <w:numPr>
          <w:ilvl w:val="0"/>
          <w:numId w:val="12"/>
        </w:numPr>
      </w:pPr>
      <w:r w:rsidRPr="00601F4B">
        <w:t>Demonstrate the value of NPT officers and address the current lack of formal training and opportunities for continued professional development</w:t>
      </w:r>
    </w:p>
    <w:p w14:paraId="3DCDA178" w14:textId="77777777" w:rsidR="00773D27" w:rsidRPr="00601F4B" w:rsidRDefault="00773D27" w:rsidP="00B62A95">
      <w:pPr>
        <w:pStyle w:val="ListParagraph"/>
        <w:numPr>
          <w:ilvl w:val="0"/>
          <w:numId w:val="12"/>
        </w:numPr>
      </w:pPr>
      <w:r w:rsidRPr="00601F4B">
        <w:t>Showcase Neighbourhood Policing as a specialism</w:t>
      </w:r>
    </w:p>
    <w:p w14:paraId="14B84ACB" w14:textId="77777777" w:rsidR="00773D27" w:rsidRPr="00601F4B" w:rsidRDefault="00773D27" w:rsidP="00B62A95">
      <w:pPr>
        <w:pStyle w:val="ListParagraph"/>
        <w:numPr>
          <w:ilvl w:val="0"/>
          <w:numId w:val="12"/>
        </w:numPr>
      </w:pPr>
      <w:r w:rsidRPr="00601F4B">
        <w:lastRenderedPageBreak/>
        <w:t>Improve the quality and consistency of community engagement, problem solving and early targeted action</w:t>
      </w:r>
    </w:p>
    <w:p w14:paraId="145F5065" w14:textId="77777777" w:rsidR="00773D27" w:rsidRPr="00601F4B" w:rsidRDefault="00773D27" w:rsidP="003C580E">
      <w:pPr>
        <w:pStyle w:val="Heading4"/>
      </w:pPr>
      <w:r w:rsidRPr="00601F4B">
        <w:t>Fire</w:t>
      </w:r>
      <w:r>
        <w:t xml:space="preserve"> Service </w:t>
      </w:r>
    </w:p>
    <w:p w14:paraId="279BF7DA" w14:textId="328F9A94" w:rsidR="00773D27" w:rsidRPr="00601F4B" w:rsidRDefault="00773D27" w:rsidP="00773D27">
      <w:pPr>
        <w:ind w:left="720" w:hanging="720"/>
        <w:rPr>
          <w:color w:val="auto"/>
        </w:rPr>
      </w:pPr>
      <w:r>
        <w:rPr>
          <w:color w:val="auto"/>
        </w:rPr>
        <w:t>(4.</w:t>
      </w:r>
      <w:r w:rsidR="0081394F">
        <w:rPr>
          <w:color w:val="auto"/>
        </w:rPr>
        <w:t>1</w:t>
      </w:r>
      <w:r w:rsidR="007B09F9">
        <w:rPr>
          <w:color w:val="auto"/>
        </w:rPr>
        <w:t>3</w:t>
      </w:r>
      <w:r>
        <w:rPr>
          <w:color w:val="auto"/>
        </w:rPr>
        <w:t>)</w:t>
      </w:r>
      <w:r>
        <w:rPr>
          <w:color w:val="auto"/>
        </w:rPr>
        <w:tab/>
      </w:r>
      <w:r w:rsidRPr="00601F4B">
        <w:rPr>
          <w:color w:val="auto"/>
        </w:rPr>
        <w:t xml:space="preserve">Within GMFRS, a significant range of wellbeing support is available to support both physical and mental health, including occupational health services and trauma risk management practitioners. During a 2021 inspection, staff said that they had positive experiences of the current wellbeing support. </w:t>
      </w:r>
      <w:r w:rsidR="00297AAE">
        <w:rPr>
          <w:color w:val="auto"/>
        </w:rPr>
        <w:t>92%</w:t>
      </w:r>
      <w:r w:rsidRPr="00601F4B">
        <w:rPr>
          <w:color w:val="auto"/>
        </w:rPr>
        <w:t xml:space="preserve"> of respondents to a staff survey (285 of 307) said that they have had a conversation about their health and wellbeing with their manager.</w:t>
      </w:r>
    </w:p>
    <w:p w14:paraId="258032C6" w14:textId="43D5C976" w:rsidR="00773D27" w:rsidRPr="00601F4B" w:rsidRDefault="00773D27" w:rsidP="00773D27">
      <w:pPr>
        <w:ind w:left="720" w:hanging="720"/>
        <w:rPr>
          <w:color w:val="auto"/>
        </w:rPr>
      </w:pPr>
      <w:r>
        <w:rPr>
          <w:color w:val="auto"/>
        </w:rPr>
        <w:t>(4.</w:t>
      </w:r>
      <w:r w:rsidR="0081394F">
        <w:rPr>
          <w:color w:val="auto"/>
        </w:rPr>
        <w:t>1</w:t>
      </w:r>
      <w:r w:rsidR="007B09F9">
        <w:rPr>
          <w:color w:val="auto"/>
        </w:rPr>
        <w:t>4</w:t>
      </w:r>
      <w:r>
        <w:rPr>
          <w:color w:val="auto"/>
        </w:rPr>
        <w:t>)</w:t>
      </w:r>
      <w:r>
        <w:rPr>
          <w:color w:val="auto"/>
        </w:rPr>
        <w:tab/>
      </w:r>
      <w:r w:rsidRPr="00601F4B">
        <w:rPr>
          <w:color w:val="auto"/>
        </w:rPr>
        <w:t>GM</w:t>
      </w:r>
      <w:r w:rsidR="00B73C10">
        <w:rPr>
          <w:color w:val="auto"/>
        </w:rPr>
        <w:t>FRS</w:t>
      </w:r>
      <w:r w:rsidRPr="00601F4B">
        <w:rPr>
          <w:color w:val="auto"/>
        </w:rPr>
        <w:t xml:space="preserve"> has a statutory responsibility set out in the Fire and Rescue National Framework, to ensure it understand the risks facing our communities and constantly evolves to respond to these effectively. The Framework recognises challenges such as the continuing threat of terrorism, the impact of climate changes and the impacts of an ageing population. The GMFRS have introduced their first Annual Strategic Assessment of Risk (SAOR)</w:t>
      </w:r>
      <w:r w:rsidRPr="00601F4B">
        <w:rPr>
          <w:rStyle w:val="FootnoteReference"/>
          <w:color w:val="auto"/>
        </w:rPr>
        <w:footnoteReference w:id="28"/>
      </w:r>
      <w:r w:rsidRPr="00601F4B">
        <w:rPr>
          <w:color w:val="auto"/>
        </w:rPr>
        <w:t xml:space="preserve"> to address this by identifying and assessing all the risks and challenges across </w:t>
      </w:r>
      <w:r w:rsidR="002922C5">
        <w:rPr>
          <w:color w:val="auto"/>
        </w:rPr>
        <w:t>the</w:t>
      </w:r>
      <w:r w:rsidRPr="00601F4B">
        <w:rPr>
          <w:color w:val="auto"/>
        </w:rPr>
        <w:t xml:space="preserve"> city-region and developing plans to mitigate them. </w:t>
      </w:r>
    </w:p>
    <w:p w14:paraId="4228A1D5" w14:textId="7E3F20D1" w:rsidR="00773D27" w:rsidRPr="00601F4B" w:rsidRDefault="00773D27" w:rsidP="00773D27">
      <w:pPr>
        <w:ind w:left="720" w:hanging="720"/>
        <w:rPr>
          <w:color w:val="auto"/>
        </w:rPr>
      </w:pPr>
      <w:r>
        <w:rPr>
          <w:color w:val="auto"/>
        </w:rPr>
        <w:t>(4.</w:t>
      </w:r>
      <w:r w:rsidR="007B09F9">
        <w:rPr>
          <w:color w:val="auto"/>
        </w:rPr>
        <w:t>15</w:t>
      </w:r>
      <w:r>
        <w:rPr>
          <w:color w:val="auto"/>
        </w:rPr>
        <w:t>)</w:t>
      </w:r>
      <w:r>
        <w:rPr>
          <w:color w:val="auto"/>
        </w:rPr>
        <w:tab/>
      </w:r>
      <w:r w:rsidRPr="00601F4B">
        <w:rPr>
          <w:color w:val="auto"/>
        </w:rPr>
        <w:t>GMFRS have embraced modern technology and procedures to do things quicker, safer, with less people and with less impact on the environment. Recent investments in future firefighting equipment and procedures include; Ultra-High</w:t>
      </w:r>
      <w:r w:rsidR="00410FCD" w:rsidRPr="00601F4B">
        <w:rPr>
          <w:color w:val="auto"/>
        </w:rPr>
        <w:t>-</w:t>
      </w:r>
      <w:r w:rsidRPr="00601F4B">
        <w:rPr>
          <w:color w:val="auto"/>
        </w:rPr>
        <w:t>Pressure Lance on fire appliances, Thermal scanning cameras, Layered PPE and Air Units. GM’s future firefighting capability inclusive of new technologies, new vehicles and water provision is undertaken by an Operational Equipment and Technical Team who ensure that they are providing the right equipment in the right place, to deal with incidents in a safe and effective manner</w:t>
      </w:r>
    </w:p>
    <w:p w14:paraId="35B663D9" w14:textId="30B814F8" w:rsidR="0080589B" w:rsidRDefault="00223238" w:rsidP="003C580E">
      <w:pPr>
        <w:pStyle w:val="Heading4"/>
      </w:pPr>
      <w:r w:rsidRPr="0037586D">
        <w:lastRenderedPageBreak/>
        <w:t>Ambulance</w:t>
      </w:r>
    </w:p>
    <w:p w14:paraId="3CB02C1A" w14:textId="660E7192" w:rsidR="00FD0B0E" w:rsidRPr="00903C16" w:rsidRDefault="00CF0E34" w:rsidP="00FD0B0E">
      <w:pPr>
        <w:ind w:left="720" w:hanging="720"/>
        <w:rPr>
          <w:color w:val="auto"/>
        </w:rPr>
      </w:pPr>
      <w:r>
        <w:rPr>
          <w:color w:val="auto"/>
        </w:rPr>
        <w:t>(4.1</w:t>
      </w:r>
      <w:r w:rsidR="00BC570A">
        <w:rPr>
          <w:color w:val="auto"/>
        </w:rPr>
        <w:t>6</w:t>
      </w:r>
      <w:r>
        <w:rPr>
          <w:color w:val="auto"/>
        </w:rPr>
        <w:t>)</w:t>
      </w:r>
      <w:r>
        <w:rPr>
          <w:color w:val="auto"/>
        </w:rPr>
        <w:tab/>
      </w:r>
      <w:r w:rsidR="00FD0B0E" w:rsidRPr="00903C16">
        <w:rPr>
          <w:color w:val="auto"/>
        </w:rPr>
        <w:t xml:space="preserve">NWAS have highlighted </w:t>
      </w:r>
      <w:r w:rsidR="00694EEE">
        <w:rPr>
          <w:color w:val="auto"/>
        </w:rPr>
        <w:t>skills development</w:t>
      </w:r>
      <w:r w:rsidR="00FD0B0E" w:rsidRPr="00903C16">
        <w:rPr>
          <w:color w:val="auto"/>
        </w:rPr>
        <w:t xml:space="preserve"> within their strategy and are</w:t>
      </w:r>
      <w:r w:rsidR="00FD0B0E">
        <w:rPr>
          <w:color w:val="auto"/>
        </w:rPr>
        <w:t xml:space="preserve"> keen to improve upskilling within the workforce and retention</w:t>
      </w:r>
      <w:r w:rsidR="009B2808">
        <w:rPr>
          <w:color w:val="auto"/>
        </w:rPr>
        <w:t>. Priorities include</w:t>
      </w:r>
      <w:r w:rsidR="00FD0B0E" w:rsidRPr="00903C16">
        <w:rPr>
          <w:color w:val="auto"/>
        </w:rPr>
        <w:t>:</w:t>
      </w:r>
    </w:p>
    <w:p w14:paraId="4D98BFDB" w14:textId="77777777" w:rsidR="00FD0B0E" w:rsidRPr="00903C16" w:rsidRDefault="00FD0B0E" w:rsidP="00B62A95">
      <w:pPr>
        <w:pStyle w:val="ListParagraph"/>
        <w:numPr>
          <w:ilvl w:val="0"/>
          <w:numId w:val="4"/>
        </w:numPr>
      </w:pPr>
      <w:r w:rsidRPr="00903C16">
        <w:t xml:space="preserve">Delivering upskilling of the Paramedic workforce, enabling the ongoing development of clinical practice and supporting improved levels of See and Treat and Hear and Treat. </w:t>
      </w:r>
    </w:p>
    <w:p w14:paraId="7805094D" w14:textId="77777777" w:rsidR="00FD0B0E" w:rsidRPr="00903C16" w:rsidRDefault="00FD0B0E" w:rsidP="00B62A95">
      <w:pPr>
        <w:pStyle w:val="ListParagraph"/>
        <w:numPr>
          <w:ilvl w:val="0"/>
          <w:numId w:val="4"/>
        </w:numPr>
      </w:pPr>
      <w:r w:rsidRPr="00903C16">
        <w:t xml:space="preserve">Meeting the needs of new and emerging roles by developing infrastructure to support development pathways, designing appropriate training interventions and working with partners to develop appropriate educational frameworks. </w:t>
      </w:r>
    </w:p>
    <w:p w14:paraId="7442B985" w14:textId="77777777" w:rsidR="00FD0B0E" w:rsidRDefault="00FD0B0E" w:rsidP="00B62A95">
      <w:pPr>
        <w:pStyle w:val="ListParagraph"/>
        <w:numPr>
          <w:ilvl w:val="0"/>
          <w:numId w:val="4"/>
        </w:numPr>
      </w:pPr>
      <w:r w:rsidRPr="00903C16">
        <w:t>Improving the use of technology to enhance training delivery, simulation and continuing professional development.</w:t>
      </w:r>
    </w:p>
    <w:p w14:paraId="3ED4088C" w14:textId="6B9FBB6F" w:rsidR="00FD0B0E" w:rsidRDefault="00FD0B0E" w:rsidP="00B62A95">
      <w:pPr>
        <w:pStyle w:val="ListParagraph"/>
        <w:numPr>
          <w:ilvl w:val="0"/>
          <w:numId w:val="4"/>
        </w:numPr>
      </w:pPr>
      <w:r>
        <w:t>Improving available support for staff by providing a suite of flexible working options that can be discussed and tailored to staff, based on their role and individual needs</w:t>
      </w:r>
      <w:r w:rsidR="00DD4392">
        <w:t>.</w:t>
      </w:r>
    </w:p>
    <w:p w14:paraId="6758A59E" w14:textId="49C663B1" w:rsidR="00FD0B0E" w:rsidRDefault="00FD0B0E" w:rsidP="00B62A95">
      <w:pPr>
        <w:pStyle w:val="ListParagraph"/>
        <w:numPr>
          <w:ilvl w:val="0"/>
          <w:numId w:val="4"/>
        </w:numPr>
      </w:pPr>
      <w:r>
        <w:t>Continuing to improve staff survey response rates and outcomes, using the data to proactively improve the Trust health and wellbeing offering. Key improvement goals</w:t>
      </w:r>
      <w:r w:rsidR="00DD4392">
        <w:t>.</w:t>
      </w:r>
    </w:p>
    <w:p w14:paraId="5D586D6D" w14:textId="223A7F29" w:rsidR="00167F20" w:rsidRDefault="00CF0E34" w:rsidP="002E65A6">
      <w:pPr>
        <w:ind w:left="720" w:hanging="720"/>
        <w:rPr>
          <w:color w:val="auto"/>
        </w:rPr>
      </w:pPr>
      <w:r>
        <w:rPr>
          <w:color w:val="auto"/>
        </w:rPr>
        <w:t>(4.</w:t>
      </w:r>
      <w:r w:rsidR="00DD4392">
        <w:rPr>
          <w:color w:val="auto"/>
        </w:rPr>
        <w:t>17</w:t>
      </w:r>
      <w:r>
        <w:rPr>
          <w:color w:val="auto"/>
        </w:rPr>
        <w:t>)</w:t>
      </w:r>
      <w:r>
        <w:rPr>
          <w:color w:val="auto"/>
        </w:rPr>
        <w:tab/>
      </w:r>
      <w:r w:rsidR="0009132A">
        <w:rPr>
          <w:color w:val="auto"/>
        </w:rPr>
        <w:t>With rising rates in the population, s</w:t>
      </w:r>
      <w:r w:rsidR="0080589B" w:rsidRPr="0037586D">
        <w:rPr>
          <w:color w:val="auto"/>
        </w:rPr>
        <w:t>takeholders said that it was important to</w:t>
      </w:r>
      <w:r w:rsidR="00167F20" w:rsidRPr="0037586D">
        <w:rPr>
          <w:color w:val="auto"/>
        </w:rPr>
        <w:t xml:space="preserve"> increas</w:t>
      </w:r>
      <w:r w:rsidR="0080589B" w:rsidRPr="0037586D">
        <w:rPr>
          <w:color w:val="auto"/>
        </w:rPr>
        <w:t>e</w:t>
      </w:r>
      <w:r w:rsidR="00167F20" w:rsidRPr="0037586D">
        <w:rPr>
          <w:color w:val="auto"/>
        </w:rPr>
        <w:t xml:space="preserve"> mental health expertise within the workforce. The </w:t>
      </w:r>
      <w:r w:rsidR="00080292" w:rsidRPr="0037586D">
        <w:rPr>
          <w:color w:val="auto"/>
        </w:rPr>
        <w:t>long-term</w:t>
      </w:r>
      <w:r w:rsidR="00167F20" w:rsidRPr="0037586D">
        <w:rPr>
          <w:color w:val="auto"/>
        </w:rPr>
        <w:t xml:space="preserve"> plan made commi</w:t>
      </w:r>
      <w:r w:rsidR="0080589B" w:rsidRPr="0037586D">
        <w:rPr>
          <w:color w:val="auto"/>
        </w:rPr>
        <w:t>tments</w:t>
      </w:r>
      <w:r w:rsidR="00167F20" w:rsidRPr="0037586D">
        <w:rPr>
          <w:color w:val="auto"/>
        </w:rPr>
        <w:t xml:space="preserve"> to build the capability of ambulance staff to respond to patients presenting with mental health issues. If adequately resourced, this should help to increase capacity in the system. People with mental ill health are more likely to use emergency care than those without and 46% of people with a mental health condition also have a long-term physical health condition</w:t>
      </w:r>
      <w:r w:rsidR="0080589B" w:rsidRPr="0037586D">
        <w:rPr>
          <w:color w:val="auto"/>
        </w:rPr>
        <w:t xml:space="preserve">. </w:t>
      </w:r>
      <w:r w:rsidR="00167F20" w:rsidRPr="0037586D">
        <w:rPr>
          <w:color w:val="auto"/>
        </w:rPr>
        <w:t>Given the reciprocal nature of this link, improvements made to mental health provision often improve patients’ physical wellbeing, and vice versa.</w:t>
      </w:r>
    </w:p>
    <w:p w14:paraId="356D5BF6" w14:textId="2EC3D27C" w:rsidR="000344DF" w:rsidRPr="000344DF" w:rsidRDefault="00245C93" w:rsidP="00245C93">
      <w:pPr>
        <w:ind w:left="720" w:hanging="720"/>
        <w:rPr>
          <w:color w:val="auto"/>
        </w:rPr>
      </w:pPr>
      <w:r>
        <w:rPr>
          <w:color w:val="auto"/>
        </w:rPr>
        <w:t>(4.</w:t>
      </w:r>
      <w:r w:rsidR="00222776">
        <w:rPr>
          <w:color w:val="auto"/>
        </w:rPr>
        <w:t>18</w:t>
      </w:r>
      <w:r>
        <w:rPr>
          <w:color w:val="auto"/>
        </w:rPr>
        <w:t>)</w:t>
      </w:r>
      <w:r>
        <w:rPr>
          <w:color w:val="auto"/>
        </w:rPr>
        <w:tab/>
      </w:r>
      <w:r w:rsidR="00222776">
        <w:rPr>
          <w:color w:val="auto"/>
        </w:rPr>
        <w:t xml:space="preserve">Resilience is also critical for ambulance staff. </w:t>
      </w:r>
      <w:r w:rsidR="00047237">
        <w:rPr>
          <w:color w:val="auto"/>
        </w:rPr>
        <w:t>C</w:t>
      </w:r>
      <w:r w:rsidR="000344DF" w:rsidRPr="000344DF">
        <w:rPr>
          <w:color w:val="auto"/>
        </w:rPr>
        <w:t xml:space="preserve">auses of stress </w:t>
      </w:r>
      <w:r w:rsidR="00047237">
        <w:rPr>
          <w:color w:val="auto"/>
        </w:rPr>
        <w:t>highlighted include</w:t>
      </w:r>
      <w:r w:rsidR="000344DF" w:rsidRPr="000344DF">
        <w:rPr>
          <w:color w:val="auto"/>
        </w:rPr>
        <w:t xml:space="preserve"> tight targets, long hours</w:t>
      </w:r>
      <w:r w:rsidR="00047237">
        <w:rPr>
          <w:color w:val="auto"/>
        </w:rPr>
        <w:t>,</w:t>
      </w:r>
      <w:r w:rsidR="000344DF" w:rsidRPr="000344DF">
        <w:rPr>
          <w:color w:val="auto"/>
        </w:rPr>
        <w:t xml:space="preserve"> and physical demands</w:t>
      </w:r>
      <w:r w:rsidR="00047237">
        <w:rPr>
          <w:color w:val="auto"/>
        </w:rPr>
        <w:t xml:space="preserve">. </w:t>
      </w:r>
      <w:r w:rsidR="000344DF" w:rsidRPr="000344DF">
        <w:rPr>
          <w:color w:val="auto"/>
        </w:rPr>
        <w:t xml:space="preserve">Stress and anxiety are the greatest cause for sickness absence across all staff groups in the </w:t>
      </w:r>
      <w:r w:rsidR="000344DF" w:rsidRPr="000344DF">
        <w:rPr>
          <w:color w:val="auto"/>
        </w:rPr>
        <w:lastRenderedPageBreak/>
        <w:t>NHS at 25.3% but attributed as the reason for absence in 28% of ambulance workers</w:t>
      </w:r>
      <w:r w:rsidR="005A577B">
        <w:rPr>
          <w:color w:val="auto"/>
        </w:rPr>
        <w:t xml:space="preserve">. </w:t>
      </w:r>
      <w:r w:rsidR="000344DF" w:rsidRPr="000344DF">
        <w:rPr>
          <w:color w:val="auto"/>
        </w:rPr>
        <w:t>Ambulance staff have also been found to have the highest sickness absences of all NHS staff groups</w:t>
      </w:r>
      <w:r w:rsidR="005A577B">
        <w:rPr>
          <w:color w:val="auto"/>
        </w:rPr>
        <w:t>.</w:t>
      </w:r>
      <w:r w:rsidR="00133428" w:rsidRPr="00133428">
        <w:rPr>
          <w:color w:val="auto"/>
        </w:rPr>
        <w:t xml:space="preserve"> Certain staff groups appear more vulnerable to burnout: male clinicians, lone responders, those aged </w:t>
      </w:r>
      <w:r w:rsidR="0078616D">
        <w:rPr>
          <w:color w:val="auto"/>
        </w:rPr>
        <w:t xml:space="preserve">under </w:t>
      </w:r>
      <w:r w:rsidR="00133428" w:rsidRPr="00133428">
        <w:rPr>
          <w:color w:val="auto"/>
        </w:rPr>
        <w:t xml:space="preserve">34 years and people who have been in the same job for </w:t>
      </w:r>
      <w:r w:rsidR="0078616D">
        <w:rPr>
          <w:color w:val="auto"/>
        </w:rPr>
        <w:t xml:space="preserve">over </w:t>
      </w:r>
      <w:r w:rsidR="00133428" w:rsidRPr="00133428">
        <w:rPr>
          <w:color w:val="auto"/>
        </w:rPr>
        <w:t>6 years.</w:t>
      </w:r>
    </w:p>
    <w:p w14:paraId="482FF53C" w14:textId="426172FF" w:rsidR="00C352F4" w:rsidRPr="00080292" w:rsidRDefault="00245C93" w:rsidP="00245C93">
      <w:pPr>
        <w:ind w:left="720" w:hanging="720"/>
        <w:rPr>
          <w:color w:val="auto"/>
        </w:rPr>
      </w:pPr>
      <w:r>
        <w:rPr>
          <w:color w:val="auto"/>
        </w:rPr>
        <w:t>(4.</w:t>
      </w:r>
      <w:r w:rsidR="002B4D82">
        <w:rPr>
          <w:color w:val="auto"/>
        </w:rPr>
        <w:t>19</w:t>
      </w:r>
      <w:r>
        <w:rPr>
          <w:color w:val="auto"/>
        </w:rPr>
        <w:t>)</w:t>
      </w:r>
      <w:r>
        <w:rPr>
          <w:color w:val="auto"/>
        </w:rPr>
        <w:tab/>
      </w:r>
      <w:r w:rsidR="00DC6EDE" w:rsidRPr="00080292">
        <w:rPr>
          <w:color w:val="auto"/>
        </w:rPr>
        <w:t xml:space="preserve">NWAS have worked with Manchester Stress Institute to develop two bespoke support programmes for </w:t>
      </w:r>
      <w:r w:rsidR="00D500D7">
        <w:rPr>
          <w:color w:val="auto"/>
        </w:rPr>
        <w:t xml:space="preserve">their </w:t>
      </w:r>
      <w:r w:rsidR="00DC6EDE" w:rsidRPr="00080292">
        <w:rPr>
          <w:color w:val="auto"/>
        </w:rPr>
        <w:t xml:space="preserve">workforce - a </w:t>
      </w:r>
      <w:r w:rsidR="00080292" w:rsidRPr="00080292">
        <w:rPr>
          <w:color w:val="auto"/>
        </w:rPr>
        <w:t>six-week</w:t>
      </w:r>
      <w:r w:rsidR="00DC6EDE" w:rsidRPr="00080292">
        <w:rPr>
          <w:color w:val="auto"/>
        </w:rPr>
        <w:t xml:space="preserve"> staff programme and a four</w:t>
      </w:r>
      <w:r w:rsidR="003C1854">
        <w:rPr>
          <w:color w:val="auto"/>
        </w:rPr>
        <w:t>-</w:t>
      </w:r>
      <w:r w:rsidR="00DC6EDE" w:rsidRPr="00080292">
        <w:rPr>
          <w:color w:val="auto"/>
        </w:rPr>
        <w:t xml:space="preserve">week 1:1 managers’ programme. These support programmes cover a range of interventions to improve management of stress and build resilience, raise awareness of nutrition, sleep, and fitness, and empower staff to support themselves long term. The feedback received from those who have participated in the programmes has been extremely positive. </w:t>
      </w:r>
      <w:r w:rsidR="00694F4B" w:rsidRPr="00080292">
        <w:rPr>
          <w:color w:val="auto"/>
        </w:rPr>
        <w:t xml:space="preserve">Employees </w:t>
      </w:r>
      <w:r w:rsidR="00DC6EDE" w:rsidRPr="00080292">
        <w:rPr>
          <w:color w:val="auto"/>
        </w:rPr>
        <w:t>have reported that their sleep, resilience, and nutrition have significantly improved during the course of the programme</w:t>
      </w:r>
      <w:r w:rsidR="00D500D7">
        <w:rPr>
          <w:rStyle w:val="FootnoteReference"/>
          <w:color w:val="auto"/>
        </w:rPr>
        <w:footnoteReference w:id="29"/>
      </w:r>
      <w:r w:rsidR="00DC6EDE" w:rsidRPr="00080292">
        <w:rPr>
          <w:color w:val="auto"/>
        </w:rPr>
        <w:t xml:space="preserve">. </w:t>
      </w:r>
    </w:p>
    <w:p w14:paraId="784BAF18" w14:textId="5191C492" w:rsidR="00863A18" w:rsidRDefault="00863A18" w:rsidP="00863A18">
      <w:pPr>
        <w:ind w:left="720" w:hanging="720"/>
        <w:rPr>
          <w:color w:val="auto"/>
        </w:rPr>
      </w:pPr>
      <w:r>
        <w:rPr>
          <w:color w:val="auto"/>
        </w:rPr>
        <w:t>(4.</w:t>
      </w:r>
      <w:r w:rsidR="00E94831">
        <w:rPr>
          <w:color w:val="auto"/>
        </w:rPr>
        <w:t>20</w:t>
      </w:r>
      <w:r>
        <w:rPr>
          <w:color w:val="auto"/>
        </w:rPr>
        <w:t>)</w:t>
      </w:r>
      <w:r>
        <w:rPr>
          <w:color w:val="auto"/>
        </w:rPr>
        <w:tab/>
      </w:r>
      <w:r w:rsidR="00AD5C11">
        <w:rPr>
          <w:color w:val="auto"/>
        </w:rPr>
        <w:t>Speaking to stakeholders within the sector, other skill gaps which emerged included:</w:t>
      </w:r>
    </w:p>
    <w:p w14:paraId="269B9F19" w14:textId="28245D8B" w:rsidR="00AD5C11" w:rsidRPr="00863A18" w:rsidRDefault="00166EF4" w:rsidP="00B62A95">
      <w:pPr>
        <w:pStyle w:val="ListParagraph"/>
        <w:numPr>
          <w:ilvl w:val="0"/>
          <w:numId w:val="29"/>
        </w:numPr>
      </w:pPr>
      <w:r>
        <w:t xml:space="preserve">Staff with Information, Advice and Guidance (IAG) skills. NWAS have </w:t>
      </w:r>
      <w:r w:rsidR="000344DF">
        <w:t>indicated</w:t>
      </w:r>
      <w:r>
        <w:t xml:space="preserve"> they would like skilled employees able to provide high quality, impartial, information, advice and guidance which will promote the value of learning to other members of the workforce.</w:t>
      </w:r>
      <w:r w:rsidR="00E835AC">
        <w:t xml:space="preserve"> Those in workforce development/ HR roles would especially benefit.</w:t>
      </w:r>
    </w:p>
    <w:p w14:paraId="1DF75DF8" w14:textId="77F2FA92" w:rsidR="005C48A3" w:rsidRDefault="00B66F0C" w:rsidP="00B62A95">
      <w:pPr>
        <w:pStyle w:val="ListParagraph"/>
        <w:numPr>
          <w:ilvl w:val="0"/>
          <w:numId w:val="29"/>
        </w:numPr>
      </w:pPr>
      <w:r>
        <w:t>Skills to work with</w:t>
      </w:r>
      <w:r w:rsidR="0041422C">
        <w:t xml:space="preserve"> and support individuals in the workplace with learning difficulties.</w:t>
      </w:r>
    </w:p>
    <w:p w14:paraId="3F83AB13" w14:textId="77777777" w:rsidR="00604EA3" w:rsidRPr="0037586D" w:rsidRDefault="00604EA3" w:rsidP="00604EA3">
      <w:pPr>
        <w:pStyle w:val="ListParagraph"/>
        <w:numPr>
          <w:ilvl w:val="0"/>
          <w:numId w:val="0"/>
        </w:numPr>
        <w:ind w:left="1080"/>
      </w:pPr>
    </w:p>
    <w:p w14:paraId="19D47D88" w14:textId="6D50C93E" w:rsidR="00795438" w:rsidRPr="00601F4B" w:rsidRDefault="00D870B5" w:rsidP="003C580E">
      <w:pPr>
        <w:pStyle w:val="Heading4"/>
      </w:pPr>
      <w:r>
        <w:t xml:space="preserve">Digital Skills </w:t>
      </w:r>
    </w:p>
    <w:p w14:paraId="22E10BC0" w14:textId="428E6242" w:rsidR="00D870B5" w:rsidRPr="00601F4B" w:rsidRDefault="00D870B5" w:rsidP="00D870B5">
      <w:pPr>
        <w:ind w:left="720" w:hanging="720"/>
        <w:rPr>
          <w:color w:val="auto"/>
        </w:rPr>
      </w:pPr>
      <w:r>
        <w:rPr>
          <w:color w:val="auto"/>
        </w:rPr>
        <w:t>(4.2</w:t>
      </w:r>
      <w:r w:rsidR="006E650A">
        <w:rPr>
          <w:color w:val="auto"/>
        </w:rPr>
        <w:t>1</w:t>
      </w:r>
      <w:r>
        <w:rPr>
          <w:color w:val="auto"/>
        </w:rPr>
        <w:t>)</w:t>
      </w:r>
      <w:r>
        <w:rPr>
          <w:color w:val="auto"/>
        </w:rPr>
        <w:tab/>
      </w:r>
      <w:r w:rsidR="00332DA3" w:rsidRPr="00601F4B">
        <w:rPr>
          <w:color w:val="auto"/>
        </w:rPr>
        <w:t xml:space="preserve">As technology drives significant changes in the workforce, it will be crucial to blend soft human skills with digital skills. </w:t>
      </w:r>
      <w:r w:rsidR="001C3F73">
        <w:rPr>
          <w:color w:val="auto"/>
        </w:rPr>
        <w:t>They</w:t>
      </w:r>
      <w:r w:rsidR="00332DA3">
        <w:rPr>
          <w:color w:val="auto"/>
        </w:rPr>
        <w:t xml:space="preserve"> are required across all 3 of the </w:t>
      </w:r>
      <w:r w:rsidR="00332DA3">
        <w:rPr>
          <w:color w:val="auto"/>
        </w:rPr>
        <w:lastRenderedPageBreak/>
        <w:t xml:space="preserve">emergency services and came up frequently in conversations with stakeholders across the sector. </w:t>
      </w:r>
      <w:r w:rsidR="00332DA3" w:rsidRPr="00601F4B">
        <w:rPr>
          <w:color w:val="auto"/>
        </w:rPr>
        <w:t>Predictive analytics technologies, for instance, will have a valuable role to play in helping the police to prevent more crime in the future, but acting on the insight from these tools and developing the appropriate response will require a more nuanced set of skills. Intervening officers need to have empathy, good communication and negotiating skills, and the ethical training to determine what is an appropriate and proportional intervention.</w:t>
      </w:r>
      <w:r w:rsidR="00332DA3">
        <w:rPr>
          <w:color w:val="auto"/>
        </w:rPr>
        <w:t xml:space="preserve"> </w:t>
      </w:r>
      <w:r w:rsidRPr="00601F4B">
        <w:rPr>
          <w:color w:val="auto"/>
        </w:rPr>
        <w:t>Sharing data effectively can mean better service coordination and population health management, a reduction in avoidable waits and better response times</w:t>
      </w:r>
      <w:r>
        <w:rPr>
          <w:color w:val="auto"/>
        </w:rPr>
        <w:t xml:space="preserve"> across all three services</w:t>
      </w:r>
      <w:r w:rsidRPr="00601F4B">
        <w:rPr>
          <w:color w:val="auto"/>
        </w:rPr>
        <w:t xml:space="preserve">. </w:t>
      </w:r>
      <w:r>
        <w:rPr>
          <w:color w:val="auto"/>
        </w:rPr>
        <w:t>It is critical that t</w:t>
      </w:r>
      <w:r w:rsidRPr="00601F4B">
        <w:rPr>
          <w:color w:val="auto"/>
        </w:rPr>
        <w:t xml:space="preserve">he workforce </w:t>
      </w:r>
      <w:r>
        <w:rPr>
          <w:color w:val="auto"/>
        </w:rPr>
        <w:t>has</w:t>
      </w:r>
      <w:r w:rsidRPr="00601F4B">
        <w:rPr>
          <w:color w:val="auto"/>
        </w:rPr>
        <w:t xml:space="preserve"> the digital confidence and skills for this to </w:t>
      </w:r>
      <w:r>
        <w:rPr>
          <w:color w:val="auto"/>
        </w:rPr>
        <w:t xml:space="preserve">be effective. </w:t>
      </w:r>
    </w:p>
    <w:p w14:paraId="68A4F7FF" w14:textId="07BCDEC3" w:rsidR="00075F32" w:rsidRPr="00601F4B" w:rsidRDefault="00075F32" w:rsidP="00075F32">
      <w:pPr>
        <w:ind w:left="720" w:hanging="720"/>
        <w:rPr>
          <w:color w:val="auto"/>
        </w:rPr>
      </w:pPr>
      <w:r>
        <w:rPr>
          <w:color w:val="auto"/>
        </w:rPr>
        <w:t>(4.22)</w:t>
      </w:r>
      <w:r>
        <w:rPr>
          <w:color w:val="auto"/>
        </w:rPr>
        <w:tab/>
      </w:r>
      <w:r w:rsidRPr="00601F4B">
        <w:rPr>
          <w:color w:val="auto"/>
        </w:rPr>
        <w:t>The response to COVID-19 accelerated these digital ways of working. Better sharing of medical records between ambulance trusts and other health and care organisations has improved and quickened clinical decision making. Collaboration between ambulance services and secondary care providers enabled paramedics to provide care to COVID-19 patients remotely, reducing unnecessary admissions and virus transmissions. New innovative ways of working, such as 111 First</w:t>
      </w:r>
      <w:r w:rsidRPr="00601F4B">
        <w:rPr>
          <w:rStyle w:val="FootnoteReference"/>
          <w:color w:val="auto"/>
        </w:rPr>
        <w:footnoteReference w:id="30"/>
      </w:r>
      <w:r w:rsidRPr="00601F4B">
        <w:rPr>
          <w:color w:val="auto"/>
        </w:rPr>
        <w:t>, were rolled out nationally and supported by cloud-based digital software to ensure seamless clinical handover for patients who needed to visit E</w:t>
      </w:r>
      <w:r>
        <w:rPr>
          <w:color w:val="auto"/>
        </w:rPr>
        <w:t xml:space="preserve">mergency </w:t>
      </w:r>
      <w:r w:rsidRPr="00601F4B">
        <w:rPr>
          <w:color w:val="auto"/>
        </w:rPr>
        <w:t>D</w:t>
      </w:r>
      <w:r>
        <w:rPr>
          <w:color w:val="auto"/>
        </w:rPr>
        <w:t>epartments</w:t>
      </w:r>
      <w:r w:rsidRPr="00601F4B">
        <w:rPr>
          <w:color w:val="auto"/>
        </w:rPr>
        <w:t>.</w:t>
      </w:r>
    </w:p>
    <w:p w14:paraId="2E8C9A3F" w14:textId="4CBD5752" w:rsidR="00D870B5" w:rsidRPr="00601F4B" w:rsidRDefault="00D870B5" w:rsidP="00D870B5">
      <w:pPr>
        <w:ind w:left="720" w:hanging="720"/>
        <w:rPr>
          <w:color w:val="auto"/>
        </w:rPr>
      </w:pPr>
      <w:r>
        <w:rPr>
          <w:color w:val="auto"/>
        </w:rPr>
        <w:t>(4.2</w:t>
      </w:r>
      <w:r w:rsidR="00075F32">
        <w:rPr>
          <w:color w:val="auto"/>
        </w:rPr>
        <w:t>3</w:t>
      </w:r>
      <w:r>
        <w:rPr>
          <w:color w:val="auto"/>
        </w:rPr>
        <w:t>)</w:t>
      </w:r>
      <w:r>
        <w:rPr>
          <w:color w:val="auto"/>
        </w:rPr>
        <w:tab/>
      </w:r>
      <w:r w:rsidRPr="00601F4B">
        <w:rPr>
          <w:color w:val="auto"/>
        </w:rPr>
        <w:t xml:space="preserve">The ambulance </w:t>
      </w:r>
      <w:r w:rsidR="006E650A">
        <w:rPr>
          <w:color w:val="auto"/>
        </w:rPr>
        <w:t>service</w:t>
      </w:r>
      <w:r w:rsidRPr="00601F4B">
        <w:rPr>
          <w:color w:val="auto"/>
        </w:rPr>
        <w:t xml:space="preserve"> has traditionally been at the forefront of digital developments</w:t>
      </w:r>
      <w:r w:rsidR="006E650A">
        <w:rPr>
          <w:color w:val="auto"/>
        </w:rPr>
        <w:t xml:space="preserve"> in the Emergency Services</w:t>
      </w:r>
      <w:r w:rsidRPr="00601F4B">
        <w:rPr>
          <w:color w:val="auto"/>
        </w:rPr>
        <w:t xml:space="preserve">. The nature of ambulance provision – 24/7 care that is delivered as a responsive, connected service – has meant that many ambulance trusts have long placed digital at the heart of their long-term strategies. Long before the pandemic, service delivery often involved remote care, with ambulance staff equipped with the digital skills and technology to carry out their jobs. This was acknowledged in the Carter </w:t>
      </w:r>
      <w:r w:rsidRPr="00601F4B">
        <w:rPr>
          <w:color w:val="auto"/>
        </w:rPr>
        <w:lastRenderedPageBreak/>
        <w:t xml:space="preserve">review, which noted that the adoption of new digital technologies has been a key driver for reducing conveyance rates to hospitals  </w:t>
      </w:r>
    </w:p>
    <w:p w14:paraId="7D078EC5" w14:textId="2AA51083" w:rsidR="00D870B5" w:rsidRPr="00601F4B" w:rsidRDefault="00D870B5" w:rsidP="00D870B5">
      <w:pPr>
        <w:ind w:left="720" w:hanging="720"/>
        <w:rPr>
          <w:color w:val="auto"/>
        </w:rPr>
      </w:pPr>
      <w:r>
        <w:rPr>
          <w:color w:val="auto"/>
        </w:rPr>
        <w:t>(4.2</w:t>
      </w:r>
      <w:r w:rsidR="00871F23">
        <w:rPr>
          <w:color w:val="auto"/>
        </w:rPr>
        <w:t>4</w:t>
      </w:r>
      <w:r>
        <w:rPr>
          <w:color w:val="auto"/>
        </w:rPr>
        <w:t>)</w:t>
      </w:r>
      <w:r>
        <w:rPr>
          <w:color w:val="auto"/>
        </w:rPr>
        <w:tab/>
      </w:r>
      <w:r w:rsidR="00F15738">
        <w:rPr>
          <w:color w:val="auto"/>
        </w:rPr>
        <w:t>NHS England’s</w:t>
      </w:r>
      <w:r w:rsidRPr="00601F4B">
        <w:rPr>
          <w:color w:val="auto"/>
        </w:rPr>
        <w:t xml:space="preserve"> </w:t>
      </w:r>
      <w:r w:rsidR="00F15738">
        <w:rPr>
          <w:color w:val="auto"/>
        </w:rPr>
        <w:t>G</w:t>
      </w:r>
      <w:r w:rsidRPr="00601F4B">
        <w:rPr>
          <w:color w:val="auto"/>
        </w:rPr>
        <w:t xml:space="preserve">lobal </w:t>
      </w:r>
      <w:r w:rsidR="00F15738">
        <w:rPr>
          <w:color w:val="auto"/>
        </w:rPr>
        <w:t>D</w:t>
      </w:r>
      <w:r w:rsidRPr="00601F4B">
        <w:rPr>
          <w:color w:val="auto"/>
        </w:rPr>
        <w:t xml:space="preserve">igital </w:t>
      </w:r>
      <w:r w:rsidR="00F15738">
        <w:rPr>
          <w:color w:val="auto"/>
        </w:rPr>
        <w:t>E</w:t>
      </w:r>
      <w:r w:rsidRPr="00601F4B">
        <w:rPr>
          <w:color w:val="auto"/>
        </w:rPr>
        <w:t>xemplar (GDE) programme</w:t>
      </w:r>
      <w:r w:rsidRPr="00601F4B">
        <w:rPr>
          <w:rStyle w:val="FootnoteReference"/>
          <w:color w:val="auto"/>
        </w:rPr>
        <w:footnoteReference w:id="31"/>
      </w:r>
      <w:r w:rsidRPr="00601F4B">
        <w:rPr>
          <w:color w:val="auto"/>
        </w:rPr>
        <w:t xml:space="preserve"> has been instrumental in driving some of these initiatives</w:t>
      </w:r>
      <w:r w:rsidR="00871F23">
        <w:rPr>
          <w:color w:val="auto"/>
        </w:rPr>
        <w:t>. Examples of new digital practice</w:t>
      </w:r>
      <w:r w:rsidRPr="00601F4B">
        <w:rPr>
          <w:color w:val="auto"/>
        </w:rPr>
        <w:t xml:space="preserve"> include establishing live-link video capability with care homes, automating processes related to ambulance dispatch, developing a simulator to be able to model impacts of planned system changes, and streamlining the way ambulance systems digitally pass patient information to hospital and urgent care systems. </w:t>
      </w:r>
      <w:r w:rsidR="00871F23">
        <w:rPr>
          <w:color w:val="auto"/>
        </w:rPr>
        <w:t xml:space="preserve">Understanding how to use these systems is increasingly important to the role. </w:t>
      </w:r>
    </w:p>
    <w:p w14:paraId="0B8F6172" w14:textId="18D54CE6" w:rsidR="00174063" w:rsidRPr="00601F4B" w:rsidRDefault="007C6683" w:rsidP="00D870B5">
      <w:pPr>
        <w:ind w:left="720" w:hanging="720"/>
        <w:rPr>
          <w:color w:val="auto"/>
        </w:rPr>
      </w:pPr>
      <w:r>
        <w:rPr>
          <w:color w:val="auto"/>
        </w:rPr>
        <w:t>(4.2</w:t>
      </w:r>
      <w:r w:rsidR="00703E78">
        <w:rPr>
          <w:color w:val="auto"/>
        </w:rPr>
        <w:t>5</w:t>
      </w:r>
      <w:r>
        <w:rPr>
          <w:color w:val="auto"/>
        </w:rPr>
        <w:t>)</w:t>
      </w:r>
      <w:r>
        <w:rPr>
          <w:color w:val="auto"/>
        </w:rPr>
        <w:tab/>
      </w:r>
      <w:r w:rsidR="00174063" w:rsidRPr="00601F4B">
        <w:rPr>
          <w:color w:val="auto"/>
        </w:rPr>
        <w:t>Police forces need to develop new mindsets, skills, and ways of working</w:t>
      </w:r>
      <w:r w:rsidR="00667125" w:rsidRPr="00601F4B">
        <w:rPr>
          <w:color w:val="auto"/>
        </w:rPr>
        <w:t xml:space="preserve"> to ma</w:t>
      </w:r>
      <w:r w:rsidR="007B6298" w:rsidRPr="00601F4B">
        <w:rPr>
          <w:color w:val="auto"/>
        </w:rPr>
        <w:t>ximise their benefits from the</w:t>
      </w:r>
      <w:r w:rsidR="00667125" w:rsidRPr="00601F4B">
        <w:rPr>
          <w:color w:val="auto"/>
        </w:rPr>
        <w:t xml:space="preserve"> digital </w:t>
      </w:r>
      <w:r w:rsidR="007B6298" w:rsidRPr="00601F4B">
        <w:rPr>
          <w:color w:val="auto"/>
        </w:rPr>
        <w:t>revolution</w:t>
      </w:r>
      <w:r w:rsidR="000B04F0" w:rsidRPr="00601F4B">
        <w:rPr>
          <w:color w:val="auto"/>
        </w:rPr>
        <w:t>. The nature of crime means that much of it is now global, borderless and online which means the skills used to catch criminals must also change.</w:t>
      </w:r>
      <w:r w:rsidR="009C1903">
        <w:rPr>
          <w:color w:val="auto"/>
        </w:rPr>
        <w:t xml:space="preserve"> </w:t>
      </w:r>
      <w:r w:rsidR="00174063" w:rsidRPr="00601F4B">
        <w:rPr>
          <w:color w:val="auto"/>
        </w:rPr>
        <w:t xml:space="preserve">For example, </w:t>
      </w:r>
      <w:r w:rsidR="007B6298" w:rsidRPr="00601F4B">
        <w:rPr>
          <w:color w:val="auto"/>
        </w:rPr>
        <w:t xml:space="preserve">Artificial </w:t>
      </w:r>
      <w:r w:rsidR="00174063" w:rsidRPr="00601F4B">
        <w:rPr>
          <w:color w:val="auto"/>
        </w:rPr>
        <w:t>I</w:t>
      </w:r>
      <w:r w:rsidR="007B6298" w:rsidRPr="00601F4B">
        <w:rPr>
          <w:color w:val="auto"/>
        </w:rPr>
        <w:t>ntelligence</w:t>
      </w:r>
      <w:r w:rsidR="00174063" w:rsidRPr="00601F4B">
        <w:rPr>
          <w:color w:val="auto"/>
        </w:rPr>
        <w:t xml:space="preserve"> can be used to anal</w:t>
      </w:r>
      <w:r w:rsidR="007B6298" w:rsidRPr="00601F4B">
        <w:rPr>
          <w:color w:val="auto"/>
        </w:rPr>
        <w:t>yse</w:t>
      </w:r>
      <w:r w:rsidR="00174063" w:rsidRPr="00601F4B">
        <w:rPr>
          <w:color w:val="auto"/>
        </w:rPr>
        <w:t xml:space="preserve"> and review large volumes of case data with much greater speed and accuracy than traditional approaches. When </w:t>
      </w:r>
      <w:r w:rsidR="007B6298" w:rsidRPr="00601F4B">
        <w:rPr>
          <w:color w:val="auto"/>
        </w:rPr>
        <w:t xml:space="preserve">this is </w:t>
      </w:r>
      <w:r w:rsidR="007460D4" w:rsidRPr="00601F4B">
        <w:rPr>
          <w:color w:val="auto"/>
        </w:rPr>
        <w:t xml:space="preserve">augmented </w:t>
      </w:r>
      <w:r w:rsidR="00174063" w:rsidRPr="00601F4B">
        <w:rPr>
          <w:color w:val="auto"/>
        </w:rPr>
        <w:t>with analytics tools, there is also the potential for intelligence such as identifying crime hotspots, connecting crimes, and linking associated offenders</w:t>
      </w:r>
      <w:r w:rsidR="000B04F0" w:rsidRPr="00601F4B">
        <w:rPr>
          <w:color w:val="auto"/>
        </w:rPr>
        <w:t xml:space="preserve">. </w:t>
      </w:r>
    </w:p>
    <w:p w14:paraId="169A1C99" w14:textId="11A7F7D5" w:rsidR="00174063" w:rsidRPr="00601F4B" w:rsidRDefault="00F14562" w:rsidP="00F14562">
      <w:pPr>
        <w:ind w:left="720" w:hanging="720"/>
        <w:rPr>
          <w:color w:val="auto"/>
        </w:rPr>
      </w:pPr>
      <w:r>
        <w:rPr>
          <w:color w:val="auto"/>
        </w:rPr>
        <w:t>(4.</w:t>
      </w:r>
      <w:r w:rsidR="00CA5890">
        <w:rPr>
          <w:color w:val="auto"/>
        </w:rPr>
        <w:t>26</w:t>
      </w:r>
      <w:r>
        <w:rPr>
          <w:color w:val="auto"/>
        </w:rPr>
        <w:t>)</w:t>
      </w:r>
      <w:r>
        <w:rPr>
          <w:color w:val="auto"/>
        </w:rPr>
        <w:tab/>
      </w:r>
      <w:r w:rsidR="007460D4" w:rsidRPr="00601F4B">
        <w:rPr>
          <w:color w:val="auto"/>
        </w:rPr>
        <w:t>Recent r</w:t>
      </w:r>
      <w:r w:rsidR="00174063" w:rsidRPr="00601F4B">
        <w:rPr>
          <w:color w:val="auto"/>
        </w:rPr>
        <w:t xml:space="preserve">esearch </w:t>
      </w:r>
      <w:r w:rsidR="007460D4" w:rsidRPr="00601F4B">
        <w:rPr>
          <w:color w:val="auto"/>
        </w:rPr>
        <w:t>suggests</w:t>
      </w:r>
      <w:r w:rsidR="00174063" w:rsidRPr="00601F4B">
        <w:rPr>
          <w:color w:val="auto"/>
        </w:rPr>
        <w:t xml:space="preserve"> that three-quarters of police professionals expect digital skills to be required over the next three to five years. Most do not fear this: 67</w:t>
      </w:r>
      <w:r w:rsidR="00097330">
        <w:rPr>
          <w:color w:val="auto"/>
        </w:rPr>
        <w:t>%</w:t>
      </w:r>
      <w:r w:rsidR="00174063" w:rsidRPr="00601F4B">
        <w:rPr>
          <w:color w:val="auto"/>
        </w:rPr>
        <w:t xml:space="preserve"> of respondents are motivated to remain in the profession, and this rises to 75</w:t>
      </w:r>
      <w:r w:rsidR="00097330">
        <w:rPr>
          <w:color w:val="auto"/>
        </w:rPr>
        <w:t>%</w:t>
      </w:r>
      <w:r w:rsidR="00174063" w:rsidRPr="00601F4B">
        <w:rPr>
          <w:color w:val="auto"/>
        </w:rPr>
        <w:t xml:space="preserve"> among those who are eager to embrace new digital skills.</w:t>
      </w:r>
      <w:r w:rsidR="00CF3D47" w:rsidRPr="00601F4B">
        <w:rPr>
          <w:color w:val="auto"/>
        </w:rPr>
        <w:t xml:space="preserve"> 76% of police professionals predict that digital skills will be more in demand over the next three to five years, but 60</w:t>
      </w:r>
      <w:r w:rsidR="00823808">
        <w:rPr>
          <w:color w:val="auto"/>
        </w:rPr>
        <w:t>%</w:t>
      </w:r>
      <w:r w:rsidR="00CF3D47" w:rsidRPr="00601F4B">
        <w:rPr>
          <w:color w:val="auto"/>
        </w:rPr>
        <w:t xml:space="preserve"> say there will be a need for more </w:t>
      </w:r>
      <w:r w:rsidR="00CF3D47" w:rsidRPr="00601F4B">
        <w:rPr>
          <w:color w:val="auto"/>
        </w:rPr>
        <w:lastRenderedPageBreak/>
        <w:t>communication and collaboration skills and 53</w:t>
      </w:r>
      <w:r w:rsidR="00866683">
        <w:rPr>
          <w:color w:val="auto"/>
        </w:rPr>
        <w:t>%</w:t>
      </w:r>
      <w:r w:rsidR="00CF3D47" w:rsidRPr="00601F4B">
        <w:rPr>
          <w:color w:val="auto"/>
        </w:rPr>
        <w:t xml:space="preserve"> a need for even “softer” skills, such as empathy, negotiation, and creativity.</w:t>
      </w:r>
      <w:r w:rsidR="005D46D2" w:rsidRPr="00601F4B">
        <w:rPr>
          <w:rStyle w:val="FootnoteReference"/>
          <w:color w:val="auto"/>
        </w:rPr>
        <w:footnoteReference w:id="32"/>
      </w:r>
      <w:r w:rsidR="00CF3D47" w:rsidRPr="00601F4B">
        <w:rPr>
          <w:color w:val="auto"/>
        </w:rPr>
        <w:t xml:space="preserve"> </w:t>
      </w:r>
    </w:p>
    <w:p w14:paraId="6BBE09EB" w14:textId="5F7137E9" w:rsidR="00A359C4" w:rsidRPr="00601F4B" w:rsidRDefault="00F14562" w:rsidP="00F14562">
      <w:pPr>
        <w:ind w:left="720" w:hanging="720"/>
        <w:rPr>
          <w:color w:val="auto"/>
        </w:rPr>
      </w:pPr>
      <w:r>
        <w:rPr>
          <w:color w:val="auto"/>
        </w:rPr>
        <w:t>(4.</w:t>
      </w:r>
      <w:r w:rsidR="001C3F73">
        <w:rPr>
          <w:color w:val="auto"/>
        </w:rPr>
        <w:t>27</w:t>
      </w:r>
      <w:r>
        <w:rPr>
          <w:color w:val="auto"/>
        </w:rPr>
        <w:t>)</w:t>
      </w:r>
      <w:r>
        <w:rPr>
          <w:color w:val="auto"/>
        </w:rPr>
        <w:tab/>
      </w:r>
      <w:r w:rsidR="00A359C4" w:rsidRPr="00601F4B">
        <w:rPr>
          <w:color w:val="auto"/>
        </w:rPr>
        <w:t>GMP hav</w:t>
      </w:r>
      <w:r w:rsidR="00664CB9" w:rsidRPr="00601F4B">
        <w:rPr>
          <w:color w:val="auto"/>
        </w:rPr>
        <w:t>e committed to</w:t>
      </w:r>
      <w:r w:rsidR="00A359C4" w:rsidRPr="00601F4B">
        <w:rPr>
          <w:color w:val="auto"/>
        </w:rPr>
        <w:t xml:space="preserve"> provid</w:t>
      </w:r>
      <w:r w:rsidR="00664CB9" w:rsidRPr="00601F4B">
        <w:rPr>
          <w:color w:val="auto"/>
        </w:rPr>
        <w:t xml:space="preserve">ing </w:t>
      </w:r>
      <w:r w:rsidR="00A359C4" w:rsidRPr="00601F4B">
        <w:rPr>
          <w:color w:val="auto"/>
        </w:rPr>
        <w:t>officers and staff with the digital tools they need. This means a workforce that is digitally enabled, by default, with technology that seeks to replicate the intuitiveness of consumer experiences - increasing their situational awareness and ability to make informed decisions.</w:t>
      </w:r>
      <w:r w:rsidR="00770766" w:rsidRPr="00601F4B">
        <w:rPr>
          <w:color w:val="auto"/>
        </w:rPr>
        <w:t xml:space="preserve"> </w:t>
      </w:r>
      <w:r w:rsidR="00664CB9" w:rsidRPr="00601F4B">
        <w:rPr>
          <w:color w:val="auto"/>
        </w:rPr>
        <w:t xml:space="preserve">The force has said it </w:t>
      </w:r>
      <w:r w:rsidR="00A359C4" w:rsidRPr="00601F4B">
        <w:rPr>
          <w:color w:val="auto"/>
        </w:rPr>
        <w:t>will establish specialist digital service hubs and cross-force networks</w:t>
      </w:r>
      <w:r w:rsidR="00664CB9" w:rsidRPr="00601F4B">
        <w:rPr>
          <w:color w:val="auto"/>
        </w:rPr>
        <w:t xml:space="preserve">, with </w:t>
      </w:r>
      <w:r w:rsidR="00A359C4" w:rsidRPr="00601F4B">
        <w:rPr>
          <w:color w:val="auto"/>
        </w:rPr>
        <w:t>the capability to tackle the most tech-dependent and enabled crimes</w:t>
      </w:r>
      <w:r w:rsidR="00770766" w:rsidRPr="00601F4B">
        <w:rPr>
          <w:color w:val="auto"/>
        </w:rPr>
        <w:t xml:space="preserve">. It wants to </w:t>
      </w:r>
      <w:r w:rsidR="00A359C4" w:rsidRPr="00601F4B">
        <w:rPr>
          <w:color w:val="auto"/>
        </w:rPr>
        <w:t xml:space="preserve">establish new digitally enabled, dynamic workforce models. This means </w:t>
      </w:r>
      <w:r w:rsidR="00770766" w:rsidRPr="00601F4B">
        <w:rPr>
          <w:color w:val="auto"/>
        </w:rPr>
        <w:t xml:space="preserve">GMP </w:t>
      </w:r>
      <w:r w:rsidR="00A359C4" w:rsidRPr="00601F4B">
        <w:rPr>
          <w:color w:val="auto"/>
        </w:rPr>
        <w:t xml:space="preserve">will have more flexible workforce models, allowing us to attract more talent, offer flexible career routes to retain talent, and even temporarily source individuals when surge capacity is needed. </w:t>
      </w:r>
      <w:r w:rsidR="004F4DB1" w:rsidRPr="00601F4B">
        <w:rPr>
          <w:color w:val="auto"/>
        </w:rPr>
        <w:t xml:space="preserve">It wishes to </w:t>
      </w:r>
      <w:r w:rsidR="00A359C4" w:rsidRPr="00601F4B">
        <w:rPr>
          <w:color w:val="auto"/>
        </w:rPr>
        <w:t>use digital technologies to have a more accurate and dynamic picture of ‘demand and supply’ to inform deployment decisions.</w:t>
      </w:r>
    </w:p>
    <w:p w14:paraId="540870F4" w14:textId="11A4F7B5" w:rsidR="00B74625" w:rsidRPr="00622856" w:rsidRDefault="00F14562" w:rsidP="00622856">
      <w:pPr>
        <w:ind w:left="720" w:hanging="720"/>
        <w:rPr>
          <w:color w:val="auto"/>
        </w:rPr>
      </w:pPr>
      <w:r w:rsidRPr="00F14562">
        <w:rPr>
          <w:color w:val="auto"/>
        </w:rPr>
        <w:t>(4.</w:t>
      </w:r>
      <w:r w:rsidR="005759F2">
        <w:rPr>
          <w:color w:val="auto"/>
        </w:rPr>
        <w:t>28</w:t>
      </w:r>
      <w:r w:rsidRPr="00F14562">
        <w:rPr>
          <w:color w:val="auto"/>
        </w:rPr>
        <w:t>)</w:t>
      </w:r>
      <w:r w:rsidR="007D4CAE">
        <w:rPr>
          <w:color w:val="auto"/>
        </w:rPr>
        <w:t xml:space="preserve"> For GMFRS</w:t>
      </w:r>
      <w:r>
        <w:rPr>
          <w:color w:val="auto"/>
        </w:rPr>
        <w:t xml:space="preserve"> digital solutions </w:t>
      </w:r>
      <w:r w:rsidR="0018058F">
        <w:rPr>
          <w:color w:val="auto"/>
        </w:rPr>
        <w:t xml:space="preserve">may solve some long-term issues. </w:t>
      </w:r>
      <w:r w:rsidR="00B74625" w:rsidRPr="00601F4B">
        <w:rPr>
          <w:color w:val="auto"/>
        </w:rPr>
        <w:t xml:space="preserve">GMFRS does not have the resources to visit every household in Greater Manchester to undertake </w:t>
      </w:r>
      <w:r w:rsidR="000405D1" w:rsidRPr="00601F4B">
        <w:rPr>
          <w:color w:val="auto"/>
        </w:rPr>
        <w:t xml:space="preserve">fire risk </w:t>
      </w:r>
      <w:r w:rsidR="00B74625" w:rsidRPr="00601F4B">
        <w:rPr>
          <w:color w:val="auto"/>
        </w:rPr>
        <w:t xml:space="preserve">assessments. It is vital, therefore, that the Service improves how it targets its home safety visits to the most vulnerable, those most likely to experience a fire. To do this GMFRS needs to develop a clear and accurate understanding of where </w:t>
      </w:r>
      <w:r w:rsidR="0065712C">
        <w:rPr>
          <w:color w:val="auto"/>
        </w:rPr>
        <w:t xml:space="preserve">the </w:t>
      </w:r>
      <w:r w:rsidR="00B74625" w:rsidRPr="00601F4B">
        <w:rPr>
          <w:color w:val="auto"/>
        </w:rPr>
        <w:t>most vulnerable residents are. This requires analysis of a range of different information. Local partners in Health and councils also collect their own data on vulnerable residents. It is important the Service improves how it uses this community intelligence and ensures referral processes are as effective as possible. The development of online tools and telephone risk assessments for less vulnerable residents will free up resources to focus on those residents that need face to face visits the most</w:t>
      </w:r>
      <w:r w:rsidR="00DC7FED">
        <w:rPr>
          <w:color w:val="auto"/>
        </w:rPr>
        <w:t>, but this will shift the skillsets needed among GMFRS staff</w:t>
      </w:r>
      <w:r w:rsidR="00267B14" w:rsidRPr="00601F4B">
        <w:rPr>
          <w:color w:val="auto"/>
        </w:rPr>
        <w:t>.</w:t>
      </w:r>
    </w:p>
    <w:p w14:paraId="0CB6DC01" w14:textId="5C84E0CA" w:rsidR="00224AA9" w:rsidRPr="00601F4B" w:rsidRDefault="0018058F" w:rsidP="0018058F">
      <w:pPr>
        <w:ind w:left="720" w:hanging="720"/>
        <w:rPr>
          <w:color w:val="auto"/>
        </w:rPr>
      </w:pPr>
      <w:r>
        <w:rPr>
          <w:color w:val="auto"/>
        </w:rPr>
        <w:lastRenderedPageBreak/>
        <w:t>(4.</w:t>
      </w:r>
      <w:r w:rsidR="0065712C">
        <w:rPr>
          <w:color w:val="auto"/>
        </w:rPr>
        <w:t>29</w:t>
      </w:r>
      <w:r>
        <w:rPr>
          <w:color w:val="auto"/>
        </w:rPr>
        <w:t>)</w:t>
      </w:r>
      <w:r>
        <w:rPr>
          <w:color w:val="auto"/>
        </w:rPr>
        <w:tab/>
      </w:r>
      <w:r w:rsidR="00167435" w:rsidRPr="00601F4B">
        <w:rPr>
          <w:color w:val="auto"/>
        </w:rPr>
        <w:t xml:space="preserve">Digital </w:t>
      </w:r>
      <w:r w:rsidR="008D0761" w:rsidRPr="00601F4B">
        <w:rPr>
          <w:color w:val="auto"/>
        </w:rPr>
        <w:t>t</w:t>
      </w:r>
      <w:r w:rsidR="00224AA9" w:rsidRPr="00601F4B">
        <w:rPr>
          <w:color w:val="auto"/>
        </w:rPr>
        <w:t xml:space="preserve">echnology in the fire service </w:t>
      </w:r>
      <w:r w:rsidR="00167435" w:rsidRPr="00601F4B">
        <w:rPr>
          <w:color w:val="auto"/>
        </w:rPr>
        <w:t xml:space="preserve">covers far more than computers and software and </w:t>
      </w:r>
      <w:r w:rsidR="00224AA9" w:rsidRPr="00601F4B">
        <w:rPr>
          <w:color w:val="auto"/>
        </w:rPr>
        <w:t>can improve firefighter safety and readiness. Innovative technology has always been an important part of firefighting.</w:t>
      </w:r>
      <w:r w:rsidR="00167435" w:rsidRPr="00601F4B">
        <w:rPr>
          <w:color w:val="auto"/>
        </w:rPr>
        <w:t xml:space="preserve"> </w:t>
      </w:r>
      <w:r w:rsidR="00224AA9" w:rsidRPr="00601F4B">
        <w:rPr>
          <w:color w:val="auto"/>
        </w:rPr>
        <w:t>From Personal Protective Equipment to fire pumps to radio communication systems, firefighting technology advances all work together to improve firefighter safety and effectiveness.</w:t>
      </w:r>
      <w:r w:rsidR="00167435" w:rsidRPr="00601F4B">
        <w:rPr>
          <w:color w:val="auto"/>
        </w:rPr>
        <w:t xml:space="preserve"> I</w:t>
      </w:r>
      <w:r w:rsidR="00224AA9" w:rsidRPr="00601F4B">
        <w:rPr>
          <w:color w:val="auto"/>
        </w:rPr>
        <w:t>mplementing new firefighter tools may require adjustments to training and operating procedures</w:t>
      </w:r>
      <w:r w:rsidR="00167435" w:rsidRPr="00601F4B">
        <w:rPr>
          <w:color w:val="auto"/>
        </w:rPr>
        <w:t xml:space="preserve"> and can be expensive so </w:t>
      </w:r>
      <w:r w:rsidR="009C6536" w:rsidRPr="00601F4B">
        <w:rPr>
          <w:color w:val="auto"/>
        </w:rPr>
        <w:t>it’s</w:t>
      </w:r>
      <w:r w:rsidR="00167435" w:rsidRPr="00601F4B">
        <w:rPr>
          <w:color w:val="auto"/>
        </w:rPr>
        <w:t xml:space="preserve"> important that firefighters are upskilled regularly.</w:t>
      </w:r>
      <w:r w:rsidR="00B34118">
        <w:rPr>
          <w:color w:val="auto"/>
        </w:rPr>
        <w:t xml:space="preserve"> </w:t>
      </w:r>
      <w:r w:rsidR="00167435" w:rsidRPr="00601F4B">
        <w:rPr>
          <w:color w:val="auto"/>
        </w:rPr>
        <w:t>For example, dr</w:t>
      </w:r>
      <w:r w:rsidR="00224AA9" w:rsidRPr="00601F4B">
        <w:rPr>
          <w:color w:val="auto"/>
        </w:rPr>
        <w:t>ones in the fire service can also be used for search and rescue operations</w:t>
      </w:r>
      <w:r w:rsidR="00167435" w:rsidRPr="00601F4B">
        <w:rPr>
          <w:color w:val="auto"/>
        </w:rPr>
        <w:t xml:space="preserve"> since they can </w:t>
      </w:r>
      <w:r w:rsidR="00224AA9" w:rsidRPr="00601F4B">
        <w:rPr>
          <w:color w:val="auto"/>
        </w:rPr>
        <w:t>quickly search large areas. They may even be able to deliver food, water, or first aid kits to places firefighters can’t reach.</w:t>
      </w:r>
    </w:p>
    <w:p w14:paraId="10784DDD" w14:textId="7DB5C316" w:rsidR="0024122F" w:rsidRPr="00601F4B" w:rsidRDefault="008D0761" w:rsidP="008D0761">
      <w:pPr>
        <w:rPr>
          <w:color w:val="auto"/>
        </w:rPr>
      </w:pPr>
      <w:r w:rsidRPr="00601F4B">
        <w:rPr>
          <w:b/>
          <w:bCs/>
          <w:color w:val="auto"/>
        </w:rPr>
        <w:t xml:space="preserve">GM </w:t>
      </w:r>
      <w:r w:rsidR="00E51274" w:rsidRPr="00601F4B">
        <w:rPr>
          <w:b/>
          <w:bCs/>
          <w:color w:val="auto"/>
        </w:rPr>
        <w:t xml:space="preserve">Blue Light </w:t>
      </w:r>
      <w:r w:rsidRPr="00601F4B">
        <w:rPr>
          <w:b/>
          <w:bCs/>
          <w:color w:val="auto"/>
        </w:rPr>
        <w:t>collaboration and more flexible working.</w:t>
      </w:r>
    </w:p>
    <w:p w14:paraId="655EF1C5" w14:textId="4D42850D" w:rsidR="00A26BA0" w:rsidRPr="0018058F" w:rsidRDefault="0018058F" w:rsidP="0018058F">
      <w:pPr>
        <w:ind w:left="720" w:hanging="720"/>
        <w:rPr>
          <w:color w:val="auto"/>
        </w:rPr>
      </w:pPr>
      <w:r>
        <w:rPr>
          <w:color w:val="auto"/>
        </w:rPr>
        <w:t>(4.3</w:t>
      </w:r>
      <w:r w:rsidR="005476A3">
        <w:rPr>
          <w:color w:val="auto"/>
        </w:rPr>
        <w:t>0</w:t>
      </w:r>
      <w:r>
        <w:rPr>
          <w:color w:val="auto"/>
        </w:rPr>
        <w:t>)</w:t>
      </w:r>
      <w:r>
        <w:rPr>
          <w:color w:val="auto"/>
        </w:rPr>
        <w:tab/>
      </w:r>
      <w:r w:rsidR="00FA16B3" w:rsidRPr="00601F4B">
        <w:rPr>
          <w:color w:val="auto"/>
        </w:rPr>
        <w:t xml:space="preserve">When speaking to stakeholders from each of the emergency services </w:t>
      </w:r>
      <w:r w:rsidR="00D24968" w:rsidRPr="00601F4B">
        <w:rPr>
          <w:color w:val="auto"/>
        </w:rPr>
        <w:t>it</w:t>
      </w:r>
      <w:r w:rsidR="00781D71">
        <w:rPr>
          <w:color w:val="auto"/>
        </w:rPr>
        <w:t xml:space="preserve"> is</w:t>
      </w:r>
      <w:r w:rsidR="00FA16B3" w:rsidRPr="00601F4B">
        <w:rPr>
          <w:color w:val="auto"/>
        </w:rPr>
        <w:t xml:space="preserve"> apparent that there is a desire to continue the collaboration and more flexible working</w:t>
      </w:r>
      <w:r>
        <w:rPr>
          <w:color w:val="auto"/>
        </w:rPr>
        <w:t xml:space="preserve">. </w:t>
      </w:r>
      <w:r w:rsidR="00DC0492" w:rsidRPr="00601F4B">
        <w:rPr>
          <w:bCs/>
          <w:color w:val="auto"/>
        </w:rPr>
        <w:t xml:space="preserve">Within the NHS, </w:t>
      </w:r>
      <w:r w:rsidR="00866128" w:rsidRPr="00601F4B">
        <w:rPr>
          <w:bCs/>
          <w:color w:val="auto"/>
        </w:rPr>
        <w:t>t</w:t>
      </w:r>
      <w:r w:rsidR="00A26BA0" w:rsidRPr="00601F4B">
        <w:rPr>
          <w:bCs/>
          <w:color w:val="auto"/>
        </w:rPr>
        <w:t xml:space="preserve">he </w:t>
      </w:r>
      <w:r w:rsidR="00D24968" w:rsidRPr="00601F4B">
        <w:rPr>
          <w:bCs/>
          <w:color w:val="auto"/>
        </w:rPr>
        <w:t>long-term</w:t>
      </w:r>
      <w:r w:rsidR="00A26BA0" w:rsidRPr="00601F4B">
        <w:rPr>
          <w:bCs/>
          <w:color w:val="auto"/>
        </w:rPr>
        <w:t xml:space="preserve"> plan set out the need for greater workforce flexibility and was followed by the Interim NHS People Plan’s focus on expanding the workforce and ensuring adaptivity and a more varied skill mix. The interim plan talked of moving to a model where teams of professionals from different disciplines work together to provide more joined-up care, stating that this multidisciplinary approach “will become the norm in all healthcare settings over the next five years”</w:t>
      </w:r>
      <w:r w:rsidR="00762266" w:rsidRPr="00601F4B">
        <w:rPr>
          <w:bCs/>
          <w:color w:val="auto"/>
        </w:rPr>
        <w:t>.</w:t>
      </w:r>
      <w:r w:rsidR="00762266" w:rsidRPr="00601F4B">
        <w:rPr>
          <w:rStyle w:val="FootnoteReference"/>
          <w:bCs/>
          <w:color w:val="auto"/>
        </w:rPr>
        <w:footnoteReference w:id="33"/>
      </w:r>
      <w:r w:rsidR="00A26BA0" w:rsidRPr="00601F4B">
        <w:rPr>
          <w:bCs/>
          <w:color w:val="auto"/>
        </w:rPr>
        <w:t xml:space="preserve"> </w:t>
      </w:r>
    </w:p>
    <w:p w14:paraId="5BCC28AA" w14:textId="418BF458" w:rsidR="00A26BA0" w:rsidRPr="00601F4B" w:rsidRDefault="0018058F" w:rsidP="0018058F">
      <w:pPr>
        <w:ind w:left="720" w:hanging="720"/>
        <w:rPr>
          <w:bCs/>
          <w:color w:val="auto"/>
        </w:rPr>
      </w:pPr>
      <w:r>
        <w:rPr>
          <w:bCs/>
          <w:color w:val="auto"/>
        </w:rPr>
        <w:t>(4.3</w:t>
      </w:r>
      <w:r w:rsidR="005476A3">
        <w:rPr>
          <w:bCs/>
          <w:color w:val="auto"/>
        </w:rPr>
        <w:t>1</w:t>
      </w:r>
      <w:r>
        <w:rPr>
          <w:bCs/>
          <w:color w:val="auto"/>
        </w:rPr>
        <w:t>)</w:t>
      </w:r>
      <w:r>
        <w:rPr>
          <w:bCs/>
          <w:color w:val="auto"/>
        </w:rPr>
        <w:tab/>
      </w:r>
      <w:r w:rsidR="00A26BA0" w:rsidRPr="00601F4B">
        <w:rPr>
          <w:bCs/>
          <w:color w:val="auto"/>
        </w:rPr>
        <w:t xml:space="preserve">The need for multidisciplinary approaches to workforce is increasingly clear from the more flexible career paths that NHS staff are choosing, and the increase in cross-organisational working. Ambulance trusts increasingly employ multiple professions across their frontline roles including nurse practitioners and mental health nurses. The rotational working model used by many ambulance trusts positive impact on patient experience, workforce </w:t>
      </w:r>
      <w:r w:rsidR="00A26BA0" w:rsidRPr="00601F4B">
        <w:rPr>
          <w:bCs/>
          <w:color w:val="auto"/>
        </w:rPr>
        <w:lastRenderedPageBreak/>
        <w:t>retention and reducing hospital conveyance rates.</w:t>
      </w:r>
      <w:r w:rsidR="005C0251" w:rsidRPr="00601F4B">
        <w:rPr>
          <w:color w:val="auto"/>
        </w:rPr>
        <w:t xml:space="preserve"> </w:t>
      </w:r>
      <w:r w:rsidR="005C0251" w:rsidRPr="00601F4B">
        <w:rPr>
          <w:bCs/>
          <w:color w:val="auto"/>
        </w:rPr>
        <w:t>Here, specialist and advanced paramedic practitioners rotate between clinical settings across systems, using their advanced clinical assessment skills to help provide the right response the first time</w:t>
      </w:r>
      <w:r w:rsidR="00770DA0">
        <w:rPr>
          <w:bCs/>
          <w:color w:val="auto"/>
        </w:rPr>
        <w:t>.</w:t>
      </w:r>
      <w:r w:rsidR="00A26BA0" w:rsidRPr="00601F4B">
        <w:rPr>
          <w:bCs/>
          <w:color w:val="auto"/>
        </w:rPr>
        <w:t xml:space="preserve"> </w:t>
      </w:r>
    </w:p>
    <w:p w14:paraId="190C3CB0" w14:textId="01A3F96D" w:rsidR="000F7494" w:rsidRPr="00601F4B" w:rsidRDefault="0018058F" w:rsidP="0018058F">
      <w:pPr>
        <w:ind w:left="720" w:hanging="720"/>
        <w:rPr>
          <w:bCs/>
          <w:color w:val="auto"/>
        </w:rPr>
      </w:pPr>
      <w:r>
        <w:rPr>
          <w:color w:val="auto"/>
        </w:rPr>
        <w:t>(4.3</w:t>
      </w:r>
      <w:r w:rsidR="005476A3">
        <w:rPr>
          <w:color w:val="auto"/>
        </w:rPr>
        <w:t>2</w:t>
      </w:r>
      <w:r>
        <w:rPr>
          <w:color w:val="auto"/>
        </w:rPr>
        <w:t>)</w:t>
      </w:r>
      <w:r>
        <w:rPr>
          <w:color w:val="auto"/>
        </w:rPr>
        <w:tab/>
      </w:r>
      <w:r w:rsidR="004E2976">
        <w:rPr>
          <w:color w:val="auto"/>
        </w:rPr>
        <w:t xml:space="preserve">In a good example of interdisciplinary emergency response, </w:t>
      </w:r>
      <w:r w:rsidR="00BA5C4A" w:rsidRPr="00601F4B">
        <w:rPr>
          <w:color w:val="auto"/>
        </w:rPr>
        <w:t xml:space="preserve">GMFRS was the first fire and rescue service to </w:t>
      </w:r>
      <w:r w:rsidR="000F7494" w:rsidRPr="00601F4B">
        <w:rPr>
          <w:color w:val="auto"/>
        </w:rPr>
        <w:t xml:space="preserve">mobilise all its firefighters to cardiac arrests in support of the ambulance service. The initiative was subsequently undertaken across the country. There are other areas where GMFRS could provide further support to the Ambulance and Police services, including gaining access for paramedics at ‘concern for welfare’ incidents and searches for missing persons. GMFRS has a statutory duty to collaborate with other blue light services and </w:t>
      </w:r>
      <w:r w:rsidR="00E1430C">
        <w:rPr>
          <w:color w:val="auto"/>
        </w:rPr>
        <w:t>there are opportunities to explore</w:t>
      </w:r>
      <w:r w:rsidR="000F7494" w:rsidRPr="00601F4B">
        <w:rPr>
          <w:color w:val="auto"/>
        </w:rPr>
        <w:t xml:space="preserve"> regarding the sharing of estates, procurement, training, development and service delivery.</w:t>
      </w:r>
    </w:p>
    <w:p w14:paraId="0C0820FE" w14:textId="16DEC980" w:rsidR="002511BD" w:rsidRDefault="002511BD" w:rsidP="000B21A3">
      <w:pPr>
        <w:rPr>
          <w:bCs/>
          <w:color w:val="auto"/>
        </w:rPr>
      </w:pPr>
    </w:p>
    <w:p w14:paraId="2782A62E" w14:textId="3F3617B0" w:rsidR="002511BD" w:rsidRDefault="002511BD" w:rsidP="000B21A3">
      <w:pPr>
        <w:rPr>
          <w:bCs/>
          <w:i/>
          <w:iCs/>
          <w:color w:val="auto"/>
        </w:rPr>
      </w:pPr>
    </w:p>
    <w:p w14:paraId="4A6C57A2" w14:textId="77777777" w:rsidR="002C1621" w:rsidRDefault="002C1621">
      <w:pPr>
        <w:spacing w:line="259" w:lineRule="auto"/>
        <w:rPr>
          <w:b/>
          <w:bCs/>
          <w:color w:val="auto"/>
          <w:sz w:val="32"/>
          <w:szCs w:val="24"/>
        </w:rPr>
      </w:pPr>
      <w:r>
        <w:rPr>
          <w:color w:val="auto"/>
        </w:rPr>
        <w:br w:type="page"/>
      </w:r>
    </w:p>
    <w:p w14:paraId="2CF99CC4" w14:textId="5E890AB3" w:rsidR="00E269FC" w:rsidRPr="00601F4B" w:rsidRDefault="00E269FC">
      <w:pPr>
        <w:pStyle w:val="Heading3"/>
        <w:numPr>
          <w:ilvl w:val="0"/>
          <w:numId w:val="3"/>
        </w:numPr>
        <w:rPr>
          <w:color w:val="auto"/>
        </w:rPr>
      </w:pPr>
      <w:bookmarkStart w:id="8" w:name="_Toc125643723"/>
      <w:r w:rsidRPr="00601F4B">
        <w:rPr>
          <w:color w:val="auto"/>
        </w:rPr>
        <w:lastRenderedPageBreak/>
        <w:t>Skills Provision</w:t>
      </w:r>
      <w:bookmarkEnd w:id="8"/>
    </w:p>
    <w:p w14:paraId="1E40D468" w14:textId="44B629EE" w:rsidR="00DC22B6" w:rsidRDefault="00EB1BE7" w:rsidP="00EC00D6">
      <w:pPr>
        <w:ind w:left="720" w:hanging="720"/>
        <w:rPr>
          <w:color w:val="auto"/>
        </w:rPr>
      </w:pPr>
      <w:r>
        <w:rPr>
          <w:color w:val="auto"/>
        </w:rPr>
        <w:t>(</w:t>
      </w:r>
      <w:r w:rsidR="00EC00D6">
        <w:rPr>
          <w:color w:val="auto"/>
        </w:rPr>
        <w:t>5.1)</w:t>
      </w:r>
      <w:r w:rsidR="0029002E">
        <w:rPr>
          <w:color w:val="auto"/>
        </w:rPr>
        <w:tab/>
      </w:r>
      <w:r w:rsidR="001F3910">
        <w:rPr>
          <w:color w:val="auto"/>
        </w:rPr>
        <w:t xml:space="preserve">Given the established nature of many </w:t>
      </w:r>
      <w:r w:rsidR="00763F5C">
        <w:rPr>
          <w:color w:val="auto"/>
        </w:rPr>
        <w:t xml:space="preserve">emergency services professions and organisations, there is a strong existing base of skills provision in Greater Manchester. </w:t>
      </w:r>
      <w:r w:rsidR="00654B9F">
        <w:rPr>
          <w:color w:val="auto"/>
        </w:rPr>
        <w:t>This section covers some of the elements of the existing skills system which support</w:t>
      </w:r>
      <w:r w:rsidR="00446F50">
        <w:rPr>
          <w:color w:val="auto"/>
        </w:rPr>
        <w:t xml:space="preserve"> </w:t>
      </w:r>
      <w:r w:rsidR="00BA0F3D">
        <w:rPr>
          <w:color w:val="auto"/>
        </w:rPr>
        <w:t xml:space="preserve">residents to train and upskill in Emergency Services careers. </w:t>
      </w:r>
    </w:p>
    <w:p w14:paraId="6211B6C4" w14:textId="5A25E8FC" w:rsidR="00761F3B" w:rsidRDefault="00761F3B" w:rsidP="003C580E">
      <w:pPr>
        <w:pStyle w:val="Heading4"/>
      </w:pPr>
      <w:r w:rsidRPr="0708D23D">
        <w:t>Schools</w:t>
      </w:r>
    </w:p>
    <w:p w14:paraId="27E7CD20" w14:textId="62D35FDE" w:rsidR="00871AFE" w:rsidRDefault="00871AFE" w:rsidP="00EC00D6">
      <w:pPr>
        <w:ind w:left="720" w:hanging="720"/>
        <w:rPr>
          <w:color w:val="auto"/>
        </w:rPr>
      </w:pPr>
      <w:r>
        <w:rPr>
          <w:color w:val="auto"/>
        </w:rPr>
        <w:t>(5.2)</w:t>
      </w:r>
      <w:r>
        <w:rPr>
          <w:color w:val="auto"/>
        </w:rPr>
        <w:tab/>
        <w:t xml:space="preserve">While schools don’t deliver any direct provision for emergency services professions, it is commonly thought that many young people aspire to roles within the sector. </w:t>
      </w:r>
      <w:r w:rsidR="00D06003">
        <w:rPr>
          <w:color w:val="auto"/>
        </w:rPr>
        <w:t xml:space="preserve">The Greater Manchester Apprenticeships and Careers Service (GMACS) system tracks the “desired” career pathways among schoolchildren across the city region. </w:t>
      </w:r>
      <w:r w:rsidR="00D262A2">
        <w:rPr>
          <w:color w:val="auto"/>
        </w:rPr>
        <w:t xml:space="preserve">All 3 </w:t>
      </w:r>
      <w:r w:rsidR="00135843">
        <w:rPr>
          <w:color w:val="auto"/>
        </w:rPr>
        <w:t>Emergency Services feature in the Top 100</w:t>
      </w:r>
      <w:r w:rsidR="00346E59">
        <w:rPr>
          <w:color w:val="auto"/>
        </w:rPr>
        <w:t xml:space="preserve"> most popular</w:t>
      </w:r>
      <w:r w:rsidR="00135843">
        <w:rPr>
          <w:color w:val="auto"/>
        </w:rPr>
        <w:t>, with</w:t>
      </w:r>
      <w:r w:rsidR="005C22C8">
        <w:rPr>
          <w:color w:val="auto"/>
        </w:rPr>
        <w:t xml:space="preserve"> Detective 22</w:t>
      </w:r>
      <w:r w:rsidR="005C22C8" w:rsidRPr="005C22C8">
        <w:rPr>
          <w:color w:val="auto"/>
          <w:vertAlign w:val="superscript"/>
        </w:rPr>
        <w:t>nd</w:t>
      </w:r>
      <w:r w:rsidR="005C22C8">
        <w:rPr>
          <w:color w:val="auto"/>
        </w:rPr>
        <w:t>,</w:t>
      </w:r>
      <w:r w:rsidR="00135843">
        <w:rPr>
          <w:color w:val="auto"/>
        </w:rPr>
        <w:t xml:space="preserve"> Police Officer </w:t>
      </w:r>
      <w:r w:rsidR="00D61669">
        <w:rPr>
          <w:color w:val="auto"/>
        </w:rPr>
        <w:t>23</w:t>
      </w:r>
      <w:r w:rsidR="00D61669" w:rsidRPr="00D61669">
        <w:rPr>
          <w:color w:val="auto"/>
          <w:vertAlign w:val="superscript"/>
        </w:rPr>
        <w:t>rd</w:t>
      </w:r>
      <w:r w:rsidR="00427215">
        <w:rPr>
          <w:color w:val="auto"/>
        </w:rPr>
        <w:t xml:space="preserve">, </w:t>
      </w:r>
      <w:r w:rsidR="007E468C">
        <w:rPr>
          <w:color w:val="auto"/>
        </w:rPr>
        <w:t>Firefighter 78</w:t>
      </w:r>
      <w:r w:rsidR="007E468C" w:rsidRPr="007E468C">
        <w:rPr>
          <w:color w:val="auto"/>
          <w:vertAlign w:val="superscript"/>
        </w:rPr>
        <w:t>th</w:t>
      </w:r>
      <w:r w:rsidR="007E468C">
        <w:rPr>
          <w:color w:val="auto"/>
        </w:rPr>
        <w:t>, and Paramedic 81</w:t>
      </w:r>
      <w:r w:rsidR="007E468C" w:rsidRPr="007E468C">
        <w:rPr>
          <w:color w:val="auto"/>
          <w:vertAlign w:val="superscript"/>
        </w:rPr>
        <w:t>st</w:t>
      </w:r>
      <w:r w:rsidR="007E468C">
        <w:rPr>
          <w:color w:val="auto"/>
        </w:rPr>
        <w:t>.</w:t>
      </w:r>
      <w:r w:rsidR="008C2329">
        <w:rPr>
          <w:color w:val="auto"/>
        </w:rPr>
        <w:t xml:space="preserve"> The sector benefits from having very “visible” occupations with obvious roles and duties</w:t>
      </w:r>
      <w:r w:rsidR="004D2372">
        <w:rPr>
          <w:color w:val="auto"/>
        </w:rPr>
        <w:t xml:space="preserve">, which children learn about from an early age. </w:t>
      </w:r>
    </w:p>
    <w:p w14:paraId="19D48D7E" w14:textId="2C53DE07" w:rsidR="0024275B" w:rsidRDefault="0024275B" w:rsidP="003C580E">
      <w:pPr>
        <w:pStyle w:val="Heading4"/>
      </w:pPr>
      <w:r w:rsidRPr="0708D23D">
        <w:t>Apprenticeships</w:t>
      </w:r>
    </w:p>
    <w:p w14:paraId="0BF0955E" w14:textId="530C3285" w:rsidR="00984A1E" w:rsidRPr="00601F4B" w:rsidRDefault="00DC22B6" w:rsidP="00EC00D6">
      <w:pPr>
        <w:ind w:left="720" w:hanging="720"/>
        <w:rPr>
          <w:color w:val="auto"/>
        </w:rPr>
      </w:pPr>
      <w:r>
        <w:rPr>
          <w:color w:val="auto"/>
        </w:rPr>
        <w:t>(5.</w:t>
      </w:r>
      <w:r w:rsidR="00F6077B">
        <w:rPr>
          <w:color w:val="auto"/>
        </w:rPr>
        <w:t>3</w:t>
      </w:r>
      <w:r>
        <w:rPr>
          <w:color w:val="auto"/>
        </w:rPr>
        <w:t>)</w:t>
      </w:r>
      <w:r>
        <w:rPr>
          <w:color w:val="auto"/>
        </w:rPr>
        <w:tab/>
      </w:r>
      <w:r w:rsidR="008E0334">
        <w:rPr>
          <w:color w:val="auto"/>
        </w:rPr>
        <w:t xml:space="preserve">Since the Apprenticeships reforms in 2017, the three main Emergency Services organisations became Levy-Payers (contributing 0.5% of payroll costs over £3m to a fund which can only be used for apprenticeships). </w:t>
      </w:r>
      <w:r w:rsidR="00A917A0">
        <w:rPr>
          <w:color w:val="auto"/>
        </w:rPr>
        <w:t>In parallel, p</w:t>
      </w:r>
      <w:r w:rsidR="00B87E29">
        <w:rPr>
          <w:color w:val="auto"/>
        </w:rPr>
        <w:t>athways</w:t>
      </w:r>
      <w:r w:rsidR="00A917A0">
        <w:rPr>
          <w:color w:val="auto"/>
        </w:rPr>
        <w:t xml:space="preserve"> were developed </w:t>
      </w:r>
      <w:r w:rsidR="00B87E29">
        <w:rPr>
          <w:color w:val="auto"/>
        </w:rPr>
        <w:t xml:space="preserve">to serve the sector. </w:t>
      </w:r>
      <w:r w:rsidR="00FD53A4" w:rsidRPr="00601F4B">
        <w:rPr>
          <w:color w:val="auto"/>
        </w:rPr>
        <w:t>GM</w:t>
      </w:r>
      <w:r>
        <w:rPr>
          <w:color w:val="auto"/>
        </w:rPr>
        <w:t>FRS</w:t>
      </w:r>
      <w:r w:rsidR="00FD53A4" w:rsidRPr="00601F4B">
        <w:rPr>
          <w:color w:val="auto"/>
        </w:rPr>
        <w:t xml:space="preserve"> received its first apprenticeship contract in May 2017 and teaches standards-based apprenticeships through the employer levy. At the time of the inspection, 195 apprentices were studying operational firefighting at level 3. Apprentices complete a 16-week basic firefighting training programme at the fire and rescue training centres before they are posted to their watch at one of the 41 fire stations located across Greater Manchester</w:t>
      </w:r>
      <w:r w:rsidR="00233F6F" w:rsidRPr="00601F4B">
        <w:rPr>
          <w:color w:val="auto"/>
        </w:rPr>
        <w:t xml:space="preserve">. </w:t>
      </w:r>
      <w:r w:rsidR="00516D9B" w:rsidRPr="00601F4B">
        <w:rPr>
          <w:color w:val="auto"/>
        </w:rPr>
        <w:t xml:space="preserve">Greater Manchester Fire and Rescue Service </w:t>
      </w:r>
      <w:r w:rsidR="003C33FA" w:rsidRPr="00601F4B">
        <w:rPr>
          <w:color w:val="auto"/>
        </w:rPr>
        <w:t>was</w:t>
      </w:r>
      <w:r w:rsidR="00516D9B" w:rsidRPr="00601F4B">
        <w:rPr>
          <w:color w:val="auto"/>
        </w:rPr>
        <w:t xml:space="preserve"> praised by Ofsted in the first full inspection of its firefighter apprenticeship programme</w:t>
      </w:r>
      <w:r w:rsidR="003C33FA" w:rsidRPr="00601F4B">
        <w:rPr>
          <w:color w:val="auto"/>
        </w:rPr>
        <w:t xml:space="preserve"> and </w:t>
      </w:r>
      <w:r w:rsidR="00516D9B" w:rsidRPr="00601F4B">
        <w:rPr>
          <w:color w:val="auto"/>
        </w:rPr>
        <w:t xml:space="preserve">rated as ‘Good’ in overall </w:t>
      </w:r>
      <w:r w:rsidR="00516D9B" w:rsidRPr="00601F4B">
        <w:rPr>
          <w:color w:val="auto"/>
        </w:rPr>
        <w:lastRenderedPageBreak/>
        <w:t>effectiveness as an Apprenticeship Employer-Provider.</w:t>
      </w:r>
      <w:r w:rsidR="00EC00D6">
        <w:rPr>
          <w:color w:val="auto"/>
        </w:rPr>
        <w:t xml:space="preserve"> </w:t>
      </w:r>
      <w:r w:rsidR="001E66AB">
        <w:rPr>
          <w:color w:val="auto"/>
        </w:rPr>
        <w:t>An e</w:t>
      </w:r>
      <w:r w:rsidR="00984A1E" w:rsidRPr="00601F4B">
        <w:rPr>
          <w:color w:val="auto"/>
        </w:rPr>
        <w:t>xample Firefighter apprenticeship route is shown below:</w:t>
      </w:r>
    </w:p>
    <w:p w14:paraId="46BB99FF" w14:textId="11A7AC2F" w:rsidR="007E479E" w:rsidRPr="00762266" w:rsidRDefault="00984A1E" w:rsidP="00FD53A4">
      <w:pPr>
        <w:rPr>
          <w:color w:val="auto"/>
        </w:rPr>
      </w:pPr>
      <w:r w:rsidRPr="00762266">
        <w:rPr>
          <w:noProof/>
          <w:color w:val="auto"/>
        </w:rPr>
        <w:drawing>
          <wp:inline distT="0" distB="0" distL="0" distR="0" wp14:anchorId="5AF79CC2" wp14:editId="332F4609">
            <wp:extent cx="5667153" cy="1651000"/>
            <wp:effectExtent l="0" t="19050" r="10160" b="44450"/>
            <wp:docPr id="27" name="Diagram 27" descr="Apprenticeship pathway from Operational Firefighter to Fire Safety Engine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1492B1F" w14:textId="21DA3005" w:rsidR="007E479E" w:rsidRPr="00762266" w:rsidRDefault="00EC00D6" w:rsidP="00EC00D6">
      <w:pPr>
        <w:ind w:left="720" w:hanging="720"/>
        <w:rPr>
          <w:color w:val="auto"/>
        </w:rPr>
      </w:pPr>
      <w:r w:rsidRPr="5336811A">
        <w:rPr>
          <w:color w:val="auto"/>
        </w:rPr>
        <w:t>(5.</w:t>
      </w:r>
      <w:r w:rsidR="00F6077B" w:rsidRPr="5336811A">
        <w:rPr>
          <w:color w:val="auto"/>
        </w:rPr>
        <w:t>4</w:t>
      </w:r>
      <w:r w:rsidRPr="5336811A">
        <w:rPr>
          <w:color w:val="auto"/>
        </w:rPr>
        <w:t>)</w:t>
      </w:r>
      <w:r>
        <w:tab/>
      </w:r>
      <w:r w:rsidR="007E479E" w:rsidRPr="5336811A">
        <w:rPr>
          <w:color w:val="auto"/>
        </w:rPr>
        <w:t xml:space="preserve">NWAS continues to </w:t>
      </w:r>
      <w:r w:rsidR="005D471E" w:rsidRPr="5336811A">
        <w:rPr>
          <w:color w:val="auto"/>
        </w:rPr>
        <w:t xml:space="preserve">train their </w:t>
      </w:r>
      <w:r w:rsidR="007E479E" w:rsidRPr="5336811A">
        <w:rPr>
          <w:color w:val="auto"/>
        </w:rPr>
        <w:t>EMT1 workforce through an apprenticeship delivery model</w:t>
      </w:r>
      <w:r w:rsidR="06D6C2B2" w:rsidRPr="5336811A">
        <w:rPr>
          <w:color w:val="auto"/>
        </w:rPr>
        <w:t>.</w:t>
      </w:r>
      <w:r w:rsidR="007E479E" w:rsidRPr="5336811A">
        <w:rPr>
          <w:color w:val="auto"/>
        </w:rPr>
        <w:t xml:space="preserve"> In 2021, the trust was recognised by the National Apprenticeship Service as their Macro Employer of the Year for the North West region and were highly commended at the National Final of the Healthcare People Management awards. In September 2021, a modular delivery model was implemented to ensure baseline, generic, knowledge to practice was delivered. This ensured that knowledge gained during the three modules matched exposure to practice and would encourage more inquisitive learners. NWAS’</w:t>
      </w:r>
      <w:r w:rsidR="5D95670D" w:rsidRPr="5336811A">
        <w:rPr>
          <w:color w:val="auto"/>
        </w:rPr>
        <w:t>s</w:t>
      </w:r>
      <w:r w:rsidR="007E479E" w:rsidRPr="5336811A">
        <w:rPr>
          <w:color w:val="auto"/>
        </w:rPr>
        <w:t xml:space="preserve"> paramedic apprenticeship programme commenced in 2021 and a further 95 EMT1s commenced on their paramedic pathway in 2021/22, with a total of 176 EMT1s on this apprenticeship pathway. A further 76 EMT1s are profiled to commence their paramedic journey in April and October 2022. The trust continues to support Advanced Clinical Practice (ACP) Apprenticeship programmes, with 13 clinical practitioners active on programmes.</w:t>
      </w:r>
    </w:p>
    <w:p w14:paraId="4DC59FAC" w14:textId="665ED163" w:rsidR="00387280" w:rsidRPr="00762266" w:rsidRDefault="00EC00D6" w:rsidP="00FE17F3">
      <w:pPr>
        <w:ind w:left="720" w:hanging="720"/>
        <w:rPr>
          <w:color w:val="auto"/>
        </w:rPr>
      </w:pPr>
      <w:r>
        <w:rPr>
          <w:color w:val="auto"/>
        </w:rPr>
        <w:t>(5.</w:t>
      </w:r>
      <w:r w:rsidR="00F6077B">
        <w:rPr>
          <w:color w:val="auto"/>
        </w:rPr>
        <w:t>5</w:t>
      </w:r>
      <w:r>
        <w:rPr>
          <w:color w:val="auto"/>
        </w:rPr>
        <w:t>)</w:t>
      </w:r>
      <w:r>
        <w:rPr>
          <w:color w:val="auto"/>
        </w:rPr>
        <w:tab/>
      </w:r>
      <w:r w:rsidR="00C150CF">
        <w:rPr>
          <w:color w:val="auto"/>
        </w:rPr>
        <w:t>For all of the Emergency Services, e</w:t>
      </w:r>
      <w:r w:rsidR="006D03D1" w:rsidRPr="00762266">
        <w:rPr>
          <w:color w:val="auto"/>
        </w:rPr>
        <w:t xml:space="preserve">ffective longer-term planning in coordination with the education sector is essential. This includes ensuring there are sufficient paramedic training places in </w:t>
      </w:r>
      <w:r w:rsidR="00D24968" w:rsidRPr="00762266">
        <w:rPr>
          <w:color w:val="auto"/>
        </w:rPr>
        <w:t>universities and</w:t>
      </w:r>
      <w:r w:rsidR="006D03D1" w:rsidRPr="00762266">
        <w:rPr>
          <w:color w:val="auto"/>
        </w:rPr>
        <w:t xml:space="preserve"> supported placements within the Emergency Care system during training. </w:t>
      </w:r>
      <w:r w:rsidR="00C109AE" w:rsidRPr="00762266">
        <w:rPr>
          <w:color w:val="auto"/>
        </w:rPr>
        <w:t xml:space="preserve">Since May 2017 NWAS has recruited more than 400 staff through apprenticeships </w:t>
      </w:r>
      <w:r w:rsidR="00C109AE" w:rsidRPr="00762266">
        <w:rPr>
          <w:color w:val="auto"/>
        </w:rPr>
        <w:lastRenderedPageBreak/>
        <w:t>offered throughout the service. Their lates</w:t>
      </w:r>
      <w:r w:rsidR="00894BAB">
        <w:rPr>
          <w:color w:val="auto"/>
        </w:rPr>
        <w:t>t</w:t>
      </w:r>
      <w:r w:rsidR="00C109AE" w:rsidRPr="00762266">
        <w:rPr>
          <w:color w:val="auto"/>
        </w:rPr>
        <w:t xml:space="preserve"> Ofsted inspection</w:t>
      </w:r>
      <w:r w:rsidR="00762266">
        <w:rPr>
          <w:rStyle w:val="FootnoteReference"/>
          <w:color w:val="auto"/>
        </w:rPr>
        <w:footnoteReference w:id="34"/>
      </w:r>
      <w:r w:rsidR="00C109AE" w:rsidRPr="00762266">
        <w:rPr>
          <w:color w:val="auto"/>
        </w:rPr>
        <w:t xml:space="preserve"> said that the apprenticeship programmes were rated as good.</w:t>
      </w:r>
      <w:r w:rsidR="00387280" w:rsidRPr="00762266">
        <w:rPr>
          <w:color w:val="auto"/>
        </w:rPr>
        <w:t xml:space="preserve"> An example parame</w:t>
      </w:r>
      <w:r w:rsidR="008B3497" w:rsidRPr="00762266">
        <w:rPr>
          <w:color w:val="auto"/>
        </w:rPr>
        <w:t>d</w:t>
      </w:r>
      <w:r w:rsidR="00387280" w:rsidRPr="00762266">
        <w:rPr>
          <w:color w:val="auto"/>
        </w:rPr>
        <w:t>ic rou</w:t>
      </w:r>
      <w:r w:rsidR="00463B93" w:rsidRPr="00762266">
        <w:rPr>
          <w:color w:val="auto"/>
        </w:rPr>
        <w:t>te is shown:</w:t>
      </w:r>
    </w:p>
    <w:p w14:paraId="1B323858" w14:textId="777DA4D9" w:rsidR="0030252C" w:rsidRDefault="00387280" w:rsidP="00FD53A4">
      <w:pPr>
        <w:rPr>
          <w:color w:val="auto"/>
        </w:rPr>
      </w:pPr>
      <w:r w:rsidRPr="00C74F49">
        <w:rPr>
          <w:noProof/>
          <w:color w:val="auto"/>
        </w:rPr>
        <w:drawing>
          <wp:inline distT="0" distB="0" distL="0" distR="0" wp14:anchorId="09FF7D34" wp14:editId="26402E8F">
            <wp:extent cx="5816009" cy="1752600"/>
            <wp:effectExtent l="0" t="19050" r="13335" b="38100"/>
            <wp:docPr id="28" name="Diagram 28" descr="Apprenticeship pathway from Ambulance worker to Paramed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08BE5E" w14:textId="77777777" w:rsidR="00ED4C1A" w:rsidRPr="00903C16" w:rsidRDefault="00EC00D6" w:rsidP="00ED4C1A">
      <w:pPr>
        <w:ind w:left="720" w:hanging="720"/>
        <w:rPr>
          <w:color w:val="auto"/>
        </w:rPr>
      </w:pPr>
      <w:r>
        <w:rPr>
          <w:color w:val="auto"/>
        </w:rPr>
        <w:t>(5.</w:t>
      </w:r>
      <w:r w:rsidR="00F6077B">
        <w:rPr>
          <w:color w:val="auto"/>
        </w:rPr>
        <w:t>6</w:t>
      </w:r>
      <w:r>
        <w:rPr>
          <w:color w:val="auto"/>
        </w:rPr>
        <w:t>)</w:t>
      </w:r>
      <w:r>
        <w:rPr>
          <w:color w:val="auto"/>
        </w:rPr>
        <w:tab/>
      </w:r>
      <w:r w:rsidR="00ED4C1A" w:rsidRPr="00903C16">
        <w:rPr>
          <w:color w:val="auto"/>
        </w:rPr>
        <w:t>There are now two routes into policing with a national policy change meaning that from 2020, new officers are supposed to either hold a degree – in policing or another subject – or undertake a three-year degree apprenticeship course at the start of their career. Greater Manchester Police introduced the Police Education Qualifications Framework (PEQF) in November 2021. In collaboration with the University of Salford and the University of Central Lancashire, GMP implemented two new victim-centred student officer learning programmes: one for degree holders and a second degree apprenticeship pathway</w:t>
      </w:r>
    </w:p>
    <w:p w14:paraId="3D7C0114" w14:textId="77777777" w:rsidR="00ED4C1A" w:rsidRPr="00DC6E59" w:rsidRDefault="00ED4C1A" w:rsidP="00B62A95">
      <w:pPr>
        <w:pStyle w:val="ListParagraph"/>
        <w:numPr>
          <w:ilvl w:val="0"/>
          <w:numId w:val="13"/>
        </w:numPr>
      </w:pPr>
      <w:r w:rsidRPr="00DC6E59">
        <w:rPr>
          <w:b/>
          <w:bCs/>
        </w:rPr>
        <w:t>Degree Holder Entry Programme (DHEP)</w:t>
      </w:r>
      <w:r w:rsidRPr="00DC6E59">
        <w:t xml:space="preserve"> – A two-year training programme for graduates resulting in a graduate diploma in Professional Policing Practice and a role as a qualified police officer upon successful completion of the course.</w:t>
      </w:r>
    </w:p>
    <w:p w14:paraId="59422984" w14:textId="77777777" w:rsidR="00ED4C1A" w:rsidRPr="00DC6E59" w:rsidRDefault="00ED4C1A" w:rsidP="00B62A95">
      <w:pPr>
        <w:pStyle w:val="ListParagraph"/>
        <w:numPr>
          <w:ilvl w:val="0"/>
          <w:numId w:val="13"/>
        </w:numPr>
      </w:pPr>
      <w:r w:rsidRPr="00DC6E59">
        <w:rPr>
          <w:b/>
          <w:bCs/>
        </w:rPr>
        <w:t>Police Constable Degree Apprenticeship (PCDA)</w:t>
      </w:r>
      <w:r w:rsidRPr="00DC6E59">
        <w:t xml:space="preserve"> – A three-year apprenticeship resulting in a BSc (Hons) in Professional Policing and a role as a qualified police constable upon successful completion of the course.</w:t>
      </w:r>
    </w:p>
    <w:p w14:paraId="5A3F9135" w14:textId="77777777" w:rsidR="00ED4C1A" w:rsidRPr="00DC6E59" w:rsidRDefault="00ED4C1A" w:rsidP="00B62A95">
      <w:pPr>
        <w:pStyle w:val="ListParagraph"/>
        <w:numPr>
          <w:ilvl w:val="0"/>
          <w:numId w:val="13"/>
        </w:numPr>
      </w:pPr>
      <w:r w:rsidRPr="00DC6E59">
        <w:lastRenderedPageBreak/>
        <w:t xml:space="preserve">There is then </w:t>
      </w:r>
      <w:r w:rsidRPr="00DC6E59">
        <w:rPr>
          <w:b/>
          <w:bCs/>
        </w:rPr>
        <w:t>a four-step</w:t>
      </w:r>
      <w:r w:rsidRPr="00DC6E59">
        <w:t xml:space="preserve"> promotion process for police officers seeking promotion to the rank of sergeant or inspector. This includes a full examination of law and procedure.</w:t>
      </w:r>
    </w:p>
    <w:p w14:paraId="2FEE7B5C" w14:textId="70B36597" w:rsidR="003826EA" w:rsidRPr="00ED4C1A" w:rsidRDefault="00DC6E59" w:rsidP="00ED4C1A">
      <w:pPr>
        <w:ind w:left="720" w:hanging="720"/>
        <w:rPr>
          <w:color w:val="auto"/>
        </w:rPr>
      </w:pPr>
      <w:r>
        <w:rPr>
          <w:color w:val="auto"/>
        </w:rPr>
        <w:t>(5.</w:t>
      </w:r>
      <w:r w:rsidR="00F6077B">
        <w:rPr>
          <w:color w:val="auto"/>
        </w:rPr>
        <w:t>7</w:t>
      </w:r>
      <w:r>
        <w:rPr>
          <w:color w:val="auto"/>
        </w:rPr>
        <w:t>)</w:t>
      </w:r>
      <w:r>
        <w:rPr>
          <w:color w:val="auto"/>
        </w:rPr>
        <w:tab/>
      </w:r>
      <w:r w:rsidR="00ED4C1A">
        <w:rPr>
          <w:color w:val="auto"/>
        </w:rPr>
        <w:t xml:space="preserve">Within GMP there are a range of entry level Business Admin and Customer Service </w:t>
      </w:r>
      <w:r w:rsidR="00ED4C1A" w:rsidRPr="00F17446">
        <w:rPr>
          <w:color w:val="auto"/>
        </w:rPr>
        <w:t xml:space="preserve">Apprentices </w:t>
      </w:r>
      <w:r w:rsidR="00ED4C1A">
        <w:rPr>
          <w:color w:val="auto"/>
        </w:rPr>
        <w:t xml:space="preserve">who </w:t>
      </w:r>
      <w:r w:rsidR="00ED4C1A" w:rsidRPr="00F17446">
        <w:rPr>
          <w:color w:val="auto"/>
        </w:rPr>
        <w:t>perform a vital role within Greater Manchester Police, providing administrative support to members of the public, colleagues and partners.</w:t>
      </w:r>
      <w:r w:rsidR="00ED4C1A">
        <w:rPr>
          <w:color w:val="auto"/>
        </w:rPr>
        <w:t xml:space="preserve"> Aspiring Police Officers can complete a</w:t>
      </w:r>
      <w:r w:rsidR="00ED4C1A" w:rsidRPr="009242BB">
        <w:rPr>
          <w:color w:val="auto"/>
        </w:rPr>
        <w:t xml:space="preserve"> Police Constable Degree Apprenticeship that focuses on practical learning and is specifically tailored to help start </w:t>
      </w:r>
      <w:r w:rsidR="006C7911">
        <w:rPr>
          <w:color w:val="auto"/>
        </w:rPr>
        <w:t>a</w:t>
      </w:r>
      <w:r w:rsidR="00ED4C1A" w:rsidRPr="009242BB">
        <w:rPr>
          <w:color w:val="auto"/>
        </w:rPr>
        <w:t xml:space="preserve"> career in policing.</w:t>
      </w:r>
      <w:r w:rsidR="00ED4C1A">
        <w:rPr>
          <w:color w:val="auto"/>
        </w:rPr>
        <w:t xml:space="preserve"> </w:t>
      </w:r>
      <w:r w:rsidR="00ED4C1A" w:rsidRPr="009242BB">
        <w:rPr>
          <w:color w:val="auto"/>
        </w:rPr>
        <w:t>It is a three-year apprenticeship programme for non-degree holders resulting in a BSc degree in Professional Policing Practice.</w:t>
      </w:r>
    </w:p>
    <w:p w14:paraId="46FBBED8" w14:textId="77777777" w:rsidR="00984A43" w:rsidRDefault="00984A43" w:rsidP="00DC6E59">
      <w:pPr>
        <w:ind w:left="720" w:hanging="720"/>
        <w:rPr>
          <w:color w:val="auto"/>
        </w:rPr>
      </w:pPr>
      <w:r w:rsidRPr="00C74F49">
        <w:rPr>
          <w:noProof/>
          <w:color w:val="auto"/>
        </w:rPr>
        <w:drawing>
          <wp:inline distT="0" distB="0" distL="0" distR="0" wp14:anchorId="0321E276" wp14:editId="7E017458">
            <wp:extent cx="5677786" cy="1822450"/>
            <wp:effectExtent l="0" t="19050" r="18415" b="44450"/>
            <wp:docPr id="29" name="Diagram 29" descr="Apprenticeship pathway from Custody and Detention Officer to Police Constabl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color w:val="auto"/>
        </w:rPr>
        <w:t xml:space="preserve"> </w:t>
      </w:r>
    </w:p>
    <w:p w14:paraId="03AC572E" w14:textId="4C4D63CE" w:rsidR="0030252C" w:rsidRPr="00C74F49" w:rsidRDefault="00DC6E59" w:rsidP="00984A43">
      <w:pPr>
        <w:ind w:left="720" w:hanging="720"/>
        <w:rPr>
          <w:color w:val="auto"/>
        </w:rPr>
      </w:pPr>
      <w:r>
        <w:rPr>
          <w:color w:val="auto"/>
        </w:rPr>
        <w:t>(5.</w:t>
      </w:r>
      <w:r w:rsidR="00F6077B">
        <w:rPr>
          <w:color w:val="auto"/>
        </w:rPr>
        <w:t>8</w:t>
      </w:r>
      <w:r>
        <w:rPr>
          <w:color w:val="auto"/>
        </w:rPr>
        <w:t>)</w:t>
      </w:r>
      <w:r>
        <w:rPr>
          <w:color w:val="auto"/>
        </w:rPr>
        <w:tab/>
      </w:r>
      <w:r w:rsidR="003826EA" w:rsidRPr="00903C16">
        <w:rPr>
          <w:color w:val="auto"/>
        </w:rPr>
        <w:t>There are many other jobs within the police and the force requires a multi-disciplinary team. Policing is not simply a job for police officers. For example Police Community Support Officers (PCSOs) were introduced following the passing of the Police Reform Act 2002. Also vitally important is the contact management team at GMP whom respond to 2 million calls for help annually</w:t>
      </w:r>
      <w:r w:rsidR="003826EA">
        <w:rPr>
          <w:rStyle w:val="FootnoteReference"/>
          <w:color w:val="auto"/>
        </w:rPr>
        <w:footnoteReference w:id="35"/>
      </w:r>
      <w:r w:rsidR="003826EA" w:rsidRPr="00903C16">
        <w:rPr>
          <w:color w:val="auto"/>
        </w:rPr>
        <w:t>. There are a number of roles here including those in call handling, crime recording and resolution, the customer enquiry team and dispatch.</w:t>
      </w:r>
    </w:p>
    <w:p w14:paraId="6CDDB836" w14:textId="77777777" w:rsidR="00604EA3" w:rsidRDefault="00604EA3">
      <w:pPr>
        <w:spacing w:line="259" w:lineRule="auto"/>
        <w:rPr>
          <w:rFonts w:cs="Arial"/>
          <w:b/>
          <w:bCs/>
          <w:color w:val="auto"/>
          <w:szCs w:val="24"/>
        </w:rPr>
      </w:pPr>
      <w:r>
        <w:br w:type="page"/>
      </w:r>
    </w:p>
    <w:p w14:paraId="01FB0AB3" w14:textId="3946D171" w:rsidR="00797967" w:rsidRPr="00071C53" w:rsidRDefault="00797967" w:rsidP="003C580E">
      <w:pPr>
        <w:pStyle w:val="Heading4"/>
      </w:pPr>
      <w:r w:rsidRPr="0708D23D">
        <w:lastRenderedPageBreak/>
        <w:t>Higher Education</w:t>
      </w:r>
    </w:p>
    <w:p w14:paraId="3408B8CA" w14:textId="3DA00795" w:rsidR="00797967" w:rsidRDefault="0043290A" w:rsidP="0043290A">
      <w:pPr>
        <w:ind w:left="720" w:hanging="720"/>
        <w:rPr>
          <w:color w:val="auto"/>
        </w:rPr>
      </w:pPr>
      <w:r>
        <w:rPr>
          <w:color w:val="auto"/>
        </w:rPr>
        <w:t>(5.9)</w:t>
      </w:r>
      <w:r>
        <w:rPr>
          <w:color w:val="auto"/>
        </w:rPr>
        <w:tab/>
        <w:t xml:space="preserve">Generally, </w:t>
      </w:r>
      <w:r w:rsidR="00FE2AF1">
        <w:rPr>
          <w:color w:val="auto"/>
        </w:rPr>
        <w:t>workers in Emergency Services can come from a range of backgrounds – few roles require specific degrees.</w:t>
      </w:r>
      <w:r w:rsidR="00B40FB3">
        <w:rPr>
          <w:color w:val="auto"/>
        </w:rPr>
        <w:t xml:space="preserve"> </w:t>
      </w:r>
      <w:r w:rsidR="00783FAE">
        <w:rPr>
          <w:color w:val="auto"/>
        </w:rPr>
        <w:t xml:space="preserve">Areas like Psychology, Sociology, and Criminology are common routes for students interested in roles in law enforcement. </w:t>
      </w:r>
      <w:r w:rsidR="00ED175D">
        <w:rPr>
          <w:color w:val="auto"/>
        </w:rPr>
        <w:t>GM’s universities offer Criminology degrees, with programmes at M</w:t>
      </w:r>
      <w:r w:rsidR="008506A0">
        <w:rPr>
          <w:color w:val="auto"/>
        </w:rPr>
        <w:t xml:space="preserve">anchester </w:t>
      </w:r>
      <w:r w:rsidR="00ED175D">
        <w:rPr>
          <w:color w:val="auto"/>
        </w:rPr>
        <w:t>M</w:t>
      </w:r>
      <w:r w:rsidR="008506A0">
        <w:rPr>
          <w:color w:val="auto"/>
        </w:rPr>
        <w:t xml:space="preserve">etropolitan </w:t>
      </w:r>
      <w:r w:rsidR="00ED175D">
        <w:rPr>
          <w:color w:val="auto"/>
        </w:rPr>
        <w:t>U</w:t>
      </w:r>
      <w:r w:rsidR="008506A0">
        <w:rPr>
          <w:color w:val="auto"/>
        </w:rPr>
        <w:t xml:space="preserve">niversity, the University of Salford, and the University of Manchester </w:t>
      </w:r>
      <w:r w:rsidR="00A2364A">
        <w:rPr>
          <w:color w:val="auto"/>
        </w:rPr>
        <w:t>(which is ranked 1</w:t>
      </w:r>
      <w:r w:rsidR="00A2364A" w:rsidRPr="00A2364A">
        <w:rPr>
          <w:color w:val="auto"/>
          <w:vertAlign w:val="superscript"/>
        </w:rPr>
        <w:t>st</w:t>
      </w:r>
      <w:r w:rsidR="00A2364A">
        <w:rPr>
          <w:color w:val="auto"/>
        </w:rPr>
        <w:t xml:space="preserve"> in the country for the subject). The University of Bolton also offers a</w:t>
      </w:r>
      <w:r w:rsidR="00783FAE">
        <w:rPr>
          <w:color w:val="auto"/>
        </w:rPr>
        <w:t xml:space="preserve"> more specific</w:t>
      </w:r>
      <w:r w:rsidR="00A2364A">
        <w:rPr>
          <w:color w:val="auto"/>
        </w:rPr>
        <w:t xml:space="preserve"> degree in </w:t>
      </w:r>
      <w:r w:rsidR="00783FAE">
        <w:rPr>
          <w:color w:val="auto"/>
        </w:rPr>
        <w:t xml:space="preserve">Criminological and Forensic Psychology. </w:t>
      </w:r>
    </w:p>
    <w:p w14:paraId="62E119D8" w14:textId="2B7F8C48" w:rsidR="004F27F5" w:rsidRPr="00715388" w:rsidRDefault="004F27F5" w:rsidP="0043290A">
      <w:pPr>
        <w:ind w:left="720" w:hanging="720"/>
        <w:rPr>
          <w:color w:val="auto"/>
        </w:rPr>
      </w:pPr>
      <w:r>
        <w:rPr>
          <w:color w:val="auto"/>
        </w:rPr>
        <w:t>(5.1</w:t>
      </w:r>
      <w:r w:rsidR="00783FAE">
        <w:rPr>
          <w:color w:val="auto"/>
        </w:rPr>
        <w:t>0</w:t>
      </w:r>
      <w:r>
        <w:rPr>
          <w:color w:val="auto"/>
        </w:rPr>
        <w:t>)</w:t>
      </w:r>
      <w:r>
        <w:rPr>
          <w:color w:val="auto"/>
        </w:rPr>
        <w:tab/>
      </w:r>
      <w:r w:rsidR="00E67A8D">
        <w:rPr>
          <w:color w:val="auto"/>
        </w:rPr>
        <w:t xml:space="preserve">Paramedics often require a background in health or biology, with generalist courses available at most universities. </w:t>
      </w:r>
      <w:r>
        <w:rPr>
          <w:color w:val="auto"/>
        </w:rPr>
        <w:t xml:space="preserve">The University of Bolton </w:t>
      </w:r>
      <w:r w:rsidR="00A90888">
        <w:rPr>
          <w:color w:val="auto"/>
        </w:rPr>
        <w:t xml:space="preserve">deliver a good example of an occupational specific degree which is linked to the Emergency Services. </w:t>
      </w:r>
      <w:r w:rsidRPr="00715388">
        <w:rPr>
          <w:color w:val="auto"/>
        </w:rPr>
        <w:t>Offered in partnership with the North West Ambulance Service (NWAS) NHS Trust, the University of Bolton’s BSc (Hons) Paramedic Science degree offers the knowledge and skills necessary to be eligible to apply for registration with the Health and Care Professions Council (HCPC) as a Paramedic.</w:t>
      </w:r>
    </w:p>
    <w:p w14:paraId="25651752" w14:textId="4A35834D" w:rsidR="00DE0304" w:rsidRPr="001B26B9" w:rsidRDefault="00DE0304" w:rsidP="003C580E">
      <w:pPr>
        <w:pStyle w:val="Heading4"/>
      </w:pPr>
      <w:r w:rsidRPr="0708D23D">
        <w:t>T Levels</w:t>
      </w:r>
    </w:p>
    <w:p w14:paraId="43456587" w14:textId="2E623A0D" w:rsidR="0043290A" w:rsidRPr="00E67A8D" w:rsidRDefault="00FE2AF1" w:rsidP="00E67A8D">
      <w:pPr>
        <w:ind w:left="720" w:hanging="720"/>
        <w:rPr>
          <w:color w:val="auto"/>
        </w:rPr>
      </w:pPr>
      <w:r>
        <w:rPr>
          <w:color w:val="auto"/>
        </w:rPr>
        <w:t>(5.1</w:t>
      </w:r>
      <w:r w:rsidR="00B66E0E">
        <w:rPr>
          <w:color w:val="auto"/>
        </w:rPr>
        <w:t>1</w:t>
      </w:r>
      <w:r>
        <w:rPr>
          <w:color w:val="auto"/>
        </w:rPr>
        <w:t>)</w:t>
      </w:r>
      <w:r>
        <w:rPr>
          <w:color w:val="auto"/>
        </w:rPr>
        <w:tab/>
      </w:r>
      <w:r w:rsidR="00372175" w:rsidRPr="00715388">
        <w:rPr>
          <w:color w:val="auto"/>
        </w:rPr>
        <w:t xml:space="preserve">T levels in health are a </w:t>
      </w:r>
      <w:r w:rsidR="00EB2326" w:rsidRPr="00715388">
        <w:rPr>
          <w:color w:val="auto"/>
        </w:rPr>
        <w:t>potential route into careers with the ambulance service</w:t>
      </w:r>
      <w:r w:rsidR="00286B91" w:rsidRPr="00715388">
        <w:rPr>
          <w:color w:val="auto"/>
        </w:rPr>
        <w:t>. This academic year in GM</w:t>
      </w:r>
      <w:r w:rsidR="00380AB6" w:rsidRPr="00715388">
        <w:rPr>
          <w:color w:val="auto"/>
        </w:rPr>
        <w:t>, there</w:t>
      </w:r>
      <w:r w:rsidR="00286B91" w:rsidRPr="00715388">
        <w:rPr>
          <w:color w:val="auto"/>
        </w:rPr>
        <w:t xml:space="preserve"> </w:t>
      </w:r>
      <w:r w:rsidR="00380AB6" w:rsidRPr="00715388">
        <w:rPr>
          <w:color w:val="auto"/>
        </w:rPr>
        <w:t>are around 150 learners a</w:t>
      </w:r>
      <w:r w:rsidR="00286B91" w:rsidRPr="00715388">
        <w:rPr>
          <w:color w:val="auto"/>
        </w:rPr>
        <w:t>cross Health and Science</w:t>
      </w:r>
      <w:r w:rsidR="00380AB6" w:rsidRPr="00715388">
        <w:rPr>
          <w:color w:val="auto"/>
        </w:rPr>
        <w:t xml:space="preserve">. </w:t>
      </w:r>
      <w:r w:rsidR="00286B91" w:rsidRPr="00715388">
        <w:rPr>
          <w:color w:val="auto"/>
        </w:rPr>
        <w:t>The vast majority are Health circa</w:t>
      </w:r>
      <w:r w:rsidR="001B26B9" w:rsidRPr="00715388">
        <w:rPr>
          <w:color w:val="auto"/>
        </w:rPr>
        <w:t xml:space="preserve"> - </w:t>
      </w:r>
      <w:r w:rsidR="00286B91" w:rsidRPr="00715388">
        <w:rPr>
          <w:color w:val="auto"/>
        </w:rPr>
        <w:t>140</w:t>
      </w:r>
      <w:r w:rsidR="00380AB6" w:rsidRPr="00715388">
        <w:rPr>
          <w:color w:val="auto"/>
        </w:rPr>
        <w:t>.</w:t>
      </w:r>
      <w:r w:rsidR="00071C53" w:rsidRPr="00715388">
        <w:rPr>
          <w:color w:val="auto"/>
        </w:rPr>
        <w:t xml:space="preserve"> </w:t>
      </w:r>
      <w:r w:rsidR="00286B91" w:rsidRPr="00715388">
        <w:rPr>
          <w:color w:val="auto"/>
        </w:rPr>
        <w:t>That number is subject to change as some may drop off and a couple of colleges have not supplied data as yet</w:t>
      </w:r>
      <w:r>
        <w:rPr>
          <w:color w:val="auto"/>
        </w:rPr>
        <w:t xml:space="preserve">. </w:t>
      </w:r>
      <w:r w:rsidR="001B26B9" w:rsidRPr="00715388">
        <w:rPr>
          <w:color w:val="auto"/>
        </w:rPr>
        <w:t xml:space="preserve">Currently there is not an obvious route from T Levels into </w:t>
      </w:r>
      <w:r w:rsidR="001C0CF3" w:rsidRPr="00715388">
        <w:rPr>
          <w:color w:val="auto"/>
        </w:rPr>
        <w:t>the Police or Fire Services.</w:t>
      </w:r>
    </w:p>
    <w:p w14:paraId="0F65839F" w14:textId="77777777" w:rsidR="00F13C62" w:rsidRDefault="00F13C62">
      <w:pPr>
        <w:spacing w:line="259" w:lineRule="auto"/>
        <w:rPr>
          <w:b/>
          <w:bCs/>
          <w:sz w:val="32"/>
          <w:szCs w:val="24"/>
        </w:rPr>
      </w:pPr>
      <w:r>
        <w:br w:type="page"/>
      </w:r>
    </w:p>
    <w:p w14:paraId="1177FD3F" w14:textId="37D2070E" w:rsidR="00756237" w:rsidRPr="00756237" w:rsidRDefault="00AF1F0F">
      <w:pPr>
        <w:pStyle w:val="Heading3"/>
        <w:numPr>
          <w:ilvl w:val="0"/>
          <w:numId w:val="3"/>
        </w:numPr>
      </w:pPr>
      <w:bookmarkStart w:id="9" w:name="_Toc125643724"/>
      <w:r>
        <w:lastRenderedPageBreak/>
        <w:t>Summary</w:t>
      </w:r>
      <w:bookmarkEnd w:id="9"/>
    </w:p>
    <w:p w14:paraId="3726A30C" w14:textId="2089F010" w:rsidR="00756237" w:rsidRPr="00FE17F3" w:rsidRDefault="00756237" w:rsidP="00FE17F3">
      <w:pPr>
        <w:ind w:left="790" w:hanging="790"/>
        <w:rPr>
          <w:color w:val="262626" w:themeColor="text1"/>
        </w:rPr>
      </w:pPr>
      <w:r w:rsidRPr="00205578">
        <w:rPr>
          <w:color w:val="262626" w:themeColor="text1"/>
        </w:rPr>
        <w:t>(6.1)</w:t>
      </w:r>
      <w:r w:rsidRPr="00205578">
        <w:rPr>
          <w:color w:val="262626" w:themeColor="text1"/>
        </w:rPr>
        <w:tab/>
      </w:r>
      <w:r w:rsidR="00247AE1" w:rsidRPr="00205578">
        <w:rPr>
          <w:color w:val="262626" w:themeColor="text1"/>
        </w:rPr>
        <w:t>This section aims to collate the learnings and challenges for meeting the</w:t>
      </w:r>
      <w:r w:rsidR="00205578" w:rsidRPr="00205578">
        <w:rPr>
          <w:color w:val="262626" w:themeColor="text1"/>
        </w:rPr>
        <w:t xml:space="preserve"> </w:t>
      </w:r>
      <w:r w:rsidR="00247AE1" w:rsidRPr="00205578">
        <w:rPr>
          <w:color w:val="262626" w:themeColor="text1"/>
        </w:rPr>
        <w:t xml:space="preserve">skills needs in the </w:t>
      </w:r>
      <w:r w:rsidR="00205578" w:rsidRPr="00205578">
        <w:rPr>
          <w:color w:val="262626" w:themeColor="text1"/>
        </w:rPr>
        <w:t>Emergency Services</w:t>
      </w:r>
      <w:r w:rsidR="00247AE1" w:rsidRPr="00205578">
        <w:rPr>
          <w:color w:val="262626" w:themeColor="text1"/>
        </w:rPr>
        <w:t xml:space="preserve">. Given at the Executive Summary at the start of this report, the recommendations are for a range of stakeholders, including employers in </w:t>
      </w:r>
      <w:r w:rsidR="00205578" w:rsidRPr="00205578">
        <w:rPr>
          <w:color w:val="262626" w:themeColor="text1"/>
        </w:rPr>
        <w:t>GMP, GMFRS and NWAS</w:t>
      </w:r>
      <w:r w:rsidR="00603A63">
        <w:rPr>
          <w:color w:val="262626" w:themeColor="text1"/>
        </w:rPr>
        <w:t>.</w:t>
      </w:r>
    </w:p>
    <w:p w14:paraId="74C0ADC0" w14:textId="19A57343" w:rsidR="00A73D65" w:rsidRPr="00C74F49" w:rsidRDefault="00A73D65" w:rsidP="003C580E">
      <w:pPr>
        <w:pStyle w:val="Heading4"/>
      </w:pPr>
      <w:r w:rsidRPr="00C74F49">
        <w:t xml:space="preserve">Deciding on </w:t>
      </w:r>
      <w:r w:rsidR="00F3650F" w:rsidRPr="00C74F49">
        <w:t xml:space="preserve">careers in </w:t>
      </w:r>
      <w:r w:rsidR="003E1B57">
        <w:t>the emergency services</w:t>
      </w:r>
    </w:p>
    <w:p w14:paraId="547D4479" w14:textId="6A6C19C0" w:rsidR="00952817" w:rsidRPr="00987659" w:rsidRDefault="00A73D65" w:rsidP="00A73D65">
      <w:pPr>
        <w:rPr>
          <w:rFonts w:cs="Arial"/>
          <w:b/>
          <w:bCs/>
          <w:color w:val="auto"/>
        </w:rPr>
      </w:pPr>
      <w:r w:rsidRPr="00C74F49">
        <w:rPr>
          <w:noProof/>
          <w:color w:val="auto"/>
        </w:rPr>
        <w:drawing>
          <wp:inline distT="0" distB="0" distL="0" distR="0" wp14:anchorId="0C4EBF25" wp14:editId="55E9E575">
            <wp:extent cx="5731510" cy="1541780"/>
            <wp:effectExtent l="0" t="0" r="59690" b="20320"/>
            <wp:docPr id="15" name="Diagram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B4A0BAC" w14:textId="4EC38626" w:rsidR="00980AE8" w:rsidRPr="00C74F49" w:rsidRDefault="00756237" w:rsidP="00756237">
      <w:pPr>
        <w:ind w:left="720" w:hanging="720"/>
        <w:rPr>
          <w:color w:val="auto"/>
          <w:lang w:val="en-US"/>
        </w:rPr>
      </w:pPr>
      <w:r>
        <w:rPr>
          <w:color w:val="auto"/>
          <w:lang w:val="en-US"/>
        </w:rPr>
        <w:t>(6.2)</w:t>
      </w:r>
      <w:r>
        <w:rPr>
          <w:color w:val="auto"/>
          <w:lang w:val="en-US"/>
        </w:rPr>
        <w:tab/>
      </w:r>
      <w:r w:rsidR="00980AE8" w:rsidRPr="00C74F49">
        <w:rPr>
          <w:color w:val="auto"/>
          <w:lang w:val="en-US"/>
        </w:rPr>
        <w:t xml:space="preserve">It’s important to consider </w:t>
      </w:r>
      <w:r w:rsidR="0001415E" w:rsidRPr="00C74F49">
        <w:rPr>
          <w:color w:val="auto"/>
          <w:lang w:val="en-US"/>
        </w:rPr>
        <w:t>t</w:t>
      </w:r>
      <w:r w:rsidR="00980AE8" w:rsidRPr="00C74F49">
        <w:rPr>
          <w:color w:val="auto"/>
          <w:lang w:val="en-US"/>
        </w:rPr>
        <w:t>he main challenges for individuals and employers at the</w:t>
      </w:r>
      <w:r w:rsidR="00374AA8">
        <w:rPr>
          <w:color w:val="auto"/>
          <w:lang w:val="en-US"/>
        </w:rPr>
        <w:t xml:space="preserve"> </w:t>
      </w:r>
      <w:r w:rsidR="00980AE8" w:rsidRPr="00C74F49">
        <w:rPr>
          <w:color w:val="auto"/>
          <w:lang w:val="en-US"/>
        </w:rPr>
        <w:t>early stage of the talent pipeline. The main issues facing the sector at this level are:</w:t>
      </w:r>
    </w:p>
    <w:p w14:paraId="7127FE1E" w14:textId="083D7407" w:rsidR="00987659" w:rsidRPr="00756237" w:rsidRDefault="00980AE8" w:rsidP="00B62A95">
      <w:pPr>
        <w:pStyle w:val="ListParagraph"/>
        <w:numPr>
          <w:ilvl w:val="0"/>
          <w:numId w:val="14"/>
        </w:numPr>
        <w:rPr>
          <w:lang w:val="en-US"/>
        </w:rPr>
      </w:pPr>
      <w:r w:rsidRPr="497B6B81">
        <w:rPr>
          <w:lang w:val="en-US"/>
        </w:rPr>
        <w:t xml:space="preserve">The </w:t>
      </w:r>
      <w:r w:rsidRPr="497B6B81">
        <w:rPr>
          <w:b/>
          <w:bCs/>
          <w:lang w:val="en-US"/>
        </w:rPr>
        <w:t>reputation of the sector</w:t>
      </w:r>
      <w:r w:rsidRPr="497B6B81">
        <w:rPr>
          <w:lang w:val="en-US"/>
        </w:rPr>
        <w:t xml:space="preserve"> among young people, parents, and teachers is </w:t>
      </w:r>
      <w:r w:rsidR="00D417A8" w:rsidRPr="497B6B81">
        <w:rPr>
          <w:lang w:val="en-US"/>
        </w:rPr>
        <w:t>generally good.</w:t>
      </w:r>
      <w:r w:rsidR="00987659">
        <w:t xml:space="preserve"> All </w:t>
      </w:r>
      <w:r w:rsidR="009A0F46">
        <w:t>the</w:t>
      </w:r>
      <w:r w:rsidR="00987659">
        <w:t xml:space="preserve"> services have strong brands</w:t>
      </w:r>
      <w:r w:rsidR="009A0F46">
        <w:t xml:space="preserve"> and </w:t>
      </w:r>
      <w:r w:rsidR="00C50CB3">
        <w:t>first responders are among the most-</w:t>
      </w:r>
      <w:r w:rsidR="00987659">
        <w:t>trusted</w:t>
      </w:r>
      <w:r w:rsidR="00C50CB3">
        <w:t xml:space="preserve"> professions</w:t>
      </w:r>
      <w:r w:rsidR="00987659">
        <w:t xml:space="preserve">. </w:t>
      </w:r>
      <w:r w:rsidR="004E6847">
        <w:t xml:space="preserve">There are a number of </w:t>
      </w:r>
      <w:r w:rsidR="00987659">
        <w:t>different youth engagement programmes including the Prince’s Trust, Fire</w:t>
      </w:r>
      <w:r w:rsidR="009A0F46">
        <w:t>,</w:t>
      </w:r>
      <w:r w:rsidR="00987659">
        <w:t xml:space="preserve"> </w:t>
      </w:r>
      <w:r w:rsidR="004E6847">
        <w:t xml:space="preserve">and Police </w:t>
      </w:r>
      <w:r w:rsidR="00987659">
        <w:t>Cadet schemes. These programmes have different aims</w:t>
      </w:r>
      <w:r w:rsidR="0022024C">
        <w:t>,</w:t>
      </w:r>
      <w:r w:rsidR="00987659">
        <w:t xml:space="preserve"> including reducing anti-social behaviour, increasing young people’s understanding of risk, developing life and work skills, and familiarising young people with emergency services work</w:t>
      </w:r>
    </w:p>
    <w:p w14:paraId="603FF8B8" w14:textId="7C66A238" w:rsidR="00942846" w:rsidRPr="00756237" w:rsidRDefault="003104AC" w:rsidP="00B62A95">
      <w:pPr>
        <w:pStyle w:val="ListParagraph"/>
        <w:numPr>
          <w:ilvl w:val="0"/>
          <w:numId w:val="14"/>
        </w:numPr>
        <w:rPr>
          <w:lang w:val="en-US"/>
        </w:rPr>
      </w:pPr>
      <w:r>
        <w:rPr>
          <w:lang w:val="en-US"/>
        </w:rPr>
        <w:t>Stakeholders in the sector have an impression</w:t>
      </w:r>
      <w:r w:rsidR="000A34AB" w:rsidRPr="00756237">
        <w:rPr>
          <w:lang w:val="en-US"/>
        </w:rPr>
        <w:t xml:space="preserve"> that people make a </w:t>
      </w:r>
      <w:r w:rsidR="00FE17F3" w:rsidRPr="00FE17F3">
        <w:rPr>
          <w:b/>
          <w:bCs/>
          <w:lang w:val="en-US"/>
        </w:rPr>
        <w:t>deliberate</w:t>
      </w:r>
      <w:r w:rsidR="000A34AB" w:rsidRPr="00FE17F3">
        <w:rPr>
          <w:b/>
          <w:lang w:val="en-US"/>
        </w:rPr>
        <w:t xml:space="preserve"> decision</w:t>
      </w:r>
      <w:r w:rsidR="000A34AB" w:rsidRPr="00756237">
        <w:rPr>
          <w:lang w:val="en-US"/>
        </w:rPr>
        <w:t xml:space="preserve"> to work for the emergency services – </w:t>
      </w:r>
      <w:r w:rsidR="0022024C" w:rsidRPr="00756237">
        <w:rPr>
          <w:lang w:val="en-US"/>
        </w:rPr>
        <w:t>it’s</w:t>
      </w:r>
      <w:r w:rsidR="000A34AB" w:rsidRPr="00756237">
        <w:rPr>
          <w:lang w:val="en-US"/>
        </w:rPr>
        <w:t xml:space="preserve"> difficult to drift in – and </w:t>
      </w:r>
      <w:r w:rsidR="003A42B5" w:rsidRPr="00756237">
        <w:rPr>
          <w:lang w:val="en-US"/>
        </w:rPr>
        <w:t>many recruits have followed a clear career pathway from school onwards.</w:t>
      </w:r>
    </w:p>
    <w:p w14:paraId="21454F84" w14:textId="2528D5D2" w:rsidR="00282793" w:rsidRPr="00756237" w:rsidRDefault="0001415E" w:rsidP="00B62A95">
      <w:pPr>
        <w:pStyle w:val="ListParagraph"/>
        <w:numPr>
          <w:ilvl w:val="0"/>
          <w:numId w:val="14"/>
        </w:numPr>
        <w:rPr>
          <w:lang w:val="en-US"/>
        </w:rPr>
      </w:pPr>
      <w:r w:rsidRPr="00942846">
        <w:lastRenderedPageBreak/>
        <w:t>Th</w:t>
      </w:r>
      <w:r w:rsidR="009A078A">
        <w:t>ere is a real desire to recruit a more diverse workforce and several positive action strategies taking place</w:t>
      </w:r>
      <w:r w:rsidR="0079480F" w:rsidRPr="00942846">
        <w:t>.</w:t>
      </w:r>
      <w:r w:rsidR="00942846" w:rsidRPr="00942846">
        <w:t xml:space="preserve"> </w:t>
      </w:r>
      <w:r w:rsidR="00942846" w:rsidRPr="00C74F49">
        <w:t xml:space="preserve">In particular, the sector would benefit from more </w:t>
      </w:r>
      <w:r w:rsidR="00942846" w:rsidRPr="00756237">
        <w:rPr>
          <w:b/>
          <w:bCs/>
        </w:rPr>
        <w:t>representative role models</w:t>
      </w:r>
      <w:r w:rsidR="004E6847">
        <w:t>.</w:t>
      </w:r>
    </w:p>
    <w:p w14:paraId="65E0DF1E" w14:textId="78D1E7AC" w:rsidR="000820C4" w:rsidRPr="00756237" w:rsidRDefault="009A078A" w:rsidP="00B62A95">
      <w:pPr>
        <w:pStyle w:val="ListParagraph"/>
        <w:numPr>
          <w:ilvl w:val="0"/>
          <w:numId w:val="14"/>
        </w:numPr>
        <w:rPr>
          <w:lang w:val="en-US"/>
        </w:rPr>
      </w:pPr>
      <w:r>
        <w:t xml:space="preserve">Paramedics and Police Officer positions </w:t>
      </w:r>
      <w:r w:rsidRPr="00FE17F3">
        <w:rPr>
          <w:b/>
        </w:rPr>
        <w:t>require a degree</w:t>
      </w:r>
      <w:r>
        <w:t xml:space="preserve"> and it is difficult to be promoted to these positions internally or without the qualification. Fire fighter apprenticeships </w:t>
      </w:r>
      <w:r w:rsidR="00866D1B">
        <w:t>do not require a degree</w:t>
      </w:r>
      <w:r w:rsidR="00FC2D1E">
        <w:t xml:space="preserve"> but from </w:t>
      </w:r>
      <w:r w:rsidR="00FC2D1E" w:rsidRPr="00FC2D1E">
        <w:t>submitting your expression of interest, it can take around six months to complete all the steps and receive a job offer.</w:t>
      </w:r>
    </w:p>
    <w:p w14:paraId="50EDFDFA" w14:textId="10F0D97E" w:rsidR="00FE17F3" w:rsidRPr="00604EA3" w:rsidRDefault="000A2870" w:rsidP="00B62A95">
      <w:pPr>
        <w:pStyle w:val="ListParagraph"/>
        <w:numPr>
          <w:ilvl w:val="0"/>
          <w:numId w:val="14"/>
        </w:numPr>
        <w:rPr>
          <w:lang w:val="en-US"/>
        </w:rPr>
      </w:pPr>
      <w:r>
        <w:t xml:space="preserve">There may be </w:t>
      </w:r>
      <w:r w:rsidRPr="00FE17F3">
        <w:rPr>
          <w:b/>
        </w:rPr>
        <w:t xml:space="preserve">other requirements for </w:t>
      </w:r>
      <w:r w:rsidRPr="00FE17F3">
        <w:rPr>
          <w:b/>
          <w:bCs/>
        </w:rPr>
        <w:t>role</w:t>
      </w:r>
      <w:r w:rsidR="00FE17F3" w:rsidRPr="00FE17F3">
        <w:rPr>
          <w:b/>
          <w:bCs/>
        </w:rPr>
        <w:t>s</w:t>
      </w:r>
      <w:r>
        <w:t xml:space="preserve"> in this sector including a minimum fitness </w:t>
      </w:r>
      <w:r w:rsidR="003104AC">
        <w:t>level,</w:t>
      </w:r>
      <w:r w:rsidR="0068464E">
        <w:t xml:space="preserve"> enhanced DBS check</w:t>
      </w:r>
      <w:r w:rsidR="003104AC">
        <w:t>,</w:t>
      </w:r>
      <w:r w:rsidR="0068464E">
        <w:t xml:space="preserve"> </w:t>
      </w:r>
      <w:r w:rsidR="00CC66B9">
        <w:t>and a thorough medical.</w:t>
      </w:r>
    </w:p>
    <w:p w14:paraId="02D48394" w14:textId="77777777" w:rsidR="00604EA3" w:rsidRPr="003104AC" w:rsidRDefault="00604EA3" w:rsidP="00604EA3">
      <w:pPr>
        <w:pStyle w:val="ListParagraph"/>
        <w:numPr>
          <w:ilvl w:val="0"/>
          <w:numId w:val="0"/>
        </w:numPr>
        <w:ind w:left="1080"/>
        <w:rPr>
          <w:lang w:val="en-US"/>
        </w:rPr>
      </w:pPr>
    </w:p>
    <w:p w14:paraId="5457DFA3" w14:textId="5AA486B7" w:rsidR="00A73D65" w:rsidRPr="00EA0288" w:rsidRDefault="00F3650F" w:rsidP="003C580E">
      <w:pPr>
        <w:pStyle w:val="Heading4"/>
      </w:pPr>
      <w:r w:rsidRPr="00EA0288">
        <w:t>Seeking Training</w:t>
      </w:r>
    </w:p>
    <w:p w14:paraId="08AC025B" w14:textId="122E6155" w:rsidR="002337ED" w:rsidRPr="00C74F49" w:rsidRDefault="005C1CA1" w:rsidP="004E6847">
      <w:pPr>
        <w:rPr>
          <w:color w:val="auto"/>
        </w:rPr>
      </w:pPr>
      <w:r w:rsidRPr="00C74F49">
        <w:rPr>
          <w:noProof/>
          <w:color w:val="auto"/>
        </w:rPr>
        <w:drawing>
          <wp:inline distT="0" distB="0" distL="0" distR="0" wp14:anchorId="283458CE" wp14:editId="69ED41C0">
            <wp:extent cx="5731510" cy="1541780"/>
            <wp:effectExtent l="0" t="0" r="59690" b="20320"/>
            <wp:docPr id="9" name="Diagram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54B1E0D" w14:textId="26FD3B95" w:rsidR="00374AA8" w:rsidRDefault="00756237" w:rsidP="00756237">
      <w:pPr>
        <w:ind w:left="720" w:hanging="720"/>
        <w:rPr>
          <w:color w:val="auto"/>
        </w:rPr>
      </w:pPr>
      <w:r>
        <w:rPr>
          <w:color w:val="auto"/>
        </w:rPr>
        <w:t>(6.3)</w:t>
      </w:r>
      <w:r>
        <w:rPr>
          <w:color w:val="auto"/>
        </w:rPr>
        <w:tab/>
      </w:r>
      <w:r w:rsidR="002337ED" w:rsidRPr="00C74F49">
        <w:rPr>
          <w:color w:val="auto"/>
        </w:rPr>
        <w:t>The education provision market generally meets the needs of employers</w:t>
      </w:r>
      <w:r w:rsidR="004E6847">
        <w:rPr>
          <w:color w:val="auto"/>
        </w:rPr>
        <w:t xml:space="preserve">. Whilst entry requirements have changed in recent years, apprenticeships are now </w:t>
      </w:r>
      <w:r w:rsidR="003A2EE6">
        <w:rPr>
          <w:color w:val="auto"/>
        </w:rPr>
        <w:t xml:space="preserve">well </w:t>
      </w:r>
      <w:r w:rsidR="004E6847">
        <w:rPr>
          <w:color w:val="auto"/>
        </w:rPr>
        <w:t>embedded in the sector.</w:t>
      </w:r>
    </w:p>
    <w:p w14:paraId="3BC15D1F" w14:textId="1BDED9B2" w:rsidR="007B3046" w:rsidRDefault="00633B66" w:rsidP="00B62A95">
      <w:pPr>
        <w:pStyle w:val="ListParagraph"/>
        <w:numPr>
          <w:ilvl w:val="0"/>
          <w:numId w:val="15"/>
        </w:numPr>
      </w:pPr>
      <w:r w:rsidRPr="00C74F49">
        <w:t xml:space="preserve">Across GM, there is a </w:t>
      </w:r>
      <w:r w:rsidRPr="00756237">
        <w:rPr>
          <w:b/>
          <w:bCs/>
        </w:rPr>
        <w:t>good number of starts</w:t>
      </w:r>
      <w:r w:rsidRPr="00C74F49">
        <w:t xml:space="preserve"> on apprenticeships within </w:t>
      </w:r>
      <w:bookmarkStart w:id="10" w:name="_Hlk92972871"/>
      <w:r w:rsidR="007B3046">
        <w:t>all emergency services</w:t>
      </w:r>
      <w:r w:rsidR="003A2EE6">
        <w:t>, and programmes have well established trainers and partners. Seeking external training is rare for many positions</w:t>
      </w:r>
      <w:r w:rsidR="007B3046">
        <w:t xml:space="preserve">. </w:t>
      </w:r>
      <w:bookmarkEnd w:id="10"/>
    </w:p>
    <w:p w14:paraId="23956063" w14:textId="77777777" w:rsidR="007B3046" w:rsidRPr="00756237" w:rsidRDefault="007B3046" w:rsidP="00B62A95">
      <w:pPr>
        <w:pStyle w:val="ListParagraph"/>
        <w:numPr>
          <w:ilvl w:val="0"/>
          <w:numId w:val="15"/>
        </w:numPr>
        <w:rPr>
          <w:lang w:val="en-US"/>
        </w:rPr>
      </w:pPr>
      <w:r>
        <w:t xml:space="preserve">During lockdown </w:t>
      </w:r>
      <w:r w:rsidRPr="003A2EE6">
        <w:rPr>
          <w:b/>
          <w:bCs/>
        </w:rPr>
        <w:t>some training was delivered virtually</w:t>
      </w:r>
      <w:r>
        <w:t>. Whist effective, stakeholders stated that they preferred blended or face-to-face learning.</w:t>
      </w:r>
    </w:p>
    <w:p w14:paraId="2409C043" w14:textId="77777777" w:rsidR="000C02EC" w:rsidRPr="00756237" w:rsidRDefault="007B3046" w:rsidP="00B62A95">
      <w:pPr>
        <w:pStyle w:val="ListParagraph"/>
        <w:numPr>
          <w:ilvl w:val="0"/>
          <w:numId w:val="15"/>
        </w:numPr>
        <w:rPr>
          <w:lang w:val="en-US"/>
        </w:rPr>
      </w:pPr>
      <w:r>
        <w:t xml:space="preserve">All the services include </w:t>
      </w:r>
      <w:r w:rsidRPr="003A2EE6">
        <w:rPr>
          <w:b/>
          <w:bCs/>
        </w:rPr>
        <w:t>mandatory training</w:t>
      </w:r>
      <w:r>
        <w:t xml:space="preserve"> that requi</w:t>
      </w:r>
      <w:r w:rsidR="00131B6A">
        <w:t>res regular updating</w:t>
      </w:r>
      <w:r w:rsidR="000C02EC">
        <w:t>. Provision for this is strong and well established.</w:t>
      </w:r>
    </w:p>
    <w:p w14:paraId="6A005091" w14:textId="6AAF5A0B" w:rsidR="00A73D65" w:rsidRPr="00C74F49" w:rsidRDefault="00A73D65" w:rsidP="00A73D65">
      <w:pPr>
        <w:rPr>
          <w:b/>
          <w:bCs/>
          <w:i/>
          <w:iCs/>
          <w:color w:val="auto"/>
        </w:rPr>
      </w:pPr>
      <w:r w:rsidRPr="00C74F49">
        <w:rPr>
          <w:rStyle w:val="Heading4Char"/>
          <w:color w:val="auto"/>
        </w:rPr>
        <w:lastRenderedPageBreak/>
        <w:t>Effective traini</w:t>
      </w:r>
      <w:r w:rsidR="005225BF" w:rsidRPr="00C74F49">
        <w:rPr>
          <w:rStyle w:val="Heading4Char"/>
          <w:color w:val="auto"/>
        </w:rPr>
        <w:t>ng</w:t>
      </w:r>
      <w:r w:rsidR="00A90117" w:rsidRPr="00C74F49">
        <w:rPr>
          <w:noProof/>
          <w:color w:val="auto"/>
        </w:rPr>
        <w:drawing>
          <wp:inline distT="0" distB="0" distL="0" distR="0" wp14:anchorId="190A8615" wp14:editId="4CD0B92F">
            <wp:extent cx="5731510" cy="1541780"/>
            <wp:effectExtent l="0" t="0" r="59690" b="20320"/>
            <wp:docPr id="11" name="Diagram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38620CE" w14:textId="739CBDED" w:rsidR="00824817" w:rsidRPr="008F1EBC" w:rsidRDefault="00756237" w:rsidP="008F1EBC">
      <w:pPr>
        <w:ind w:left="720" w:hanging="720"/>
        <w:rPr>
          <w:color w:val="auto"/>
        </w:rPr>
      </w:pPr>
      <w:r>
        <w:rPr>
          <w:color w:val="auto"/>
        </w:rPr>
        <w:t>(6.4)</w:t>
      </w:r>
      <w:r>
        <w:rPr>
          <w:color w:val="auto"/>
        </w:rPr>
        <w:tab/>
      </w:r>
      <w:r w:rsidR="008F1EBC">
        <w:rPr>
          <w:color w:val="auto"/>
        </w:rPr>
        <w:t xml:space="preserve">Training is </w:t>
      </w:r>
      <w:r w:rsidR="004A3C8D">
        <w:rPr>
          <w:color w:val="auto"/>
        </w:rPr>
        <w:t xml:space="preserve">generally good and well established </w:t>
      </w:r>
      <w:r w:rsidR="00125C0E">
        <w:rPr>
          <w:color w:val="auto"/>
        </w:rPr>
        <w:t>for the emergency services</w:t>
      </w:r>
      <w:r w:rsidR="001D2894">
        <w:rPr>
          <w:color w:val="auto"/>
        </w:rPr>
        <w:t xml:space="preserve"> but must remain up to date with wider societal trends</w:t>
      </w:r>
      <w:r w:rsidR="00125C0E">
        <w:rPr>
          <w:color w:val="auto"/>
        </w:rPr>
        <w:t>.</w:t>
      </w:r>
      <w:r w:rsidR="00D961BA" w:rsidRPr="00C74F49">
        <w:t xml:space="preserve"> </w:t>
      </w:r>
    </w:p>
    <w:p w14:paraId="79B14AD5" w14:textId="78AD7F9A" w:rsidR="00F939A0" w:rsidRPr="00C74F49" w:rsidRDefault="00CD084D" w:rsidP="00B62A95">
      <w:pPr>
        <w:pStyle w:val="ListParagraph"/>
        <w:numPr>
          <w:ilvl w:val="0"/>
          <w:numId w:val="16"/>
        </w:numPr>
      </w:pPr>
      <w:r>
        <w:t>E</w:t>
      </w:r>
      <w:r w:rsidR="001F486F">
        <w:t xml:space="preserve">mergency services are </w:t>
      </w:r>
      <w:r w:rsidR="00824817" w:rsidRPr="00C74F49">
        <w:t xml:space="preserve">subject to </w:t>
      </w:r>
      <w:r w:rsidRPr="00756237">
        <w:rPr>
          <w:b/>
          <w:bCs/>
        </w:rPr>
        <w:t>frequent</w:t>
      </w:r>
      <w:r w:rsidR="00824817" w:rsidRPr="00756237">
        <w:rPr>
          <w:b/>
          <w:bCs/>
        </w:rPr>
        <w:t xml:space="preserve"> political change</w:t>
      </w:r>
      <w:r w:rsidR="001F486F">
        <w:t>. Training must al</w:t>
      </w:r>
      <w:r w:rsidR="005E11C2">
        <w:t>so reflect wider changes such as increased cyber-crime or</w:t>
      </w:r>
      <w:r w:rsidR="00477EC2">
        <w:t xml:space="preserve"> health issues </w:t>
      </w:r>
      <w:r w:rsidR="00C53514">
        <w:t>from an ageing population.</w:t>
      </w:r>
    </w:p>
    <w:p w14:paraId="7CA1AC49" w14:textId="1B01D97A" w:rsidR="00F939A0" w:rsidRPr="00C74F49" w:rsidRDefault="00C53514" w:rsidP="00B62A95">
      <w:pPr>
        <w:pStyle w:val="ListParagraph"/>
        <w:numPr>
          <w:ilvl w:val="0"/>
          <w:numId w:val="16"/>
        </w:numPr>
      </w:pPr>
      <w:r>
        <w:t>E</w:t>
      </w:r>
      <w:r w:rsidR="00F939A0" w:rsidRPr="00C74F49">
        <w:t xml:space="preserve">mployers recognise the value of formal skills training, </w:t>
      </w:r>
      <w:r w:rsidR="00824817" w:rsidRPr="00756237">
        <w:rPr>
          <w:b/>
          <w:bCs/>
        </w:rPr>
        <w:t>soft skills such as being able to communicate</w:t>
      </w:r>
      <w:r w:rsidR="00824817" w:rsidRPr="00C74F49">
        <w:t xml:space="preserve"> with</w:t>
      </w:r>
      <w:r>
        <w:t xml:space="preserve"> residents are highly valued</w:t>
      </w:r>
      <w:r w:rsidR="00824817" w:rsidRPr="00C74F49">
        <w:t>.</w:t>
      </w:r>
      <w:r w:rsidR="00F939A0" w:rsidRPr="00C74F49">
        <w:t xml:space="preserve"> </w:t>
      </w:r>
    </w:p>
    <w:p w14:paraId="1445C784" w14:textId="45FF501D" w:rsidR="00374AA8" w:rsidRPr="00C74F49" w:rsidRDefault="00F939A0" w:rsidP="00B62A95">
      <w:pPr>
        <w:pStyle w:val="ListParagraph"/>
        <w:numPr>
          <w:ilvl w:val="0"/>
          <w:numId w:val="16"/>
        </w:numPr>
      </w:pPr>
      <w:r w:rsidRPr="00C74F49">
        <w:t>The sector is changing, with</w:t>
      </w:r>
      <w:r w:rsidR="00824817" w:rsidRPr="00C74F49">
        <w:t xml:space="preserve"> </w:t>
      </w:r>
      <w:r w:rsidR="00824817" w:rsidRPr="00756237">
        <w:rPr>
          <w:b/>
          <w:bCs/>
        </w:rPr>
        <w:t>far greater digitalisation</w:t>
      </w:r>
      <w:r w:rsidR="00824817" w:rsidRPr="00C74F49">
        <w:t xml:space="preserve"> throughout</w:t>
      </w:r>
      <w:r w:rsidR="00923BDD">
        <w:t>,</w:t>
      </w:r>
      <w:r w:rsidR="00824817" w:rsidRPr="00C74F49">
        <w:t xml:space="preserve"> meaning staff at all levels need </w:t>
      </w:r>
      <w:r w:rsidR="00923BDD">
        <w:t>increased digital</w:t>
      </w:r>
      <w:r w:rsidR="00824817" w:rsidRPr="00C74F49">
        <w:t xml:space="preserve"> skills.</w:t>
      </w:r>
    </w:p>
    <w:p w14:paraId="59A8F3A9" w14:textId="12113C2E" w:rsidR="005538DE" w:rsidRPr="00C74F49" w:rsidRDefault="005538DE" w:rsidP="00B62A95">
      <w:pPr>
        <w:pStyle w:val="ListParagraph"/>
        <w:numPr>
          <w:ilvl w:val="0"/>
          <w:numId w:val="16"/>
        </w:numPr>
      </w:pPr>
      <w:r w:rsidRPr="00C74F49">
        <w:t xml:space="preserve">There should be </w:t>
      </w:r>
      <w:r w:rsidRPr="00756237">
        <w:rPr>
          <w:b/>
          <w:bCs/>
        </w:rPr>
        <w:t>opportunities to learn more flexibly</w:t>
      </w:r>
      <w:r w:rsidRPr="00C74F49">
        <w:t xml:space="preserve"> </w:t>
      </w:r>
      <w:r w:rsidR="00290C98">
        <w:t>to appeal to a broader demographic.</w:t>
      </w:r>
    </w:p>
    <w:p w14:paraId="5D7FD405" w14:textId="2DC87F36" w:rsidR="005538DE" w:rsidRDefault="00E85C87" w:rsidP="00B62A95">
      <w:pPr>
        <w:pStyle w:val="ListParagraph"/>
        <w:numPr>
          <w:ilvl w:val="0"/>
          <w:numId w:val="16"/>
        </w:numPr>
      </w:pPr>
      <w:r>
        <w:t xml:space="preserve">Apprenticeships </w:t>
      </w:r>
      <w:r w:rsidR="005538DE" w:rsidRPr="00C74F49">
        <w:t xml:space="preserve">should be </w:t>
      </w:r>
      <w:r w:rsidR="005538DE" w:rsidRPr="00756237">
        <w:rPr>
          <w:b/>
          <w:bCs/>
        </w:rPr>
        <w:t>promoted as attractive ways of entering</w:t>
      </w:r>
      <w:r w:rsidR="005538DE" w:rsidRPr="00C74F49">
        <w:t xml:space="preserve"> the sector and the range of different routes should be made clearer</w:t>
      </w:r>
      <w:r>
        <w:t>,</w:t>
      </w:r>
      <w:r w:rsidR="005647F4">
        <w:t xml:space="preserve"> </w:t>
      </w:r>
      <w:r>
        <w:t>particularly to those from more diverse communities</w:t>
      </w:r>
      <w:r w:rsidR="005538DE" w:rsidRPr="00C74F49">
        <w:t>.</w:t>
      </w:r>
    </w:p>
    <w:p w14:paraId="7FC5082B" w14:textId="77777777" w:rsidR="00604EA3" w:rsidRPr="00C74F49" w:rsidRDefault="00604EA3" w:rsidP="00604EA3">
      <w:pPr>
        <w:pStyle w:val="ListParagraph"/>
        <w:numPr>
          <w:ilvl w:val="0"/>
          <w:numId w:val="0"/>
        </w:numPr>
        <w:ind w:left="1080"/>
      </w:pPr>
    </w:p>
    <w:p w14:paraId="76F52D95" w14:textId="743D25DE" w:rsidR="00947D83" w:rsidRPr="00C74F49" w:rsidRDefault="00947D83" w:rsidP="00947D83">
      <w:pPr>
        <w:rPr>
          <w:color w:val="auto"/>
        </w:rPr>
      </w:pPr>
      <w:r w:rsidRPr="00EA0288">
        <w:rPr>
          <w:rStyle w:val="Heading4Char"/>
          <w:color w:val="auto"/>
        </w:rPr>
        <w:t xml:space="preserve">Seeking </w:t>
      </w:r>
      <w:r w:rsidR="006E0D63" w:rsidRPr="00EA0288">
        <w:rPr>
          <w:rStyle w:val="Heading4Char"/>
          <w:color w:val="auto"/>
        </w:rPr>
        <w:t>a job</w:t>
      </w:r>
      <w:r w:rsidR="006E0D63" w:rsidRPr="00C74F49">
        <w:rPr>
          <w:noProof/>
          <w:color w:val="auto"/>
        </w:rPr>
        <w:drawing>
          <wp:inline distT="0" distB="0" distL="0" distR="0" wp14:anchorId="36A89BB6" wp14:editId="0DCFD391">
            <wp:extent cx="5731510" cy="1541780"/>
            <wp:effectExtent l="0" t="0" r="59690" b="20320"/>
            <wp:docPr id="12" name="Diagra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9ED72A4" w14:textId="57B36C05" w:rsidR="00BF68F3" w:rsidRDefault="00756237" w:rsidP="00756237">
      <w:pPr>
        <w:ind w:left="720" w:hanging="720"/>
        <w:rPr>
          <w:lang w:val="en-US"/>
        </w:rPr>
      </w:pPr>
      <w:r>
        <w:rPr>
          <w:color w:val="auto"/>
          <w:lang w:val="en-US"/>
        </w:rPr>
        <w:lastRenderedPageBreak/>
        <w:t>(6.5)</w:t>
      </w:r>
      <w:r>
        <w:rPr>
          <w:color w:val="auto"/>
          <w:lang w:val="en-US"/>
        </w:rPr>
        <w:tab/>
      </w:r>
      <w:r w:rsidR="00973B8D" w:rsidRPr="00C74F49">
        <w:rPr>
          <w:color w:val="auto"/>
          <w:lang w:val="en-US"/>
        </w:rPr>
        <w:t>The E</w:t>
      </w:r>
      <w:r w:rsidR="002F4B9F">
        <w:rPr>
          <w:color w:val="auto"/>
          <w:lang w:val="en-US"/>
        </w:rPr>
        <w:t>mergency</w:t>
      </w:r>
      <w:r w:rsidR="00973B8D" w:rsidRPr="00C74F49">
        <w:rPr>
          <w:color w:val="auto"/>
          <w:lang w:val="en-US"/>
        </w:rPr>
        <w:t xml:space="preserve"> </w:t>
      </w:r>
      <w:r w:rsidR="00890F64">
        <w:rPr>
          <w:color w:val="auto"/>
          <w:lang w:val="en-US"/>
        </w:rPr>
        <w:t>S</w:t>
      </w:r>
      <w:r w:rsidR="00DB1E5F">
        <w:rPr>
          <w:color w:val="auto"/>
          <w:lang w:val="en-US"/>
        </w:rPr>
        <w:t xml:space="preserve">ervices </w:t>
      </w:r>
      <w:r w:rsidR="00973B8D" w:rsidRPr="00C74F49">
        <w:rPr>
          <w:color w:val="auto"/>
          <w:lang w:val="en-US"/>
        </w:rPr>
        <w:t xml:space="preserve">job market is </w:t>
      </w:r>
      <w:r w:rsidR="00973B8D" w:rsidRPr="006E0D63">
        <w:rPr>
          <w:color w:val="auto"/>
          <w:lang w:val="en-US"/>
        </w:rPr>
        <w:t xml:space="preserve">generally </w:t>
      </w:r>
      <w:r w:rsidR="002F4B9F">
        <w:rPr>
          <w:color w:val="auto"/>
          <w:lang w:val="en-US"/>
        </w:rPr>
        <w:t xml:space="preserve">clear </w:t>
      </w:r>
      <w:r w:rsidR="00973B8D" w:rsidRPr="00C74F49">
        <w:rPr>
          <w:color w:val="auto"/>
          <w:lang w:val="en-US"/>
        </w:rPr>
        <w:t>from a candidate perspective – ther</w:t>
      </w:r>
      <w:r w:rsidR="00DB1E5F">
        <w:rPr>
          <w:color w:val="auto"/>
          <w:lang w:val="en-US"/>
        </w:rPr>
        <w:t xml:space="preserve">e </w:t>
      </w:r>
      <w:r w:rsidR="00973B8D" w:rsidRPr="00C74F49">
        <w:rPr>
          <w:color w:val="auto"/>
          <w:lang w:val="en-US"/>
        </w:rPr>
        <w:t xml:space="preserve">are a good number of </w:t>
      </w:r>
      <w:r w:rsidR="00BF68F3" w:rsidRPr="00C74F49">
        <w:rPr>
          <w:color w:val="auto"/>
          <w:lang w:val="en-US"/>
        </w:rPr>
        <w:t>opportuni</w:t>
      </w:r>
      <w:r w:rsidR="00BF68F3">
        <w:rPr>
          <w:color w:val="auto"/>
          <w:lang w:val="en-US"/>
        </w:rPr>
        <w:t>ties</w:t>
      </w:r>
      <w:r w:rsidR="00C8281B">
        <w:rPr>
          <w:color w:val="auto"/>
          <w:lang w:val="en-US"/>
        </w:rPr>
        <w:t xml:space="preserve"> and the services recruit directly from their websites.</w:t>
      </w:r>
      <w:r w:rsidR="00336386">
        <w:rPr>
          <w:color w:val="auto"/>
          <w:lang w:val="en-US"/>
        </w:rPr>
        <w:t xml:space="preserve"> </w:t>
      </w:r>
      <w:r w:rsidR="00C8281B">
        <w:rPr>
          <w:color w:val="auto"/>
          <w:lang w:val="en-US"/>
        </w:rPr>
        <w:t xml:space="preserve">Each follows a consistent and </w:t>
      </w:r>
      <w:r w:rsidR="00E705BE">
        <w:rPr>
          <w:color w:val="auto"/>
          <w:lang w:val="en-US"/>
        </w:rPr>
        <w:t>well-established</w:t>
      </w:r>
      <w:r w:rsidR="00C8281B">
        <w:rPr>
          <w:color w:val="auto"/>
          <w:lang w:val="en-US"/>
        </w:rPr>
        <w:t xml:space="preserve"> application process.</w:t>
      </w:r>
    </w:p>
    <w:p w14:paraId="623879B1" w14:textId="77777777" w:rsidR="00AE6E5D" w:rsidRPr="00756237" w:rsidRDefault="00AE6E5D" w:rsidP="00B62A95">
      <w:pPr>
        <w:pStyle w:val="ListParagraph"/>
        <w:numPr>
          <w:ilvl w:val="0"/>
          <w:numId w:val="17"/>
        </w:numPr>
        <w:rPr>
          <w:lang w:val="en-US"/>
        </w:rPr>
      </w:pPr>
      <w:r>
        <w:t xml:space="preserve">The job market is </w:t>
      </w:r>
      <w:r w:rsidRPr="00FE17F3">
        <w:rPr>
          <w:b/>
        </w:rPr>
        <w:t xml:space="preserve">competitive </w:t>
      </w:r>
      <w:r>
        <w:t>and many positions are</w:t>
      </w:r>
      <w:r w:rsidRPr="00FE17F3">
        <w:rPr>
          <w:b/>
        </w:rPr>
        <w:t xml:space="preserve"> oversubscribed</w:t>
      </w:r>
      <w:r>
        <w:t xml:space="preserve">. There have been occasions when the services have stopped recruiting locally for certain positions. </w:t>
      </w:r>
    </w:p>
    <w:p w14:paraId="38CD5982" w14:textId="33CB6C92" w:rsidR="00BF68F3" w:rsidRPr="00756237" w:rsidRDefault="00EB3E0F" w:rsidP="00B62A95">
      <w:pPr>
        <w:pStyle w:val="ListParagraph"/>
        <w:numPr>
          <w:ilvl w:val="0"/>
          <w:numId w:val="17"/>
        </w:numPr>
        <w:rPr>
          <w:lang w:val="en-US"/>
        </w:rPr>
      </w:pPr>
      <w:r w:rsidRPr="00756237">
        <w:rPr>
          <w:lang w:val="en-US"/>
        </w:rPr>
        <w:t xml:space="preserve">There is some disagreement about </w:t>
      </w:r>
      <w:r w:rsidR="009C4E44">
        <w:rPr>
          <w:lang w:val="en-US"/>
        </w:rPr>
        <w:t xml:space="preserve">whether </w:t>
      </w:r>
      <w:r w:rsidRPr="00756237">
        <w:rPr>
          <w:lang w:val="en-US"/>
        </w:rPr>
        <w:t xml:space="preserve">roles such as Police Officer should </w:t>
      </w:r>
      <w:r w:rsidR="00973B8D" w:rsidRPr="00756237">
        <w:rPr>
          <w:b/>
          <w:bCs/>
          <w:lang w:val="en-US"/>
        </w:rPr>
        <w:t>require a degree</w:t>
      </w:r>
      <w:r w:rsidR="00973B8D" w:rsidRPr="00756237">
        <w:rPr>
          <w:lang w:val="en-US"/>
        </w:rPr>
        <w:t xml:space="preserve">. </w:t>
      </w:r>
      <w:r w:rsidRPr="00756237">
        <w:rPr>
          <w:lang w:val="en-US"/>
        </w:rPr>
        <w:t xml:space="preserve">Whilst some stakeholders </w:t>
      </w:r>
      <w:r w:rsidR="004E20D6" w:rsidRPr="00756237">
        <w:rPr>
          <w:lang w:val="en-US"/>
        </w:rPr>
        <w:t xml:space="preserve">felt this ensured quality, others suggested that life experience </w:t>
      </w:r>
      <w:r w:rsidR="00AF679C" w:rsidRPr="00756237">
        <w:rPr>
          <w:lang w:val="en-US"/>
        </w:rPr>
        <w:t>was more important than academ</w:t>
      </w:r>
      <w:r w:rsidR="00CF5BA7" w:rsidRPr="00756237">
        <w:rPr>
          <w:lang w:val="en-US"/>
        </w:rPr>
        <w:t>ic qualifications. The r</w:t>
      </w:r>
      <w:r w:rsidR="00BF68F3" w:rsidRPr="00756237">
        <w:rPr>
          <w:lang w:val="en-US"/>
        </w:rPr>
        <w:t>equirement can make it hard for some career switchers to join the force.</w:t>
      </w:r>
    </w:p>
    <w:p w14:paraId="0132092E" w14:textId="7FFB6FAC" w:rsidR="00C14684" w:rsidRPr="00756237" w:rsidRDefault="00973B8D" w:rsidP="00B62A95">
      <w:pPr>
        <w:pStyle w:val="ListParagraph"/>
        <w:numPr>
          <w:ilvl w:val="0"/>
          <w:numId w:val="17"/>
        </w:numPr>
        <w:rPr>
          <w:lang w:val="en-US"/>
        </w:rPr>
      </w:pPr>
      <w:r w:rsidRPr="00756237">
        <w:rPr>
          <w:lang w:val="en-US"/>
        </w:rPr>
        <w:t xml:space="preserve">The need for </w:t>
      </w:r>
      <w:r w:rsidR="00BB583B" w:rsidRPr="00756237">
        <w:rPr>
          <w:b/>
          <w:bCs/>
          <w:lang w:val="en-US"/>
        </w:rPr>
        <w:t>M</w:t>
      </w:r>
      <w:r w:rsidRPr="00756237">
        <w:rPr>
          <w:b/>
          <w:bCs/>
          <w:lang w:val="en-US"/>
        </w:rPr>
        <w:t>aths and English qualifications</w:t>
      </w:r>
      <w:r w:rsidRPr="00756237">
        <w:rPr>
          <w:lang w:val="en-US"/>
        </w:rPr>
        <w:t xml:space="preserve"> can be a barrier for some people to access apprenticeships and join the sector</w:t>
      </w:r>
      <w:r w:rsidR="00BD79F0">
        <w:rPr>
          <w:lang w:val="en-US"/>
        </w:rPr>
        <w:t>.</w:t>
      </w:r>
      <w:r w:rsidRPr="00756237">
        <w:rPr>
          <w:lang w:val="en-US"/>
        </w:rPr>
        <w:t xml:space="preserve"> </w:t>
      </w:r>
    </w:p>
    <w:p w14:paraId="4DB42AB9" w14:textId="39EDB113" w:rsidR="00973B8D" w:rsidRPr="00756237" w:rsidRDefault="00973B8D" w:rsidP="00B62A95">
      <w:pPr>
        <w:pStyle w:val="ListParagraph"/>
        <w:numPr>
          <w:ilvl w:val="0"/>
          <w:numId w:val="17"/>
        </w:numPr>
        <w:rPr>
          <w:lang w:val="en-US"/>
        </w:rPr>
      </w:pPr>
      <w:r w:rsidRPr="00756237">
        <w:rPr>
          <w:lang w:val="en-US"/>
        </w:rPr>
        <w:t>Recruitment strategies sho</w:t>
      </w:r>
      <w:r w:rsidR="00C14684" w:rsidRPr="00756237">
        <w:rPr>
          <w:lang w:val="en-US"/>
        </w:rPr>
        <w:t xml:space="preserve">uld reflect the chance to </w:t>
      </w:r>
      <w:r w:rsidR="00C14684" w:rsidRPr="0075504D">
        <w:rPr>
          <w:bCs/>
          <w:lang w:val="en-US"/>
        </w:rPr>
        <w:t>make a difference</w:t>
      </w:r>
      <w:r w:rsidR="00C14684" w:rsidRPr="00756237">
        <w:rPr>
          <w:lang w:val="en-US"/>
        </w:rPr>
        <w:t xml:space="preserve"> and be aimed at people with the correct </w:t>
      </w:r>
      <w:r w:rsidR="00C14684" w:rsidRPr="0075504D">
        <w:rPr>
          <w:b/>
          <w:bCs/>
          <w:lang w:val="en-US"/>
        </w:rPr>
        <w:t>personal values</w:t>
      </w:r>
      <w:r w:rsidR="006C25A1" w:rsidRPr="00756237">
        <w:rPr>
          <w:lang w:val="en-US"/>
        </w:rPr>
        <w:t xml:space="preserve">. </w:t>
      </w:r>
      <w:r w:rsidR="00521788" w:rsidRPr="00756237">
        <w:rPr>
          <w:lang w:val="en-US"/>
        </w:rPr>
        <w:t>Organisation implemented values-based recruitment and standards of behaviour in employment have been shown to be effective in getting the right people.</w:t>
      </w:r>
    </w:p>
    <w:p w14:paraId="6EAEF327" w14:textId="44D74A63" w:rsidR="00521788" w:rsidRDefault="00521788" w:rsidP="00B62A95">
      <w:pPr>
        <w:pStyle w:val="ListParagraph"/>
        <w:numPr>
          <w:ilvl w:val="0"/>
          <w:numId w:val="17"/>
        </w:numPr>
        <w:rPr>
          <w:lang w:val="en-US"/>
        </w:rPr>
      </w:pPr>
      <w:r w:rsidRPr="00756237">
        <w:rPr>
          <w:lang w:val="en-US"/>
        </w:rPr>
        <w:t xml:space="preserve">Where possible recruitment processes and </w:t>
      </w:r>
      <w:r w:rsidRPr="00FE17F3">
        <w:rPr>
          <w:b/>
          <w:lang w:val="en-US"/>
        </w:rPr>
        <w:t>preemployment checks should be streamlined</w:t>
      </w:r>
      <w:r w:rsidRPr="00756237">
        <w:rPr>
          <w:lang w:val="en-US"/>
        </w:rPr>
        <w:t xml:space="preserve"> to maintain quality and assurance while moving at pace to improve the candidate experience</w:t>
      </w:r>
      <w:r w:rsidR="00860E91" w:rsidRPr="00756237">
        <w:rPr>
          <w:lang w:val="en-US"/>
        </w:rPr>
        <w:t>.</w:t>
      </w:r>
    </w:p>
    <w:p w14:paraId="124DA00B" w14:textId="77777777" w:rsidR="00604EA3" w:rsidRPr="00756237" w:rsidRDefault="00604EA3" w:rsidP="00604EA3">
      <w:pPr>
        <w:pStyle w:val="ListParagraph"/>
        <w:numPr>
          <w:ilvl w:val="0"/>
          <w:numId w:val="0"/>
        </w:numPr>
        <w:ind w:left="1080"/>
        <w:rPr>
          <w:lang w:val="en-US"/>
        </w:rPr>
      </w:pPr>
    </w:p>
    <w:p w14:paraId="08944884" w14:textId="0CF3FAB3" w:rsidR="00947D83" w:rsidRPr="00C74F49" w:rsidRDefault="00947D83" w:rsidP="00947D83">
      <w:pPr>
        <w:rPr>
          <w:rStyle w:val="Heading5Char"/>
          <w:color w:val="auto"/>
        </w:rPr>
      </w:pPr>
      <w:r w:rsidRPr="00C74F49">
        <w:rPr>
          <w:rStyle w:val="Heading4Char"/>
          <w:color w:val="auto"/>
        </w:rPr>
        <w:t>Remaining with employe</w:t>
      </w:r>
      <w:r w:rsidR="00214567" w:rsidRPr="00C74F49">
        <w:rPr>
          <w:rStyle w:val="Heading4Char"/>
          <w:color w:val="auto"/>
        </w:rPr>
        <w:t>r</w:t>
      </w:r>
      <w:r w:rsidR="006C25A1" w:rsidRPr="00C74F49">
        <w:rPr>
          <w:noProof/>
          <w:color w:val="auto"/>
        </w:rPr>
        <w:drawing>
          <wp:inline distT="0" distB="0" distL="0" distR="0" wp14:anchorId="51A7BF35" wp14:editId="46AFD0B1">
            <wp:extent cx="5731510" cy="1541780"/>
            <wp:effectExtent l="0" t="0" r="59690" b="20320"/>
            <wp:docPr id="14" name="Diagram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BA46ACD" w14:textId="5FC9D43D" w:rsidR="00472280" w:rsidRDefault="00756237" w:rsidP="00756237">
      <w:pPr>
        <w:ind w:left="720" w:hanging="720"/>
        <w:rPr>
          <w:color w:val="auto"/>
          <w:lang w:val="en-US"/>
        </w:rPr>
      </w:pPr>
      <w:r>
        <w:rPr>
          <w:color w:val="auto"/>
          <w:lang w:val="en-US"/>
        </w:rPr>
        <w:lastRenderedPageBreak/>
        <w:t>(6.6)</w:t>
      </w:r>
      <w:r>
        <w:rPr>
          <w:color w:val="auto"/>
          <w:lang w:val="en-US"/>
        </w:rPr>
        <w:tab/>
      </w:r>
      <w:r w:rsidR="001C6DD7" w:rsidRPr="00C74F49">
        <w:rPr>
          <w:color w:val="auto"/>
          <w:lang w:val="en-US"/>
        </w:rPr>
        <w:t>Retention is an issue across the sector</w:t>
      </w:r>
      <w:r w:rsidR="001A5AB9">
        <w:rPr>
          <w:color w:val="auto"/>
          <w:lang w:val="en-US"/>
        </w:rPr>
        <w:t xml:space="preserve"> with burnout</w:t>
      </w:r>
      <w:r w:rsidR="008C2B7E">
        <w:rPr>
          <w:color w:val="auto"/>
          <w:lang w:val="en-US"/>
        </w:rPr>
        <w:t xml:space="preserve">, </w:t>
      </w:r>
      <w:r w:rsidR="00860E91">
        <w:rPr>
          <w:color w:val="auto"/>
          <w:lang w:val="en-US"/>
        </w:rPr>
        <w:t>long hours, and general wellbeing all factors in employees leaving.</w:t>
      </w:r>
      <w:r w:rsidR="00860E91" w:rsidRPr="00860E91">
        <w:rPr>
          <w:color w:val="auto"/>
          <w:lang w:val="en-US"/>
        </w:rPr>
        <w:t xml:space="preserve"> </w:t>
      </w:r>
    </w:p>
    <w:p w14:paraId="7B3DD07A" w14:textId="043B553A" w:rsidR="009603E2" w:rsidRPr="00247AE1" w:rsidRDefault="00860E91" w:rsidP="00B62A95">
      <w:pPr>
        <w:pStyle w:val="ListParagraph"/>
        <w:numPr>
          <w:ilvl w:val="0"/>
          <w:numId w:val="18"/>
        </w:numPr>
        <w:rPr>
          <w:lang w:val="en-US"/>
        </w:rPr>
      </w:pPr>
      <w:r w:rsidRPr="497B6B81">
        <w:rPr>
          <w:lang w:val="en-US"/>
        </w:rPr>
        <w:t xml:space="preserve">Support should be provided to employees </w:t>
      </w:r>
      <w:r w:rsidRPr="497B6B81">
        <w:rPr>
          <w:b/>
          <w:bCs/>
          <w:lang w:val="en-US"/>
        </w:rPr>
        <w:t>beyond induction</w:t>
      </w:r>
      <w:r w:rsidRPr="497B6B81">
        <w:rPr>
          <w:lang w:val="en-US"/>
        </w:rPr>
        <w:t>, for example for the first two to three years post-qualifying o</w:t>
      </w:r>
      <w:r w:rsidR="00472280" w:rsidRPr="497B6B81">
        <w:rPr>
          <w:lang w:val="en-US"/>
        </w:rPr>
        <w:t>f</w:t>
      </w:r>
      <w:r w:rsidRPr="497B6B81">
        <w:rPr>
          <w:lang w:val="en-US"/>
        </w:rPr>
        <w:t xml:space="preserve"> joining </w:t>
      </w:r>
      <w:r w:rsidR="00472280" w:rsidRPr="497B6B81">
        <w:rPr>
          <w:lang w:val="en-US"/>
        </w:rPr>
        <w:t>the</w:t>
      </w:r>
      <w:r w:rsidRPr="497B6B81">
        <w:rPr>
          <w:lang w:val="en-US"/>
        </w:rPr>
        <w:t xml:space="preserve"> </w:t>
      </w:r>
      <w:r w:rsidR="00247AE1" w:rsidRPr="497B6B81">
        <w:rPr>
          <w:lang w:val="en-US"/>
        </w:rPr>
        <w:t>organi</w:t>
      </w:r>
      <w:r w:rsidR="0F7C44F5" w:rsidRPr="497B6B81">
        <w:rPr>
          <w:lang w:val="en-US"/>
        </w:rPr>
        <w:t>s</w:t>
      </w:r>
      <w:r w:rsidR="00247AE1" w:rsidRPr="497B6B81">
        <w:rPr>
          <w:lang w:val="en-US"/>
        </w:rPr>
        <w:t>ation. For example, newly qualified employees would benefit from mentoring or pastoral support</w:t>
      </w:r>
    </w:p>
    <w:p w14:paraId="30805523" w14:textId="7B0FA1CB" w:rsidR="009603E2" w:rsidRPr="00756237" w:rsidRDefault="00FE6A22" w:rsidP="00B62A95">
      <w:pPr>
        <w:pStyle w:val="ListParagraph"/>
        <w:numPr>
          <w:ilvl w:val="0"/>
          <w:numId w:val="18"/>
        </w:numPr>
        <w:rPr>
          <w:lang w:val="en-US"/>
        </w:rPr>
      </w:pPr>
      <w:r>
        <w:t xml:space="preserve">Employers should </w:t>
      </w:r>
      <w:r w:rsidR="00742B33" w:rsidRPr="497B6B81">
        <w:rPr>
          <w:b/>
          <w:bCs/>
        </w:rPr>
        <w:t>promote role models</w:t>
      </w:r>
      <w:r w:rsidR="00742B33">
        <w:t xml:space="preserve"> – particularly </w:t>
      </w:r>
      <w:r w:rsidR="009603E2">
        <w:t>from diverse backgrounds</w:t>
      </w:r>
      <w:r w:rsidR="00742B33">
        <w:t xml:space="preserve"> – that may make </w:t>
      </w:r>
      <w:r w:rsidR="002B2F88">
        <w:t xml:space="preserve">workers </w:t>
      </w:r>
      <w:r w:rsidR="00742B33">
        <w:t>more likely to stay in the sector</w:t>
      </w:r>
      <w:r w:rsidR="477CE48A">
        <w:t xml:space="preserve"> and attract new and more diverse talent to the services</w:t>
      </w:r>
      <w:r w:rsidR="00742B33">
        <w:t>.</w:t>
      </w:r>
    </w:p>
    <w:p w14:paraId="6A35445E" w14:textId="77777777" w:rsidR="002B2F88" w:rsidRPr="002B2F88" w:rsidRDefault="00FE6A22" w:rsidP="00B62A95">
      <w:pPr>
        <w:pStyle w:val="ListParagraph"/>
        <w:numPr>
          <w:ilvl w:val="0"/>
          <w:numId w:val="18"/>
        </w:numPr>
        <w:rPr>
          <w:lang w:val="en-US"/>
        </w:rPr>
      </w:pPr>
      <w:r w:rsidRPr="00C74F49">
        <w:t xml:space="preserve">Employers should be </w:t>
      </w:r>
      <w:r w:rsidRPr="00756237">
        <w:rPr>
          <w:b/>
          <w:bCs/>
        </w:rPr>
        <w:t>encouraged to adhere to the GM Good Employment Charter</w:t>
      </w:r>
      <w:r w:rsidR="00247AE1">
        <w:rPr>
          <w:b/>
          <w:bCs/>
        </w:rPr>
        <w:t xml:space="preserve">, </w:t>
      </w:r>
      <w:r w:rsidR="00FE17F3">
        <w:t>with</w:t>
      </w:r>
      <w:r w:rsidR="00247AE1">
        <w:t xml:space="preserve"> particular reference</w:t>
      </w:r>
      <w:r w:rsidRPr="00C74F49">
        <w:t xml:space="preserve"> </w:t>
      </w:r>
      <w:r w:rsidR="009603E2">
        <w:t>for entry level positions.</w:t>
      </w:r>
    </w:p>
    <w:p w14:paraId="75AACC91" w14:textId="1E5CD3C7" w:rsidR="00EE2541" w:rsidRPr="00756237" w:rsidRDefault="009603E2" w:rsidP="00B62A95">
      <w:pPr>
        <w:pStyle w:val="ListParagraph"/>
        <w:numPr>
          <w:ilvl w:val="0"/>
          <w:numId w:val="18"/>
        </w:numPr>
        <w:rPr>
          <w:lang w:val="en-US"/>
        </w:rPr>
      </w:pPr>
      <w:r>
        <w:t xml:space="preserve">There should also be </w:t>
      </w:r>
      <w:r w:rsidRPr="002B2F88">
        <w:rPr>
          <w:b/>
          <w:bCs/>
        </w:rPr>
        <w:t>career progression opportunities</w:t>
      </w:r>
      <w:r w:rsidR="003E3EFA">
        <w:t xml:space="preserve"> for those wishing to develop</w:t>
      </w:r>
      <w:r w:rsidR="00FE17F3">
        <w:t xml:space="preserve"> including for those without a degree</w:t>
      </w:r>
      <w:r w:rsidR="003E3EFA">
        <w:t>.</w:t>
      </w:r>
    </w:p>
    <w:p w14:paraId="05BB1A98" w14:textId="77777777" w:rsidR="00756237" w:rsidRDefault="00756237">
      <w:pPr>
        <w:spacing w:line="259" w:lineRule="auto"/>
        <w:rPr>
          <w:b/>
          <w:bCs/>
          <w:color w:val="auto"/>
          <w:sz w:val="32"/>
          <w:szCs w:val="24"/>
        </w:rPr>
      </w:pPr>
      <w:r>
        <w:rPr>
          <w:color w:val="auto"/>
        </w:rPr>
        <w:br w:type="page"/>
      </w:r>
    </w:p>
    <w:p w14:paraId="31A20E14" w14:textId="4F979850" w:rsidR="0044251C" w:rsidRPr="00C74F49" w:rsidRDefault="00D0256B">
      <w:pPr>
        <w:pStyle w:val="Heading3"/>
        <w:numPr>
          <w:ilvl w:val="0"/>
          <w:numId w:val="3"/>
        </w:numPr>
        <w:rPr>
          <w:color w:val="auto"/>
        </w:rPr>
        <w:sectPr w:rsidR="0044251C" w:rsidRPr="00C74F49" w:rsidSect="007629A9">
          <w:headerReference w:type="default" r:id="rId55"/>
          <w:footerReference w:type="default" r:id="rId56"/>
          <w:type w:val="continuous"/>
          <w:pgSz w:w="11906" w:h="16838"/>
          <w:pgMar w:top="22" w:right="1440" w:bottom="709" w:left="1440" w:header="708" w:footer="708" w:gutter="0"/>
          <w:cols w:space="708"/>
          <w:docGrid w:linePitch="360"/>
        </w:sectPr>
      </w:pPr>
      <w:bookmarkStart w:id="11" w:name="_Toc125643725"/>
      <w:r w:rsidRPr="00C74F49">
        <w:rPr>
          <w:color w:val="auto"/>
        </w:rPr>
        <w:lastRenderedPageBreak/>
        <w:t>Next Repor</w:t>
      </w:r>
      <w:r w:rsidR="005225BF" w:rsidRPr="00C74F49">
        <w:rPr>
          <w:color w:val="auto"/>
        </w:rPr>
        <w:t>t</w:t>
      </w:r>
      <w:bookmarkEnd w:id="11"/>
    </w:p>
    <w:p w14:paraId="198B5C27" w14:textId="46947A82" w:rsidR="007206DB" w:rsidRPr="00754827" w:rsidRDefault="00756237" w:rsidP="00754827">
      <w:pPr>
        <w:ind w:left="720" w:hanging="720"/>
        <w:rPr>
          <w:color w:val="auto"/>
          <w:lang w:val="en-US"/>
        </w:rPr>
      </w:pPr>
      <w:r>
        <w:rPr>
          <w:color w:val="262626" w:themeColor="text1"/>
        </w:rPr>
        <w:t>(7.1)</w:t>
      </w:r>
      <w:r>
        <w:rPr>
          <w:color w:val="262626" w:themeColor="text1"/>
        </w:rPr>
        <w:tab/>
      </w:r>
      <w:r w:rsidR="005305CB" w:rsidRPr="00BA547D">
        <w:rPr>
          <w:color w:val="262626" w:themeColor="text1"/>
        </w:rPr>
        <w:t xml:space="preserve">As well as serving the public, </w:t>
      </w:r>
      <w:r w:rsidR="00B23A6E">
        <w:rPr>
          <w:color w:val="262626" w:themeColor="text1"/>
        </w:rPr>
        <w:t xml:space="preserve">emergency services </w:t>
      </w:r>
      <w:r w:rsidR="005305CB" w:rsidRPr="00BA547D">
        <w:rPr>
          <w:color w:val="262626" w:themeColor="text1"/>
        </w:rPr>
        <w:t xml:space="preserve">increasingly need to meet the demands of a complex workforce and be prepared to respond to challenging external drivers of change. These drivers will be instrumental in shaping the workforce of the future and will require a strategic approach. </w:t>
      </w:r>
      <w:r w:rsidR="00B93DD3" w:rsidRPr="00C74F49">
        <w:rPr>
          <w:color w:val="auto"/>
        </w:rPr>
        <w:t>Intelligence gathering will be an ongoing activity for GMCA and partner stakeholders. The data and intelligence gathered as part of this report will be enhanced and updated and a revised version of the report released.</w:t>
      </w:r>
      <w:r w:rsidR="00B93DD3" w:rsidRPr="005305CB">
        <w:rPr>
          <w:color w:val="262626" w:themeColor="text1"/>
        </w:rPr>
        <w:t xml:space="preserve"> </w:t>
      </w:r>
      <w:r w:rsidR="005305CB" w:rsidRPr="00BA547D">
        <w:rPr>
          <w:color w:val="262626" w:themeColor="text1"/>
        </w:rPr>
        <w:t xml:space="preserve">This </w:t>
      </w:r>
      <w:r w:rsidR="005305CB" w:rsidRPr="00754827">
        <w:rPr>
          <w:color w:val="auto"/>
          <w:lang w:val="en-US"/>
        </w:rPr>
        <w:t xml:space="preserve">should include close consideration of: </w:t>
      </w:r>
    </w:p>
    <w:p w14:paraId="5A9ED5BB" w14:textId="00A87DCE" w:rsidR="007206DB" w:rsidRDefault="00797D12" w:rsidP="00B62A95">
      <w:pPr>
        <w:pStyle w:val="ListParagraph"/>
        <w:numPr>
          <w:ilvl w:val="0"/>
          <w:numId w:val="34"/>
        </w:numPr>
      </w:pPr>
      <w:r w:rsidRPr="0708D23D">
        <w:rPr>
          <w:lang w:val="en-US"/>
        </w:rPr>
        <w:t>P</w:t>
      </w:r>
      <w:r w:rsidR="005305CB" w:rsidRPr="0708D23D">
        <w:rPr>
          <w:lang w:val="en-US"/>
        </w:rPr>
        <w:t>olitical</w:t>
      </w:r>
      <w:r w:rsidR="005305CB">
        <w:t xml:space="preserve"> events affecting employers and the workforce such as a change in government, new policy development/legislation, and the legacy of Brexit</w:t>
      </w:r>
      <w:r w:rsidR="00754827">
        <w:t xml:space="preserve"> and the COVID</w:t>
      </w:r>
      <w:r w:rsidR="3ACBE24F">
        <w:t>-</w:t>
      </w:r>
      <w:r w:rsidR="00754827">
        <w:t>19 Pandemic</w:t>
      </w:r>
      <w:r w:rsidR="00D07FEC">
        <w:t>.</w:t>
      </w:r>
    </w:p>
    <w:p w14:paraId="00978228" w14:textId="267BCEA6" w:rsidR="007206DB" w:rsidRDefault="007206DB" w:rsidP="00B62A95">
      <w:pPr>
        <w:pStyle w:val="ListParagraph"/>
        <w:numPr>
          <w:ilvl w:val="0"/>
          <w:numId w:val="19"/>
        </w:numPr>
      </w:pPr>
      <w:r>
        <w:t>Recessions usually lead to an increase in crime and increased pressure on emergency services. Currently though</w:t>
      </w:r>
      <w:r w:rsidR="00684404">
        <w:t>,</w:t>
      </w:r>
      <w:r>
        <w:t xml:space="preserve"> crime rates in the UK are falling which is thought to be due to a multitude of factors. Targeted intervention, high prison population numbers, and socio-economic factors (more people at home/ perhaps less high value items) may be contributory factors. As the financial situation develops, intelligence must be updated.</w:t>
      </w:r>
    </w:p>
    <w:p w14:paraId="0C8E89A1" w14:textId="51DB0E65" w:rsidR="00945E31" w:rsidRPr="00945E31" w:rsidRDefault="00797D12" w:rsidP="00B62A95">
      <w:pPr>
        <w:pStyle w:val="ListParagraph"/>
        <w:numPr>
          <w:ilvl w:val="0"/>
          <w:numId w:val="19"/>
        </w:numPr>
      </w:pPr>
      <w:r>
        <w:t>S</w:t>
      </w:r>
      <w:r w:rsidR="005305CB" w:rsidRPr="00945E31">
        <w:t>ocial imperatives relevant to a significant proportion of the workforce such as an ageing population, work/life balance, mental health, and demographics</w:t>
      </w:r>
      <w:r w:rsidR="00684404">
        <w:t>.</w:t>
      </w:r>
      <w:r w:rsidR="005305CB" w:rsidRPr="00945E31">
        <w:t xml:space="preserve"> </w:t>
      </w:r>
    </w:p>
    <w:p w14:paraId="779ADB91" w14:textId="5BC40E7C" w:rsidR="00945E31" w:rsidRPr="00945E31" w:rsidRDefault="00797D12" w:rsidP="00B62A95">
      <w:pPr>
        <w:pStyle w:val="ListParagraph"/>
        <w:numPr>
          <w:ilvl w:val="0"/>
          <w:numId w:val="19"/>
        </w:numPr>
      </w:pPr>
      <w:r>
        <w:t>A</w:t>
      </w:r>
      <w:r w:rsidR="005305CB" w:rsidRPr="00945E31">
        <w:t>ny advances or changing use of technology that might impact the workforce such as online learning, innovation, digitisation, and artificial intelligence</w:t>
      </w:r>
      <w:r w:rsidR="00684404">
        <w:t>.</w:t>
      </w:r>
    </w:p>
    <w:p w14:paraId="455EC76E" w14:textId="0B6C8411" w:rsidR="00945E31" w:rsidRPr="00945E31" w:rsidRDefault="00797D12" w:rsidP="00B62A95">
      <w:pPr>
        <w:pStyle w:val="ListParagraph"/>
        <w:numPr>
          <w:ilvl w:val="0"/>
          <w:numId w:val="19"/>
        </w:numPr>
      </w:pPr>
      <w:r>
        <w:t>N</w:t>
      </w:r>
      <w:r w:rsidR="005305CB" w:rsidRPr="00945E31">
        <w:t>ew legislation affecting employers such as employment law, increased regulation, continued implications of withdrawal from the EU</w:t>
      </w:r>
      <w:r w:rsidR="00684404">
        <w:t>.</w:t>
      </w:r>
    </w:p>
    <w:p w14:paraId="53579C83" w14:textId="743EAF43" w:rsidR="005444B4" w:rsidRPr="00756237" w:rsidRDefault="00797D12" w:rsidP="00B62A95">
      <w:pPr>
        <w:pStyle w:val="ListParagraph"/>
        <w:numPr>
          <w:ilvl w:val="0"/>
          <w:numId w:val="19"/>
        </w:numPr>
      </w:pPr>
      <w:r>
        <w:t>E</w:t>
      </w:r>
      <w:r w:rsidR="005305CB" w:rsidRPr="00945E31">
        <w:t xml:space="preserve">nvironmental pressures such as recycling, globalisation, the ‘green’ </w:t>
      </w:r>
      <w:r w:rsidR="003A2B30">
        <w:t>economy</w:t>
      </w:r>
      <w:r w:rsidR="005305CB" w:rsidRPr="00945E31">
        <w:t>, sustainability, and carbon neutralit</w:t>
      </w:r>
      <w:r w:rsidR="00756237">
        <w:t>y</w:t>
      </w:r>
      <w:r w:rsidR="00684404">
        <w:t>.</w:t>
      </w:r>
    </w:p>
    <w:sectPr w:rsidR="005444B4" w:rsidRPr="00756237" w:rsidSect="0090052D">
      <w:footerReference w:type="default" r:id="rId57"/>
      <w:type w:val="continuous"/>
      <w:pgSz w:w="11906" w:h="16838" w:code="9"/>
      <w:pgMar w:top="1440" w:right="1440" w:bottom="1276" w:left="1440" w:header="709" w:footer="6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B53A" w14:textId="77777777" w:rsidR="00935BA4" w:rsidRDefault="00935BA4" w:rsidP="00480DA1">
      <w:pPr>
        <w:spacing w:after="0" w:line="240" w:lineRule="auto"/>
      </w:pPr>
      <w:r>
        <w:separator/>
      </w:r>
    </w:p>
    <w:p w14:paraId="665856EC" w14:textId="77777777" w:rsidR="00935BA4" w:rsidRDefault="00935BA4"/>
    <w:p w14:paraId="660B884E" w14:textId="77777777" w:rsidR="00935BA4" w:rsidRDefault="00935BA4" w:rsidP="005B52A7"/>
    <w:p w14:paraId="6378F9BE" w14:textId="77777777" w:rsidR="00935BA4" w:rsidRDefault="00935BA4" w:rsidP="005B52A7"/>
  </w:endnote>
  <w:endnote w:type="continuationSeparator" w:id="0">
    <w:p w14:paraId="4CF0B22A" w14:textId="77777777" w:rsidR="00935BA4" w:rsidRDefault="00935BA4" w:rsidP="00480DA1">
      <w:pPr>
        <w:spacing w:after="0" w:line="240" w:lineRule="auto"/>
      </w:pPr>
      <w:r>
        <w:continuationSeparator/>
      </w:r>
    </w:p>
    <w:p w14:paraId="48EFC2F5" w14:textId="77777777" w:rsidR="00935BA4" w:rsidRDefault="00935BA4"/>
    <w:p w14:paraId="311718B5" w14:textId="77777777" w:rsidR="00935BA4" w:rsidRDefault="00935BA4" w:rsidP="005B52A7"/>
    <w:p w14:paraId="5E1B9A37" w14:textId="77777777" w:rsidR="00935BA4" w:rsidRDefault="00935BA4" w:rsidP="005B52A7"/>
  </w:endnote>
  <w:endnote w:type="continuationNotice" w:id="1">
    <w:p w14:paraId="3E472755" w14:textId="77777777" w:rsidR="00935BA4" w:rsidRDefault="00935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990431"/>
      <w:docPartObj>
        <w:docPartGallery w:val="Page Numbers (Bottom of Page)"/>
        <w:docPartUnique/>
      </w:docPartObj>
    </w:sdtPr>
    <w:sdtEndPr>
      <w:rPr>
        <w:noProof/>
      </w:rPr>
    </w:sdtEndPr>
    <w:sdtContent>
      <w:p w14:paraId="1354EE41" w14:textId="77777777" w:rsidR="00B22BF3" w:rsidRDefault="00B22BF3" w:rsidP="009B3649">
        <w:pPr>
          <w:pStyle w:val="Footer"/>
        </w:pPr>
        <w:r>
          <w:fldChar w:fldCharType="begin"/>
        </w:r>
        <w:r>
          <w:instrText xml:space="preserve"> PAGE   \* MERGEFORMAT </w:instrText>
        </w:r>
        <w:r>
          <w:fldChar w:fldCharType="separate"/>
        </w:r>
        <w:r>
          <w:rPr>
            <w:noProof/>
          </w:rPr>
          <w:t>2</w:t>
        </w:r>
        <w:r>
          <w:rPr>
            <w:noProof/>
          </w:rPr>
          <w:fldChar w:fldCharType="end"/>
        </w:r>
      </w:p>
    </w:sdtContent>
  </w:sdt>
  <w:p w14:paraId="3C44E6DD" w14:textId="77777777" w:rsidR="00B22BF3" w:rsidRDefault="00B22BF3" w:rsidP="009B3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Content>
      <w:p w14:paraId="19E9AB69" w14:textId="24D3136A" w:rsidR="00E07B85" w:rsidRPr="00D31BB7" w:rsidRDefault="00E07B85" w:rsidP="009B3649">
        <w:pPr>
          <w:pStyle w:val="PageNumber1"/>
        </w:pPr>
        <w:r w:rsidRPr="00D31BB7">
          <w:fldChar w:fldCharType="begin"/>
        </w:r>
        <w:r w:rsidRPr="00D31BB7">
          <w:instrText xml:space="preserve"> PAGE   \* MERGEFORMAT </w:instrText>
        </w:r>
        <w:r w:rsidRPr="00D31BB7">
          <w:fldChar w:fldCharType="separate"/>
        </w:r>
        <w:r w:rsidRPr="00D31BB7">
          <w:t>2</w:t>
        </w:r>
        <w:r w:rsidRPr="00D31BB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7FD6" w14:textId="77777777" w:rsidR="00935BA4" w:rsidRDefault="00935BA4" w:rsidP="009B3649">
      <w:pPr>
        <w:pStyle w:val="Footer"/>
      </w:pPr>
      <w:r w:rsidRPr="00F31327">
        <w:separator/>
      </w:r>
    </w:p>
    <w:p w14:paraId="179B20DE" w14:textId="77777777" w:rsidR="00935BA4" w:rsidRPr="00F31327" w:rsidRDefault="00935BA4" w:rsidP="009B3649">
      <w:pPr>
        <w:pStyle w:val="Footer"/>
      </w:pPr>
    </w:p>
  </w:footnote>
  <w:footnote w:type="continuationSeparator" w:id="0">
    <w:p w14:paraId="3DA1CE0E" w14:textId="77777777" w:rsidR="00935BA4" w:rsidRDefault="00935BA4" w:rsidP="00480DA1">
      <w:pPr>
        <w:spacing w:after="0" w:line="240" w:lineRule="auto"/>
      </w:pPr>
      <w:r>
        <w:continuationSeparator/>
      </w:r>
    </w:p>
    <w:p w14:paraId="036AC7E1" w14:textId="77777777" w:rsidR="00935BA4" w:rsidRDefault="00935BA4"/>
    <w:p w14:paraId="3282BF95" w14:textId="77777777" w:rsidR="00935BA4" w:rsidRDefault="00935BA4" w:rsidP="005B52A7"/>
    <w:p w14:paraId="5CFC7D7C" w14:textId="77777777" w:rsidR="00935BA4" w:rsidRDefault="00935BA4" w:rsidP="005B52A7"/>
  </w:footnote>
  <w:footnote w:type="continuationNotice" w:id="1">
    <w:p w14:paraId="50ADEC05" w14:textId="77777777" w:rsidR="00935BA4" w:rsidRDefault="00935BA4">
      <w:pPr>
        <w:spacing w:after="0" w:line="240" w:lineRule="auto"/>
      </w:pPr>
    </w:p>
  </w:footnote>
  <w:footnote w:id="2">
    <w:p w14:paraId="23E02A88" w14:textId="4E32C225" w:rsidR="00B878DB" w:rsidRDefault="00B878DB">
      <w:pPr>
        <w:pStyle w:val="FootnoteText"/>
      </w:pPr>
      <w:r>
        <w:rPr>
          <w:rStyle w:val="FootnoteReference"/>
        </w:rPr>
        <w:footnoteRef/>
      </w:r>
      <w:hyperlink r:id="rId1" w:anchor=":~:text=The%20number%20of%20999%20calls%20handled%20by%20BT,million%20999%20calls%20made%20in%20the%20last%20year." w:history="1">
        <w:r w:rsidR="008902AD" w:rsidRPr="008077BA">
          <w:rPr>
            <w:rStyle w:val="Hyperlink"/>
            <w:sz w:val="24"/>
            <w:szCs w:val="24"/>
          </w:rPr>
          <w:t>BT data</w:t>
        </w:r>
      </w:hyperlink>
      <w:r w:rsidRPr="008077BA">
        <w:rPr>
          <w:sz w:val="24"/>
          <w:szCs w:val="24"/>
        </w:rPr>
        <w:t xml:space="preserve"> </w:t>
      </w:r>
    </w:p>
  </w:footnote>
  <w:footnote w:id="3">
    <w:p w14:paraId="7573C952" w14:textId="0C5B6051" w:rsidR="00B878DB" w:rsidRDefault="00B878DB">
      <w:pPr>
        <w:pStyle w:val="FootnoteText"/>
      </w:pPr>
      <w:r>
        <w:rPr>
          <w:rStyle w:val="FootnoteReference"/>
        </w:rPr>
        <w:footnoteRef/>
      </w:r>
      <w:r>
        <w:t xml:space="preserve"> </w:t>
      </w:r>
      <w:hyperlink r:id="rId2" w:history="1">
        <w:r w:rsidR="00F227EF" w:rsidRPr="008077BA">
          <w:rPr>
            <w:rStyle w:val="Hyperlink"/>
            <w:sz w:val="24"/>
            <w:szCs w:val="24"/>
          </w:rPr>
          <w:t>PEEL inspection of GMP 2022</w:t>
        </w:r>
      </w:hyperlink>
    </w:p>
  </w:footnote>
  <w:footnote w:id="4">
    <w:p w14:paraId="5DF579B1" w14:textId="5BD9DBBE" w:rsidR="005577FD" w:rsidRDefault="005577FD">
      <w:pPr>
        <w:pStyle w:val="FootnoteText"/>
      </w:pPr>
      <w:r>
        <w:rPr>
          <w:rStyle w:val="FootnoteReference"/>
        </w:rPr>
        <w:footnoteRef/>
      </w:r>
      <w:r>
        <w:t xml:space="preserve"> </w:t>
      </w:r>
      <w:hyperlink r:id="rId3" w:history="1">
        <w:r w:rsidR="00BC0E61" w:rsidRPr="008077BA">
          <w:rPr>
            <w:rStyle w:val="Hyperlink"/>
            <w:sz w:val="24"/>
            <w:szCs w:val="24"/>
          </w:rPr>
          <w:t>GMP most improved in the country</w:t>
        </w:r>
      </w:hyperlink>
    </w:p>
  </w:footnote>
  <w:footnote w:id="5">
    <w:p w14:paraId="729111E6" w14:textId="55C1426A" w:rsidR="00B878DB" w:rsidRDefault="00B878DB">
      <w:pPr>
        <w:pStyle w:val="FootnoteText"/>
      </w:pPr>
      <w:r>
        <w:rPr>
          <w:rStyle w:val="FootnoteReference"/>
        </w:rPr>
        <w:footnoteRef/>
      </w:r>
      <w:r>
        <w:t xml:space="preserve"> </w:t>
      </w:r>
      <w:hyperlink r:id="rId4" w:history="1">
        <w:r w:rsidR="00FB2F55">
          <w:rPr>
            <w:color w:val="262626" w:themeColor="text1"/>
            <w:sz w:val="24"/>
            <w:szCs w:val="22"/>
          </w:rPr>
          <w:t xml:space="preserve">Fire and Rescue Services Act 2004 </w:t>
        </w:r>
      </w:hyperlink>
    </w:p>
  </w:footnote>
  <w:footnote w:id="6">
    <w:p w14:paraId="47C6FF98" w14:textId="77777777" w:rsidR="00632331" w:rsidRDefault="00632331" w:rsidP="00632331">
      <w:pPr>
        <w:pStyle w:val="FootnoteText"/>
      </w:pPr>
      <w:r>
        <w:rPr>
          <w:rStyle w:val="FootnoteReference"/>
        </w:rPr>
        <w:footnoteRef/>
      </w:r>
      <w:r>
        <w:t xml:space="preserve"> </w:t>
      </w:r>
      <w:hyperlink r:id="rId5" w:anchor=":~:text=GMFRS%20Fire%20Plan%202021-25%20%28PDF%2C%201.7MB%29%20The%20Fire,Bolton.%20The%20priorities%20making%20up%20the%20plan%20include%3A" w:history="1">
        <w:r w:rsidRPr="00933781">
          <w:rPr>
            <w:rStyle w:val="Hyperlink"/>
            <w:sz w:val="24"/>
            <w:szCs w:val="32"/>
          </w:rPr>
          <w:t>Fire Plan - GMFRS</w:t>
        </w:r>
      </w:hyperlink>
    </w:p>
  </w:footnote>
  <w:footnote w:id="7">
    <w:p w14:paraId="5342CC6A" w14:textId="4445CA0F" w:rsidR="00E353F0" w:rsidRDefault="00E353F0">
      <w:pPr>
        <w:pStyle w:val="FootnoteText"/>
      </w:pPr>
      <w:r>
        <w:rPr>
          <w:rStyle w:val="FootnoteReference"/>
        </w:rPr>
        <w:footnoteRef/>
      </w:r>
      <w:r>
        <w:t xml:space="preserve"> </w:t>
      </w:r>
      <w:hyperlink r:id="rId6" w:history="1">
        <w:r w:rsidR="00F810CE" w:rsidRPr="00933781">
          <w:rPr>
            <w:rStyle w:val="Hyperlink"/>
            <w:sz w:val="24"/>
            <w:szCs w:val="40"/>
          </w:rPr>
          <w:t>HMICFRS (justiceinspectorates.gov.uk)</w:t>
        </w:r>
      </w:hyperlink>
    </w:p>
  </w:footnote>
  <w:footnote w:id="8">
    <w:p w14:paraId="6DFBA9F7" w14:textId="2C93563F" w:rsidR="00E353F0" w:rsidRDefault="00E353F0">
      <w:pPr>
        <w:pStyle w:val="FootnoteText"/>
      </w:pPr>
      <w:r>
        <w:rPr>
          <w:rStyle w:val="FootnoteReference"/>
        </w:rPr>
        <w:footnoteRef/>
      </w:r>
      <w:r>
        <w:t xml:space="preserve"> </w:t>
      </w:r>
      <w:hyperlink r:id="rId7" w:history="1">
        <w:r w:rsidR="004471AD" w:rsidRPr="00CA3430">
          <w:rPr>
            <w:rStyle w:val="Hyperlink"/>
            <w:sz w:val="24"/>
            <w:szCs w:val="24"/>
          </w:rPr>
          <w:t>Equality, Diversity and Inclusion - Greater Manchester Fire Rescue Service</w:t>
        </w:r>
      </w:hyperlink>
    </w:p>
  </w:footnote>
  <w:footnote w:id="9">
    <w:p w14:paraId="0BE92F80" w14:textId="28CB6FD1" w:rsidR="00E353F0" w:rsidRPr="00140E7F" w:rsidRDefault="00E353F0">
      <w:pPr>
        <w:pStyle w:val="FootnoteText"/>
        <w:rPr>
          <w:rStyle w:val="Hyperlink"/>
          <w:sz w:val="24"/>
          <w:szCs w:val="24"/>
        </w:rPr>
      </w:pPr>
      <w:r>
        <w:rPr>
          <w:rStyle w:val="FootnoteReference"/>
        </w:rPr>
        <w:footnoteRef/>
      </w:r>
      <w:r>
        <w:t xml:space="preserve"> </w:t>
      </w:r>
      <w:hyperlink r:id="rId8" w:history="1">
        <w:r w:rsidR="005C1969" w:rsidRPr="00140E7F">
          <w:rPr>
            <w:rStyle w:val="Hyperlink"/>
            <w:sz w:val="24"/>
            <w:szCs w:val="24"/>
          </w:rPr>
          <w:t>CQC 2014</w:t>
        </w:r>
      </w:hyperlink>
    </w:p>
  </w:footnote>
  <w:footnote w:id="10">
    <w:p w14:paraId="373F5D63" w14:textId="50B09ECF" w:rsidR="00E353F0" w:rsidRDefault="00E353F0">
      <w:pPr>
        <w:pStyle w:val="FootnoteText"/>
      </w:pPr>
      <w:r w:rsidRPr="005C1969">
        <w:rPr>
          <w:rStyle w:val="FootnoteReference"/>
          <w:color w:val="auto"/>
        </w:rPr>
        <w:footnoteRef/>
      </w:r>
      <w:r w:rsidRPr="005C1969">
        <w:rPr>
          <w:color w:val="auto"/>
        </w:rPr>
        <w:t xml:space="preserve"> </w:t>
      </w:r>
      <w:hyperlink r:id="rId9" w:history="1">
        <w:r w:rsidR="005C1969" w:rsidRPr="00140E7F">
          <w:rPr>
            <w:rStyle w:val="Hyperlink"/>
            <w:sz w:val="24"/>
            <w:szCs w:val="24"/>
          </w:rPr>
          <w:t>CQC 2018</w:t>
        </w:r>
      </w:hyperlink>
    </w:p>
  </w:footnote>
  <w:footnote w:id="11">
    <w:p w14:paraId="3D6DF432" w14:textId="77777777" w:rsidR="0081108D" w:rsidRDefault="0081108D" w:rsidP="0081108D">
      <w:pPr>
        <w:pStyle w:val="FootnoteText"/>
      </w:pPr>
      <w:r>
        <w:rPr>
          <w:rStyle w:val="FootnoteReference"/>
        </w:rPr>
        <w:footnoteRef/>
      </w:r>
      <w:r>
        <w:t xml:space="preserve"> </w:t>
      </w:r>
      <w:hyperlink r:id="rId10" w:history="1">
        <w:r w:rsidRPr="0081108D">
          <w:rPr>
            <w:rStyle w:val="Hyperlink"/>
            <w:sz w:val="24"/>
            <w:szCs w:val="24"/>
          </w:rPr>
          <w:t xml:space="preserve">NHS England </w:t>
        </w:r>
      </w:hyperlink>
    </w:p>
  </w:footnote>
  <w:footnote w:id="12">
    <w:p w14:paraId="673D9BA8" w14:textId="766F7F21" w:rsidR="00E353F0" w:rsidRDefault="00E353F0">
      <w:pPr>
        <w:pStyle w:val="FootnoteText"/>
      </w:pPr>
      <w:r>
        <w:rPr>
          <w:rStyle w:val="FootnoteReference"/>
        </w:rPr>
        <w:footnoteRef/>
      </w:r>
      <w:r>
        <w:t xml:space="preserve"> </w:t>
      </w:r>
      <w:hyperlink r:id="rId11" w:history="1">
        <w:r w:rsidR="0066782C" w:rsidRPr="0081108D">
          <w:rPr>
            <w:rStyle w:val="Hyperlink"/>
            <w:sz w:val="24"/>
            <w:szCs w:val="24"/>
          </w:rPr>
          <w:t>Office for National Statistics</w:t>
        </w:r>
      </w:hyperlink>
    </w:p>
  </w:footnote>
  <w:footnote w:id="13">
    <w:p w14:paraId="5BD8414B" w14:textId="526B811B" w:rsidR="008E44B7" w:rsidRPr="0011220F" w:rsidRDefault="008E44B7">
      <w:pPr>
        <w:pStyle w:val="FootnoteText"/>
        <w:rPr>
          <w:color w:val="262626" w:themeColor="text1"/>
        </w:rPr>
      </w:pPr>
      <w:r>
        <w:rPr>
          <w:rStyle w:val="FootnoteReference"/>
        </w:rPr>
        <w:footnoteRef/>
      </w:r>
      <w:r>
        <w:t xml:space="preserve"> </w:t>
      </w:r>
      <w:hyperlink r:id="rId12" w:anchor=":~:text=Between%202009%2F10%20and%202013%2F14%20the%20amount%20of%20public,Kingdom%20from%202009%2F10%20to%202021%2F22%20%28in%20billion%20GBP%29" w:history="1">
        <w:r w:rsidR="0011220F" w:rsidRPr="00BA37E5">
          <w:rPr>
            <w:rStyle w:val="Hyperlink"/>
            <w:sz w:val="24"/>
            <w:szCs w:val="48"/>
          </w:rPr>
          <w:t xml:space="preserve">UK police spending </w:t>
        </w:r>
      </w:hyperlink>
    </w:p>
  </w:footnote>
  <w:footnote w:id="14">
    <w:p w14:paraId="0B7401C3" w14:textId="57D93538" w:rsidR="0046328E" w:rsidRDefault="0046328E" w:rsidP="0046328E">
      <w:pPr>
        <w:pStyle w:val="FootnoteText"/>
      </w:pPr>
      <w:r w:rsidRPr="0011220F">
        <w:rPr>
          <w:rStyle w:val="FootnoteReference"/>
          <w:color w:val="262626" w:themeColor="text1"/>
        </w:rPr>
        <w:footnoteRef/>
      </w:r>
      <w:r w:rsidRPr="0011220F">
        <w:rPr>
          <w:color w:val="262626" w:themeColor="text1"/>
        </w:rPr>
        <w:t xml:space="preserve"> </w:t>
      </w:r>
      <w:hyperlink r:id="rId13" w:anchor=":~:text=Between%202009%2F10%20and%202013%2F14%20the%20amount%20of%20public,Kingdom%20from%202009%2F10%20to%202021%2F22%20%28in%20billion%20GBP%29" w:history="1">
        <w:r w:rsidR="0011220F" w:rsidRPr="00BA37E5">
          <w:rPr>
            <w:rStyle w:val="Hyperlink"/>
            <w:sz w:val="24"/>
            <w:szCs w:val="40"/>
          </w:rPr>
          <w:t xml:space="preserve">UK police spending </w:t>
        </w:r>
      </w:hyperlink>
    </w:p>
  </w:footnote>
  <w:footnote w:id="15">
    <w:p w14:paraId="7C745C58" w14:textId="1095ABE1" w:rsidR="0046328E" w:rsidRPr="0018589C" w:rsidRDefault="0046328E" w:rsidP="0046328E">
      <w:pPr>
        <w:pStyle w:val="FootnoteText"/>
        <w:rPr>
          <w:color w:val="262626" w:themeColor="text1"/>
        </w:rPr>
      </w:pPr>
      <w:r>
        <w:rPr>
          <w:rStyle w:val="FootnoteReference"/>
        </w:rPr>
        <w:footnoteRef/>
      </w:r>
      <w:r>
        <w:t xml:space="preserve"> </w:t>
      </w:r>
      <w:hyperlink r:id="rId14" w:history="1">
        <w:r w:rsidR="00D0598E" w:rsidRPr="00BA37E5">
          <w:rPr>
            <w:rStyle w:val="Hyperlink"/>
            <w:sz w:val="24"/>
            <w:szCs w:val="32"/>
          </w:rPr>
          <w:t>Fire and rescue workforce</w:t>
        </w:r>
      </w:hyperlink>
    </w:p>
  </w:footnote>
  <w:footnote w:id="16">
    <w:p w14:paraId="17079940" w14:textId="062E893B" w:rsidR="0046328E" w:rsidRDefault="0046328E" w:rsidP="0046328E">
      <w:pPr>
        <w:pStyle w:val="FootnoteText"/>
      </w:pPr>
      <w:r>
        <w:rPr>
          <w:rStyle w:val="FootnoteReference"/>
        </w:rPr>
        <w:footnoteRef/>
      </w:r>
      <w:r>
        <w:t xml:space="preserve"> </w:t>
      </w:r>
      <w:hyperlink r:id="rId15" w:history="1">
        <w:r w:rsidR="00045BCB" w:rsidRPr="00BA37E5">
          <w:rPr>
            <w:rStyle w:val="Hyperlink"/>
            <w:sz w:val="24"/>
            <w:szCs w:val="56"/>
          </w:rPr>
          <w:t>NHS England target times</w:t>
        </w:r>
      </w:hyperlink>
    </w:p>
  </w:footnote>
  <w:footnote w:id="17">
    <w:p w14:paraId="0DE95F5B" w14:textId="5672668A" w:rsidR="00E353F0" w:rsidRDefault="00E353F0">
      <w:pPr>
        <w:pStyle w:val="FootnoteText"/>
      </w:pPr>
      <w:r>
        <w:rPr>
          <w:rStyle w:val="FootnoteReference"/>
        </w:rPr>
        <w:footnoteRef/>
      </w:r>
      <w:r>
        <w:t xml:space="preserve"> </w:t>
      </w:r>
      <w:hyperlink r:id="rId16" w:history="1">
        <w:r w:rsidR="00852A71" w:rsidRPr="00363FC4">
          <w:rPr>
            <w:rStyle w:val="Hyperlink"/>
            <w:sz w:val="24"/>
            <w:szCs w:val="24"/>
          </w:rPr>
          <w:t>Justice inspectorates GMP</w:t>
        </w:r>
      </w:hyperlink>
    </w:p>
  </w:footnote>
  <w:footnote w:id="18">
    <w:p w14:paraId="7BBEECFC" w14:textId="36A40AD2" w:rsidR="00F96F29" w:rsidRDefault="00F96F29">
      <w:pPr>
        <w:pStyle w:val="FootnoteText"/>
      </w:pPr>
      <w:r>
        <w:rPr>
          <w:rStyle w:val="FootnoteReference"/>
        </w:rPr>
        <w:footnoteRef/>
      </w:r>
      <w:r>
        <w:t xml:space="preserve"> </w:t>
      </w:r>
      <w:hyperlink r:id="rId17" w:history="1">
        <w:r w:rsidR="0089487E" w:rsidRPr="00363FC4">
          <w:rPr>
            <w:rStyle w:val="Hyperlink"/>
            <w:sz w:val="24"/>
            <w:szCs w:val="24"/>
          </w:rPr>
          <w:t>Justice inspectorates GMP</w:t>
        </w:r>
      </w:hyperlink>
    </w:p>
  </w:footnote>
  <w:footnote w:id="19">
    <w:p w14:paraId="08BD4F1F" w14:textId="53E2B601" w:rsidR="00F96F29" w:rsidRPr="00363FC4" w:rsidRDefault="00F96F29">
      <w:pPr>
        <w:pStyle w:val="FootnoteText"/>
        <w:rPr>
          <w:rStyle w:val="Hyperlink"/>
          <w:sz w:val="24"/>
          <w:szCs w:val="24"/>
        </w:rPr>
      </w:pPr>
      <w:r>
        <w:rPr>
          <w:rStyle w:val="FootnoteReference"/>
        </w:rPr>
        <w:footnoteRef/>
      </w:r>
      <w:r>
        <w:t xml:space="preserve"> </w:t>
      </w:r>
      <w:hyperlink r:id="rId18" w:history="1">
        <w:r w:rsidR="00753A52" w:rsidRPr="00363FC4">
          <w:rPr>
            <w:rStyle w:val="Hyperlink"/>
            <w:sz w:val="24"/>
            <w:szCs w:val="24"/>
          </w:rPr>
          <w:t>Police workforce, England and Wales: 31 March 2022</w:t>
        </w:r>
      </w:hyperlink>
    </w:p>
  </w:footnote>
  <w:footnote w:id="20">
    <w:p w14:paraId="691D20E2" w14:textId="63C56C57" w:rsidR="004B3A42" w:rsidRDefault="004B3A42" w:rsidP="004B3A42">
      <w:pPr>
        <w:pStyle w:val="FootnoteText"/>
      </w:pPr>
      <w:r>
        <w:rPr>
          <w:rStyle w:val="FootnoteReference"/>
        </w:rPr>
        <w:footnoteRef/>
      </w:r>
      <w:r>
        <w:t xml:space="preserve"> </w:t>
      </w:r>
      <w:hyperlink r:id="rId19" w:history="1">
        <w:r w:rsidR="00753A52" w:rsidRPr="00C31541">
          <w:rPr>
            <w:rStyle w:val="Hyperlink"/>
            <w:sz w:val="24"/>
            <w:szCs w:val="24"/>
          </w:rPr>
          <w:t>GMP Workforce</w:t>
        </w:r>
      </w:hyperlink>
    </w:p>
  </w:footnote>
  <w:footnote w:id="21">
    <w:p w14:paraId="7371D03C" w14:textId="78169C73" w:rsidR="00F96F29" w:rsidRDefault="00F96F29">
      <w:pPr>
        <w:pStyle w:val="FootnoteText"/>
      </w:pPr>
      <w:r>
        <w:rPr>
          <w:rStyle w:val="FootnoteReference"/>
        </w:rPr>
        <w:footnoteRef/>
      </w:r>
      <w:r>
        <w:t xml:space="preserve"> </w:t>
      </w:r>
      <w:hyperlink r:id="rId20" w:history="1">
        <w:r w:rsidR="00667D28" w:rsidRPr="00C31541">
          <w:rPr>
            <w:rStyle w:val="Hyperlink"/>
            <w:sz w:val="24"/>
            <w:szCs w:val="24"/>
          </w:rPr>
          <w:t>GMFRS workforce</w:t>
        </w:r>
      </w:hyperlink>
    </w:p>
  </w:footnote>
  <w:footnote w:id="22">
    <w:p w14:paraId="58CC8444" w14:textId="1414D180" w:rsidR="004B3A42" w:rsidRPr="000D76D4" w:rsidRDefault="004B3A42" w:rsidP="004B3A42">
      <w:pPr>
        <w:pStyle w:val="FootnoteText"/>
        <w:rPr>
          <w:rStyle w:val="Hyperlink"/>
          <w:sz w:val="24"/>
          <w:szCs w:val="24"/>
        </w:rPr>
      </w:pPr>
      <w:r>
        <w:rPr>
          <w:rStyle w:val="FootnoteReference"/>
        </w:rPr>
        <w:footnoteRef/>
      </w:r>
      <w:r>
        <w:t xml:space="preserve"> </w:t>
      </w:r>
      <w:hyperlink r:id="rId21" w:history="1">
        <w:r w:rsidR="001C649D" w:rsidRPr="000D76D4">
          <w:rPr>
            <w:rStyle w:val="Hyperlink"/>
            <w:sz w:val="24"/>
            <w:szCs w:val="24"/>
          </w:rPr>
          <w:t xml:space="preserve">Fire and rescue workforce </w:t>
        </w:r>
      </w:hyperlink>
    </w:p>
  </w:footnote>
  <w:footnote w:id="23">
    <w:p w14:paraId="7FA12664" w14:textId="59A0CE0B" w:rsidR="002D15A0" w:rsidRDefault="002D15A0">
      <w:pPr>
        <w:pStyle w:val="FootnoteText"/>
      </w:pPr>
      <w:r>
        <w:rPr>
          <w:rStyle w:val="FootnoteReference"/>
        </w:rPr>
        <w:footnoteRef/>
      </w:r>
      <w:r>
        <w:t xml:space="preserve"> </w:t>
      </w:r>
      <w:hyperlink r:id="rId22" w:history="1">
        <w:r w:rsidR="00FB1E75">
          <w:rPr>
            <w:color w:val="auto"/>
            <w:sz w:val="24"/>
            <w:szCs w:val="22"/>
          </w:rPr>
          <w:t xml:space="preserve"> </w:t>
        </w:r>
        <w:r w:rsidR="00FB1E75" w:rsidRPr="00827AE5">
          <w:rPr>
            <w:rStyle w:val="Hyperlink"/>
            <w:sz w:val="24"/>
            <w:szCs w:val="24"/>
          </w:rPr>
          <w:t>NWAS workforce</w:t>
        </w:r>
      </w:hyperlink>
    </w:p>
  </w:footnote>
  <w:footnote w:id="24">
    <w:p w14:paraId="3BD469BB" w14:textId="627DAC93" w:rsidR="004B3A42" w:rsidRDefault="004B3A42" w:rsidP="004B3A42">
      <w:pPr>
        <w:pStyle w:val="FootnoteText"/>
      </w:pPr>
      <w:r>
        <w:rPr>
          <w:rStyle w:val="FootnoteReference"/>
        </w:rPr>
        <w:footnoteRef/>
      </w:r>
      <w:r>
        <w:t xml:space="preserve"> </w:t>
      </w:r>
      <w:hyperlink r:id="rId23" w:history="1">
        <w:r w:rsidR="009E1DEC" w:rsidRPr="005C5501">
          <w:rPr>
            <w:rStyle w:val="Hyperlink"/>
            <w:sz w:val="24"/>
            <w:szCs w:val="24"/>
          </w:rPr>
          <w:t>Workforce Race Equality Standard 2021/22 data</w:t>
        </w:r>
      </w:hyperlink>
    </w:p>
  </w:footnote>
  <w:footnote w:id="25">
    <w:p w14:paraId="5EE9060B" w14:textId="72293D87" w:rsidR="004B3A42" w:rsidRDefault="004B3A42" w:rsidP="004B3A42">
      <w:pPr>
        <w:pStyle w:val="FootnoteText"/>
      </w:pPr>
      <w:r>
        <w:rPr>
          <w:rStyle w:val="FootnoteReference"/>
        </w:rPr>
        <w:footnoteRef/>
      </w:r>
      <w:r>
        <w:t xml:space="preserve"> </w:t>
      </w:r>
      <w:hyperlink r:id="rId24" w:history="1">
        <w:r w:rsidR="00234A60">
          <w:rPr>
            <w:color w:val="auto"/>
            <w:sz w:val="24"/>
            <w:szCs w:val="22"/>
          </w:rPr>
          <w:t xml:space="preserve"> </w:t>
        </w:r>
        <w:r w:rsidR="00234A60" w:rsidRPr="00FE0D79">
          <w:rPr>
            <w:rStyle w:val="Hyperlink"/>
            <w:sz w:val="24"/>
            <w:szCs w:val="24"/>
          </w:rPr>
          <w:t xml:space="preserve">NHS Staff Survey </w:t>
        </w:r>
      </w:hyperlink>
    </w:p>
  </w:footnote>
  <w:footnote w:id="26">
    <w:p w14:paraId="6B2C082D" w14:textId="1F92752B" w:rsidR="00773D27" w:rsidRDefault="00773D27" w:rsidP="00773D27">
      <w:pPr>
        <w:pStyle w:val="FootnoteText"/>
      </w:pPr>
      <w:r>
        <w:rPr>
          <w:rStyle w:val="FootnoteReference"/>
        </w:rPr>
        <w:footnoteRef/>
      </w:r>
      <w:r>
        <w:t xml:space="preserve"> </w:t>
      </w:r>
      <w:hyperlink r:id="rId25" w:history="1">
        <w:r w:rsidR="008B53D4" w:rsidRPr="0089030F">
          <w:rPr>
            <w:rStyle w:val="Hyperlink"/>
            <w:sz w:val="24"/>
            <w:szCs w:val="24"/>
          </w:rPr>
          <w:t xml:space="preserve">Police officers facing mental health crisis </w:t>
        </w:r>
      </w:hyperlink>
    </w:p>
  </w:footnote>
  <w:footnote w:id="27">
    <w:p w14:paraId="13429B2A" w14:textId="75BBA259" w:rsidR="00773D27" w:rsidRDefault="00773D27" w:rsidP="00773D27">
      <w:pPr>
        <w:pStyle w:val="FootnoteText"/>
      </w:pPr>
      <w:r>
        <w:rPr>
          <w:rStyle w:val="FootnoteReference"/>
        </w:rPr>
        <w:footnoteRef/>
      </w:r>
      <w:r>
        <w:t xml:space="preserve"> </w:t>
      </w:r>
      <w:hyperlink r:id="rId26" w:history="1">
        <w:r w:rsidR="008B53D4" w:rsidRPr="0089030F">
          <w:rPr>
            <w:rStyle w:val="Hyperlink"/>
            <w:sz w:val="24"/>
            <w:szCs w:val="24"/>
          </w:rPr>
          <w:t xml:space="preserve">Police </w:t>
        </w:r>
        <w:r w:rsidR="00245949" w:rsidRPr="0089030F">
          <w:rPr>
            <w:rStyle w:val="Hyperlink"/>
            <w:sz w:val="24"/>
            <w:szCs w:val="24"/>
          </w:rPr>
          <w:t>officers’</w:t>
        </w:r>
        <w:r w:rsidR="008B53D4" w:rsidRPr="0089030F">
          <w:rPr>
            <w:rStyle w:val="Hyperlink"/>
            <w:sz w:val="24"/>
            <w:szCs w:val="24"/>
          </w:rPr>
          <w:t xml:space="preserve"> wellbeing</w:t>
        </w:r>
      </w:hyperlink>
    </w:p>
  </w:footnote>
  <w:footnote w:id="28">
    <w:p w14:paraId="10E1A5C2" w14:textId="66335425" w:rsidR="00773D27" w:rsidRDefault="00773D27" w:rsidP="00773D27">
      <w:pPr>
        <w:pStyle w:val="FootnoteText"/>
      </w:pPr>
      <w:r>
        <w:rPr>
          <w:rStyle w:val="FootnoteReference"/>
        </w:rPr>
        <w:footnoteRef/>
      </w:r>
      <w:r>
        <w:t xml:space="preserve"> </w:t>
      </w:r>
      <w:hyperlink r:id="rId27" w:history="1">
        <w:r w:rsidR="00854BB0" w:rsidRPr="005A55FB">
          <w:rPr>
            <w:rStyle w:val="Hyperlink"/>
            <w:sz w:val="24"/>
            <w:szCs w:val="24"/>
          </w:rPr>
          <w:t>Strategic Assessment of Risk</w:t>
        </w:r>
      </w:hyperlink>
    </w:p>
  </w:footnote>
  <w:footnote w:id="29">
    <w:p w14:paraId="4E482557" w14:textId="2DF70D95" w:rsidR="00D500D7" w:rsidRDefault="00D500D7">
      <w:pPr>
        <w:pStyle w:val="FootnoteText"/>
      </w:pPr>
      <w:r>
        <w:rPr>
          <w:rStyle w:val="FootnoteReference"/>
        </w:rPr>
        <w:footnoteRef/>
      </w:r>
      <w:r>
        <w:t xml:space="preserve"> </w:t>
      </w:r>
      <w:hyperlink r:id="rId28" w:history="1">
        <w:r w:rsidR="00D51364" w:rsidRPr="002B4D82">
          <w:rPr>
            <w:rStyle w:val="Hyperlink"/>
            <w:sz w:val="24"/>
            <w:szCs w:val="24"/>
          </w:rPr>
          <w:t>NWAS staff digital wellbeing programme</w:t>
        </w:r>
      </w:hyperlink>
    </w:p>
  </w:footnote>
  <w:footnote w:id="30">
    <w:p w14:paraId="1BCAD66B" w14:textId="77777777" w:rsidR="00075F32" w:rsidRDefault="00075F32" w:rsidP="00075F32">
      <w:pPr>
        <w:pStyle w:val="FootnoteText"/>
      </w:pPr>
      <w:r>
        <w:rPr>
          <w:rStyle w:val="FootnoteReference"/>
        </w:rPr>
        <w:footnoteRef/>
      </w:r>
      <w:r>
        <w:t xml:space="preserve"> </w:t>
      </w:r>
      <w:hyperlink r:id="rId29" w:history="1">
        <w:r w:rsidRPr="00D37BA4">
          <w:rPr>
            <w:rStyle w:val="Hyperlink"/>
            <w:sz w:val="24"/>
            <w:szCs w:val="24"/>
          </w:rPr>
          <w:t>NHS 111 First</w:t>
        </w:r>
      </w:hyperlink>
    </w:p>
  </w:footnote>
  <w:footnote w:id="31">
    <w:p w14:paraId="7A009C0A" w14:textId="6FB1044C" w:rsidR="00D870B5" w:rsidRDefault="00D870B5" w:rsidP="00D870B5">
      <w:pPr>
        <w:pStyle w:val="FootnoteText"/>
      </w:pPr>
      <w:r>
        <w:rPr>
          <w:rStyle w:val="FootnoteReference"/>
        </w:rPr>
        <w:footnoteRef/>
      </w:r>
      <w:r>
        <w:t xml:space="preserve"> </w:t>
      </w:r>
      <w:hyperlink r:id="rId30" w:anchor=":~:text=The%20Global%20Digital%20Exemplar%20%28GDE%29%20Programme%20is%20an,national%20learning%20ecosystem%20to%20spread%20the%20knowledge%20acquired." w:history="1">
        <w:r w:rsidR="00325F38" w:rsidRPr="00F15738">
          <w:rPr>
            <w:rStyle w:val="Hyperlink"/>
            <w:sz w:val="24"/>
            <w:szCs w:val="24"/>
          </w:rPr>
          <w:t xml:space="preserve">Global Digital Exemplar programme </w:t>
        </w:r>
      </w:hyperlink>
    </w:p>
  </w:footnote>
  <w:footnote w:id="32">
    <w:p w14:paraId="354CCC68" w14:textId="5A965BCB" w:rsidR="005D46D2" w:rsidRPr="000D5675" w:rsidRDefault="005D46D2">
      <w:pPr>
        <w:pStyle w:val="FootnoteText"/>
        <w:rPr>
          <w:color w:val="262626" w:themeColor="text1"/>
        </w:rPr>
      </w:pPr>
      <w:r>
        <w:rPr>
          <w:rStyle w:val="FootnoteReference"/>
        </w:rPr>
        <w:footnoteRef/>
      </w:r>
      <w:r>
        <w:t xml:space="preserve"> </w:t>
      </w:r>
      <w:hyperlink r:id="rId31" w:history="1">
        <w:r w:rsidR="000D5675" w:rsidRPr="00AC2497">
          <w:rPr>
            <w:rStyle w:val="Hyperlink"/>
            <w:sz w:val="24"/>
            <w:szCs w:val="24"/>
          </w:rPr>
          <w:t>Digital policing (npcc.police.uk)</w:t>
        </w:r>
      </w:hyperlink>
    </w:p>
  </w:footnote>
  <w:footnote w:id="33">
    <w:p w14:paraId="5B6CE61B" w14:textId="459BC3B1" w:rsidR="00762266" w:rsidRPr="00992544" w:rsidRDefault="00762266">
      <w:pPr>
        <w:pStyle w:val="FootnoteText"/>
        <w:rPr>
          <w:color w:val="auto"/>
        </w:rPr>
      </w:pPr>
      <w:r>
        <w:rPr>
          <w:rStyle w:val="FootnoteReference"/>
        </w:rPr>
        <w:footnoteRef/>
      </w:r>
      <w:r>
        <w:t xml:space="preserve"> </w:t>
      </w:r>
      <w:hyperlink r:id="rId32" w:anchor=":~:text=The%20Interim%20NHS%20people%20plan%20gives%20an%20immediate,available%20to%20support%20the%20education%20and%20training%20required." w:history="1">
        <w:r w:rsidR="00992544" w:rsidRPr="00992544">
          <w:rPr>
            <w:color w:val="auto"/>
            <w:sz w:val="24"/>
            <w:szCs w:val="22"/>
          </w:rPr>
          <w:t xml:space="preserve"> </w:t>
        </w:r>
        <w:r w:rsidR="00992544" w:rsidRPr="00770DA0">
          <w:rPr>
            <w:rStyle w:val="Hyperlink"/>
            <w:sz w:val="24"/>
            <w:szCs w:val="24"/>
          </w:rPr>
          <w:t>Interim NHS people plan</w:t>
        </w:r>
      </w:hyperlink>
    </w:p>
  </w:footnote>
  <w:footnote w:id="34">
    <w:p w14:paraId="2E51ED77" w14:textId="715444BC" w:rsidR="00762266" w:rsidRDefault="00762266">
      <w:pPr>
        <w:pStyle w:val="FootnoteText"/>
      </w:pPr>
      <w:r>
        <w:rPr>
          <w:rStyle w:val="FootnoteReference"/>
        </w:rPr>
        <w:footnoteRef/>
      </w:r>
      <w:r>
        <w:t xml:space="preserve"> </w:t>
      </w:r>
      <w:hyperlink r:id="rId33" w:history="1">
        <w:r w:rsidR="00FE17F3" w:rsidRPr="000E2ADF">
          <w:rPr>
            <w:rStyle w:val="Hyperlink"/>
            <w:sz w:val="24"/>
            <w:szCs w:val="24"/>
          </w:rPr>
          <w:t>Ofsted NWAS inspection</w:t>
        </w:r>
        <w:r w:rsidR="00FE17F3">
          <w:rPr>
            <w:color w:val="262626" w:themeColor="text1"/>
            <w:sz w:val="24"/>
            <w:szCs w:val="22"/>
          </w:rPr>
          <w:t xml:space="preserve"> </w:t>
        </w:r>
      </w:hyperlink>
    </w:p>
  </w:footnote>
  <w:footnote w:id="35">
    <w:p w14:paraId="5BB6B78B" w14:textId="62A079AA" w:rsidR="003826EA" w:rsidRDefault="003826EA" w:rsidP="003826EA">
      <w:pPr>
        <w:pStyle w:val="FootnoteText"/>
      </w:pPr>
      <w:r>
        <w:rPr>
          <w:rStyle w:val="FootnoteReference"/>
        </w:rPr>
        <w:footnoteRef/>
      </w:r>
      <w:r>
        <w:t xml:space="preserve"> </w:t>
      </w:r>
      <w:hyperlink r:id="rId34" w:history="1">
        <w:r w:rsidR="00E66ECB" w:rsidRPr="00623ABC">
          <w:rPr>
            <w:rStyle w:val="Hyperlink"/>
            <w:sz w:val="24"/>
            <w:szCs w:val="24"/>
          </w:rPr>
          <w:t xml:space="preserve">Force Contact Centre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EA89" w14:textId="2E7BF84D" w:rsidR="00B22BF3" w:rsidRDefault="00F9554B" w:rsidP="007629A9">
    <w:pPr>
      <w:pStyle w:val="Heading2"/>
      <w:tabs>
        <w:tab w:val="left" w:pos="1245"/>
      </w:tabs>
      <w:rPr>
        <w:color w:val="AFB9B6"/>
        <w:sz w:val="22"/>
        <w:szCs w:val="22"/>
      </w:rPr>
    </w:pPr>
    <w:r>
      <w:rPr>
        <w:noProof/>
      </w:rPr>
      <mc:AlternateContent>
        <mc:Choice Requires="wps">
          <w:drawing>
            <wp:inline distT="0" distB="0" distL="0" distR="0" wp14:anchorId="1498944E" wp14:editId="5F0D7BBA">
              <wp:extent cx="5724525" cy="333375"/>
              <wp:effectExtent l="0" t="0" r="9525" b="9525"/>
              <wp:docPr id="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333375"/>
                      </a:xfrm>
                      <a:prstGeom prst="rect">
                        <a:avLst/>
                      </a:prstGeom>
                      <a:solidFill>
                        <a:srgbClr val="ED641C"/>
                      </a:solidFill>
                      <a:ln w="6350">
                        <a:noFill/>
                      </a:ln>
                    </wps:spPr>
                    <wps:txbx>
                      <w:txbxContent>
                        <w:p w14:paraId="2947DAB0" w14:textId="5F66766A" w:rsidR="00B22BF3" w:rsidRPr="001300EB" w:rsidRDefault="00B22BF3">
                          <w:pPr>
                            <w:rPr>
                              <w:b/>
                              <w:bCs/>
                              <w:color w:val="FFFFFF" w:themeColor="background1"/>
                            </w:rPr>
                          </w:pPr>
                          <w:r w:rsidRPr="009B3649">
                            <w:rPr>
                              <w:b/>
                              <w:bCs/>
                              <w:color w:val="auto"/>
                            </w:rPr>
                            <w:t xml:space="preserve">Industry Labour Market and Skills Intelligence Report: </w:t>
                          </w:r>
                          <w:r w:rsidR="00A24CE7" w:rsidRPr="009B3649">
                            <w:rPr>
                              <w:b/>
                              <w:bCs/>
                              <w:color w:val="auto"/>
                            </w:rPr>
                            <w:t>E</w:t>
                          </w:r>
                          <w:r w:rsidR="00351166" w:rsidRPr="009B3649">
                            <w:rPr>
                              <w:b/>
                              <w:bCs/>
                              <w:color w:val="auto"/>
                            </w:rPr>
                            <w:t>mergency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98944E" id="_x0000_t202" coordsize="21600,21600" o:spt="202" path="m,l,21600r21600,l21600,xe">
              <v:stroke joinstyle="miter"/>
              <v:path gradientshapeok="t" o:connecttype="rect"/>
            </v:shapetype>
            <v:shape id="Text Box 76" o:spid="_x0000_s1027" type="#_x0000_t202" style="width:450.7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" fillcolor="#ed641c" stroked="f" strokeweight=".5pt">
              <v:textbox>
                <w:txbxContent>
                  <w:p w14:paraId="2947DAB0" w14:textId="5F66766A" w:rsidR="00B22BF3" w:rsidRPr="001300EB" w:rsidRDefault="00B22BF3">
                    <w:pPr>
                      <w:rPr>
                        <w:b/>
                        <w:bCs/>
                        <w:color w:val="FFFFFF" w:themeColor="background1"/>
                      </w:rPr>
                    </w:pPr>
                    <w:r w:rsidRPr="009B3649">
                      <w:rPr>
                        <w:b/>
                        <w:bCs/>
                        <w:color w:val="auto"/>
                      </w:rPr>
                      <w:t xml:space="preserve">Industry Labour Market and Skills Intelligence Report: </w:t>
                    </w:r>
                    <w:r w:rsidR="00A24CE7" w:rsidRPr="009B3649">
                      <w:rPr>
                        <w:b/>
                        <w:bCs/>
                        <w:color w:val="auto"/>
                      </w:rPr>
                      <w:t>E</w:t>
                    </w:r>
                    <w:r w:rsidR="00351166" w:rsidRPr="009B3649">
                      <w:rPr>
                        <w:b/>
                        <w:bCs/>
                        <w:color w:val="auto"/>
                      </w:rPr>
                      <w:t>mergency Services</w:t>
                    </w:r>
                  </w:p>
                </w:txbxContent>
              </v:textbox>
              <w10:anchorlock/>
            </v:shape>
          </w:pict>
        </mc:Fallback>
      </mc:AlternateContent>
    </w:r>
    <w:r w:rsidR="00B22BF3">
      <w:rPr>
        <w:sz w:val="22"/>
        <w:szCs w:val="22"/>
      </w:rPr>
      <w:tab/>
    </w:r>
  </w:p>
  <w:p w14:paraId="6A4E8493" w14:textId="77777777" w:rsidR="00B22BF3" w:rsidRDefault="00B22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DE2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16AE3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D053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2E13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A3E38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FEB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CA41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50F9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E0F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EEF6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10FDC"/>
    <w:multiLevelType w:val="hybridMultilevel"/>
    <w:tmpl w:val="3A0AF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34D4B32"/>
    <w:multiLevelType w:val="hybridMultilevel"/>
    <w:tmpl w:val="E63E9F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81663CC"/>
    <w:multiLevelType w:val="hybridMultilevel"/>
    <w:tmpl w:val="98D23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9DF5F9E"/>
    <w:multiLevelType w:val="hybridMultilevel"/>
    <w:tmpl w:val="F89C33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A1E6092"/>
    <w:multiLevelType w:val="hybridMultilevel"/>
    <w:tmpl w:val="EF342104"/>
    <w:lvl w:ilvl="0" w:tplc="0FB846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731F93"/>
    <w:multiLevelType w:val="hybridMultilevel"/>
    <w:tmpl w:val="1E14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5D204E"/>
    <w:multiLevelType w:val="hybridMultilevel"/>
    <w:tmpl w:val="1598B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EF7454A"/>
    <w:multiLevelType w:val="hybridMultilevel"/>
    <w:tmpl w:val="CE90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9F11C1"/>
    <w:multiLevelType w:val="multilevel"/>
    <w:tmpl w:val="8CB0C3B8"/>
    <w:lvl w:ilvl="0">
      <w:start w:val="2"/>
      <w:numFmt w:val="decimal"/>
      <w:lvlText w:val="(%1."/>
      <w:lvlJc w:val="left"/>
      <w:pPr>
        <w:ind w:left="504" w:hanging="504"/>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72C2F00"/>
    <w:multiLevelType w:val="hybridMultilevel"/>
    <w:tmpl w:val="AB488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B596B86"/>
    <w:multiLevelType w:val="hybridMultilevel"/>
    <w:tmpl w:val="A78C4E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B7E5AA3"/>
    <w:multiLevelType w:val="hybridMultilevel"/>
    <w:tmpl w:val="C0621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DE627F8"/>
    <w:multiLevelType w:val="hybridMultilevel"/>
    <w:tmpl w:val="27F44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0656F16"/>
    <w:multiLevelType w:val="hybridMultilevel"/>
    <w:tmpl w:val="D81AF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0F1628D"/>
    <w:multiLevelType w:val="hybridMultilevel"/>
    <w:tmpl w:val="F9E440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5B84E93"/>
    <w:multiLevelType w:val="hybridMultilevel"/>
    <w:tmpl w:val="25664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BEF2FCC"/>
    <w:multiLevelType w:val="hybridMultilevel"/>
    <w:tmpl w:val="C6343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46D02CA"/>
    <w:multiLevelType w:val="hybridMultilevel"/>
    <w:tmpl w:val="67BC1312"/>
    <w:lvl w:ilvl="0" w:tplc="02A24D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D5AC5"/>
    <w:multiLevelType w:val="hybridMultilevel"/>
    <w:tmpl w:val="1E1697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F734CE7"/>
    <w:multiLevelType w:val="hybridMultilevel"/>
    <w:tmpl w:val="065404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01B0D65"/>
    <w:multiLevelType w:val="hybridMultilevel"/>
    <w:tmpl w:val="2020D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87B5490"/>
    <w:multiLevelType w:val="hybridMultilevel"/>
    <w:tmpl w:val="9ECA5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172BDF"/>
    <w:multiLevelType w:val="multilevel"/>
    <w:tmpl w:val="4E4C4518"/>
    <w:lvl w:ilvl="0">
      <w:start w:val="1"/>
      <w:numFmt w:val="decimal"/>
      <w:lvlText w:val="(%1."/>
      <w:lvlJc w:val="left"/>
      <w:pPr>
        <w:ind w:left="504" w:hanging="504"/>
      </w:pPr>
      <w:rPr>
        <w:rFonts w:hint="default"/>
      </w:rPr>
    </w:lvl>
    <w:lvl w:ilvl="1">
      <w:start w:val="1"/>
      <w:numFmt w:val="decimal"/>
      <w:lvlText w:val="%2."/>
      <w:lvlJc w:val="left"/>
      <w:pPr>
        <w:ind w:left="360" w:hanging="360"/>
      </w:pPr>
      <w:rPr>
        <w:rFonts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9F178A5"/>
    <w:multiLevelType w:val="hybridMultilevel"/>
    <w:tmpl w:val="534861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BE97F7B"/>
    <w:multiLevelType w:val="multilevel"/>
    <w:tmpl w:val="3940A998"/>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ED519C"/>
    <w:multiLevelType w:val="multilevel"/>
    <w:tmpl w:val="3940A99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0B14D78"/>
    <w:multiLevelType w:val="hybridMultilevel"/>
    <w:tmpl w:val="39607F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984933"/>
    <w:multiLevelType w:val="hybridMultilevel"/>
    <w:tmpl w:val="D4964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2BF2CB1"/>
    <w:multiLevelType w:val="hybridMultilevel"/>
    <w:tmpl w:val="4CDAB0E4"/>
    <w:lvl w:ilvl="0" w:tplc="D1BC9B8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F0F81"/>
    <w:multiLevelType w:val="hybridMultilevel"/>
    <w:tmpl w:val="5A40D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935831"/>
    <w:multiLevelType w:val="hybridMultilevel"/>
    <w:tmpl w:val="9476FEDC"/>
    <w:lvl w:ilvl="0" w:tplc="E1029B66">
      <w:start w:val="1"/>
      <w:numFmt w:val="decimal"/>
      <w:pStyle w:val="NormalWeb"/>
      <w:lvlText w:val="%1."/>
      <w:lvlJc w:val="left"/>
      <w:pPr>
        <w:ind w:left="360" w:hanging="360"/>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1" w15:restartNumberingAfterBreak="0">
    <w:nsid w:val="71A75A75"/>
    <w:multiLevelType w:val="hybridMultilevel"/>
    <w:tmpl w:val="0504B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D667AA"/>
    <w:multiLevelType w:val="multilevel"/>
    <w:tmpl w:val="FA4AA7BC"/>
    <w:lvl w:ilvl="0">
      <w:start w:val="1"/>
      <w:numFmt w:val="bullet"/>
      <w:lvlText w:val=""/>
      <w:lvlJc w:val="left"/>
      <w:pPr>
        <w:ind w:left="1008" w:hanging="504"/>
      </w:pPr>
      <w:rPr>
        <w:rFonts w:ascii="Symbol" w:hAnsi="Symbol" w:hint="default"/>
      </w:rPr>
    </w:lvl>
    <w:lvl w:ilvl="1">
      <w:start w:val="1"/>
      <w:numFmt w:val="bullet"/>
      <w:lvlText w:val=""/>
      <w:lvlJc w:val="left"/>
      <w:pPr>
        <w:ind w:left="864" w:hanging="360"/>
      </w:pPr>
      <w:rPr>
        <w:rFonts w:ascii="Symbol" w:hAnsi="Symbol" w:hint="default"/>
      </w:rPr>
    </w:lvl>
    <w:lvl w:ilvl="2">
      <w:start w:val="1"/>
      <w:numFmt w:val="decimal"/>
      <w:lvlText w:val="(%1.%2)%3."/>
      <w:lvlJc w:val="left"/>
      <w:pPr>
        <w:ind w:left="1224" w:hanging="720"/>
      </w:pPr>
      <w:rPr>
        <w:rFonts w:hint="default"/>
      </w:rPr>
    </w:lvl>
    <w:lvl w:ilvl="3">
      <w:start w:val="1"/>
      <w:numFmt w:val="decimal"/>
      <w:lvlText w:val="(%1.%2)%3.%4."/>
      <w:lvlJc w:val="left"/>
      <w:pPr>
        <w:ind w:left="1584" w:hanging="1080"/>
      </w:pPr>
      <w:rPr>
        <w:rFonts w:hint="default"/>
      </w:rPr>
    </w:lvl>
    <w:lvl w:ilvl="4">
      <w:start w:val="1"/>
      <w:numFmt w:val="decimal"/>
      <w:lvlText w:val="(%1.%2)%3.%4.%5."/>
      <w:lvlJc w:val="left"/>
      <w:pPr>
        <w:ind w:left="1944" w:hanging="1440"/>
      </w:pPr>
      <w:rPr>
        <w:rFonts w:hint="default"/>
      </w:rPr>
    </w:lvl>
    <w:lvl w:ilvl="5">
      <w:start w:val="1"/>
      <w:numFmt w:val="decimal"/>
      <w:lvlText w:val="(%1.%2)%3.%4.%5.%6."/>
      <w:lvlJc w:val="left"/>
      <w:pPr>
        <w:ind w:left="1944" w:hanging="1440"/>
      </w:pPr>
      <w:rPr>
        <w:rFonts w:hint="default"/>
      </w:rPr>
    </w:lvl>
    <w:lvl w:ilvl="6">
      <w:start w:val="1"/>
      <w:numFmt w:val="decimal"/>
      <w:lvlText w:val="(%1.%2)%3.%4.%5.%6.%7."/>
      <w:lvlJc w:val="left"/>
      <w:pPr>
        <w:ind w:left="2304"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664" w:hanging="2160"/>
      </w:pPr>
      <w:rPr>
        <w:rFonts w:hint="default"/>
      </w:rPr>
    </w:lvl>
  </w:abstractNum>
  <w:abstractNum w:abstractNumId="43" w15:restartNumberingAfterBreak="0">
    <w:nsid w:val="7C646602"/>
    <w:multiLevelType w:val="hybridMultilevel"/>
    <w:tmpl w:val="599AC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8169A2"/>
    <w:multiLevelType w:val="hybridMultilevel"/>
    <w:tmpl w:val="8F1A83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F082D23"/>
    <w:multiLevelType w:val="hybridMultilevel"/>
    <w:tmpl w:val="85DAA1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5677693">
    <w:abstractNumId w:val="40"/>
  </w:num>
  <w:num w:numId="2" w16cid:durableId="871305970">
    <w:abstractNumId w:val="12"/>
  </w:num>
  <w:num w:numId="3" w16cid:durableId="233979752">
    <w:abstractNumId w:val="39"/>
  </w:num>
  <w:num w:numId="4" w16cid:durableId="156115899">
    <w:abstractNumId w:val="42"/>
  </w:num>
  <w:num w:numId="5" w16cid:durableId="909072981">
    <w:abstractNumId w:val="32"/>
  </w:num>
  <w:num w:numId="6" w16cid:durableId="983847534">
    <w:abstractNumId w:val="36"/>
  </w:num>
  <w:num w:numId="7" w16cid:durableId="580482356">
    <w:abstractNumId w:val="17"/>
  </w:num>
  <w:num w:numId="8" w16cid:durableId="742412418">
    <w:abstractNumId w:val="31"/>
  </w:num>
  <w:num w:numId="9" w16cid:durableId="298271278">
    <w:abstractNumId w:val="33"/>
  </w:num>
  <w:num w:numId="10" w16cid:durableId="2087415345">
    <w:abstractNumId w:val="15"/>
  </w:num>
  <w:num w:numId="11" w16cid:durableId="2064324330">
    <w:abstractNumId w:val="29"/>
  </w:num>
  <w:num w:numId="12" w16cid:durableId="543059581">
    <w:abstractNumId w:val="44"/>
  </w:num>
  <w:num w:numId="13" w16cid:durableId="1827823119">
    <w:abstractNumId w:val="25"/>
  </w:num>
  <w:num w:numId="14" w16cid:durableId="1639991691">
    <w:abstractNumId w:val="19"/>
  </w:num>
  <w:num w:numId="15" w16cid:durableId="2097822607">
    <w:abstractNumId w:val="24"/>
  </w:num>
  <w:num w:numId="16" w16cid:durableId="1971395945">
    <w:abstractNumId w:val="41"/>
  </w:num>
  <w:num w:numId="17" w16cid:durableId="203756334">
    <w:abstractNumId w:val="45"/>
  </w:num>
  <w:num w:numId="18" w16cid:durableId="2073311557">
    <w:abstractNumId w:val="37"/>
  </w:num>
  <w:num w:numId="19" w16cid:durableId="175076953">
    <w:abstractNumId w:val="16"/>
  </w:num>
  <w:num w:numId="20" w16cid:durableId="1584295418">
    <w:abstractNumId w:val="35"/>
  </w:num>
  <w:num w:numId="21" w16cid:durableId="997153945">
    <w:abstractNumId w:val="26"/>
  </w:num>
  <w:num w:numId="22" w16cid:durableId="1287664823">
    <w:abstractNumId w:val="10"/>
  </w:num>
  <w:num w:numId="23" w16cid:durableId="1195073896">
    <w:abstractNumId w:val="22"/>
  </w:num>
  <w:num w:numId="24" w16cid:durableId="1187989868">
    <w:abstractNumId w:val="11"/>
  </w:num>
  <w:num w:numId="25" w16cid:durableId="1860117690">
    <w:abstractNumId w:val="23"/>
  </w:num>
  <w:num w:numId="26" w16cid:durableId="693312718">
    <w:abstractNumId w:val="28"/>
  </w:num>
  <w:num w:numId="27" w16cid:durableId="647514184">
    <w:abstractNumId w:val="30"/>
  </w:num>
  <w:num w:numId="28" w16cid:durableId="293752737">
    <w:abstractNumId w:val="13"/>
  </w:num>
  <w:num w:numId="29" w16cid:durableId="886337286">
    <w:abstractNumId w:val="21"/>
  </w:num>
  <w:num w:numId="30" w16cid:durableId="164171390">
    <w:abstractNumId w:val="20"/>
  </w:num>
  <w:num w:numId="31" w16cid:durableId="1888294109">
    <w:abstractNumId w:val="34"/>
  </w:num>
  <w:num w:numId="32" w16cid:durableId="1613439695">
    <w:abstractNumId w:val="14"/>
  </w:num>
  <w:num w:numId="33" w16cid:durableId="713501806">
    <w:abstractNumId w:val="27"/>
  </w:num>
  <w:num w:numId="34" w16cid:durableId="742483801">
    <w:abstractNumId w:val="43"/>
  </w:num>
  <w:num w:numId="35" w16cid:durableId="1372536474">
    <w:abstractNumId w:val="38"/>
  </w:num>
  <w:num w:numId="36" w16cid:durableId="74711871">
    <w:abstractNumId w:val="18"/>
  </w:num>
  <w:num w:numId="37" w16cid:durableId="582570607">
    <w:abstractNumId w:val="9"/>
  </w:num>
  <w:num w:numId="38" w16cid:durableId="2130051173">
    <w:abstractNumId w:val="7"/>
  </w:num>
  <w:num w:numId="39" w16cid:durableId="2057804">
    <w:abstractNumId w:val="6"/>
  </w:num>
  <w:num w:numId="40" w16cid:durableId="869683941">
    <w:abstractNumId w:val="5"/>
  </w:num>
  <w:num w:numId="41" w16cid:durableId="1887640205">
    <w:abstractNumId w:val="4"/>
  </w:num>
  <w:num w:numId="42" w16cid:durableId="76025003">
    <w:abstractNumId w:val="8"/>
  </w:num>
  <w:num w:numId="43" w16cid:durableId="285476007">
    <w:abstractNumId w:val="3"/>
  </w:num>
  <w:num w:numId="44" w16cid:durableId="194583109">
    <w:abstractNumId w:val="2"/>
  </w:num>
  <w:num w:numId="45" w16cid:durableId="29041156">
    <w:abstractNumId w:val="1"/>
  </w:num>
  <w:num w:numId="46" w16cid:durableId="99965277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4F4"/>
    <w:rsid w:val="00002BD7"/>
    <w:rsid w:val="000030E6"/>
    <w:rsid w:val="000041FB"/>
    <w:rsid w:val="00006B20"/>
    <w:rsid w:val="00007D92"/>
    <w:rsid w:val="0001046A"/>
    <w:rsid w:val="0001216D"/>
    <w:rsid w:val="0001268C"/>
    <w:rsid w:val="000131F8"/>
    <w:rsid w:val="0001415E"/>
    <w:rsid w:val="0001422C"/>
    <w:rsid w:val="000142B7"/>
    <w:rsid w:val="00016B04"/>
    <w:rsid w:val="00017118"/>
    <w:rsid w:val="00021639"/>
    <w:rsid w:val="00023496"/>
    <w:rsid w:val="0002390F"/>
    <w:rsid w:val="00023A92"/>
    <w:rsid w:val="000246DB"/>
    <w:rsid w:val="00024BA9"/>
    <w:rsid w:val="000251C1"/>
    <w:rsid w:val="00026185"/>
    <w:rsid w:val="00026CA0"/>
    <w:rsid w:val="00027F00"/>
    <w:rsid w:val="0003040F"/>
    <w:rsid w:val="00030766"/>
    <w:rsid w:val="00033B94"/>
    <w:rsid w:val="0003434E"/>
    <w:rsid w:val="000344DF"/>
    <w:rsid w:val="00035D96"/>
    <w:rsid w:val="000401C1"/>
    <w:rsid w:val="000405D1"/>
    <w:rsid w:val="000418A3"/>
    <w:rsid w:val="00044B62"/>
    <w:rsid w:val="00044C6E"/>
    <w:rsid w:val="000455EA"/>
    <w:rsid w:val="000457EB"/>
    <w:rsid w:val="00045BCB"/>
    <w:rsid w:val="00045FB5"/>
    <w:rsid w:val="00047237"/>
    <w:rsid w:val="00047A5C"/>
    <w:rsid w:val="00050314"/>
    <w:rsid w:val="000510A6"/>
    <w:rsid w:val="000521ED"/>
    <w:rsid w:val="000536F8"/>
    <w:rsid w:val="00054C8D"/>
    <w:rsid w:val="000568B0"/>
    <w:rsid w:val="00057191"/>
    <w:rsid w:val="000577FC"/>
    <w:rsid w:val="00057C21"/>
    <w:rsid w:val="00057E34"/>
    <w:rsid w:val="000631F4"/>
    <w:rsid w:val="00063EA5"/>
    <w:rsid w:val="00065525"/>
    <w:rsid w:val="00066621"/>
    <w:rsid w:val="00066F5C"/>
    <w:rsid w:val="00067254"/>
    <w:rsid w:val="000676F2"/>
    <w:rsid w:val="00067BF9"/>
    <w:rsid w:val="000713BA"/>
    <w:rsid w:val="00071C53"/>
    <w:rsid w:val="00073EC6"/>
    <w:rsid w:val="000742E6"/>
    <w:rsid w:val="000749A6"/>
    <w:rsid w:val="000755C2"/>
    <w:rsid w:val="00075F32"/>
    <w:rsid w:val="00076B5D"/>
    <w:rsid w:val="0007788D"/>
    <w:rsid w:val="00080292"/>
    <w:rsid w:val="00080AE6"/>
    <w:rsid w:val="00080B60"/>
    <w:rsid w:val="0008112B"/>
    <w:rsid w:val="00081AB3"/>
    <w:rsid w:val="00081F54"/>
    <w:rsid w:val="000820C4"/>
    <w:rsid w:val="0008244D"/>
    <w:rsid w:val="0008250C"/>
    <w:rsid w:val="00082B24"/>
    <w:rsid w:val="00083D86"/>
    <w:rsid w:val="00084426"/>
    <w:rsid w:val="0008452E"/>
    <w:rsid w:val="000845F0"/>
    <w:rsid w:val="00085C04"/>
    <w:rsid w:val="00085DB4"/>
    <w:rsid w:val="00085F66"/>
    <w:rsid w:val="000864A9"/>
    <w:rsid w:val="00086636"/>
    <w:rsid w:val="00087967"/>
    <w:rsid w:val="00087C22"/>
    <w:rsid w:val="00090063"/>
    <w:rsid w:val="0009059B"/>
    <w:rsid w:val="0009132A"/>
    <w:rsid w:val="0009143E"/>
    <w:rsid w:val="00091B8D"/>
    <w:rsid w:val="00091C84"/>
    <w:rsid w:val="0009203A"/>
    <w:rsid w:val="000936AA"/>
    <w:rsid w:val="00093B4C"/>
    <w:rsid w:val="00093BF8"/>
    <w:rsid w:val="00093FDE"/>
    <w:rsid w:val="000955CC"/>
    <w:rsid w:val="00096087"/>
    <w:rsid w:val="00097330"/>
    <w:rsid w:val="00097772"/>
    <w:rsid w:val="00097DA4"/>
    <w:rsid w:val="000A0326"/>
    <w:rsid w:val="000A1974"/>
    <w:rsid w:val="000A1B41"/>
    <w:rsid w:val="000A2870"/>
    <w:rsid w:val="000A2A52"/>
    <w:rsid w:val="000A33C1"/>
    <w:rsid w:val="000A34AB"/>
    <w:rsid w:val="000A3FDA"/>
    <w:rsid w:val="000A42D0"/>
    <w:rsid w:val="000A5556"/>
    <w:rsid w:val="000A5FA5"/>
    <w:rsid w:val="000A67FF"/>
    <w:rsid w:val="000A6853"/>
    <w:rsid w:val="000A6D37"/>
    <w:rsid w:val="000A7B0C"/>
    <w:rsid w:val="000B00E8"/>
    <w:rsid w:val="000B03AB"/>
    <w:rsid w:val="000B04F0"/>
    <w:rsid w:val="000B0652"/>
    <w:rsid w:val="000B1D5C"/>
    <w:rsid w:val="000B20C3"/>
    <w:rsid w:val="000B21A3"/>
    <w:rsid w:val="000B2A84"/>
    <w:rsid w:val="000B4AC7"/>
    <w:rsid w:val="000B5E35"/>
    <w:rsid w:val="000B6B6F"/>
    <w:rsid w:val="000B6C68"/>
    <w:rsid w:val="000B761F"/>
    <w:rsid w:val="000B797B"/>
    <w:rsid w:val="000C02EC"/>
    <w:rsid w:val="000C05C3"/>
    <w:rsid w:val="000C087D"/>
    <w:rsid w:val="000C1C53"/>
    <w:rsid w:val="000C1D5B"/>
    <w:rsid w:val="000C1E76"/>
    <w:rsid w:val="000C22E8"/>
    <w:rsid w:val="000C38DF"/>
    <w:rsid w:val="000C3EA2"/>
    <w:rsid w:val="000C4131"/>
    <w:rsid w:val="000C422D"/>
    <w:rsid w:val="000C696A"/>
    <w:rsid w:val="000C6D07"/>
    <w:rsid w:val="000C72A8"/>
    <w:rsid w:val="000C74C0"/>
    <w:rsid w:val="000C79A8"/>
    <w:rsid w:val="000D02EA"/>
    <w:rsid w:val="000D1B54"/>
    <w:rsid w:val="000D3CB8"/>
    <w:rsid w:val="000D5675"/>
    <w:rsid w:val="000D58D4"/>
    <w:rsid w:val="000D6055"/>
    <w:rsid w:val="000D611F"/>
    <w:rsid w:val="000D6CBA"/>
    <w:rsid w:val="000D76D4"/>
    <w:rsid w:val="000D7A28"/>
    <w:rsid w:val="000E06A4"/>
    <w:rsid w:val="000E118E"/>
    <w:rsid w:val="000E1195"/>
    <w:rsid w:val="000E2ADF"/>
    <w:rsid w:val="000E2E35"/>
    <w:rsid w:val="000E4FD8"/>
    <w:rsid w:val="000E640C"/>
    <w:rsid w:val="000E6D3F"/>
    <w:rsid w:val="000E7204"/>
    <w:rsid w:val="000F110D"/>
    <w:rsid w:val="000F1674"/>
    <w:rsid w:val="000F1A63"/>
    <w:rsid w:val="000F2BF0"/>
    <w:rsid w:val="000F4585"/>
    <w:rsid w:val="000F47C5"/>
    <w:rsid w:val="000F51F9"/>
    <w:rsid w:val="000F5DDE"/>
    <w:rsid w:val="000F687E"/>
    <w:rsid w:val="000F71DC"/>
    <w:rsid w:val="000F7494"/>
    <w:rsid w:val="000F7D6E"/>
    <w:rsid w:val="001000FA"/>
    <w:rsid w:val="00100320"/>
    <w:rsid w:val="001021A8"/>
    <w:rsid w:val="00102C41"/>
    <w:rsid w:val="001031CB"/>
    <w:rsid w:val="00103FF2"/>
    <w:rsid w:val="00106788"/>
    <w:rsid w:val="00106D60"/>
    <w:rsid w:val="00107031"/>
    <w:rsid w:val="001101E2"/>
    <w:rsid w:val="00111A7C"/>
    <w:rsid w:val="0011220F"/>
    <w:rsid w:val="00112777"/>
    <w:rsid w:val="001129CA"/>
    <w:rsid w:val="001134F5"/>
    <w:rsid w:val="00114089"/>
    <w:rsid w:val="00114E2D"/>
    <w:rsid w:val="00116146"/>
    <w:rsid w:val="001175AD"/>
    <w:rsid w:val="001205BA"/>
    <w:rsid w:val="001205C2"/>
    <w:rsid w:val="00120F2D"/>
    <w:rsid w:val="0012121A"/>
    <w:rsid w:val="00123069"/>
    <w:rsid w:val="0012324F"/>
    <w:rsid w:val="001233CA"/>
    <w:rsid w:val="00123A9F"/>
    <w:rsid w:val="001244B7"/>
    <w:rsid w:val="0012596F"/>
    <w:rsid w:val="00125C0E"/>
    <w:rsid w:val="001267E9"/>
    <w:rsid w:val="00126E5D"/>
    <w:rsid w:val="00127574"/>
    <w:rsid w:val="00127D5F"/>
    <w:rsid w:val="001303B3"/>
    <w:rsid w:val="001313B5"/>
    <w:rsid w:val="00131671"/>
    <w:rsid w:val="00131B6A"/>
    <w:rsid w:val="00131C0E"/>
    <w:rsid w:val="0013300E"/>
    <w:rsid w:val="00133255"/>
    <w:rsid w:val="00133428"/>
    <w:rsid w:val="0013342C"/>
    <w:rsid w:val="00133911"/>
    <w:rsid w:val="00133BB8"/>
    <w:rsid w:val="00133FFE"/>
    <w:rsid w:val="00135843"/>
    <w:rsid w:val="00135BF4"/>
    <w:rsid w:val="00137A62"/>
    <w:rsid w:val="00140536"/>
    <w:rsid w:val="00140709"/>
    <w:rsid w:val="00140E7F"/>
    <w:rsid w:val="00141039"/>
    <w:rsid w:val="0014504B"/>
    <w:rsid w:val="00145D3E"/>
    <w:rsid w:val="00145EF2"/>
    <w:rsid w:val="00145F7F"/>
    <w:rsid w:val="00146A45"/>
    <w:rsid w:val="00147606"/>
    <w:rsid w:val="00147BC4"/>
    <w:rsid w:val="001504A5"/>
    <w:rsid w:val="00150692"/>
    <w:rsid w:val="00151F28"/>
    <w:rsid w:val="001523FB"/>
    <w:rsid w:val="00152821"/>
    <w:rsid w:val="00153133"/>
    <w:rsid w:val="0015346A"/>
    <w:rsid w:val="00154404"/>
    <w:rsid w:val="00154A4D"/>
    <w:rsid w:val="00154AC7"/>
    <w:rsid w:val="00155063"/>
    <w:rsid w:val="001551C7"/>
    <w:rsid w:val="00155B21"/>
    <w:rsid w:val="00156D18"/>
    <w:rsid w:val="00156D3E"/>
    <w:rsid w:val="00157555"/>
    <w:rsid w:val="001576BF"/>
    <w:rsid w:val="00160375"/>
    <w:rsid w:val="00160CB0"/>
    <w:rsid w:val="00160F11"/>
    <w:rsid w:val="00162259"/>
    <w:rsid w:val="001629CC"/>
    <w:rsid w:val="001638AB"/>
    <w:rsid w:val="00163C56"/>
    <w:rsid w:val="00163E9D"/>
    <w:rsid w:val="00163FF6"/>
    <w:rsid w:val="00164429"/>
    <w:rsid w:val="00164868"/>
    <w:rsid w:val="00165C3B"/>
    <w:rsid w:val="00165D09"/>
    <w:rsid w:val="00166EF4"/>
    <w:rsid w:val="00167435"/>
    <w:rsid w:val="00167F20"/>
    <w:rsid w:val="00172272"/>
    <w:rsid w:val="0017401C"/>
    <w:rsid w:val="00174063"/>
    <w:rsid w:val="00174885"/>
    <w:rsid w:val="001749FC"/>
    <w:rsid w:val="00174A57"/>
    <w:rsid w:val="00174C0D"/>
    <w:rsid w:val="00175530"/>
    <w:rsid w:val="0018058F"/>
    <w:rsid w:val="001806CF"/>
    <w:rsid w:val="00180A68"/>
    <w:rsid w:val="00181317"/>
    <w:rsid w:val="001820AD"/>
    <w:rsid w:val="001834B1"/>
    <w:rsid w:val="0018391B"/>
    <w:rsid w:val="0018589C"/>
    <w:rsid w:val="00185AE2"/>
    <w:rsid w:val="0018718B"/>
    <w:rsid w:val="001873AC"/>
    <w:rsid w:val="00190A25"/>
    <w:rsid w:val="001915F5"/>
    <w:rsid w:val="00193389"/>
    <w:rsid w:val="00194002"/>
    <w:rsid w:val="00194A0A"/>
    <w:rsid w:val="00196E94"/>
    <w:rsid w:val="001A15E7"/>
    <w:rsid w:val="001A26DA"/>
    <w:rsid w:val="001A4A9B"/>
    <w:rsid w:val="001A5514"/>
    <w:rsid w:val="001A5AB9"/>
    <w:rsid w:val="001A6640"/>
    <w:rsid w:val="001A6645"/>
    <w:rsid w:val="001A68FA"/>
    <w:rsid w:val="001A69FF"/>
    <w:rsid w:val="001A6CCB"/>
    <w:rsid w:val="001A75FB"/>
    <w:rsid w:val="001B255B"/>
    <w:rsid w:val="001B2571"/>
    <w:rsid w:val="001B26B9"/>
    <w:rsid w:val="001B2DAF"/>
    <w:rsid w:val="001B345B"/>
    <w:rsid w:val="001B3C11"/>
    <w:rsid w:val="001B42F2"/>
    <w:rsid w:val="001B6418"/>
    <w:rsid w:val="001B7AA3"/>
    <w:rsid w:val="001B7BAD"/>
    <w:rsid w:val="001B7E2F"/>
    <w:rsid w:val="001C090B"/>
    <w:rsid w:val="001C0CF3"/>
    <w:rsid w:val="001C20EA"/>
    <w:rsid w:val="001C252C"/>
    <w:rsid w:val="001C2FFE"/>
    <w:rsid w:val="001C3F73"/>
    <w:rsid w:val="001C414A"/>
    <w:rsid w:val="001C4199"/>
    <w:rsid w:val="001C5206"/>
    <w:rsid w:val="001C590F"/>
    <w:rsid w:val="001C628C"/>
    <w:rsid w:val="001C6389"/>
    <w:rsid w:val="001C649D"/>
    <w:rsid w:val="001C6CAC"/>
    <w:rsid w:val="001C6DD7"/>
    <w:rsid w:val="001C6FDE"/>
    <w:rsid w:val="001C6FFD"/>
    <w:rsid w:val="001C7BE0"/>
    <w:rsid w:val="001C7C0B"/>
    <w:rsid w:val="001C7DF9"/>
    <w:rsid w:val="001D19F7"/>
    <w:rsid w:val="001D2894"/>
    <w:rsid w:val="001D2BA6"/>
    <w:rsid w:val="001D38E4"/>
    <w:rsid w:val="001D3F88"/>
    <w:rsid w:val="001D4594"/>
    <w:rsid w:val="001D479F"/>
    <w:rsid w:val="001D4F2A"/>
    <w:rsid w:val="001D5B80"/>
    <w:rsid w:val="001D6252"/>
    <w:rsid w:val="001D631C"/>
    <w:rsid w:val="001D66FE"/>
    <w:rsid w:val="001D6BB6"/>
    <w:rsid w:val="001E02B6"/>
    <w:rsid w:val="001E06FD"/>
    <w:rsid w:val="001E079A"/>
    <w:rsid w:val="001E106F"/>
    <w:rsid w:val="001E36F0"/>
    <w:rsid w:val="001E3FDC"/>
    <w:rsid w:val="001E4876"/>
    <w:rsid w:val="001E5D87"/>
    <w:rsid w:val="001E66AB"/>
    <w:rsid w:val="001E6E3B"/>
    <w:rsid w:val="001F0176"/>
    <w:rsid w:val="001F07C5"/>
    <w:rsid w:val="001F10BF"/>
    <w:rsid w:val="001F1A8C"/>
    <w:rsid w:val="001F1B5B"/>
    <w:rsid w:val="001F2643"/>
    <w:rsid w:val="001F27A9"/>
    <w:rsid w:val="001F2E88"/>
    <w:rsid w:val="001F3910"/>
    <w:rsid w:val="001F472D"/>
    <w:rsid w:val="001F486F"/>
    <w:rsid w:val="001F522F"/>
    <w:rsid w:val="001F53A9"/>
    <w:rsid w:val="001F5537"/>
    <w:rsid w:val="001F5CF5"/>
    <w:rsid w:val="001F70C4"/>
    <w:rsid w:val="00201306"/>
    <w:rsid w:val="00201C44"/>
    <w:rsid w:val="00203E51"/>
    <w:rsid w:val="00204306"/>
    <w:rsid w:val="00204592"/>
    <w:rsid w:val="0020505F"/>
    <w:rsid w:val="00205578"/>
    <w:rsid w:val="002073FF"/>
    <w:rsid w:val="0020768D"/>
    <w:rsid w:val="00207DCE"/>
    <w:rsid w:val="002120AD"/>
    <w:rsid w:val="0021274A"/>
    <w:rsid w:val="00213964"/>
    <w:rsid w:val="00214567"/>
    <w:rsid w:val="00214768"/>
    <w:rsid w:val="002161BB"/>
    <w:rsid w:val="00216A19"/>
    <w:rsid w:val="00216AF6"/>
    <w:rsid w:val="0021763C"/>
    <w:rsid w:val="00220049"/>
    <w:rsid w:val="0022024A"/>
    <w:rsid w:val="0022024C"/>
    <w:rsid w:val="00221F80"/>
    <w:rsid w:val="00222526"/>
    <w:rsid w:val="00222776"/>
    <w:rsid w:val="00223238"/>
    <w:rsid w:val="00224AA9"/>
    <w:rsid w:val="002251DC"/>
    <w:rsid w:val="002260A7"/>
    <w:rsid w:val="00226BCC"/>
    <w:rsid w:val="002270A8"/>
    <w:rsid w:val="0022736F"/>
    <w:rsid w:val="00227B6E"/>
    <w:rsid w:val="00230493"/>
    <w:rsid w:val="00231375"/>
    <w:rsid w:val="002337ED"/>
    <w:rsid w:val="0023382F"/>
    <w:rsid w:val="00233F6F"/>
    <w:rsid w:val="00234581"/>
    <w:rsid w:val="00234A60"/>
    <w:rsid w:val="00234A9D"/>
    <w:rsid w:val="00235350"/>
    <w:rsid w:val="00235B57"/>
    <w:rsid w:val="0023688F"/>
    <w:rsid w:val="002369A7"/>
    <w:rsid w:val="00236B4F"/>
    <w:rsid w:val="002370CE"/>
    <w:rsid w:val="00237176"/>
    <w:rsid w:val="00237FBC"/>
    <w:rsid w:val="00240478"/>
    <w:rsid w:val="0024122F"/>
    <w:rsid w:val="00241512"/>
    <w:rsid w:val="0024267C"/>
    <w:rsid w:val="0024275B"/>
    <w:rsid w:val="00242863"/>
    <w:rsid w:val="00242F11"/>
    <w:rsid w:val="00243B47"/>
    <w:rsid w:val="00245949"/>
    <w:rsid w:val="00245C93"/>
    <w:rsid w:val="002464C1"/>
    <w:rsid w:val="00246BAB"/>
    <w:rsid w:val="00246E81"/>
    <w:rsid w:val="00247AE1"/>
    <w:rsid w:val="00250884"/>
    <w:rsid w:val="00250BAB"/>
    <w:rsid w:val="002511BD"/>
    <w:rsid w:val="002526E5"/>
    <w:rsid w:val="002526F2"/>
    <w:rsid w:val="00252CF7"/>
    <w:rsid w:val="00253304"/>
    <w:rsid w:val="00253CB8"/>
    <w:rsid w:val="002549AF"/>
    <w:rsid w:val="00254ACB"/>
    <w:rsid w:val="00254AD8"/>
    <w:rsid w:val="00254EBF"/>
    <w:rsid w:val="00256B04"/>
    <w:rsid w:val="002574F5"/>
    <w:rsid w:val="00257A9C"/>
    <w:rsid w:val="00263DF1"/>
    <w:rsid w:val="00263E36"/>
    <w:rsid w:val="00263E8C"/>
    <w:rsid w:val="00263FE9"/>
    <w:rsid w:val="00264DE8"/>
    <w:rsid w:val="00265099"/>
    <w:rsid w:val="0026545B"/>
    <w:rsid w:val="00265996"/>
    <w:rsid w:val="00265F64"/>
    <w:rsid w:val="00267B14"/>
    <w:rsid w:val="00270077"/>
    <w:rsid w:val="00270390"/>
    <w:rsid w:val="00272AAA"/>
    <w:rsid w:val="0027340A"/>
    <w:rsid w:val="00273984"/>
    <w:rsid w:val="00274569"/>
    <w:rsid w:val="0028029F"/>
    <w:rsid w:val="002811C5"/>
    <w:rsid w:val="00282793"/>
    <w:rsid w:val="00282CF0"/>
    <w:rsid w:val="00282E97"/>
    <w:rsid w:val="00283166"/>
    <w:rsid w:val="00284395"/>
    <w:rsid w:val="002851BF"/>
    <w:rsid w:val="002852FE"/>
    <w:rsid w:val="0028619D"/>
    <w:rsid w:val="002864A7"/>
    <w:rsid w:val="00286B91"/>
    <w:rsid w:val="00286FDE"/>
    <w:rsid w:val="0029002E"/>
    <w:rsid w:val="00290C98"/>
    <w:rsid w:val="002922C5"/>
    <w:rsid w:val="002926CA"/>
    <w:rsid w:val="00292A25"/>
    <w:rsid w:val="002935E8"/>
    <w:rsid w:val="00295247"/>
    <w:rsid w:val="00295373"/>
    <w:rsid w:val="00295601"/>
    <w:rsid w:val="00295686"/>
    <w:rsid w:val="002964C6"/>
    <w:rsid w:val="0029685B"/>
    <w:rsid w:val="00296D3F"/>
    <w:rsid w:val="002974F3"/>
    <w:rsid w:val="00297AAE"/>
    <w:rsid w:val="002A00A3"/>
    <w:rsid w:val="002A0423"/>
    <w:rsid w:val="002A1348"/>
    <w:rsid w:val="002A34F5"/>
    <w:rsid w:val="002A3721"/>
    <w:rsid w:val="002A3D11"/>
    <w:rsid w:val="002A5A3E"/>
    <w:rsid w:val="002A6627"/>
    <w:rsid w:val="002A6BA8"/>
    <w:rsid w:val="002A6E26"/>
    <w:rsid w:val="002A7AA4"/>
    <w:rsid w:val="002B023C"/>
    <w:rsid w:val="002B09C4"/>
    <w:rsid w:val="002B0D69"/>
    <w:rsid w:val="002B13B2"/>
    <w:rsid w:val="002B1C48"/>
    <w:rsid w:val="002B27EE"/>
    <w:rsid w:val="002B2F88"/>
    <w:rsid w:val="002B4553"/>
    <w:rsid w:val="002B4B11"/>
    <w:rsid w:val="002B4D82"/>
    <w:rsid w:val="002B5A1E"/>
    <w:rsid w:val="002B6C89"/>
    <w:rsid w:val="002B76F9"/>
    <w:rsid w:val="002C04D3"/>
    <w:rsid w:val="002C1621"/>
    <w:rsid w:val="002C1BD4"/>
    <w:rsid w:val="002C1CD0"/>
    <w:rsid w:val="002C1FFB"/>
    <w:rsid w:val="002C3088"/>
    <w:rsid w:val="002C3D1E"/>
    <w:rsid w:val="002C5A2A"/>
    <w:rsid w:val="002C5F72"/>
    <w:rsid w:val="002C63CF"/>
    <w:rsid w:val="002D0746"/>
    <w:rsid w:val="002D07F7"/>
    <w:rsid w:val="002D094E"/>
    <w:rsid w:val="002D0E02"/>
    <w:rsid w:val="002D15A0"/>
    <w:rsid w:val="002D1663"/>
    <w:rsid w:val="002D17AD"/>
    <w:rsid w:val="002D2043"/>
    <w:rsid w:val="002D4A3B"/>
    <w:rsid w:val="002D55B4"/>
    <w:rsid w:val="002D62AD"/>
    <w:rsid w:val="002D766A"/>
    <w:rsid w:val="002D78C5"/>
    <w:rsid w:val="002E0345"/>
    <w:rsid w:val="002E1E90"/>
    <w:rsid w:val="002E2619"/>
    <w:rsid w:val="002E262A"/>
    <w:rsid w:val="002E3E1D"/>
    <w:rsid w:val="002E447A"/>
    <w:rsid w:val="002E4D25"/>
    <w:rsid w:val="002E5506"/>
    <w:rsid w:val="002E64C0"/>
    <w:rsid w:val="002E65A6"/>
    <w:rsid w:val="002E6F89"/>
    <w:rsid w:val="002E78B0"/>
    <w:rsid w:val="002E790E"/>
    <w:rsid w:val="002E7976"/>
    <w:rsid w:val="002F0D55"/>
    <w:rsid w:val="002F1289"/>
    <w:rsid w:val="002F13AD"/>
    <w:rsid w:val="002F1DAE"/>
    <w:rsid w:val="002F23EB"/>
    <w:rsid w:val="002F38CF"/>
    <w:rsid w:val="002F3E1E"/>
    <w:rsid w:val="002F3F58"/>
    <w:rsid w:val="002F410F"/>
    <w:rsid w:val="002F4449"/>
    <w:rsid w:val="002F4B54"/>
    <w:rsid w:val="002F4B9F"/>
    <w:rsid w:val="002F4DA3"/>
    <w:rsid w:val="002F6D57"/>
    <w:rsid w:val="002F7CC8"/>
    <w:rsid w:val="0030127B"/>
    <w:rsid w:val="00301FB7"/>
    <w:rsid w:val="0030252C"/>
    <w:rsid w:val="00303529"/>
    <w:rsid w:val="00303689"/>
    <w:rsid w:val="00303C40"/>
    <w:rsid w:val="00303D35"/>
    <w:rsid w:val="00307394"/>
    <w:rsid w:val="003079C3"/>
    <w:rsid w:val="0031047E"/>
    <w:rsid w:val="003104AC"/>
    <w:rsid w:val="00312433"/>
    <w:rsid w:val="00312B56"/>
    <w:rsid w:val="00312C52"/>
    <w:rsid w:val="003148B8"/>
    <w:rsid w:val="00314B98"/>
    <w:rsid w:val="0031652E"/>
    <w:rsid w:val="00320231"/>
    <w:rsid w:val="00321389"/>
    <w:rsid w:val="00321A17"/>
    <w:rsid w:val="00321AB7"/>
    <w:rsid w:val="003224F3"/>
    <w:rsid w:val="003236F4"/>
    <w:rsid w:val="00323A1C"/>
    <w:rsid w:val="00324725"/>
    <w:rsid w:val="00325145"/>
    <w:rsid w:val="00325AFC"/>
    <w:rsid w:val="00325F38"/>
    <w:rsid w:val="003270F3"/>
    <w:rsid w:val="003272DC"/>
    <w:rsid w:val="00327787"/>
    <w:rsid w:val="003279B8"/>
    <w:rsid w:val="00327A57"/>
    <w:rsid w:val="00330AB9"/>
    <w:rsid w:val="003315D0"/>
    <w:rsid w:val="0033247F"/>
    <w:rsid w:val="00332ADE"/>
    <w:rsid w:val="00332DA3"/>
    <w:rsid w:val="00335493"/>
    <w:rsid w:val="00335D21"/>
    <w:rsid w:val="00335D89"/>
    <w:rsid w:val="00336386"/>
    <w:rsid w:val="0033689D"/>
    <w:rsid w:val="00336E11"/>
    <w:rsid w:val="00336EC8"/>
    <w:rsid w:val="00337AC5"/>
    <w:rsid w:val="00337CB5"/>
    <w:rsid w:val="003401AD"/>
    <w:rsid w:val="003409C6"/>
    <w:rsid w:val="00341C18"/>
    <w:rsid w:val="0034271B"/>
    <w:rsid w:val="00343DA7"/>
    <w:rsid w:val="00344D71"/>
    <w:rsid w:val="0034592A"/>
    <w:rsid w:val="003459C6"/>
    <w:rsid w:val="00345B4A"/>
    <w:rsid w:val="00345DEA"/>
    <w:rsid w:val="00345E32"/>
    <w:rsid w:val="00346DA2"/>
    <w:rsid w:val="00346E59"/>
    <w:rsid w:val="00350350"/>
    <w:rsid w:val="00350FCF"/>
    <w:rsid w:val="00351166"/>
    <w:rsid w:val="00351203"/>
    <w:rsid w:val="003521DB"/>
    <w:rsid w:val="00352341"/>
    <w:rsid w:val="00352C41"/>
    <w:rsid w:val="0035310A"/>
    <w:rsid w:val="0035372E"/>
    <w:rsid w:val="00353AAD"/>
    <w:rsid w:val="003543F4"/>
    <w:rsid w:val="00356372"/>
    <w:rsid w:val="0035688D"/>
    <w:rsid w:val="00356EBE"/>
    <w:rsid w:val="00357B10"/>
    <w:rsid w:val="00357EAD"/>
    <w:rsid w:val="00360D92"/>
    <w:rsid w:val="0036147F"/>
    <w:rsid w:val="00363FC4"/>
    <w:rsid w:val="00364498"/>
    <w:rsid w:val="00365329"/>
    <w:rsid w:val="00366807"/>
    <w:rsid w:val="00366E55"/>
    <w:rsid w:val="00367F98"/>
    <w:rsid w:val="003700FC"/>
    <w:rsid w:val="00371534"/>
    <w:rsid w:val="00372175"/>
    <w:rsid w:val="00372A63"/>
    <w:rsid w:val="00373805"/>
    <w:rsid w:val="0037400E"/>
    <w:rsid w:val="00374AA8"/>
    <w:rsid w:val="00374D69"/>
    <w:rsid w:val="00375652"/>
    <w:rsid w:val="0037586D"/>
    <w:rsid w:val="00376A31"/>
    <w:rsid w:val="00376B2C"/>
    <w:rsid w:val="0037712E"/>
    <w:rsid w:val="00377C92"/>
    <w:rsid w:val="0038025C"/>
    <w:rsid w:val="0038084A"/>
    <w:rsid w:val="00380AB6"/>
    <w:rsid w:val="00381352"/>
    <w:rsid w:val="003823C0"/>
    <w:rsid w:val="003826EA"/>
    <w:rsid w:val="00385375"/>
    <w:rsid w:val="00385B3F"/>
    <w:rsid w:val="00385F07"/>
    <w:rsid w:val="00386254"/>
    <w:rsid w:val="00387280"/>
    <w:rsid w:val="003874EE"/>
    <w:rsid w:val="0039017C"/>
    <w:rsid w:val="0039120C"/>
    <w:rsid w:val="0039258F"/>
    <w:rsid w:val="00393098"/>
    <w:rsid w:val="003933F7"/>
    <w:rsid w:val="00394D40"/>
    <w:rsid w:val="003960B4"/>
    <w:rsid w:val="00396841"/>
    <w:rsid w:val="00396B73"/>
    <w:rsid w:val="00397035"/>
    <w:rsid w:val="00397A0A"/>
    <w:rsid w:val="00397C8A"/>
    <w:rsid w:val="003A0128"/>
    <w:rsid w:val="003A0197"/>
    <w:rsid w:val="003A09B5"/>
    <w:rsid w:val="003A0D99"/>
    <w:rsid w:val="003A1409"/>
    <w:rsid w:val="003A2B30"/>
    <w:rsid w:val="003A2EE6"/>
    <w:rsid w:val="003A3DB4"/>
    <w:rsid w:val="003A42B5"/>
    <w:rsid w:val="003A432F"/>
    <w:rsid w:val="003A4E4D"/>
    <w:rsid w:val="003A5163"/>
    <w:rsid w:val="003A5190"/>
    <w:rsid w:val="003A5C57"/>
    <w:rsid w:val="003A614E"/>
    <w:rsid w:val="003A62C1"/>
    <w:rsid w:val="003A6AEB"/>
    <w:rsid w:val="003A7099"/>
    <w:rsid w:val="003B0C1B"/>
    <w:rsid w:val="003B0E7C"/>
    <w:rsid w:val="003B1F6B"/>
    <w:rsid w:val="003B21ED"/>
    <w:rsid w:val="003B281C"/>
    <w:rsid w:val="003B33D5"/>
    <w:rsid w:val="003B3CB4"/>
    <w:rsid w:val="003B4187"/>
    <w:rsid w:val="003B420A"/>
    <w:rsid w:val="003B457A"/>
    <w:rsid w:val="003B468B"/>
    <w:rsid w:val="003B4B90"/>
    <w:rsid w:val="003B55AF"/>
    <w:rsid w:val="003B5F4C"/>
    <w:rsid w:val="003B6304"/>
    <w:rsid w:val="003B6D7A"/>
    <w:rsid w:val="003B7465"/>
    <w:rsid w:val="003B751C"/>
    <w:rsid w:val="003C0BD3"/>
    <w:rsid w:val="003C0F70"/>
    <w:rsid w:val="003C1854"/>
    <w:rsid w:val="003C33FA"/>
    <w:rsid w:val="003C3822"/>
    <w:rsid w:val="003C3989"/>
    <w:rsid w:val="003C501E"/>
    <w:rsid w:val="003C580E"/>
    <w:rsid w:val="003C626D"/>
    <w:rsid w:val="003C62F2"/>
    <w:rsid w:val="003C6CE5"/>
    <w:rsid w:val="003C7A23"/>
    <w:rsid w:val="003D0064"/>
    <w:rsid w:val="003D0682"/>
    <w:rsid w:val="003D089A"/>
    <w:rsid w:val="003D18E8"/>
    <w:rsid w:val="003D1D21"/>
    <w:rsid w:val="003D2BDA"/>
    <w:rsid w:val="003D2CDF"/>
    <w:rsid w:val="003D3A46"/>
    <w:rsid w:val="003D3C73"/>
    <w:rsid w:val="003E0AFB"/>
    <w:rsid w:val="003E1B57"/>
    <w:rsid w:val="003E20D2"/>
    <w:rsid w:val="003E2101"/>
    <w:rsid w:val="003E2334"/>
    <w:rsid w:val="003E2617"/>
    <w:rsid w:val="003E2752"/>
    <w:rsid w:val="003E2A9F"/>
    <w:rsid w:val="003E354E"/>
    <w:rsid w:val="003E3EFA"/>
    <w:rsid w:val="003E433E"/>
    <w:rsid w:val="003E6E52"/>
    <w:rsid w:val="003E7020"/>
    <w:rsid w:val="003E76DD"/>
    <w:rsid w:val="003E798E"/>
    <w:rsid w:val="003E79B7"/>
    <w:rsid w:val="003E7FBB"/>
    <w:rsid w:val="003F0245"/>
    <w:rsid w:val="003F03A3"/>
    <w:rsid w:val="003F0571"/>
    <w:rsid w:val="003F1D27"/>
    <w:rsid w:val="003F2302"/>
    <w:rsid w:val="003F2865"/>
    <w:rsid w:val="003F2AA1"/>
    <w:rsid w:val="003F4981"/>
    <w:rsid w:val="003F4D09"/>
    <w:rsid w:val="003F4D40"/>
    <w:rsid w:val="003F6E07"/>
    <w:rsid w:val="003F7E33"/>
    <w:rsid w:val="00400393"/>
    <w:rsid w:val="0040351C"/>
    <w:rsid w:val="00403CA5"/>
    <w:rsid w:val="004045FE"/>
    <w:rsid w:val="00405B6C"/>
    <w:rsid w:val="004061F8"/>
    <w:rsid w:val="00406B49"/>
    <w:rsid w:val="00407359"/>
    <w:rsid w:val="00407790"/>
    <w:rsid w:val="00407B25"/>
    <w:rsid w:val="00410FCD"/>
    <w:rsid w:val="004114FA"/>
    <w:rsid w:val="004116D2"/>
    <w:rsid w:val="004122DB"/>
    <w:rsid w:val="00412F09"/>
    <w:rsid w:val="00413072"/>
    <w:rsid w:val="0041422C"/>
    <w:rsid w:val="00414665"/>
    <w:rsid w:val="00414F30"/>
    <w:rsid w:val="004163FF"/>
    <w:rsid w:val="00416BF3"/>
    <w:rsid w:val="00417D45"/>
    <w:rsid w:val="00420139"/>
    <w:rsid w:val="00420B93"/>
    <w:rsid w:val="004225AE"/>
    <w:rsid w:val="0042291B"/>
    <w:rsid w:val="00423CDD"/>
    <w:rsid w:val="0042428E"/>
    <w:rsid w:val="00425AF6"/>
    <w:rsid w:val="00425CD3"/>
    <w:rsid w:val="00426F48"/>
    <w:rsid w:val="00427215"/>
    <w:rsid w:val="00427338"/>
    <w:rsid w:val="004276F9"/>
    <w:rsid w:val="00431457"/>
    <w:rsid w:val="00431916"/>
    <w:rsid w:val="00431AD5"/>
    <w:rsid w:val="00431B49"/>
    <w:rsid w:val="00431E5E"/>
    <w:rsid w:val="00431FF6"/>
    <w:rsid w:val="004320AA"/>
    <w:rsid w:val="004321B9"/>
    <w:rsid w:val="0043290A"/>
    <w:rsid w:val="00432DF4"/>
    <w:rsid w:val="004336EF"/>
    <w:rsid w:val="00433B4E"/>
    <w:rsid w:val="00433B81"/>
    <w:rsid w:val="00433FD1"/>
    <w:rsid w:val="004347B0"/>
    <w:rsid w:val="00434BF9"/>
    <w:rsid w:val="00434DA1"/>
    <w:rsid w:val="0043561E"/>
    <w:rsid w:val="004361A7"/>
    <w:rsid w:val="0044097A"/>
    <w:rsid w:val="0044251C"/>
    <w:rsid w:val="004435B9"/>
    <w:rsid w:val="004446BA"/>
    <w:rsid w:val="004465E4"/>
    <w:rsid w:val="00446B20"/>
    <w:rsid w:val="00446F50"/>
    <w:rsid w:val="004471AD"/>
    <w:rsid w:val="00450F22"/>
    <w:rsid w:val="00450F4E"/>
    <w:rsid w:val="00451110"/>
    <w:rsid w:val="0045181F"/>
    <w:rsid w:val="00451B9E"/>
    <w:rsid w:val="0045343C"/>
    <w:rsid w:val="004536C3"/>
    <w:rsid w:val="004541F9"/>
    <w:rsid w:val="00454E60"/>
    <w:rsid w:val="00455DA7"/>
    <w:rsid w:val="00461438"/>
    <w:rsid w:val="00462268"/>
    <w:rsid w:val="004625D3"/>
    <w:rsid w:val="0046328E"/>
    <w:rsid w:val="00463B93"/>
    <w:rsid w:val="0046796D"/>
    <w:rsid w:val="004703C5"/>
    <w:rsid w:val="0047083F"/>
    <w:rsid w:val="00470EE2"/>
    <w:rsid w:val="00471454"/>
    <w:rsid w:val="0047166C"/>
    <w:rsid w:val="0047197D"/>
    <w:rsid w:val="00472280"/>
    <w:rsid w:val="00472722"/>
    <w:rsid w:val="00472B8A"/>
    <w:rsid w:val="00473014"/>
    <w:rsid w:val="00473829"/>
    <w:rsid w:val="00473BED"/>
    <w:rsid w:val="00473F8D"/>
    <w:rsid w:val="004754EE"/>
    <w:rsid w:val="00475500"/>
    <w:rsid w:val="0047578D"/>
    <w:rsid w:val="00476F3E"/>
    <w:rsid w:val="0047723A"/>
    <w:rsid w:val="00477E43"/>
    <w:rsid w:val="00477EC2"/>
    <w:rsid w:val="004800FE"/>
    <w:rsid w:val="00480B24"/>
    <w:rsid w:val="00480DA1"/>
    <w:rsid w:val="00481274"/>
    <w:rsid w:val="00481291"/>
    <w:rsid w:val="0048139E"/>
    <w:rsid w:val="00481CDC"/>
    <w:rsid w:val="00482B36"/>
    <w:rsid w:val="004836FF"/>
    <w:rsid w:val="00483929"/>
    <w:rsid w:val="00483EC9"/>
    <w:rsid w:val="00483F1D"/>
    <w:rsid w:val="0048412E"/>
    <w:rsid w:val="004864C3"/>
    <w:rsid w:val="00487158"/>
    <w:rsid w:val="004872DF"/>
    <w:rsid w:val="00487520"/>
    <w:rsid w:val="004915F4"/>
    <w:rsid w:val="0049372A"/>
    <w:rsid w:val="00494CE4"/>
    <w:rsid w:val="00494EA0"/>
    <w:rsid w:val="004963FB"/>
    <w:rsid w:val="004A042E"/>
    <w:rsid w:val="004A084F"/>
    <w:rsid w:val="004A0A07"/>
    <w:rsid w:val="004A15A4"/>
    <w:rsid w:val="004A1661"/>
    <w:rsid w:val="004A1EE5"/>
    <w:rsid w:val="004A3C8D"/>
    <w:rsid w:val="004A3CA0"/>
    <w:rsid w:val="004A4C5B"/>
    <w:rsid w:val="004A6060"/>
    <w:rsid w:val="004A6735"/>
    <w:rsid w:val="004A6AF6"/>
    <w:rsid w:val="004A78CC"/>
    <w:rsid w:val="004B0F99"/>
    <w:rsid w:val="004B23CF"/>
    <w:rsid w:val="004B2B45"/>
    <w:rsid w:val="004B3083"/>
    <w:rsid w:val="004B3239"/>
    <w:rsid w:val="004B3A42"/>
    <w:rsid w:val="004B4305"/>
    <w:rsid w:val="004B48A8"/>
    <w:rsid w:val="004B4A96"/>
    <w:rsid w:val="004B63B0"/>
    <w:rsid w:val="004B7FE4"/>
    <w:rsid w:val="004C0194"/>
    <w:rsid w:val="004C05B5"/>
    <w:rsid w:val="004C098E"/>
    <w:rsid w:val="004C0F27"/>
    <w:rsid w:val="004C14E7"/>
    <w:rsid w:val="004C1C4B"/>
    <w:rsid w:val="004C2DDF"/>
    <w:rsid w:val="004C3022"/>
    <w:rsid w:val="004C46E9"/>
    <w:rsid w:val="004C4ACA"/>
    <w:rsid w:val="004C4FE5"/>
    <w:rsid w:val="004C6267"/>
    <w:rsid w:val="004C7777"/>
    <w:rsid w:val="004C7BA4"/>
    <w:rsid w:val="004C7F5B"/>
    <w:rsid w:val="004D05CB"/>
    <w:rsid w:val="004D1604"/>
    <w:rsid w:val="004D20D3"/>
    <w:rsid w:val="004D2372"/>
    <w:rsid w:val="004D3398"/>
    <w:rsid w:val="004D49FD"/>
    <w:rsid w:val="004D505C"/>
    <w:rsid w:val="004D562B"/>
    <w:rsid w:val="004D5BC2"/>
    <w:rsid w:val="004D62B0"/>
    <w:rsid w:val="004D76F2"/>
    <w:rsid w:val="004D7A5F"/>
    <w:rsid w:val="004E0C8F"/>
    <w:rsid w:val="004E18CE"/>
    <w:rsid w:val="004E20D6"/>
    <w:rsid w:val="004E2976"/>
    <w:rsid w:val="004E4AEC"/>
    <w:rsid w:val="004E5D67"/>
    <w:rsid w:val="004E6122"/>
    <w:rsid w:val="004E61EC"/>
    <w:rsid w:val="004E6847"/>
    <w:rsid w:val="004E6C77"/>
    <w:rsid w:val="004E6F33"/>
    <w:rsid w:val="004E79A3"/>
    <w:rsid w:val="004E7A77"/>
    <w:rsid w:val="004F0435"/>
    <w:rsid w:val="004F08FB"/>
    <w:rsid w:val="004F1395"/>
    <w:rsid w:val="004F21C5"/>
    <w:rsid w:val="004F2527"/>
    <w:rsid w:val="004F27F5"/>
    <w:rsid w:val="004F2B26"/>
    <w:rsid w:val="004F41EA"/>
    <w:rsid w:val="004F479B"/>
    <w:rsid w:val="004F4DB1"/>
    <w:rsid w:val="004F576C"/>
    <w:rsid w:val="004F5D03"/>
    <w:rsid w:val="004F62B0"/>
    <w:rsid w:val="004F6784"/>
    <w:rsid w:val="004F6C10"/>
    <w:rsid w:val="004F71C9"/>
    <w:rsid w:val="004F7AC2"/>
    <w:rsid w:val="004F7D25"/>
    <w:rsid w:val="00500412"/>
    <w:rsid w:val="00500F37"/>
    <w:rsid w:val="00502D65"/>
    <w:rsid w:val="00502EA1"/>
    <w:rsid w:val="005046D4"/>
    <w:rsid w:val="00506847"/>
    <w:rsid w:val="005075EA"/>
    <w:rsid w:val="00507C50"/>
    <w:rsid w:val="0051057C"/>
    <w:rsid w:val="00511490"/>
    <w:rsid w:val="005117F2"/>
    <w:rsid w:val="00511F80"/>
    <w:rsid w:val="00512773"/>
    <w:rsid w:val="005129C1"/>
    <w:rsid w:val="00512A8D"/>
    <w:rsid w:val="00515C40"/>
    <w:rsid w:val="00515EAF"/>
    <w:rsid w:val="005166B7"/>
    <w:rsid w:val="00516BEE"/>
    <w:rsid w:val="00516D9B"/>
    <w:rsid w:val="00517911"/>
    <w:rsid w:val="005200A9"/>
    <w:rsid w:val="0052077E"/>
    <w:rsid w:val="005213DF"/>
    <w:rsid w:val="00521788"/>
    <w:rsid w:val="0052197B"/>
    <w:rsid w:val="005225BF"/>
    <w:rsid w:val="005227A3"/>
    <w:rsid w:val="00522D4B"/>
    <w:rsid w:val="00522E87"/>
    <w:rsid w:val="00523B64"/>
    <w:rsid w:val="0052434F"/>
    <w:rsid w:val="00524B06"/>
    <w:rsid w:val="0052592B"/>
    <w:rsid w:val="00526383"/>
    <w:rsid w:val="005264F9"/>
    <w:rsid w:val="005275B8"/>
    <w:rsid w:val="00527B83"/>
    <w:rsid w:val="00527D38"/>
    <w:rsid w:val="00527E40"/>
    <w:rsid w:val="005305CB"/>
    <w:rsid w:val="00531083"/>
    <w:rsid w:val="00531122"/>
    <w:rsid w:val="00531187"/>
    <w:rsid w:val="005317AF"/>
    <w:rsid w:val="00532876"/>
    <w:rsid w:val="00532AEE"/>
    <w:rsid w:val="00532D2A"/>
    <w:rsid w:val="0053325A"/>
    <w:rsid w:val="00533423"/>
    <w:rsid w:val="00533D46"/>
    <w:rsid w:val="00533E9B"/>
    <w:rsid w:val="00533F49"/>
    <w:rsid w:val="00535BE4"/>
    <w:rsid w:val="005366E8"/>
    <w:rsid w:val="0053708A"/>
    <w:rsid w:val="0053741A"/>
    <w:rsid w:val="00537BF4"/>
    <w:rsid w:val="005403FC"/>
    <w:rsid w:val="00540613"/>
    <w:rsid w:val="00540AD2"/>
    <w:rsid w:val="00540E5B"/>
    <w:rsid w:val="00541DCD"/>
    <w:rsid w:val="00542734"/>
    <w:rsid w:val="00542EA3"/>
    <w:rsid w:val="005435F0"/>
    <w:rsid w:val="0054369D"/>
    <w:rsid w:val="0054411F"/>
    <w:rsid w:val="00544226"/>
    <w:rsid w:val="005444B4"/>
    <w:rsid w:val="00544B48"/>
    <w:rsid w:val="0054597A"/>
    <w:rsid w:val="005459A1"/>
    <w:rsid w:val="005469D3"/>
    <w:rsid w:val="00546DB9"/>
    <w:rsid w:val="00547137"/>
    <w:rsid w:val="005476A3"/>
    <w:rsid w:val="0055103C"/>
    <w:rsid w:val="005510E2"/>
    <w:rsid w:val="00551723"/>
    <w:rsid w:val="005538DE"/>
    <w:rsid w:val="00553B76"/>
    <w:rsid w:val="00555341"/>
    <w:rsid w:val="00555453"/>
    <w:rsid w:val="00556225"/>
    <w:rsid w:val="00557338"/>
    <w:rsid w:val="005577FD"/>
    <w:rsid w:val="00560192"/>
    <w:rsid w:val="005609BB"/>
    <w:rsid w:val="00560CCC"/>
    <w:rsid w:val="00560FB1"/>
    <w:rsid w:val="00561567"/>
    <w:rsid w:val="00561D40"/>
    <w:rsid w:val="005620C6"/>
    <w:rsid w:val="00563776"/>
    <w:rsid w:val="00563F8A"/>
    <w:rsid w:val="005647F4"/>
    <w:rsid w:val="0056480A"/>
    <w:rsid w:val="005655DE"/>
    <w:rsid w:val="005674C7"/>
    <w:rsid w:val="005703BF"/>
    <w:rsid w:val="00570404"/>
    <w:rsid w:val="00570937"/>
    <w:rsid w:val="0057096A"/>
    <w:rsid w:val="00570C40"/>
    <w:rsid w:val="00571233"/>
    <w:rsid w:val="0057128C"/>
    <w:rsid w:val="005712C0"/>
    <w:rsid w:val="0057143C"/>
    <w:rsid w:val="00571DDE"/>
    <w:rsid w:val="00572768"/>
    <w:rsid w:val="00573128"/>
    <w:rsid w:val="005745C6"/>
    <w:rsid w:val="00574A51"/>
    <w:rsid w:val="00574CAB"/>
    <w:rsid w:val="00574D0E"/>
    <w:rsid w:val="00575317"/>
    <w:rsid w:val="00575756"/>
    <w:rsid w:val="005759F2"/>
    <w:rsid w:val="00576F65"/>
    <w:rsid w:val="005803DA"/>
    <w:rsid w:val="0058071E"/>
    <w:rsid w:val="00580E84"/>
    <w:rsid w:val="0058116C"/>
    <w:rsid w:val="00583864"/>
    <w:rsid w:val="0058416A"/>
    <w:rsid w:val="005855D5"/>
    <w:rsid w:val="0058569C"/>
    <w:rsid w:val="00585C27"/>
    <w:rsid w:val="00585D8E"/>
    <w:rsid w:val="00585DB1"/>
    <w:rsid w:val="0058682A"/>
    <w:rsid w:val="00586B25"/>
    <w:rsid w:val="00586E71"/>
    <w:rsid w:val="00587887"/>
    <w:rsid w:val="00591577"/>
    <w:rsid w:val="0059186C"/>
    <w:rsid w:val="00591FE6"/>
    <w:rsid w:val="00592682"/>
    <w:rsid w:val="0059283C"/>
    <w:rsid w:val="00593642"/>
    <w:rsid w:val="00593EAC"/>
    <w:rsid w:val="00594178"/>
    <w:rsid w:val="0059452E"/>
    <w:rsid w:val="00595E4B"/>
    <w:rsid w:val="005A071B"/>
    <w:rsid w:val="005A0A12"/>
    <w:rsid w:val="005A1286"/>
    <w:rsid w:val="005A19CC"/>
    <w:rsid w:val="005A1EE6"/>
    <w:rsid w:val="005A225D"/>
    <w:rsid w:val="005A3485"/>
    <w:rsid w:val="005A3949"/>
    <w:rsid w:val="005A4E22"/>
    <w:rsid w:val="005A4F89"/>
    <w:rsid w:val="005A55FB"/>
    <w:rsid w:val="005A577B"/>
    <w:rsid w:val="005A584C"/>
    <w:rsid w:val="005A6BFD"/>
    <w:rsid w:val="005A6F9F"/>
    <w:rsid w:val="005A7638"/>
    <w:rsid w:val="005A7EBC"/>
    <w:rsid w:val="005B04B9"/>
    <w:rsid w:val="005B2C14"/>
    <w:rsid w:val="005B3903"/>
    <w:rsid w:val="005B3B07"/>
    <w:rsid w:val="005B3B14"/>
    <w:rsid w:val="005B4BD3"/>
    <w:rsid w:val="005B52A7"/>
    <w:rsid w:val="005B61D6"/>
    <w:rsid w:val="005C0251"/>
    <w:rsid w:val="005C03A6"/>
    <w:rsid w:val="005C1969"/>
    <w:rsid w:val="005C1CA1"/>
    <w:rsid w:val="005C22C8"/>
    <w:rsid w:val="005C2455"/>
    <w:rsid w:val="005C359F"/>
    <w:rsid w:val="005C3EE2"/>
    <w:rsid w:val="005C48A3"/>
    <w:rsid w:val="005C5501"/>
    <w:rsid w:val="005C563A"/>
    <w:rsid w:val="005C6AAC"/>
    <w:rsid w:val="005C6B7F"/>
    <w:rsid w:val="005C70D1"/>
    <w:rsid w:val="005C7143"/>
    <w:rsid w:val="005C74CB"/>
    <w:rsid w:val="005C7C65"/>
    <w:rsid w:val="005D01BE"/>
    <w:rsid w:val="005D046D"/>
    <w:rsid w:val="005D245E"/>
    <w:rsid w:val="005D2F7F"/>
    <w:rsid w:val="005D30B8"/>
    <w:rsid w:val="005D335B"/>
    <w:rsid w:val="005D413D"/>
    <w:rsid w:val="005D46D2"/>
    <w:rsid w:val="005D471E"/>
    <w:rsid w:val="005D58F4"/>
    <w:rsid w:val="005D6252"/>
    <w:rsid w:val="005D7750"/>
    <w:rsid w:val="005E09E1"/>
    <w:rsid w:val="005E0B66"/>
    <w:rsid w:val="005E0E8E"/>
    <w:rsid w:val="005E11C2"/>
    <w:rsid w:val="005E3A99"/>
    <w:rsid w:val="005E3BA8"/>
    <w:rsid w:val="005E4160"/>
    <w:rsid w:val="005E43D1"/>
    <w:rsid w:val="005E4D31"/>
    <w:rsid w:val="005E6287"/>
    <w:rsid w:val="005E68AF"/>
    <w:rsid w:val="005E7B73"/>
    <w:rsid w:val="005E7DF6"/>
    <w:rsid w:val="005F0611"/>
    <w:rsid w:val="005F061F"/>
    <w:rsid w:val="005F1463"/>
    <w:rsid w:val="005F331D"/>
    <w:rsid w:val="005F333E"/>
    <w:rsid w:val="005F3B9A"/>
    <w:rsid w:val="005F3E13"/>
    <w:rsid w:val="005F40B5"/>
    <w:rsid w:val="005F4D59"/>
    <w:rsid w:val="005F70DF"/>
    <w:rsid w:val="005F7C58"/>
    <w:rsid w:val="006006F9"/>
    <w:rsid w:val="00600D32"/>
    <w:rsid w:val="006011BF"/>
    <w:rsid w:val="00601F4B"/>
    <w:rsid w:val="0060263C"/>
    <w:rsid w:val="0060338D"/>
    <w:rsid w:val="00603A63"/>
    <w:rsid w:val="00604B0D"/>
    <w:rsid w:val="00604EA3"/>
    <w:rsid w:val="00605B81"/>
    <w:rsid w:val="00605E11"/>
    <w:rsid w:val="006061A4"/>
    <w:rsid w:val="00606223"/>
    <w:rsid w:val="00607E93"/>
    <w:rsid w:val="00607EE4"/>
    <w:rsid w:val="00610422"/>
    <w:rsid w:val="00610883"/>
    <w:rsid w:val="006112AA"/>
    <w:rsid w:val="006114DE"/>
    <w:rsid w:val="006129F5"/>
    <w:rsid w:val="00612D02"/>
    <w:rsid w:val="00612EFA"/>
    <w:rsid w:val="00612F97"/>
    <w:rsid w:val="0061384C"/>
    <w:rsid w:val="00614277"/>
    <w:rsid w:val="00615730"/>
    <w:rsid w:val="00615D9E"/>
    <w:rsid w:val="00615E99"/>
    <w:rsid w:val="00616F37"/>
    <w:rsid w:val="006176BC"/>
    <w:rsid w:val="00617FC5"/>
    <w:rsid w:val="006204FA"/>
    <w:rsid w:val="0062109A"/>
    <w:rsid w:val="006210F6"/>
    <w:rsid w:val="00621288"/>
    <w:rsid w:val="00621DFB"/>
    <w:rsid w:val="00621FED"/>
    <w:rsid w:val="006224DD"/>
    <w:rsid w:val="00622856"/>
    <w:rsid w:val="00623084"/>
    <w:rsid w:val="00623117"/>
    <w:rsid w:val="006234B0"/>
    <w:rsid w:val="00623ABC"/>
    <w:rsid w:val="00623B61"/>
    <w:rsid w:val="00624EC6"/>
    <w:rsid w:val="00625AD7"/>
    <w:rsid w:val="00625FAB"/>
    <w:rsid w:val="006262C7"/>
    <w:rsid w:val="00626547"/>
    <w:rsid w:val="00626AF0"/>
    <w:rsid w:val="00627A9B"/>
    <w:rsid w:val="00631FE3"/>
    <w:rsid w:val="00632331"/>
    <w:rsid w:val="00632723"/>
    <w:rsid w:val="006328FA"/>
    <w:rsid w:val="00632EB2"/>
    <w:rsid w:val="00633B66"/>
    <w:rsid w:val="00634E20"/>
    <w:rsid w:val="00634E28"/>
    <w:rsid w:val="00635B7C"/>
    <w:rsid w:val="00636305"/>
    <w:rsid w:val="006373C9"/>
    <w:rsid w:val="00640957"/>
    <w:rsid w:val="00641B80"/>
    <w:rsid w:val="0064293F"/>
    <w:rsid w:val="00642FE3"/>
    <w:rsid w:val="00645BE2"/>
    <w:rsid w:val="00650199"/>
    <w:rsid w:val="00650BEE"/>
    <w:rsid w:val="00651D17"/>
    <w:rsid w:val="00652CC5"/>
    <w:rsid w:val="006531A6"/>
    <w:rsid w:val="006532ED"/>
    <w:rsid w:val="00654377"/>
    <w:rsid w:val="00654651"/>
    <w:rsid w:val="00654B9F"/>
    <w:rsid w:val="00654F72"/>
    <w:rsid w:val="00656480"/>
    <w:rsid w:val="00656537"/>
    <w:rsid w:val="0065712C"/>
    <w:rsid w:val="00657410"/>
    <w:rsid w:val="00657B1F"/>
    <w:rsid w:val="0066017E"/>
    <w:rsid w:val="00660AFA"/>
    <w:rsid w:val="00661CAF"/>
    <w:rsid w:val="0066246B"/>
    <w:rsid w:val="00662FEF"/>
    <w:rsid w:val="0066482C"/>
    <w:rsid w:val="00664CB9"/>
    <w:rsid w:val="0066549F"/>
    <w:rsid w:val="00665737"/>
    <w:rsid w:val="0066576B"/>
    <w:rsid w:val="00665DA1"/>
    <w:rsid w:val="00666D84"/>
    <w:rsid w:val="00666D96"/>
    <w:rsid w:val="00667125"/>
    <w:rsid w:val="0066782C"/>
    <w:rsid w:val="00667D28"/>
    <w:rsid w:val="006709D0"/>
    <w:rsid w:val="00670C11"/>
    <w:rsid w:val="00671838"/>
    <w:rsid w:val="00672341"/>
    <w:rsid w:val="006729A0"/>
    <w:rsid w:val="00672A90"/>
    <w:rsid w:val="0067358F"/>
    <w:rsid w:val="00674D91"/>
    <w:rsid w:val="006751DF"/>
    <w:rsid w:val="00681412"/>
    <w:rsid w:val="006818A9"/>
    <w:rsid w:val="00681CFE"/>
    <w:rsid w:val="00682C79"/>
    <w:rsid w:val="0068300B"/>
    <w:rsid w:val="0068409F"/>
    <w:rsid w:val="00684404"/>
    <w:rsid w:val="0068464E"/>
    <w:rsid w:val="006848D9"/>
    <w:rsid w:val="00685C1C"/>
    <w:rsid w:val="0068604E"/>
    <w:rsid w:val="00686AF7"/>
    <w:rsid w:val="00687281"/>
    <w:rsid w:val="006877E0"/>
    <w:rsid w:val="006908D2"/>
    <w:rsid w:val="006921B3"/>
    <w:rsid w:val="00692CE2"/>
    <w:rsid w:val="00693979"/>
    <w:rsid w:val="006949CC"/>
    <w:rsid w:val="00694EEE"/>
    <w:rsid w:val="00694F4B"/>
    <w:rsid w:val="006954A1"/>
    <w:rsid w:val="006971DA"/>
    <w:rsid w:val="006979F6"/>
    <w:rsid w:val="00697D6F"/>
    <w:rsid w:val="006A046F"/>
    <w:rsid w:val="006A05B7"/>
    <w:rsid w:val="006A0D02"/>
    <w:rsid w:val="006A20D2"/>
    <w:rsid w:val="006A24C9"/>
    <w:rsid w:val="006A251E"/>
    <w:rsid w:val="006A3B9C"/>
    <w:rsid w:val="006A432A"/>
    <w:rsid w:val="006A43BD"/>
    <w:rsid w:val="006A49B3"/>
    <w:rsid w:val="006A4F9A"/>
    <w:rsid w:val="006A61FB"/>
    <w:rsid w:val="006A6CEF"/>
    <w:rsid w:val="006A7033"/>
    <w:rsid w:val="006B00B6"/>
    <w:rsid w:val="006B0964"/>
    <w:rsid w:val="006B0C79"/>
    <w:rsid w:val="006B1091"/>
    <w:rsid w:val="006B14D3"/>
    <w:rsid w:val="006B2AF4"/>
    <w:rsid w:val="006B2B23"/>
    <w:rsid w:val="006B2FC2"/>
    <w:rsid w:val="006B52FC"/>
    <w:rsid w:val="006B689B"/>
    <w:rsid w:val="006B75F5"/>
    <w:rsid w:val="006B7AF2"/>
    <w:rsid w:val="006B7FA8"/>
    <w:rsid w:val="006C014F"/>
    <w:rsid w:val="006C25A1"/>
    <w:rsid w:val="006C30AA"/>
    <w:rsid w:val="006C4025"/>
    <w:rsid w:val="006C419F"/>
    <w:rsid w:val="006C47F3"/>
    <w:rsid w:val="006C50D9"/>
    <w:rsid w:val="006C6295"/>
    <w:rsid w:val="006C658A"/>
    <w:rsid w:val="006C6C6C"/>
    <w:rsid w:val="006C7911"/>
    <w:rsid w:val="006D0380"/>
    <w:rsid w:val="006D03D1"/>
    <w:rsid w:val="006D078D"/>
    <w:rsid w:val="006D118B"/>
    <w:rsid w:val="006D3165"/>
    <w:rsid w:val="006D363A"/>
    <w:rsid w:val="006D4D20"/>
    <w:rsid w:val="006D4DE0"/>
    <w:rsid w:val="006D5D83"/>
    <w:rsid w:val="006D62A2"/>
    <w:rsid w:val="006D6540"/>
    <w:rsid w:val="006D6948"/>
    <w:rsid w:val="006D7D68"/>
    <w:rsid w:val="006E0D63"/>
    <w:rsid w:val="006E1301"/>
    <w:rsid w:val="006E18B6"/>
    <w:rsid w:val="006E1D7C"/>
    <w:rsid w:val="006E261B"/>
    <w:rsid w:val="006E2AEC"/>
    <w:rsid w:val="006E2D53"/>
    <w:rsid w:val="006E31CF"/>
    <w:rsid w:val="006E3B92"/>
    <w:rsid w:val="006E4F0A"/>
    <w:rsid w:val="006E4F94"/>
    <w:rsid w:val="006E650A"/>
    <w:rsid w:val="006E684A"/>
    <w:rsid w:val="006E6859"/>
    <w:rsid w:val="006E7F6E"/>
    <w:rsid w:val="006F0CD7"/>
    <w:rsid w:val="006F1205"/>
    <w:rsid w:val="006F1BBB"/>
    <w:rsid w:val="006F1FE7"/>
    <w:rsid w:val="006F2352"/>
    <w:rsid w:val="006F35E3"/>
    <w:rsid w:val="006F3991"/>
    <w:rsid w:val="006F3CF7"/>
    <w:rsid w:val="006F3D67"/>
    <w:rsid w:val="006F3FB8"/>
    <w:rsid w:val="006F4440"/>
    <w:rsid w:val="006F505C"/>
    <w:rsid w:val="006F5DDF"/>
    <w:rsid w:val="006F6EC4"/>
    <w:rsid w:val="006F7312"/>
    <w:rsid w:val="006F7DA0"/>
    <w:rsid w:val="007009D0"/>
    <w:rsid w:val="00700AA0"/>
    <w:rsid w:val="007013C2"/>
    <w:rsid w:val="0070297F"/>
    <w:rsid w:val="0070304A"/>
    <w:rsid w:val="00703E78"/>
    <w:rsid w:val="00703F05"/>
    <w:rsid w:val="007056A0"/>
    <w:rsid w:val="00705E0A"/>
    <w:rsid w:val="00705E49"/>
    <w:rsid w:val="007063B6"/>
    <w:rsid w:val="00711E69"/>
    <w:rsid w:val="007122FC"/>
    <w:rsid w:val="00713088"/>
    <w:rsid w:val="00713E06"/>
    <w:rsid w:val="00713EB0"/>
    <w:rsid w:val="007146E8"/>
    <w:rsid w:val="007152B4"/>
    <w:rsid w:val="00715388"/>
    <w:rsid w:val="00715C04"/>
    <w:rsid w:val="00716979"/>
    <w:rsid w:val="007169F0"/>
    <w:rsid w:val="00717D18"/>
    <w:rsid w:val="00720317"/>
    <w:rsid w:val="007206DB"/>
    <w:rsid w:val="007209FF"/>
    <w:rsid w:val="0072347B"/>
    <w:rsid w:val="00723EFA"/>
    <w:rsid w:val="00724895"/>
    <w:rsid w:val="0072495A"/>
    <w:rsid w:val="00724DE5"/>
    <w:rsid w:val="007253A5"/>
    <w:rsid w:val="00725E74"/>
    <w:rsid w:val="007260E2"/>
    <w:rsid w:val="00726BB6"/>
    <w:rsid w:val="00727419"/>
    <w:rsid w:val="0072768D"/>
    <w:rsid w:val="00731151"/>
    <w:rsid w:val="00731718"/>
    <w:rsid w:val="00731AAE"/>
    <w:rsid w:val="00731EF3"/>
    <w:rsid w:val="00732485"/>
    <w:rsid w:val="00732533"/>
    <w:rsid w:val="00732D16"/>
    <w:rsid w:val="007335D9"/>
    <w:rsid w:val="00733C94"/>
    <w:rsid w:val="00733D0B"/>
    <w:rsid w:val="007341F3"/>
    <w:rsid w:val="0073424F"/>
    <w:rsid w:val="0073448F"/>
    <w:rsid w:val="00735567"/>
    <w:rsid w:val="00735B53"/>
    <w:rsid w:val="00736528"/>
    <w:rsid w:val="00736AB8"/>
    <w:rsid w:val="00737425"/>
    <w:rsid w:val="00737A0A"/>
    <w:rsid w:val="00740268"/>
    <w:rsid w:val="00740B21"/>
    <w:rsid w:val="0074136C"/>
    <w:rsid w:val="007415C5"/>
    <w:rsid w:val="00742596"/>
    <w:rsid w:val="00742B33"/>
    <w:rsid w:val="00743D8D"/>
    <w:rsid w:val="007460D4"/>
    <w:rsid w:val="0074662B"/>
    <w:rsid w:val="00747840"/>
    <w:rsid w:val="007507E9"/>
    <w:rsid w:val="00751A16"/>
    <w:rsid w:val="00752BC8"/>
    <w:rsid w:val="0075334B"/>
    <w:rsid w:val="0075337F"/>
    <w:rsid w:val="00753A52"/>
    <w:rsid w:val="00753BF6"/>
    <w:rsid w:val="00753F6B"/>
    <w:rsid w:val="00753FA1"/>
    <w:rsid w:val="00754134"/>
    <w:rsid w:val="0075440F"/>
    <w:rsid w:val="00754827"/>
    <w:rsid w:val="00754B93"/>
    <w:rsid w:val="00754DAF"/>
    <w:rsid w:val="0075504D"/>
    <w:rsid w:val="007551D6"/>
    <w:rsid w:val="0075590C"/>
    <w:rsid w:val="00755910"/>
    <w:rsid w:val="00756237"/>
    <w:rsid w:val="00756290"/>
    <w:rsid w:val="00756EFF"/>
    <w:rsid w:val="00756F4B"/>
    <w:rsid w:val="007575B3"/>
    <w:rsid w:val="00757638"/>
    <w:rsid w:val="0076093E"/>
    <w:rsid w:val="00761977"/>
    <w:rsid w:val="00761D43"/>
    <w:rsid w:val="00761F3B"/>
    <w:rsid w:val="00762266"/>
    <w:rsid w:val="0076261F"/>
    <w:rsid w:val="0076293E"/>
    <w:rsid w:val="007629A9"/>
    <w:rsid w:val="007632B9"/>
    <w:rsid w:val="00763F5C"/>
    <w:rsid w:val="007646D8"/>
    <w:rsid w:val="00764FB6"/>
    <w:rsid w:val="00766B9D"/>
    <w:rsid w:val="00767BB7"/>
    <w:rsid w:val="00770766"/>
    <w:rsid w:val="00770B36"/>
    <w:rsid w:val="00770DA0"/>
    <w:rsid w:val="00770F09"/>
    <w:rsid w:val="007717CC"/>
    <w:rsid w:val="0077233A"/>
    <w:rsid w:val="00772434"/>
    <w:rsid w:val="00772E80"/>
    <w:rsid w:val="00773D27"/>
    <w:rsid w:val="00774936"/>
    <w:rsid w:val="00774C6D"/>
    <w:rsid w:val="00775B02"/>
    <w:rsid w:val="00775C45"/>
    <w:rsid w:val="00776240"/>
    <w:rsid w:val="007770EA"/>
    <w:rsid w:val="00777A6C"/>
    <w:rsid w:val="0078054A"/>
    <w:rsid w:val="00780C05"/>
    <w:rsid w:val="00781918"/>
    <w:rsid w:val="00781C3D"/>
    <w:rsid w:val="00781D71"/>
    <w:rsid w:val="00782401"/>
    <w:rsid w:val="00782B1E"/>
    <w:rsid w:val="00782B2B"/>
    <w:rsid w:val="00782FB8"/>
    <w:rsid w:val="00783659"/>
    <w:rsid w:val="00783FAE"/>
    <w:rsid w:val="0078616D"/>
    <w:rsid w:val="0078731B"/>
    <w:rsid w:val="00787A67"/>
    <w:rsid w:val="00790039"/>
    <w:rsid w:val="007903A8"/>
    <w:rsid w:val="00790AF8"/>
    <w:rsid w:val="00790F9C"/>
    <w:rsid w:val="007921C6"/>
    <w:rsid w:val="00794020"/>
    <w:rsid w:val="0079480F"/>
    <w:rsid w:val="00795438"/>
    <w:rsid w:val="00795A8A"/>
    <w:rsid w:val="00797883"/>
    <w:rsid w:val="00797967"/>
    <w:rsid w:val="00797B1D"/>
    <w:rsid w:val="00797D12"/>
    <w:rsid w:val="00797F6D"/>
    <w:rsid w:val="007A146E"/>
    <w:rsid w:val="007A5D01"/>
    <w:rsid w:val="007A60B0"/>
    <w:rsid w:val="007A67D7"/>
    <w:rsid w:val="007A729A"/>
    <w:rsid w:val="007B09F9"/>
    <w:rsid w:val="007B1A04"/>
    <w:rsid w:val="007B2032"/>
    <w:rsid w:val="007B3046"/>
    <w:rsid w:val="007B348B"/>
    <w:rsid w:val="007B3F6A"/>
    <w:rsid w:val="007B57B2"/>
    <w:rsid w:val="007B5B8E"/>
    <w:rsid w:val="007B6298"/>
    <w:rsid w:val="007B7A1E"/>
    <w:rsid w:val="007C1652"/>
    <w:rsid w:val="007C1AC3"/>
    <w:rsid w:val="007C2083"/>
    <w:rsid w:val="007C2C43"/>
    <w:rsid w:val="007C5400"/>
    <w:rsid w:val="007C590D"/>
    <w:rsid w:val="007C6683"/>
    <w:rsid w:val="007C6E9E"/>
    <w:rsid w:val="007C754D"/>
    <w:rsid w:val="007D1315"/>
    <w:rsid w:val="007D15AD"/>
    <w:rsid w:val="007D193D"/>
    <w:rsid w:val="007D3050"/>
    <w:rsid w:val="007D3281"/>
    <w:rsid w:val="007D33F9"/>
    <w:rsid w:val="007D404B"/>
    <w:rsid w:val="007D49D4"/>
    <w:rsid w:val="007D4CAE"/>
    <w:rsid w:val="007D51B0"/>
    <w:rsid w:val="007D5D85"/>
    <w:rsid w:val="007D67D0"/>
    <w:rsid w:val="007D6A52"/>
    <w:rsid w:val="007D6A87"/>
    <w:rsid w:val="007D7186"/>
    <w:rsid w:val="007D769D"/>
    <w:rsid w:val="007E05E7"/>
    <w:rsid w:val="007E1837"/>
    <w:rsid w:val="007E19AB"/>
    <w:rsid w:val="007E26F9"/>
    <w:rsid w:val="007E468C"/>
    <w:rsid w:val="007E471E"/>
    <w:rsid w:val="007E479E"/>
    <w:rsid w:val="007E4BB7"/>
    <w:rsid w:val="007E60E9"/>
    <w:rsid w:val="007E6F71"/>
    <w:rsid w:val="007F0748"/>
    <w:rsid w:val="007F0CAB"/>
    <w:rsid w:val="007F18A3"/>
    <w:rsid w:val="007F18A7"/>
    <w:rsid w:val="007F246B"/>
    <w:rsid w:val="007F30FC"/>
    <w:rsid w:val="007F3564"/>
    <w:rsid w:val="007F3E2C"/>
    <w:rsid w:val="007F48A9"/>
    <w:rsid w:val="007F50AD"/>
    <w:rsid w:val="007F5242"/>
    <w:rsid w:val="007F5527"/>
    <w:rsid w:val="007F5B4A"/>
    <w:rsid w:val="007F5F81"/>
    <w:rsid w:val="007F6640"/>
    <w:rsid w:val="007F6B96"/>
    <w:rsid w:val="007F6C72"/>
    <w:rsid w:val="007F7215"/>
    <w:rsid w:val="007F72A1"/>
    <w:rsid w:val="007F744C"/>
    <w:rsid w:val="007F7B4B"/>
    <w:rsid w:val="007F7CE3"/>
    <w:rsid w:val="00800681"/>
    <w:rsid w:val="00800B58"/>
    <w:rsid w:val="00800EB7"/>
    <w:rsid w:val="0080118F"/>
    <w:rsid w:val="00802E48"/>
    <w:rsid w:val="00803840"/>
    <w:rsid w:val="00804BB3"/>
    <w:rsid w:val="0080589B"/>
    <w:rsid w:val="00806C02"/>
    <w:rsid w:val="00807230"/>
    <w:rsid w:val="00807497"/>
    <w:rsid w:val="008077BA"/>
    <w:rsid w:val="00807974"/>
    <w:rsid w:val="0081029A"/>
    <w:rsid w:val="0081108D"/>
    <w:rsid w:val="00811B57"/>
    <w:rsid w:val="00812D5F"/>
    <w:rsid w:val="008133B6"/>
    <w:rsid w:val="0081394F"/>
    <w:rsid w:val="00814D4A"/>
    <w:rsid w:val="008169E6"/>
    <w:rsid w:val="0081767D"/>
    <w:rsid w:val="00817C9B"/>
    <w:rsid w:val="00817FBE"/>
    <w:rsid w:val="0082073A"/>
    <w:rsid w:val="00820DDC"/>
    <w:rsid w:val="00821ADD"/>
    <w:rsid w:val="00821C22"/>
    <w:rsid w:val="00821DE0"/>
    <w:rsid w:val="008225D7"/>
    <w:rsid w:val="00823808"/>
    <w:rsid w:val="0082390F"/>
    <w:rsid w:val="00823F00"/>
    <w:rsid w:val="00824817"/>
    <w:rsid w:val="008258B8"/>
    <w:rsid w:val="00825F07"/>
    <w:rsid w:val="00826B70"/>
    <w:rsid w:val="00827169"/>
    <w:rsid w:val="00827AE5"/>
    <w:rsid w:val="00830392"/>
    <w:rsid w:val="00830F47"/>
    <w:rsid w:val="00830FA6"/>
    <w:rsid w:val="0083116A"/>
    <w:rsid w:val="00832006"/>
    <w:rsid w:val="0083219B"/>
    <w:rsid w:val="00833B94"/>
    <w:rsid w:val="008358B1"/>
    <w:rsid w:val="008358DD"/>
    <w:rsid w:val="00836E17"/>
    <w:rsid w:val="00837B3E"/>
    <w:rsid w:val="00837C56"/>
    <w:rsid w:val="00837D12"/>
    <w:rsid w:val="00842AB6"/>
    <w:rsid w:val="0084350F"/>
    <w:rsid w:val="00843EC8"/>
    <w:rsid w:val="0084503D"/>
    <w:rsid w:val="00846EC8"/>
    <w:rsid w:val="00847663"/>
    <w:rsid w:val="008506A0"/>
    <w:rsid w:val="00851B45"/>
    <w:rsid w:val="00851E23"/>
    <w:rsid w:val="0085243A"/>
    <w:rsid w:val="00852A71"/>
    <w:rsid w:val="00853983"/>
    <w:rsid w:val="00853A9C"/>
    <w:rsid w:val="008542D0"/>
    <w:rsid w:val="00854BB0"/>
    <w:rsid w:val="0085546C"/>
    <w:rsid w:val="0085583B"/>
    <w:rsid w:val="00855A8C"/>
    <w:rsid w:val="00855FFE"/>
    <w:rsid w:val="0085610C"/>
    <w:rsid w:val="00856B4A"/>
    <w:rsid w:val="00856CCD"/>
    <w:rsid w:val="0086094E"/>
    <w:rsid w:val="00860CC2"/>
    <w:rsid w:val="00860DAB"/>
    <w:rsid w:val="00860E91"/>
    <w:rsid w:val="0086261E"/>
    <w:rsid w:val="0086336C"/>
    <w:rsid w:val="00863A18"/>
    <w:rsid w:val="00863A6D"/>
    <w:rsid w:val="008642E8"/>
    <w:rsid w:val="0086455A"/>
    <w:rsid w:val="0086555C"/>
    <w:rsid w:val="00865729"/>
    <w:rsid w:val="00865A21"/>
    <w:rsid w:val="00866128"/>
    <w:rsid w:val="008663D1"/>
    <w:rsid w:val="00866683"/>
    <w:rsid w:val="00866D1B"/>
    <w:rsid w:val="00866F5C"/>
    <w:rsid w:val="00867088"/>
    <w:rsid w:val="008671C5"/>
    <w:rsid w:val="00867D53"/>
    <w:rsid w:val="00870CBE"/>
    <w:rsid w:val="00871AFE"/>
    <w:rsid w:val="00871F23"/>
    <w:rsid w:val="0087343C"/>
    <w:rsid w:val="00873D26"/>
    <w:rsid w:val="00874D0E"/>
    <w:rsid w:val="0087677F"/>
    <w:rsid w:val="008770B8"/>
    <w:rsid w:val="008777C4"/>
    <w:rsid w:val="00880347"/>
    <w:rsid w:val="008804EB"/>
    <w:rsid w:val="008806FB"/>
    <w:rsid w:val="00880905"/>
    <w:rsid w:val="00881549"/>
    <w:rsid w:val="00881928"/>
    <w:rsid w:val="0088395E"/>
    <w:rsid w:val="0088542D"/>
    <w:rsid w:val="008858FA"/>
    <w:rsid w:val="00885A9C"/>
    <w:rsid w:val="00886916"/>
    <w:rsid w:val="00887BBF"/>
    <w:rsid w:val="008902AD"/>
    <w:rsid w:val="0089030F"/>
    <w:rsid w:val="00890892"/>
    <w:rsid w:val="00890C81"/>
    <w:rsid w:val="00890F64"/>
    <w:rsid w:val="008921EA"/>
    <w:rsid w:val="00892AEB"/>
    <w:rsid w:val="008944A2"/>
    <w:rsid w:val="0089487E"/>
    <w:rsid w:val="00894BAB"/>
    <w:rsid w:val="008957F7"/>
    <w:rsid w:val="00895836"/>
    <w:rsid w:val="00897D92"/>
    <w:rsid w:val="008A0C51"/>
    <w:rsid w:val="008A0CDD"/>
    <w:rsid w:val="008A0EA3"/>
    <w:rsid w:val="008A1123"/>
    <w:rsid w:val="008A1376"/>
    <w:rsid w:val="008A193F"/>
    <w:rsid w:val="008A1E38"/>
    <w:rsid w:val="008A2E45"/>
    <w:rsid w:val="008A3AEA"/>
    <w:rsid w:val="008A3C07"/>
    <w:rsid w:val="008A4571"/>
    <w:rsid w:val="008A45C6"/>
    <w:rsid w:val="008A4696"/>
    <w:rsid w:val="008A47ED"/>
    <w:rsid w:val="008A4DA3"/>
    <w:rsid w:val="008A5D23"/>
    <w:rsid w:val="008A5D75"/>
    <w:rsid w:val="008A6D37"/>
    <w:rsid w:val="008A7B0A"/>
    <w:rsid w:val="008B0772"/>
    <w:rsid w:val="008B1829"/>
    <w:rsid w:val="008B1967"/>
    <w:rsid w:val="008B1B90"/>
    <w:rsid w:val="008B2BE7"/>
    <w:rsid w:val="008B3497"/>
    <w:rsid w:val="008B37EF"/>
    <w:rsid w:val="008B3D88"/>
    <w:rsid w:val="008B4481"/>
    <w:rsid w:val="008B53D4"/>
    <w:rsid w:val="008B5578"/>
    <w:rsid w:val="008B5BDC"/>
    <w:rsid w:val="008B6427"/>
    <w:rsid w:val="008B6AA9"/>
    <w:rsid w:val="008B6D66"/>
    <w:rsid w:val="008B6E17"/>
    <w:rsid w:val="008B7C90"/>
    <w:rsid w:val="008B7DF7"/>
    <w:rsid w:val="008C1330"/>
    <w:rsid w:val="008C1CBC"/>
    <w:rsid w:val="008C2329"/>
    <w:rsid w:val="008C2922"/>
    <w:rsid w:val="008C2B7E"/>
    <w:rsid w:val="008C6E60"/>
    <w:rsid w:val="008C7C03"/>
    <w:rsid w:val="008C7E5D"/>
    <w:rsid w:val="008D0761"/>
    <w:rsid w:val="008D0846"/>
    <w:rsid w:val="008D0A42"/>
    <w:rsid w:val="008D1480"/>
    <w:rsid w:val="008D17BB"/>
    <w:rsid w:val="008D2FE2"/>
    <w:rsid w:val="008D3E38"/>
    <w:rsid w:val="008D454E"/>
    <w:rsid w:val="008D460D"/>
    <w:rsid w:val="008D483E"/>
    <w:rsid w:val="008D4BDF"/>
    <w:rsid w:val="008D5FBD"/>
    <w:rsid w:val="008D6F94"/>
    <w:rsid w:val="008D70D2"/>
    <w:rsid w:val="008D7601"/>
    <w:rsid w:val="008D7C22"/>
    <w:rsid w:val="008E0334"/>
    <w:rsid w:val="008E0B1C"/>
    <w:rsid w:val="008E0B65"/>
    <w:rsid w:val="008E1551"/>
    <w:rsid w:val="008E2733"/>
    <w:rsid w:val="008E28B0"/>
    <w:rsid w:val="008E2B91"/>
    <w:rsid w:val="008E3203"/>
    <w:rsid w:val="008E4337"/>
    <w:rsid w:val="008E44B7"/>
    <w:rsid w:val="008E5F03"/>
    <w:rsid w:val="008E7791"/>
    <w:rsid w:val="008E790A"/>
    <w:rsid w:val="008E7AC4"/>
    <w:rsid w:val="008E7CE9"/>
    <w:rsid w:val="008F12B8"/>
    <w:rsid w:val="008F1A58"/>
    <w:rsid w:val="008F1BD7"/>
    <w:rsid w:val="008F1EBC"/>
    <w:rsid w:val="008F2E8F"/>
    <w:rsid w:val="008F3CA0"/>
    <w:rsid w:val="008F3F46"/>
    <w:rsid w:val="008F3F50"/>
    <w:rsid w:val="008F443A"/>
    <w:rsid w:val="008F5117"/>
    <w:rsid w:val="00900061"/>
    <w:rsid w:val="0090052D"/>
    <w:rsid w:val="00901A81"/>
    <w:rsid w:val="00901D3B"/>
    <w:rsid w:val="00901ECA"/>
    <w:rsid w:val="009021E3"/>
    <w:rsid w:val="00903B0D"/>
    <w:rsid w:val="00903C16"/>
    <w:rsid w:val="00904121"/>
    <w:rsid w:val="009042D4"/>
    <w:rsid w:val="009053B9"/>
    <w:rsid w:val="00906A7E"/>
    <w:rsid w:val="00906ECC"/>
    <w:rsid w:val="009070FC"/>
    <w:rsid w:val="00907E48"/>
    <w:rsid w:val="009125E6"/>
    <w:rsid w:val="00912D5E"/>
    <w:rsid w:val="00913125"/>
    <w:rsid w:val="00913662"/>
    <w:rsid w:val="00913EE1"/>
    <w:rsid w:val="00915B8A"/>
    <w:rsid w:val="00915D79"/>
    <w:rsid w:val="00916136"/>
    <w:rsid w:val="009162C7"/>
    <w:rsid w:val="00917029"/>
    <w:rsid w:val="009202F1"/>
    <w:rsid w:val="009203C4"/>
    <w:rsid w:val="00921233"/>
    <w:rsid w:val="00921F80"/>
    <w:rsid w:val="009237D9"/>
    <w:rsid w:val="00923BDD"/>
    <w:rsid w:val="009242BB"/>
    <w:rsid w:val="00924590"/>
    <w:rsid w:val="0092481D"/>
    <w:rsid w:val="00924EAD"/>
    <w:rsid w:val="00924FB6"/>
    <w:rsid w:val="00925525"/>
    <w:rsid w:val="0093071A"/>
    <w:rsid w:val="00931326"/>
    <w:rsid w:val="00931644"/>
    <w:rsid w:val="0093204D"/>
    <w:rsid w:val="00933781"/>
    <w:rsid w:val="009341BD"/>
    <w:rsid w:val="00934979"/>
    <w:rsid w:val="00934E95"/>
    <w:rsid w:val="00935BA4"/>
    <w:rsid w:val="00935EB6"/>
    <w:rsid w:val="00935F73"/>
    <w:rsid w:val="00937A6D"/>
    <w:rsid w:val="00940020"/>
    <w:rsid w:val="00940113"/>
    <w:rsid w:val="00940C2A"/>
    <w:rsid w:val="00942846"/>
    <w:rsid w:val="00943151"/>
    <w:rsid w:val="00944F50"/>
    <w:rsid w:val="00945281"/>
    <w:rsid w:val="00945ACC"/>
    <w:rsid w:val="00945E31"/>
    <w:rsid w:val="00947674"/>
    <w:rsid w:val="00947CBB"/>
    <w:rsid w:val="00947D03"/>
    <w:rsid w:val="00947D83"/>
    <w:rsid w:val="00950ED7"/>
    <w:rsid w:val="00951264"/>
    <w:rsid w:val="00952312"/>
    <w:rsid w:val="009526DA"/>
    <w:rsid w:val="00952817"/>
    <w:rsid w:val="00952B7D"/>
    <w:rsid w:val="00953783"/>
    <w:rsid w:val="00953A5A"/>
    <w:rsid w:val="00953B64"/>
    <w:rsid w:val="00953C09"/>
    <w:rsid w:val="00954020"/>
    <w:rsid w:val="009545FE"/>
    <w:rsid w:val="00955AC9"/>
    <w:rsid w:val="009603A7"/>
    <w:rsid w:val="009603E2"/>
    <w:rsid w:val="00960707"/>
    <w:rsid w:val="00962AE0"/>
    <w:rsid w:val="009631A0"/>
    <w:rsid w:val="009631CF"/>
    <w:rsid w:val="0096339F"/>
    <w:rsid w:val="00963998"/>
    <w:rsid w:val="00965ADC"/>
    <w:rsid w:val="00966905"/>
    <w:rsid w:val="00970490"/>
    <w:rsid w:val="00970A63"/>
    <w:rsid w:val="009723A3"/>
    <w:rsid w:val="00972D66"/>
    <w:rsid w:val="0097360F"/>
    <w:rsid w:val="00973B8D"/>
    <w:rsid w:val="00973EE9"/>
    <w:rsid w:val="00974160"/>
    <w:rsid w:val="0097489D"/>
    <w:rsid w:val="0097577D"/>
    <w:rsid w:val="0097607D"/>
    <w:rsid w:val="009773BC"/>
    <w:rsid w:val="00980AE8"/>
    <w:rsid w:val="00980C33"/>
    <w:rsid w:val="00981CB3"/>
    <w:rsid w:val="009830CD"/>
    <w:rsid w:val="00983A3C"/>
    <w:rsid w:val="00983F17"/>
    <w:rsid w:val="009840A8"/>
    <w:rsid w:val="009845BC"/>
    <w:rsid w:val="009849E5"/>
    <w:rsid w:val="00984A1E"/>
    <w:rsid w:val="00984A43"/>
    <w:rsid w:val="00985011"/>
    <w:rsid w:val="00985B86"/>
    <w:rsid w:val="00986CAA"/>
    <w:rsid w:val="00986FEA"/>
    <w:rsid w:val="00987659"/>
    <w:rsid w:val="009878F1"/>
    <w:rsid w:val="0099021F"/>
    <w:rsid w:val="00990481"/>
    <w:rsid w:val="00990893"/>
    <w:rsid w:val="009910A9"/>
    <w:rsid w:val="009912DD"/>
    <w:rsid w:val="00991C20"/>
    <w:rsid w:val="00991DA4"/>
    <w:rsid w:val="00992091"/>
    <w:rsid w:val="009920D0"/>
    <w:rsid w:val="0099229E"/>
    <w:rsid w:val="00992544"/>
    <w:rsid w:val="00993049"/>
    <w:rsid w:val="00993430"/>
    <w:rsid w:val="0099392F"/>
    <w:rsid w:val="0099415C"/>
    <w:rsid w:val="009960CA"/>
    <w:rsid w:val="00996919"/>
    <w:rsid w:val="009A078A"/>
    <w:rsid w:val="009A0F46"/>
    <w:rsid w:val="009A1B0B"/>
    <w:rsid w:val="009A1D17"/>
    <w:rsid w:val="009A1F9E"/>
    <w:rsid w:val="009A3A77"/>
    <w:rsid w:val="009A3F07"/>
    <w:rsid w:val="009A448A"/>
    <w:rsid w:val="009A4DB7"/>
    <w:rsid w:val="009A7DC4"/>
    <w:rsid w:val="009A7DCA"/>
    <w:rsid w:val="009B0CEC"/>
    <w:rsid w:val="009B1589"/>
    <w:rsid w:val="009B1B5C"/>
    <w:rsid w:val="009B1DD4"/>
    <w:rsid w:val="009B2089"/>
    <w:rsid w:val="009B2808"/>
    <w:rsid w:val="009B2DF8"/>
    <w:rsid w:val="009B33C7"/>
    <w:rsid w:val="009B3649"/>
    <w:rsid w:val="009B439C"/>
    <w:rsid w:val="009B63D1"/>
    <w:rsid w:val="009B7A3C"/>
    <w:rsid w:val="009B7C61"/>
    <w:rsid w:val="009B7DC6"/>
    <w:rsid w:val="009C043F"/>
    <w:rsid w:val="009C1138"/>
    <w:rsid w:val="009C1714"/>
    <w:rsid w:val="009C1903"/>
    <w:rsid w:val="009C19D1"/>
    <w:rsid w:val="009C31EE"/>
    <w:rsid w:val="009C3D2A"/>
    <w:rsid w:val="009C4536"/>
    <w:rsid w:val="009C4E44"/>
    <w:rsid w:val="009C53FC"/>
    <w:rsid w:val="009C6536"/>
    <w:rsid w:val="009C717A"/>
    <w:rsid w:val="009C7595"/>
    <w:rsid w:val="009C7D63"/>
    <w:rsid w:val="009D0C27"/>
    <w:rsid w:val="009D19D7"/>
    <w:rsid w:val="009D2010"/>
    <w:rsid w:val="009D28C3"/>
    <w:rsid w:val="009D3AE0"/>
    <w:rsid w:val="009D3DDA"/>
    <w:rsid w:val="009D56D1"/>
    <w:rsid w:val="009D580F"/>
    <w:rsid w:val="009D5C15"/>
    <w:rsid w:val="009D635D"/>
    <w:rsid w:val="009D6904"/>
    <w:rsid w:val="009D6B3B"/>
    <w:rsid w:val="009D798A"/>
    <w:rsid w:val="009E0326"/>
    <w:rsid w:val="009E069A"/>
    <w:rsid w:val="009E0C72"/>
    <w:rsid w:val="009E0D75"/>
    <w:rsid w:val="009E1A2D"/>
    <w:rsid w:val="009E1DEC"/>
    <w:rsid w:val="009E31F3"/>
    <w:rsid w:val="009E36C7"/>
    <w:rsid w:val="009E37D1"/>
    <w:rsid w:val="009E42A7"/>
    <w:rsid w:val="009E5CC5"/>
    <w:rsid w:val="009E6071"/>
    <w:rsid w:val="009E6A7A"/>
    <w:rsid w:val="009E6CDF"/>
    <w:rsid w:val="009F1337"/>
    <w:rsid w:val="009F1C6C"/>
    <w:rsid w:val="009F2364"/>
    <w:rsid w:val="009F2647"/>
    <w:rsid w:val="009F3E04"/>
    <w:rsid w:val="009F438B"/>
    <w:rsid w:val="009F6344"/>
    <w:rsid w:val="009F6DBE"/>
    <w:rsid w:val="009F7079"/>
    <w:rsid w:val="009F71BC"/>
    <w:rsid w:val="009F7FDF"/>
    <w:rsid w:val="00A018F6"/>
    <w:rsid w:val="00A03D41"/>
    <w:rsid w:val="00A03F3F"/>
    <w:rsid w:val="00A04C40"/>
    <w:rsid w:val="00A06201"/>
    <w:rsid w:val="00A068FF"/>
    <w:rsid w:val="00A06EDD"/>
    <w:rsid w:val="00A071B8"/>
    <w:rsid w:val="00A126E9"/>
    <w:rsid w:val="00A12999"/>
    <w:rsid w:val="00A13033"/>
    <w:rsid w:val="00A1373C"/>
    <w:rsid w:val="00A14EEF"/>
    <w:rsid w:val="00A15A1F"/>
    <w:rsid w:val="00A16175"/>
    <w:rsid w:val="00A202C7"/>
    <w:rsid w:val="00A21749"/>
    <w:rsid w:val="00A21B3B"/>
    <w:rsid w:val="00A21DC2"/>
    <w:rsid w:val="00A22730"/>
    <w:rsid w:val="00A23338"/>
    <w:rsid w:val="00A2364A"/>
    <w:rsid w:val="00A23C7B"/>
    <w:rsid w:val="00A24277"/>
    <w:rsid w:val="00A244F6"/>
    <w:rsid w:val="00A24CE7"/>
    <w:rsid w:val="00A24DD4"/>
    <w:rsid w:val="00A25176"/>
    <w:rsid w:val="00A261B8"/>
    <w:rsid w:val="00A26BA0"/>
    <w:rsid w:val="00A3060F"/>
    <w:rsid w:val="00A311B9"/>
    <w:rsid w:val="00A3248C"/>
    <w:rsid w:val="00A326E9"/>
    <w:rsid w:val="00A32A96"/>
    <w:rsid w:val="00A3351A"/>
    <w:rsid w:val="00A33902"/>
    <w:rsid w:val="00A34D82"/>
    <w:rsid w:val="00A359C4"/>
    <w:rsid w:val="00A35F48"/>
    <w:rsid w:val="00A37E36"/>
    <w:rsid w:val="00A37F47"/>
    <w:rsid w:val="00A401A7"/>
    <w:rsid w:val="00A416BA"/>
    <w:rsid w:val="00A42284"/>
    <w:rsid w:val="00A43203"/>
    <w:rsid w:val="00A43744"/>
    <w:rsid w:val="00A43E40"/>
    <w:rsid w:val="00A45AC5"/>
    <w:rsid w:val="00A466D6"/>
    <w:rsid w:val="00A46E53"/>
    <w:rsid w:val="00A4777E"/>
    <w:rsid w:val="00A501AB"/>
    <w:rsid w:val="00A5095B"/>
    <w:rsid w:val="00A51C7E"/>
    <w:rsid w:val="00A528B0"/>
    <w:rsid w:val="00A54E09"/>
    <w:rsid w:val="00A54F55"/>
    <w:rsid w:val="00A556FD"/>
    <w:rsid w:val="00A55AAB"/>
    <w:rsid w:val="00A5606A"/>
    <w:rsid w:val="00A574FA"/>
    <w:rsid w:val="00A57551"/>
    <w:rsid w:val="00A5758A"/>
    <w:rsid w:val="00A575D4"/>
    <w:rsid w:val="00A57FBA"/>
    <w:rsid w:val="00A61B46"/>
    <w:rsid w:val="00A61E2C"/>
    <w:rsid w:val="00A62122"/>
    <w:rsid w:val="00A62173"/>
    <w:rsid w:val="00A63A6C"/>
    <w:rsid w:val="00A63C24"/>
    <w:rsid w:val="00A64FD1"/>
    <w:rsid w:val="00A666A8"/>
    <w:rsid w:val="00A66E56"/>
    <w:rsid w:val="00A670F4"/>
    <w:rsid w:val="00A67A7D"/>
    <w:rsid w:val="00A716C1"/>
    <w:rsid w:val="00A727A2"/>
    <w:rsid w:val="00A7358A"/>
    <w:rsid w:val="00A73C5A"/>
    <w:rsid w:val="00A73D65"/>
    <w:rsid w:val="00A74593"/>
    <w:rsid w:val="00A759C9"/>
    <w:rsid w:val="00A75A70"/>
    <w:rsid w:val="00A76912"/>
    <w:rsid w:val="00A801E9"/>
    <w:rsid w:val="00A810CB"/>
    <w:rsid w:val="00A82486"/>
    <w:rsid w:val="00A8269E"/>
    <w:rsid w:val="00A83170"/>
    <w:rsid w:val="00A835FF"/>
    <w:rsid w:val="00A84343"/>
    <w:rsid w:val="00A84C34"/>
    <w:rsid w:val="00A8508E"/>
    <w:rsid w:val="00A86CA6"/>
    <w:rsid w:val="00A87193"/>
    <w:rsid w:val="00A90117"/>
    <w:rsid w:val="00A90888"/>
    <w:rsid w:val="00A90913"/>
    <w:rsid w:val="00A90FB9"/>
    <w:rsid w:val="00A9174F"/>
    <w:rsid w:val="00A91752"/>
    <w:rsid w:val="00A917A0"/>
    <w:rsid w:val="00A91A17"/>
    <w:rsid w:val="00A91B06"/>
    <w:rsid w:val="00A922D4"/>
    <w:rsid w:val="00A92BF4"/>
    <w:rsid w:val="00A92EE4"/>
    <w:rsid w:val="00A93525"/>
    <w:rsid w:val="00A94D8E"/>
    <w:rsid w:val="00A95A49"/>
    <w:rsid w:val="00A9605F"/>
    <w:rsid w:val="00A96CC4"/>
    <w:rsid w:val="00A97C98"/>
    <w:rsid w:val="00AA03EE"/>
    <w:rsid w:val="00AA1801"/>
    <w:rsid w:val="00AA1D7E"/>
    <w:rsid w:val="00AA1F66"/>
    <w:rsid w:val="00AA26EB"/>
    <w:rsid w:val="00AA32D8"/>
    <w:rsid w:val="00AA3F6F"/>
    <w:rsid w:val="00AA4643"/>
    <w:rsid w:val="00AA4A1B"/>
    <w:rsid w:val="00AA5102"/>
    <w:rsid w:val="00AA5A0A"/>
    <w:rsid w:val="00AA615D"/>
    <w:rsid w:val="00AA6228"/>
    <w:rsid w:val="00AA66E2"/>
    <w:rsid w:val="00AA7364"/>
    <w:rsid w:val="00AB01D9"/>
    <w:rsid w:val="00AB0431"/>
    <w:rsid w:val="00AB06D8"/>
    <w:rsid w:val="00AB10B4"/>
    <w:rsid w:val="00AB1212"/>
    <w:rsid w:val="00AB1356"/>
    <w:rsid w:val="00AB236D"/>
    <w:rsid w:val="00AB28B8"/>
    <w:rsid w:val="00AB37A9"/>
    <w:rsid w:val="00AB5D67"/>
    <w:rsid w:val="00AB6337"/>
    <w:rsid w:val="00AB6483"/>
    <w:rsid w:val="00AB6579"/>
    <w:rsid w:val="00AB6966"/>
    <w:rsid w:val="00AB6E0B"/>
    <w:rsid w:val="00AB7F78"/>
    <w:rsid w:val="00AC04F9"/>
    <w:rsid w:val="00AC2153"/>
    <w:rsid w:val="00AC22CD"/>
    <w:rsid w:val="00AC2497"/>
    <w:rsid w:val="00AC2C92"/>
    <w:rsid w:val="00AC30D8"/>
    <w:rsid w:val="00AC60F2"/>
    <w:rsid w:val="00AC640D"/>
    <w:rsid w:val="00AC711F"/>
    <w:rsid w:val="00AC7775"/>
    <w:rsid w:val="00AC78C3"/>
    <w:rsid w:val="00AC7F14"/>
    <w:rsid w:val="00AD01AE"/>
    <w:rsid w:val="00AD1093"/>
    <w:rsid w:val="00AD1796"/>
    <w:rsid w:val="00AD2C2F"/>
    <w:rsid w:val="00AD394F"/>
    <w:rsid w:val="00AD40C6"/>
    <w:rsid w:val="00AD4F6E"/>
    <w:rsid w:val="00AD4FEB"/>
    <w:rsid w:val="00AD5111"/>
    <w:rsid w:val="00AD5C11"/>
    <w:rsid w:val="00AD66B0"/>
    <w:rsid w:val="00AE095E"/>
    <w:rsid w:val="00AE12FC"/>
    <w:rsid w:val="00AE1D3E"/>
    <w:rsid w:val="00AE2BBE"/>
    <w:rsid w:val="00AE312A"/>
    <w:rsid w:val="00AE3918"/>
    <w:rsid w:val="00AE4E36"/>
    <w:rsid w:val="00AE555A"/>
    <w:rsid w:val="00AE628E"/>
    <w:rsid w:val="00AE66F7"/>
    <w:rsid w:val="00AE6B14"/>
    <w:rsid w:val="00AE6DA6"/>
    <w:rsid w:val="00AE6E5D"/>
    <w:rsid w:val="00AF031F"/>
    <w:rsid w:val="00AF06E2"/>
    <w:rsid w:val="00AF0736"/>
    <w:rsid w:val="00AF0D92"/>
    <w:rsid w:val="00AF10C8"/>
    <w:rsid w:val="00AF1F0F"/>
    <w:rsid w:val="00AF28DD"/>
    <w:rsid w:val="00AF4065"/>
    <w:rsid w:val="00AF567D"/>
    <w:rsid w:val="00AF598C"/>
    <w:rsid w:val="00AF5D0D"/>
    <w:rsid w:val="00AF6723"/>
    <w:rsid w:val="00AF676E"/>
    <w:rsid w:val="00AF679C"/>
    <w:rsid w:val="00AF774C"/>
    <w:rsid w:val="00AF7A21"/>
    <w:rsid w:val="00AF7D17"/>
    <w:rsid w:val="00B014F3"/>
    <w:rsid w:val="00B015C3"/>
    <w:rsid w:val="00B018E7"/>
    <w:rsid w:val="00B01EA6"/>
    <w:rsid w:val="00B03AA2"/>
    <w:rsid w:val="00B04154"/>
    <w:rsid w:val="00B04DD1"/>
    <w:rsid w:val="00B06ABF"/>
    <w:rsid w:val="00B07427"/>
    <w:rsid w:val="00B07E66"/>
    <w:rsid w:val="00B107BB"/>
    <w:rsid w:val="00B10BF4"/>
    <w:rsid w:val="00B11E6E"/>
    <w:rsid w:val="00B12084"/>
    <w:rsid w:val="00B12A08"/>
    <w:rsid w:val="00B13C49"/>
    <w:rsid w:val="00B13FAE"/>
    <w:rsid w:val="00B144E7"/>
    <w:rsid w:val="00B14EBD"/>
    <w:rsid w:val="00B168F6"/>
    <w:rsid w:val="00B2061B"/>
    <w:rsid w:val="00B20C35"/>
    <w:rsid w:val="00B20D54"/>
    <w:rsid w:val="00B22549"/>
    <w:rsid w:val="00B22BF3"/>
    <w:rsid w:val="00B23202"/>
    <w:rsid w:val="00B23A6E"/>
    <w:rsid w:val="00B23FAF"/>
    <w:rsid w:val="00B24049"/>
    <w:rsid w:val="00B2411C"/>
    <w:rsid w:val="00B2510F"/>
    <w:rsid w:val="00B259A7"/>
    <w:rsid w:val="00B25B3B"/>
    <w:rsid w:val="00B26A14"/>
    <w:rsid w:val="00B26DD8"/>
    <w:rsid w:val="00B30544"/>
    <w:rsid w:val="00B32A59"/>
    <w:rsid w:val="00B32D17"/>
    <w:rsid w:val="00B33569"/>
    <w:rsid w:val="00B335EA"/>
    <w:rsid w:val="00B33DE3"/>
    <w:rsid w:val="00B34118"/>
    <w:rsid w:val="00B3414A"/>
    <w:rsid w:val="00B342BB"/>
    <w:rsid w:val="00B34EDD"/>
    <w:rsid w:val="00B36049"/>
    <w:rsid w:val="00B3648E"/>
    <w:rsid w:val="00B36D7C"/>
    <w:rsid w:val="00B402AC"/>
    <w:rsid w:val="00B4032E"/>
    <w:rsid w:val="00B40FB3"/>
    <w:rsid w:val="00B4114A"/>
    <w:rsid w:val="00B41C65"/>
    <w:rsid w:val="00B41E09"/>
    <w:rsid w:val="00B41E19"/>
    <w:rsid w:val="00B41F67"/>
    <w:rsid w:val="00B42693"/>
    <w:rsid w:val="00B438D6"/>
    <w:rsid w:val="00B450C0"/>
    <w:rsid w:val="00B46684"/>
    <w:rsid w:val="00B50A0F"/>
    <w:rsid w:val="00B51A36"/>
    <w:rsid w:val="00B51B6A"/>
    <w:rsid w:val="00B57058"/>
    <w:rsid w:val="00B60BFE"/>
    <w:rsid w:val="00B61316"/>
    <w:rsid w:val="00B62A40"/>
    <w:rsid w:val="00B62A95"/>
    <w:rsid w:val="00B63F42"/>
    <w:rsid w:val="00B646DB"/>
    <w:rsid w:val="00B64F83"/>
    <w:rsid w:val="00B66E0E"/>
    <w:rsid w:val="00B66F0C"/>
    <w:rsid w:val="00B673A2"/>
    <w:rsid w:val="00B676D7"/>
    <w:rsid w:val="00B67A15"/>
    <w:rsid w:val="00B67E6F"/>
    <w:rsid w:val="00B715EB"/>
    <w:rsid w:val="00B726AD"/>
    <w:rsid w:val="00B72849"/>
    <w:rsid w:val="00B72F9F"/>
    <w:rsid w:val="00B73172"/>
    <w:rsid w:val="00B73C10"/>
    <w:rsid w:val="00B741A2"/>
    <w:rsid w:val="00B74625"/>
    <w:rsid w:val="00B74E61"/>
    <w:rsid w:val="00B753F8"/>
    <w:rsid w:val="00B77D5F"/>
    <w:rsid w:val="00B80F75"/>
    <w:rsid w:val="00B83B85"/>
    <w:rsid w:val="00B848FC"/>
    <w:rsid w:val="00B85F20"/>
    <w:rsid w:val="00B8641C"/>
    <w:rsid w:val="00B8722B"/>
    <w:rsid w:val="00B878DB"/>
    <w:rsid w:val="00B87D60"/>
    <w:rsid w:val="00B87E29"/>
    <w:rsid w:val="00B91D98"/>
    <w:rsid w:val="00B9238A"/>
    <w:rsid w:val="00B93DD3"/>
    <w:rsid w:val="00B95528"/>
    <w:rsid w:val="00B95556"/>
    <w:rsid w:val="00B95740"/>
    <w:rsid w:val="00B95C7B"/>
    <w:rsid w:val="00B9641A"/>
    <w:rsid w:val="00BA00CD"/>
    <w:rsid w:val="00BA035B"/>
    <w:rsid w:val="00BA095D"/>
    <w:rsid w:val="00BA0F3D"/>
    <w:rsid w:val="00BA12A1"/>
    <w:rsid w:val="00BA1DB4"/>
    <w:rsid w:val="00BA316C"/>
    <w:rsid w:val="00BA37E5"/>
    <w:rsid w:val="00BA547D"/>
    <w:rsid w:val="00BA5524"/>
    <w:rsid w:val="00BA5C4A"/>
    <w:rsid w:val="00BA697E"/>
    <w:rsid w:val="00BA7228"/>
    <w:rsid w:val="00BA72ED"/>
    <w:rsid w:val="00BB0362"/>
    <w:rsid w:val="00BB08C0"/>
    <w:rsid w:val="00BB0A52"/>
    <w:rsid w:val="00BB16A9"/>
    <w:rsid w:val="00BB1A0D"/>
    <w:rsid w:val="00BB2302"/>
    <w:rsid w:val="00BB34DF"/>
    <w:rsid w:val="00BB583B"/>
    <w:rsid w:val="00BB5F2E"/>
    <w:rsid w:val="00BB63F7"/>
    <w:rsid w:val="00BB6AD5"/>
    <w:rsid w:val="00BB729B"/>
    <w:rsid w:val="00BB7332"/>
    <w:rsid w:val="00BB7B1C"/>
    <w:rsid w:val="00BC009B"/>
    <w:rsid w:val="00BC03D2"/>
    <w:rsid w:val="00BC0E61"/>
    <w:rsid w:val="00BC1060"/>
    <w:rsid w:val="00BC1105"/>
    <w:rsid w:val="00BC18F3"/>
    <w:rsid w:val="00BC23DA"/>
    <w:rsid w:val="00BC2865"/>
    <w:rsid w:val="00BC2CDF"/>
    <w:rsid w:val="00BC37DB"/>
    <w:rsid w:val="00BC42C9"/>
    <w:rsid w:val="00BC570A"/>
    <w:rsid w:val="00BC61ED"/>
    <w:rsid w:val="00BC70D7"/>
    <w:rsid w:val="00BC7C6D"/>
    <w:rsid w:val="00BD0C33"/>
    <w:rsid w:val="00BD14F1"/>
    <w:rsid w:val="00BD1CAD"/>
    <w:rsid w:val="00BD2011"/>
    <w:rsid w:val="00BD3C21"/>
    <w:rsid w:val="00BD3C26"/>
    <w:rsid w:val="00BD4F66"/>
    <w:rsid w:val="00BD79F0"/>
    <w:rsid w:val="00BE03ED"/>
    <w:rsid w:val="00BE0B7D"/>
    <w:rsid w:val="00BE0ED3"/>
    <w:rsid w:val="00BE11CF"/>
    <w:rsid w:val="00BE22A6"/>
    <w:rsid w:val="00BE2475"/>
    <w:rsid w:val="00BE2BC1"/>
    <w:rsid w:val="00BE3119"/>
    <w:rsid w:val="00BE5992"/>
    <w:rsid w:val="00BE6E65"/>
    <w:rsid w:val="00BE743C"/>
    <w:rsid w:val="00BF27C8"/>
    <w:rsid w:val="00BF2943"/>
    <w:rsid w:val="00BF5EAB"/>
    <w:rsid w:val="00BF671C"/>
    <w:rsid w:val="00BF68F3"/>
    <w:rsid w:val="00BF6EBD"/>
    <w:rsid w:val="00BF7B62"/>
    <w:rsid w:val="00C01653"/>
    <w:rsid w:val="00C03BB6"/>
    <w:rsid w:val="00C043E0"/>
    <w:rsid w:val="00C0503B"/>
    <w:rsid w:val="00C0566E"/>
    <w:rsid w:val="00C05B2B"/>
    <w:rsid w:val="00C05F66"/>
    <w:rsid w:val="00C071B8"/>
    <w:rsid w:val="00C07CB8"/>
    <w:rsid w:val="00C10467"/>
    <w:rsid w:val="00C1073C"/>
    <w:rsid w:val="00C109AE"/>
    <w:rsid w:val="00C11778"/>
    <w:rsid w:val="00C11F04"/>
    <w:rsid w:val="00C11FB7"/>
    <w:rsid w:val="00C1215F"/>
    <w:rsid w:val="00C13528"/>
    <w:rsid w:val="00C13AE0"/>
    <w:rsid w:val="00C13C7F"/>
    <w:rsid w:val="00C14684"/>
    <w:rsid w:val="00C14BE1"/>
    <w:rsid w:val="00C150CF"/>
    <w:rsid w:val="00C1538A"/>
    <w:rsid w:val="00C157B9"/>
    <w:rsid w:val="00C158AD"/>
    <w:rsid w:val="00C15FB8"/>
    <w:rsid w:val="00C16998"/>
    <w:rsid w:val="00C16F89"/>
    <w:rsid w:val="00C171E9"/>
    <w:rsid w:val="00C2129B"/>
    <w:rsid w:val="00C21418"/>
    <w:rsid w:val="00C21BE0"/>
    <w:rsid w:val="00C21C2E"/>
    <w:rsid w:val="00C2230F"/>
    <w:rsid w:val="00C22534"/>
    <w:rsid w:val="00C22774"/>
    <w:rsid w:val="00C244C8"/>
    <w:rsid w:val="00C24D69"/>
    <w:rsid w:val="00C2504B"/>
    <w:rsid w:val="00C30157"/>
    <w:rsid w:val="00C3040C"/>
    <w:rsid w:val="00C30E0E"/>
    <w:rsid w:val="00C31541"/>
    <w:rsid w:val="00C3181C"/>
    <w:rsid w:val="00C31953"/>
    <w:rsid w:val="00C33A0B"/>
    <w:rsid w:val="00C34DE3"/>
    <w:rsid w:val="00C352F4"/>
    <w:rsid w:val="00C35F10"/>
    <w:rsid w:val="00C365D9"/>
    <w:rsid w:val="00C36FCC"/>
    <w:rsid w:val="00C40DCD"/>
    <w:rsid w:val="00C41091"/>
    <w:rsid w:val="00C41EF3"/>
    <w:rsid w:val="00C437CF"/>
    <w:rsid w:val="00C43EB7"/>
    <w:rsid w:val="00C44151"/>
    <w:rsid w:val="00C441C4"/>
    <w:rsid w:val="00C458F6"/>
    <w:rsid w:val="00C45905"/>
    <w:rsid w:val="00C46543"/>
    <w:rsid w:val="00C46B25"/>
    <w:rsid w:val="00C47D52"/>
    <w:rsid w:val="00C50CB3"/>
    <w:rsid w:val="00C51EDB"/>
    <w:rsid w:val="00C52A69"/>
    <w:rsid w:val="00C53041"/>
    <w:rsid w:val="00C53514"/>
    <w:rsid w:val="00C539C3"/>
    <w:rsid w:val="00C5461F"/>
    <w:rsid w:val="00C55E62"/>
    <w:rsid w:val="00C560F1"/>
    <w:rsid w:val="00C5682D"/>
    <w:rsid w:val="00C57BA0"/>
    <w:rsid w:val="00C57C2A"/>
    <w:rsid w:val="00C57F60"/>
    <w:rsid w:val="00C60067"/>
    <w:rsid w:val="00C601A6"/>
    <w:rsid w:val="00C6042D"/>
    <w:rsid w:val="00C6139D"/>
    <w:rsid w:val="00C61799"/>
    <w:rsid w:val="00C61C1C"/>
    <w:rsid w:val="00C61FD6"/>
    <w:rsid w:val="00C62119"/>
    <w:rsid w:val="00C623CF"/>
    <w:rsid w:val="00C64A12"/>
    <w:rsid w:val="00C64D67"/>
    <w:rsid w:val="00C65456"/>
    <w:rsid w:val="00C65645"/>
    <w:rsid w:val="00C664CC"/>
    <w:rsid w:val="00C701A5"/>
    <w:rsid w:val="00C70531"/>
    <w:rsid w:val="00C71917"/>
    <w:rsid w:val="00C71BA5"/>
    <w:rsid w:val="00C7239D"/>
    <w:rsid w:val="00C7282E"/>
    <w:rsid w:val="00C72D7C"/>
    <w:rsid w:val="00C72F0D"/>
    <w:rsid w:val="00C739CD"/>
    <w:rsid w:val="00C74B74"/>
    <w:rsid w:val="00C74F49"/>
    <w:rsid w:val="00C75454"/>
    <w:rsid w:val="00C76BED"/>
    <w:rsid w:val="00C77FBD"/>
    <w:rsid w:val="00C80B89"/>
    <w:rsid w:val="00C8148D"/>
    <w:rsid w:val="00C81740"/>
    <w:rsid w:val="00C81B93"/>
    <w:rsid w:val="00C82174"/>
    <w:rsid w:val="00C8281B"/>
    <w:rsid w:val="00C84515"/>
    <w:rsid w:val="00C845BB"/>
    <w:rsid w:val="00C84D54"/>
    <w:rsid w:val="00C85D21"/>
    <w:rsid w:val="00C861ED"/>
    <w:rsid w:val="00C86282"/>
    <w:rsid w:val="00C86A01"/>
    <w:rsid w:val="00C86C62"/>
    <w:rsid w:val="00C87C51"/>
    <w:rsid w:val="00C9116D"/>
    <w:rsid w:val="00C92A8B"/>
    <w:rsid w:val="00C932F5"/>
    <w:rsid w:val="00C93BD0"/>
    <w:rsid w:val="00C94187"/>
    <w:rsid w:val="00C94B42"/>
    <w:rsid w:val="00C94B63"/>
    <w:rsid w:val="00C9518B"/>
    <w:rsid w:val="00C960F3"/>
    <w:rsid w:val="00C97277"/>
    <w:rsid w:val="00CA0009"/>
    <w:rsid w:val="00CA0E0B"/>
    <w:rsid w:val="00CA12DA"/>
    <w:rsid w:val="00CA156B"/>
    <w:rsid w:val="00CA1A06"/>
    <w:rsid w:val="00CA29C5"/>
    <w:rsid w:val="00CA3430"/>
    <w:rsid w:val="00CA34A9"/>
    <w:rsid w:val="00CA464E"/>
    <w:rsid w:val="00CA46DE"/>
    <w:rsid w:val="00CA5890"/>
    <w:rsid w:val="00CA6780"/>
    <w:rsid w:val="00CA7C0A"/>
    <w:rsid w:val="00CB1B5E"/>
    <w:rsid w:val="00CB2147"/>
    <w:rsid w:val="00CB3573"/>
    <w:rsid w:val="00CB4561"/>
    <w:rsid w:val="00CB5284"/>
    <w:rsid w:val="00CB53FD"/>
    <w:rsid w:val="00CB6108"/>
    <w:rsid w:val="00CB6399"/>
    <w:rsid w:val="00CB677E"/>
    <w:rsid w:val="00CB67D4"/>
    <w:rsid w:val="00CB6B44"/>
    <w:rsid w:val="00CB78DF"/>
    <w:rsid w:val="00CC0940"/>
    <w:rsid w:val="00CC185A"/>
    <w:rsid w:val="00CC24AD"/>
    <w:rsid w:val="00CC300A"/>
    <w:rsid w:val="00CC33CC"/>
    <w:rsid w:val="00CC5060"/>
    <w:rsid w:val="00CC56DE"/>
    <w:rsid w:val="00CC6529"/>
    <w:rsid w:val="00CC66B9"/>
    <w:rsid w:val="00CC68BA"/>
    <w:rsid w:val="00CC6BFE"/>
    <w:rsid w:val="00CC6D92"/>
    <w:rsid w:val="00CC7C8B"/>
    <w:rsid w:val="00CD0199"/>
    <w:rsid w:val="00CD0464"/>
    <w:rsid w:val="00CD04F4"/>
    <w:rsid w:val="00CD084D"/>
    <w:rsid w:val="00CD0EBD"/>
    <w:rsid w:val="00CD138F"/>
    <w:rsid w:val="00CD14E4"/>
    <w:rsid w:val="00CD2078"/>
    <w:rsid w:val="00CD304C"/>
    <w:rsid w:val="00CD34E6"/>
    <w:rsid w:val="00CD3EE4"/>
    <w:rsid w:val="00CD409D"/>
    <w:rsid w:val="00CD4FD0"/>
    <w:rsid w:val="00CD507B"/>
    <w:rsid w:val="00CD5E1A"/>
    <w:rsid w:val="00CD6206"/>
    <w:rsid w:val="00CD671C"/>
    <w:rsid w:val="00CD6C5F"/>
    <w:rsid w:val="00CE0203"/>
    <w:rsid w:val="00CE0A37"/>
    <w:rsid w:val="00CE3D6F"/>
    <w:rsid w:val="00CE3EDE"/>
    <w:rsid w:val="00CE4824"/>
    <w:rsid w:val="00CE532C"/>
    <w:rsid w:val="00CE55AA"/>
    <w:rsid w:val="00CE5636"/>
    <w:rsid w:val="00CE5EA5"/>
    <w:rsid w:val="00CE6516"/>
    <w:rsid w:val="00CE6BAB"/>
    <w:rsid w:val="00CF0E34"/>
    <w:rsid w:val="00CF1A4F"/>
    <w:rsid w:val="00CF3D47"/>
    <w:rsid w:val="00CF4BA4"/>
    <w:rsid w:val="00CF510E"/>
    <w:rsid w:val="00CF5BA7"/>
    <w:rsid w:val="00CF5D20"/>
    <w:rsid w:val="00CF66D0"/>
    <w:rsid w:val="00CF695B"/>
    <w:rsid w:val="00CF69CB"/>
    <w:rsid w:val="00CF730D"/>
    <w:rsid w:val="00CF7895"/>
    <w:rsid w:val="00CF7C2A"/>
    <w:rsid w:val="00CF7E34"/>
    <w:rsid w:val="00D0037C"/>
    <w:rsid w:val="00D005A4"/>
    <w:rsid w:val="00D0178B"/>
    <w:rsid w:val="00D01B30"/>
    <w:rsid w:val="00D02086"/>
    <w:rsid w:val="00D023F7"/>
    <w:rsid w:val="00D0256B"/>
    <w:rsid w:val="00D03564"/>
    <w:rsid w:val="00D03C47"/>
    <w:rsid w:val="00D03EC6"/>
    <w:rsid w:val="00D0431F"/>
    <w:rsid w:val="00D04B3D"/>
    <w:rsid w:val="00D04C98"/>
    <w:rsid w:val="00D0500C"/>
    <w:rsid w:val="00D0598E"/>
    <w:rsid w:val="00D06003"/>
    <w:rsid w:val="00D06602"/>
    <w:rsid w:val="00D0750D"/>
    <w:rsid w:val="00D07FEC"/>
    <w:rsid w:val="00D10587"/>
    <w:rsid w:val="00D11148"/>
    <w:rsid w:val="00D11508"/>
    <w:rsid w:val="00D11E1E"/>
    <w:rsid w:val="00D1227A"/>
    <w:rsid w:val="00D1273D"/>
    <w:rsid w:val="00D12BFE"/>
    <w:rsid w:val="00D143F3"/>
    <w:rsid w:val="00D14CB4"/>
    <w:rsid w:val="00D14F16"/>
    <w:rsid w:val="00D15347"/>
    <w:rsid w:val="00D15D60"/>
    <w:rsid w:val="00D20777"/>
    <w:rsid w:val="00D20A38"/>
    <w:rsid w:val="00D20AC6"/>
    <w:rsid w:val="00D21190"/>
    <w:rsid w:val="00D212B0"/>
    <w:rsid w:val="00D21866"/>
    <w:rsid w:val="00D21A00"/>
    <w:rsid w:val="00D2213B"/>
    <w:rsid w:val="00D23025"/>
    <w:rsid w:val="00D2485D"/>
    <w:rsid w:val="00D24968"/>
    <w:rsid w:val="00D26089"/>
    <w:rsid w:val="00D261DC"/>
    <w:rsid w:val="00D262A2"/>
    <w:rsid w:val="00D2786C"/>
    <w:rsid w:val="00D300B2"/>
    <w:rsid w:val="00D30560"/>
    <w:rsid w:val="00D31204"/>
    <w:rsid w:val="00D318FC"/>
    <w:rsid w:val="00D31BB7"/>
    <w:rsid w:val="00D326D5"/>
    <w:rsid w:val="00D32A19"/>
    <w:rsid w:val="00D32FF7"/>
    <w:rsid w:val="00D33118"/>
    <w:rsid w:val="00D347E9"/>
    <w:rsid w:val="00D34C7E"/>
    <w:rsid w:val="00D34D21"/>
    <w:rsid w:val="00D3545F"/>
    <w:rsid w:val="00D3558F"/>
    <w:rsid w:val="00D36C7E"/>
    <w:rsid w:val="00D371B1"/>
    <w:rsid w:val="00D37BA4"/>
    <w:rsid w:val="00D4003C"/>
    <w:rsid w:val="00D40322"/>
    <w:rsid w:val="00D40960"/>
    <w:rsid w:val="00D414C0"/>
    <w:rsid w:val="00D417A8"/>
    <w:rsid w:val="00D4258C"/>
    <w:rsid w:val="00D42B53"/>
    <w:rsid w:val="00D43242"/>
    <w:rsid w:val="00D434F1"/>
    <w:rsid w:val="00D44474"/>
    <w:rsid w:val="00D44D3A"/>
    <w:rsid w:val="00D4582D"/>
    <w:rsid w:val="00D462D0"/>
    <w:rsid w:val="00D46C07"/>
    <w:rsid w:val="00D500D7"/>
    <w:rsid w:val="00D50865"/>
    <w:rsid w:val="00D50DBE"/>
    <w:rsid w:val="00D51364"/>
    <w:rsid w:val="00D5163B"/>
    <w:rsid w:val="00D51C2E"/>
    <w:rsid w:val="00D52E62"/>
    <w:rsid w:val="00D5348B"/>
    <w:rsid w:val="00D54706"/>
    <w:rsid w:val="00D54CFC"/>
    <w:rsid w:val="00D552ED"/>
    <w:rsid w:val="00D556D1"/>
    <w:rsid w:val="00D57631"/>
    <w:rsid w:val="00D60D35"/>
    <w:rsid w:val="00D60E97"/>
    <w:rsid w:val="00D6121A"/>
    <w:rsid w:val="00D61526"/>
    <w:rsid w:val="00D61669"/>
    <w:rsid w:val="00D62ED3"/>
    <w:rsid w:val="00D6314E"/>
    <w:rsid w:val="00D63212"/>
    <w:rsid w:val="00D640B9"/>
    <w:rsid w:val="00D64AA6"/>
    <w:rsid w:val="00D6645C"/>
    <w:rsid w:val="00D6780C"/>
    <w:rsid w:val="00D67A47"/>
    <w:rsid w:val="00D706B3"/>
    <w:rsid w:val="00D72751"/>
    <w:rsid w:val="00D7337C"/>
    <w:rsid w:val="00D73A8E"/>
    <w:rsid w:val="00D762DD"/>
    <w:rsid w:val="00D76396"/>
    <w:rsid w:val="00D76C7B"/>
    <w:rsid w:val="00D76E85"/>
    <w:rsid w:val="00D76EA3"/>
    <w:rsid w:val="00D773DE"/>
    <w:rsid w:val="00D77BBD"/>
    <w:rsid w:val="00D81057"/>
    <w:rsid w:val="00D83C9D"/>
    <w:rsid w:val="00D83E39"/>
    <w:rsid w:val="00D8481B"/>
    <w:rsid w:val="00D86766"/>
    <w:rsid w:val="00D86A03"/>
    <w:rsid w:val="00D86E81"/>
    <w:rsid w:val="00D870B5"/>
    <w:rsid w:val="00D9114B"/>
    <w:rsid w:val="00D9134B"/>
    <w:rsid w:val="00D91A31"/>
    <w:rsid w:val="00D91E59"/>
    <w:rsid w:val="00D92F7F"/>
    <w:rsid w:val="00D93D58"/>
    <w:rsid w:val="00D945CF"/>
    <w:rsid w:val="00D959AB"/>
    <w:rsid w:val="00D95B69"/>
    <w:rsid w:val="00D961BA"/>
    <w:rsid w:val="00D96A63"/>
    <w:rsid w:val="00D96C0A"/>
    <w:rsid w:val="00DA1671"/>
    <w:rsid w:val="00DA17A4"/>
    <w:rsid w:val="00DA1C4C"/>
    <w:rsid w:val="00DA2BAB"/>
    <w:rsid w:val="00DA31CD"/>
    <w:rsid w:val="00DA3692"/>
    <w:rsid w:val="00DA49B4"/>
    <w:rsid w:val="00DA4C03"/>
    <w:rsid w:val="00DA4E00"/>
    <w:rsid w:val="00DA5AFA"/>
    <w:rsid w:val="00DA6ACD"/>
    <w:rsid w:val="00DA73E0"/>
    <w:rsid w:val="00DA7BA0"/>
    <w:rsid w:val="00DB054E"/>
    <w:rsid w:val="00DB0B1A"/>
    <w:rsid w:val="00DB115A"/>
    <w:rsid w:val="00DB15F1"/>
    <w:rsid w:val="00DB1E5F"/>
    <w:rsid w:val="00DB33E5"/>
    <w:rsid w:val="00DB3D1E"/>
    <w:rsid w:val="00DB4A12"/>
    <w:rsid w:val="00DB4B4A"/>
    <w:rsid w:val="00DB50BD"/>
    <w:rsid w:val="00DB58D3"/>
    <w:rsid w:val="00DB5A53"/>
    <w:rsid w:val="00DB6A7A"/>
    <w:rsid w:val="00DB6B94"/>
    <w:rsid w:val="00DB7D1A"/>
    <w:rsid w:val="00DB7DA8"/>
    <w:rsid w:val="00DB7F99"/>
    <w:rsid w:val="00DC0363"/>
    <w:rsid w:val="00DC0492"/>
    <w:rsid w:val="00DC22B6"/>
    <w:rsid w:val="00DC23B0"/>
    <w:rsid w:val="00DC34A1"/>
    <w:rsid w:val="00DC468F"/>
    <w:rsid w:val="00DC5429"/>
    <w:rsid w:val="00DC5D51"/>
    <w:rsid w:val="00DC5D81"/>
    <w:rsid w:val="00DC5E3F"/>
    <w:rsid w:val="00DC6E59"/>
    <w:rsid w:val="00DC6EDE"/>
    <w:rsid w:val="00DC710F"/>
    <w:rsid w:val="00DC7FED"/>
    <w:rsid w:val="00DD1359"/>
    <w:rsid w:val="00DD358A"/>
    <w:rsid w:val="00DD3F0A"/>
    <w:rsid w:val="00DD4296"/>
    <w:rsid w:val="00DD4392"/>
    <w:rsid w:val="00DD4734"/>
    <w:rsid w:val="00DD478E"/>
    <w:rsid w:val="00DD5222"/>
    <w:rsid w:val="00DD6357"/>
    <w:rsid w:val="00DD767F"/>
    <w:rsid w:val="00DD7AD5"/>
    <w:rsid w:val="00DD7F26"/>
    <w:rsid w:val="00DE0304"/>
    <w:rsid w:val="00DE07DA"/>
    <w:rsid w:val="00DE0CEF"/>
    <w:rsid w:val="00DE12B5"/>
    <w:rsid w:val="00DE1D36"/>
    <w:rsid w:val="00DE228E"/>
    <w:rsid w:val="00DE2440"/>
    <w:rsid w:val="00DE25D9"/>
    <w:rsid w:val="00DE2E16"/>
    <w:rsid w:val="00DE38E5"/>
    <w:rsid w:val="00DE3923"/>
    <w:rsid w:val="00DE3ACD"/>
    <w:rsid w:val="00DE4883"/>
    <w:rsid w:val="00DE48BB"/>
    <w:rsid w:val="00DE4DDA"/>
    <w:rsid w:val="00DE5EC3"/>
    <w:rsid w:val="00DE6F61"/>
    <w:rsid w:val="00DE72F4"/>
    <w:rsid w:val="00DE7ECA"/>
    <w:rsid w:val="00DF0482"/>
    <w:rsid w:val="00DF12C2"/>
    <w:rsid w:val="00DF157E"/>
    <w:rsid w:val="00DF2D8A"/>
    <w:rsid w:val="00DF48F8"/>
    <w:rsid w:val="00DF4B15"/>
    <w:rsid w:val="00DF4CF3"/>
    <w:rsid w:val="00DF54DC"/>
    <w:rsid w:val="00DF6B5F"/>
    <w:rsid w:val="00DF7C6D"/>
    <w:rsid w:val="00E018FC"/>
    <w:rsid w:val="00E03D81"/>
    <w:rsid w:val="00E055AB"/>
    <w:rsid w:val="00E05946"/>
    <w:rsid w:val="00E05954"/>
    <w:rsid w:val="00E06D6D"/>
    <w:rsid w:val="00E07B85"/>
    <w:rsid w:val="00E10591"/>
    <w:rsid w:val="00E12605"/>
    <w:rsid w:val="00E12777"/>
    <w:rsid w:val="00E1287B"/>
    <w:rsid w:val="00E12B33"/>
    <w:rsid w:val="00E1302D"/>
    <w:rsid w:val="00E1430C"/>
    <w:rsid w:val="00E14E5B"/>
    <w:rsid w:val="00E14FC9"/>
    <w:rsid w:val="00E15329"/>
    <w:rsid w:val="00E16D99"/>
    <w:rsid w:val="00E172DD"/>
    <w:rsid w:val="00E1761C"/>
    <w:rsid w:val="00E17657"/>
    <w:rsid w:val="00E17A24"/>
    <w:rsid w:val="00E2104F"/>
    <w:rsid w:val="00E210EE"/>
    <w:rsid w:val="00E211CA"/>
    <w:rsid w:val="00E21298"/>
    <w:rsid w:val="00E21611"/>
    <w:rsid w:val="00E21A92"/>
    <w:rsid w:val="00E22FED"/>
    <w:rsid w:val="00E23487"/>
    <w:rsid w:val="00E23909"/>
    <w:rsid w:val="00E24607"/>
    <w:rsid w:val="00E2481F"/>
    <w:rsid w:val="00E257D0"/>
    <w:rsid w:val="00E269FC"/>
    <w:rsid w:val="00E26DC0"/>
    <w:rsid w:val="00E2722B"/>
    <w:rsid w:val="00E2757D"/>
    <w:rsid w:val="00E3000C"/>
    <w:rsid w:val="00E308F6"/>
    <w:rsid w:val="00E3094A"/>
    <w:rsid w:val="00E30954"/>
    <w:rsid w:val="00E30A36"/>
    <w:rsid w:val="00E31119"/>
    <w:rsid w:val="00E31121"/>
    <w:rsid w:val="00E32E76"/>
    <w:rsid w:val="00E34440"/>
    <w:rsid w:val="00E3461F"/>
    <w:rsid w:val="00E34AD9"/>
    <w:rsid w:val="00E353F0"/>
    <w:rsid w:val="00E35A20"/>
    <w:rsid w:val="00E35AFF"/>
    <w:rsid w:val="00E36352"/>
    <w:rsid w:val="00E36A7C"/>
    <w:rsid w:val="00E36BFF"/>
    <w:rsid w:val="00E42016"/>
    <w:rsid w:val="00E426AE"/>
    <w:rsid w:val="00E42EB6"/>
    <w:rsid w:val="00E456C8"/>
    <w:rsid w:val="00E45FF3"/>
    <w:rsid w:val="00E464BD"/>
    <w:rsid w:val="00E4776E"/>
    <w:rsid w:val="00E5010B"/>
    <w:rsid w:val="00E50822"/>
    <w:rsid w:val="00E50A9C"/>
    <w:rsid w:val="00E50B84"/>
    <w:rsid w:val="00E51274"/>
    <w:rsid w:val="00E518E2"/>
    <w:rsid w:val="00E5202E"/>
    <w:rsid w:val="00E5494C"/>
    <w:rsid w:val="00E566DB"/>
    <w:rsid w:val="00E56E12"/>
    <w:rsid w:val="00E57544"/>
    <w:rsid w:val="00E57E83"/>
    <w:rsid w:val="00E61403"/>
    <w:rsid w:val="00E61E8B"/>
    <w:rsid w:val="00E62236"/>
    <w:rsid w:val="00E6267C"/>
    <w:rsid w:val="00E628B5"/>
    <w:rsid w:val="00E63AEF"/>
    <w:rsid w:val="00E64020"/>
    <w:rsid w:val="00E641C5"/>
    <w:rsid w:val="00E64801"/>
    <w:rsid w:val="00E663E8"/>
    <w:rsid w:val="00E664B6"/>
    <w:rsid w:val="00E667B0"/>
    <w:rsid w:val="00E66ECB"/>
    <w:rsid w:val="00E67A69"/>
    <w:rsid w:val="00E67A8D"/>
    <w:rsid w:val="00E7027A"/>
    <w:rsid w:val="00E70479"/>
    <w:rsid w:val="00E704B8"/>
    <w:rsid w:val="00E705BE"/>
    <w:rsid w:val="00E737CA"/>
    <w:rsid w:val="00E7433C"/>
    <w:rsid w:val="00E744B3"/>
    <w:rsid w:val="00E759E6"/>
    <w:rsid w:val="00E75FFF"/>
    <w:rsid w:val="00E76864"/>
    <w:rsid w:val="00E768FD"/>
    <w:rsid w:val="00E76C22"/>
    <w:rsid w:val="00E77310"/>
    <w:rsid w:val="00E77479"/>
    <w:rsid w:val="00E8161E"/>
    <w:rsid w:val="00E835AC"/>
    <w:rsid w:val="00E84444"/>
    <w:rsid w:val="00E85C7E"/>
    <w:rsid w:val="00E85C87"/>
    <w:rsid w:val="00E86125"/>
    <w:rsid w:val="00E87A79"/>
    <w:rsid w:val="00E908B5"/>
    <w:rsid w:val="00E90BE3"/>
    <w:rsid w:val="00E91884"/>
    <w:rsid w:val="00E93CA0"/>
    <w:rsid w:val="00E94831"/>
    <w:rsid w:val="00E94A5D"/>
    <w:rsid w:val="00E95616"/>
    <w:rsid w:val="00E95AB3"/>
    <w:rsid w:val="00E95DEA"/>
    <w:rsid w:val="00E95F0E"/>
    <w:rsid w:val="00E96762"/>
    <w:rsid w:val="00E970E4"/>
    <w:rsid w:val="00E9767F"/>
    <w:rsid w:val="00E97953"/>
    <w:rsid w:val="00E979C4"/>
    <w:rsid w:val="00EA0288"/>
    <w:rsid w:val="00EA06B5"/>
    <w:rsid w:val="00EA127A"/>
    <w:rsid w:val="00EA1A09"/>
    <w:rsid w:val="00EA1FC6"/>
    <w:rsid w:val="00EA22F4"/>
    <w:rsid w:val="00EA31A9"/>
    <w:rsid w:val="00EA39E1"/>
    <w:rsid w:val="00EA4031"/>
    <w:rsid w:val="00EA4127"/>
    <w:rsid w:val="00EA41CD"/>
    <w:rsid w:val="00EA453B"/>
    <w:rsid w:val="00EA5C49"/>
    <w:rsid w:val="00EA6069"/>
    <w:rsid w:val="00EA695C"/>
    <w:rsid w:val="00EA7654"/>
    <w:rsid w:val="00EB0559"/>
    <w:rsid w:val="00EB1333"/>
    <w:rsid w:val="00EB1BE7"/>
    <w:rsid w:val="00EB2326"/>
    <w:rsid w:val="00EB2979"/>
    <w:rsid w:val="00EB3E0F"/>
    <w:rsid w:val="00EB420C"/>
    <w:rsid w:val="00EB4865"/>
    <w:rsid w:val="00EB4A61"/>
    <w:rsid w:val="00EB4DB0"/>
    <w:rsid w:val="00EB5DB4"/>
    <w:rsid w:val="00EB7107"/>
    <w:rsid w:val="00EC00D6"/>
    <w:rsid w:val="00EC0792"/>
    <w:rsid w:val="00EC114F"/>
    <w:rsid w:val="00EC15FA"/>
    <w:rsid w:val="00EC2585"/>
    <w:rsid w:val="00EC3706"/>
    <w:rsid w:val="00EC4CAB"/>
    <w:rsid w:val="00EC5458"/>
    <w:rsid w:val="00EC5A77"/>
    <w:rsid w:val="00EC5C6C"/>
    <w:rsid w:val="00EC6371"/>
    <w:rsid w:val="00EC6EF7"/>
    <w:rsid w:val="00ED0372"/>
    <w:rsid w:val="00ED0EDB"/>
    <w:rsid w:val="00ED175D"/>
    <w:rsid w:val="00ED2D11"/>
    <w:rsid w:val="00ED403F"/>
    <w:rsid w:val="00ED4C1A"/>
    <w:rsid w:val="00ED4E92"/>
    <w:rsid w:val="00ED5825"/>
    <w:rsid w:val="00ED6520"/>
    <w:rsid w:val="00ED6A62"/>
    <w:rsid w:val="00ED7119"/>
    <w:rsid w:val="00EE08FC"/>
    <w:rsid w:val="00EE0E69"/>
    <w:rsid w:val="00EE195D"/>
    <w:rsid w:val="00EE1995"/>
    <w:rsid w:val="00EE2541"/>
    <w:rsid w:val="00EE2D64"/>
    <w:rsid w:val="00EE30D4"/>
    <w:rsid w:val="00EE3129"/>
    <w:rsid w:val="00EE36E7"/>
    <w:rsid w:val="00EE371D"/>
    <w:rsid w:val="00EE3D4D"/>
    <w:rsid w:val="00EE4BA5"/>
    <w:rsid w:val="00EE4F24"/>
    <w:rsid w:val="00EE556C"/>
    <w:rsid w:val="00EE66B6"/>
    <w:rsid w:val="00EE6735"/>
    <w:rsid w:val="00EE6814"/>
    <w:rsid w:val="00EE78A6"/>
    <w:rsid w:val="00EE79E6"/>
    <w:rsid w:val="00EE7D6E"/>
    <w:rsid w:val="00EE7EC8"/>
    <w:rsid w:val="00EF0772"/>
    <w:rsid w:val="00EF0BC3"/>
    <w:rsid w:val="00EF1598"/>
    <w:rsid w:val="00EF1C46"/>
    <w:rsid w:val="00EF233A"/>
    <w:rsid w:val="00EF24AF"/>
    <w:rsid w:val="00EF50AA"/>
    <w:rsid w:val="00EF5AE3"/>
    <w:rsid w:val="00EF5C17"/>
    <w:rsid w:val="00EF612E"/>
    <w:rsid w:val="00EF7245"/>
    <w:rsid w:val="00EF77A8"/>
    <w:rsid w:val="00EF78C5"/>
    <w:rsid w:val="00EF7BC3"/>
    <w:rsid w:val="00F00241"/>
    <w:rsid w:val="00F023A6"/>
    <w:rsid w:val="00F02939"/>
    <w:rsid w:val="00F02A01"/>
    <w:rsid w:val="00F03489"/>
    <w:rsid w:val="00F03827"/>
    <w:rsid w:val="00F03C87"/>
    <w:rsid w:val="00F041E5"/>
    <w:rsid w:val="00F049A3"/>
    <w:rsid w:val="00F05A03"/>
    <w:rsid w:val="00F05C23"/>
    <w:rsid w:val="00F06F42"/>
    <w:rsid w:val="00F070BD"/>
    <w:rsid w:val="00F070E2"/>
    <w:rsid w:val="00F07808"/>
    <w:rsid w:val="00F0799E"/>
    <w:rsid w:val="00F11B85"/>
    <w:rsid w:val="00F13C62"/>
    <w:rsid w:val="00F13D91"/>
    <w:rsid w:val="00F14562"/>
    <w:rsid w:val="00F15058"/>
    <w:rsid w:val="00F150AF"/>
    <w:rsid w:val="00F15738"/>
    <w:rsid w:val="00F15C87"/>
    <w:rsid w:val="00F16C14"/>
    <w:rsid w:val="00F17446"/>
    <w:rsid w:val="00F200AD"/>
    <w:rsid w:val="00F2045B"/>
    <w:rsid w:val="00F208A5"/>
    <w:rsid w:val="00F209D1"/>
    <w:rsid w:val="00F20D7E"/>
    <w:rsid w:val="00F2114E"/>
    <w:rsid w:val="00F227EF"/>
    <w:rsid w:val="00F22EEC"/>
    <w:rsid w:val="00F252EC"/>
    <w:rsid w:val="00F2688A"/>
    <w:rsid w:val="00F27659"/>
    <w:rsid w:val="00F27C03"/>
    <w:rsid w:val="00F27DCD"/>
    <w:rsid w:val="00F27FBF"/>
    <w:rsid w:val="00F30436"/>
    <w:rsid w:val="00F30A36"/>
    <w:rsid w:val="00F31327"/>
    <w:rsid w:val="00F31576"/>
    <w:rsid w:val="00F317E5"/>
    <w:rsid w:val="00F31986"/>
    <w:rsid w:val="00F326A1"/>
    <w:rsid w:val="00F3326A"/>
    <w:rsid w:val="00F3650F"/>
    <w:rsid w:val="00F370C4"/>
    <w:rsid w:val="00F37781"/>
    <w:rsid w:val="00F37CA0"/>
    <w:rsid w:val="00F40878"/>
    <w:rsid w:val="00F41F30"/>
    <w:rsid w:val="00F43A0B"/>
    <w:rsid w:val="00F4508B"/>
    <w:rsid w:val="00F4600B"/>
    <w:rsid w:val="00F52428"/>
    <w:rsid w:val="00F52FCC"/>
    <w:rsid w:val="00F5352B"/>
    <w:rsid w:val="00F54F03"/>
    <w:rsid w:val="00F5501E"/>
    <w:rsid w:val="00F5519C"/>
    <w:rsid w:val="00F56C11"/>
    <w:rsid w:val="00F6049F"/>
    <w:rsid w:val="00F606EC"/>
    <w:rsid w:val="00F6077B"/>
    <w:rsid w:val="00F613EF"/>
    <w:rsid w:val="00F61EF3"/>
    <w:rsid w:val="00F624D1"/>
    <w:rsid w:val="00F638AA"/>
    <w:rsid w:val="00F63DD4"/>
    <w:rsid w:val="00F63FD5"/>
    <w:rsid w:val="00F65BBA"/>
    <w:rsid w:val="00F71180"/>
    <w:rsid w:val="00F72B36"/>
    <w:rsid w:val="00F72FDD"/>
    <w:rsid w:val="00F732EF"/>
    <w:rsid w:val="00F734CF"/>
    <w:rsid w:val="00F73AA0"/>
    <w:rsid w:val="00F74505"/>
    <w:rsid w:val="00F74A8C"/>
    <w:rsid w:val="00F76841"/>
    <w:rsid w:val="00F768EA"/>
    <w:rsid w:val="00F7745E"/>
    <w:rsid w:val="00F80752"/>
    <w:rsid w:val="00F80DC9"/>
    <w:rsid w:val="00F81064"/>
    <w:rsid w:val="00F810CE"/>
    <w:rsid w:val="00F81879"/>
    <w:rsid w:val="00F821F7"/>
    <w:rsid w:val="00F843D9"/>
    <w:rsid w:val="00F84CA2"/>
    <w:rsid w:val="00F853E3"/>
    <w:rsid w:val="00F87F46"/>
    <w:rsid w:val="00F91501"/>
    <w:rsid w:val="00F92557"/>
    <w:rsid w:val="00F925D3"/>
    <w:rsid w:val="00F93042"/>
    <w:rsid w:val="00F933E7"/>
    <w:rsid w:val="00F939A0"/>
    <w:rsid w:val="00F93AB0"/>
    <w:rsid w:val="00F94F7B"/>
    <w:rsid w:val="00F951AD"/>
    <w:rsid w:val="00F951F3"/>
    <w:rsid w:val="00F9554B"/>
    <w:rsid w:val="00F95EFF"/>
    <w:rsid w:val="00F967B0"/>
    <w:rsid w:val="00F96F29"/>
    <w:rsid w:val="00F974DB"/>
    <w:rsid w:val="00FA0CF3"/>
    <w:rsid w:val="00FA16B3"/>
    <w:rsid w:val="00FA198B"/>
    <w:rsid w:val="00FA1C47"/>
    <w:rsid w:val="00FA1C65"/>
    <w:rsid w:val="00FA25C6"/>
    <w:rsid w:val="00FA26AE"/>
    <w:rsid w:val="00FA284B"/>
    <w:rsid w:val="00FA2E91"/>
    <w:rsid w:val="00FA3650"/>
    <w:rsid w:val="00FA3893"/>
    <w:rsid w:val="00FA4356"/>
    <w:rsid w:val="00FA4389"/>
    <w:rsid w:val="00FA4B0B"/>
    <w:rsid w:val="00FA5657"/>
    <w:rsid w:val="00FA623C"/>
    <w:rsid w:val="00FA7145"/>
    <w:rsid w:val="00FA7CAE"/>
    <w:rsid w:val="00FB0350"/>
    <w:rsid w:val="00FB03D3"/>
    <w:rsid w:val="00FB0D14"/>
    <w:rsid w:val="00FB0D79"/>
    <w:rsid w:val="00FB19B1"/>
    <w:rsid w:val="00FB1BD7"/>
    <w:rsid w:val="00FB1E75"/>
    <w:rsid w:val="00FB2F55"/>
    <w:rsid w:val="00FB306D"/>
    <w:rsid w:val="00FB4A8C"/>
    <w:rsid w:val="00FB4CC8"/>
    <w:rsid w:val="00FB4E51"/>
    <w:rsid w:val="00FB54E8"/>
    <w:rsid w:val="00FB64AA"/>
    <w:rsid w:val="00FB6BDE"/>
    <w:rsid w:val="00FB7C04"/>
    <w:rsid w:val="00FB7EAE"/>
    <w:rsid w:val="00FC0AAA"/>
    <w:rsid w:val="00FC0DD8"/>
    <w:rsid w:val="00FC2327"/>
    <w:rsid w:val="00FC2686"/>
    <w:rsid w:val="00FC2D1E"/>
    <w:rsid w:val="00FC3306"/>
    <w:rsid w:val="00FC38AF"/>
    <w:rsid w:val="00FC3DE6"/>
    <w:rsid w:val="00FC4721"/>
    <w:rsid w:val="00FC4853"/>
    <w:rsid w:val="00FC60FA"/>
    <w:rsid w:val="00FC6BBE"/>
    <w:rsid w:val="00FC6E40"/>
    <w:rsid w:val="00FD025B"/>
    <w:rsid w:val="00FD0483"/>
    <w:rsid w:val="00FD0ACB"/>
    <w:rsid w:val="00FD0B0E"/>
    <w:rsid w:val="00FD0EFC"/>
    <w:rsid w:val="00FD1A43"/>
    <w:rsid w:val="00FD1DBC"/>
    <w:rsid w:val="00FD1F94"/>
    <w:rsid w:val="00FD22B7"/>
    <w:rsid w:val="00FD3884"/>
    <w:rsid w:val="00FD3C96"/>
    <w:rsid w:val="00FD43B5"/>
    <w:rsid w:val="00FD53A4"/>
    <w:rsid w:val="00FD63A5"/>
    <w:rsid w:val="00FD7562"/>
    <w:rsid w:val="00FE0819"/>
    <w:rsid w:val="00FE0C49"/>
    <w:rsid w:val="00FE0D1B"/>
    <w:rsid w:val="00FE0D79"/>
    <w:rsid w:val="00FE1123"/>
    <w:rsid w:val="00FE17F3"/>
    <w:rsid w:val="00FE18C8"/>
    <w:rsid w:val="00FE1DC8"/>
    <w:rsid w:val="00FE1E74"/>
    <w:rsid w:val="00FE2595"/>
    <w:rsid w:val="00FE291D"/>
    <w:rsid w:val="00FE2AF1"/>
    <w:rsid w:val="00FE2E3E"/>
    <w:rsid w:val="00FE389D"/>
    <w:rsid w:val="00FE3D12"/>
    <w:rsid w:val="00FE4A55"/>
    <w:rsid w:val="00FE5BC9"/>
    <w:rsid w:val="00FE5E43"/>
    <w:rsid w:val="00FE6A22"/>
    <w:rsid w:val="00FE748F"/>
    <w:rsid w:val="00FE7CC3"/>
    <w:rsid w:val="00FF08A7"/>
    <w:rsid w:val="00FF0A29"/>
    <w:rsid w:val="00FF0C29"/>
    <w:rsid w:val="00FF1444"/>
    <w:rsid w:val="00FF2C2C"/>
    <w:rsid w:val="00FF57E8"/>
    <w:rsid w:val="00FF6355"/>
    <w:rsid w:val="00FF65C3"/>
    <w:rsid w:val="00FF6AD2"/>
    <w:rsid w:val="00FF73CF"/>
    <w:rsid w:val="0161EDDE"/>
    <w:rsid w:val="022D5582"/>
    <w:rsid w:val="069E6851"/>
    <w:rsid w:val="06D6C2B2"/>
    <w:rsid w:val="0708D23D"/>
    <w:rsid w:val="071CE9E3"/>
    <w:rsid w:val="083E03EA"/>
    <w:rsid w:val="0A726DC7"/>
    <w:rsid w:val="0C7AFAD8"/>
    <w:rsid w:val="0CB742E7"/>
    <w:rsid w:val="0E16B6FA"/>
    <w:rsid w:val="0E8B136A"/>
    <w:rsid w:val="0F7C44F5"/>
    <w:rsid w:val="118A5D6D"/>
    <w:rsid w:val="13170200"/>
    <w:rsid w:val="140027B0"/>
    <w:rsid w:val="14CF21AD"/>
    <w:rsid w:val="17971E40"/>
    <w:rsid w:val="193BA6B6"/>
    <w:rsid w:val="19F41A63"/>
    <w:rsid w:val="1B388A0E"/>
    <w:rsid w:val="1B69851B"/>
    <w:rsid w:val="1B752EE1"/>
    <w:rsid w:val="1CDB7DAC"/>
    <w:rsid w:val="21FF2C87"/>
    <w:rsid w:val="22035BA9"/>
    <w:rsid w:val="2395D1AA"/>
    <w:rsid w:val="28B235CB"/>
    <w:rsid w:val="2E941543"/>
    <w:rsid w:val="2F656B80"/>
    <w:rsid w:val="30173A77"/>
    <w:rsid w:val="315DCD3A"/>
    <w:rsid w:val="32DFA05D"/>
    <w:rsid w:val="334B18D4"/>
    <w:rsid w:val="346B7C7E"/>
    <w:rsid w:val="3677978E"/>
    <w:rsid w:val="373CA3CF"/>
    <w:rsid w:val="37C35BCB"/>
    <w:rsid w:val="3A188DB0"/>
    <w:rsid w:val="3AACE782"/>
    <w:rsid w:val="3ACA8ADD"/>
    <w:rsid w:val="3ACBE24F"/>
    <w:rsid w:val="3AF94334"/>
    <w:rsid w:val="3B5ABA08"/>
    <w:rsid w:val="3CDEC2D2"/>
    <w:rsid w:val="3D926486"/>
    <w:rsid w:val="3F8F5C6A"/>
    <w:rsid w:val="3FEE0146"/>
    <w:rsid w:val="41257876"/>
    <w:rsid w:val="415115B4"/>
    <w:rsid w:val="43270830"/>
    <w:rsid w:val="43777F4E"/>
    <w:rsid w:val="47317227"/>
    <w:rsid w:val="477CE48A"/>
    <w:rsid w:val="497B6B81"/>
    <w:rsid w:val="49CA389D"/>
    <w:rsid w:val="4B77813E"/>
    <w:rsid w:val="4D940B60"/>
    <w:rsid w:val="4E850AA3"/>
    <w:rsid w:val="4FEAC203"/>
    <w:rsid w:val="5336811A"/>
    <w:rsid w:val="54AFC977"/>
    <w:rsid w:val="5610874D"/>
    <w:rsid w:val="56271058"/>
    <w:rsid w:val="59883668"/>
    <w:rsid w:val="5A286AD4"/>
    <w:rsid w:val="5D0221BC"/>
    <w:rsid w:val="5D95670D"/>
    <w:rsid w:val="5E9C2914"/>
    <w:rsid w:val="5ED73F57"/>
    <w:rsid w:val="5FA91464"/>
    <w:rsid w:val="60DB6B65"/>
    <w:rsid w:val="617F35E8"/>
    <w:rsid w:val="62BEFFD4"/>
    <w:rsid w:val="62C58D74"/>
    <w:rsid w:val="62E2C29F"/>
    <w:rsid w:val="636DCF86"/>
    <w:rsid w:val="644F6946"/>
    <w:rsid w:val="645AAB6E"/>
    <w:rsid w:val="65AA5F2C"/>
    <w:rsid w:val="65F3EF4F"/>
    <w:rsid w:val="65F47682"/>
    <w:rsid w:val="67DD4204"/>
    <w:rsid w:val="68443626"/>
    <w:rsid w:val="6DB7D1BE"/>
    <w:rsid w:val="733912CF"/>
    <w:rsid w:val="750318E0"/>
    <w:rsid w:val="75A48134"/>
    <w:rsid w:val="7606442E"/>
    <w:rsid w:val="76404873"/>
    <w:rsid w:val="773A04E7"/>
    <w:rsid w:val="78FE39CD"/>
    <w:rsid w:val="7C849F82"/>
    <w:rsid w:val="7C9CBF17"/>
    <w:rsid w:val="7F5BB0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6D1"/>
    <w:pPr>
      <w:spacing w:line="360" w:lineRule="auto"/>
    </w:pPr>
    <w:rPr>
      <w:rFonts w:ascii="Arial" w:hAnsi="Arial"/>
      <w:color w:val="46464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5E3BA8"/>
    <w:pPr>
      <w:spacing w:before="240" w:after="240" w:line="240" w:lineRule="auto"/>
      <w:outlineLvl w:val="1"/>
    </w:pPr>
    <w:rPr>
      <w:b/>
      <w:bCs/>
      <w:color w:val="ED641C" w:themeColor="accent2"/>
      <w:sz w:val="52"/>
      <w:szCs w:val="40"/>
    </w:rPr>
  </w:style>
  <w:style w:type="paragraph" w:styleId="Heading3">
    <w:name w:val="heading 3"/>
    <w:basedOn w:val="Normal"/>
    <w:next w:val="Normal"/>
    <w:link w:val="Heading3Char"/>
    <w:autoRedefine/>
    <w:uiPriority w:val="9"/>
    <w:unhideWhenUsed/>
    <w:qFormat/>
    <w:rsid w:val="005317AF"/>
    <w:pPr>
      <w:outlineLvl w:val="2"/>
    </w:pPr>
    <w:rPr>
      <w:b/>
      <w:bCs/>
      <w:sz w:val="32"/>
      <w:szCs w:val="24"/>
    </w:rPr>
  </w:style>
  <w:style w:type="paragraph" w:styleId="Heading4">
    <w:name w:val="heading 4"/>
    <w:basedOn w:val="Normal"/>
    <w:next w:val="Normal"/>
    <w:link w:val="Heading4Char"/>
    <w:autoRedefine/>
    <w:uiPriority w:val="9"/>
    <w:unhideWhenUsed/>
    <w:qFormat/>
    <w:rsid w:val="003C580E"/>
    <w:pPr>
      <w:spacing w:after="240"/>
      <w:outlineLvl w:val="3"/>
    </w:pPr>
    <w:rPr>
      <w:rFonts w:cs="Arial"/>
      <w:b/>
      <w:bCs/>
      <w:color w:val="auto"/>
      <w:szCs w:val="24"/>
      <w14:textOutline w14:w="9525" w14:cap="rnd" w14:cmpd="sng" w14:algn="ctr">
        <w14:noFill/>
        <w14:prstDash w14:val="solid"/>
        <w14:bevel/>
      </w14:textOutline>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paragraph" w:styleId="Heading6">
    <w:name w:val="heading 6"/>
    <w:basedOn w:val="Normal"/>
    <w:next w:val="Normal"/>
    <w:link w:val="Heading6Char"/>
    <w:uiPriority w:val="9"/>
    <w:semiHidden/>
    <w:unhideWhenUsed/>
    <w:rsid w:val="00163C56"/>
    <w:pPr>
      <w:keepNext/>
      <w:keepLines/>
      <w:spacing w:before="40" w:after="0"/>
      <w:outlineLvl w:val="5"/>
    </w:pPr>
    <w:rPr>
      <w:rFonts w:asciiTheme="majorHAnsi" w:eastAsiaTheme="majorEastAsia" w:hAnsiTheme="majorHAnsi" w:cstheme="majorBidi"/>
      <w:color w:val="16272F" w:themeColor="accent1" w:themeShade="7F"/>
    </w:rPr>
  </w:style>
  <w:style w:type="paragraph" w:styleId="Heading7">
    <w:name w:val="heading 7"/>
    <w:basedOn w:val="Normal"/>
    <w:next w:val="Normal"/>
    <w:link w:val="Heading7Char"/>
    <w:uiPriority w:val="9"/>
    <w:semiHidden/>
    <w:unhideWhenUsed/>
    <w:qFormat/>
    <w:rsid w:val="00163C56"/>
    <w:pPr>
      <w:keepNext/>
      <w:keepLines/>
      <w:spacing w:before="40" w:after="0"/>
      <w:outlineLvl w:val="6"/>
    </w:pPr>
    <w:rPr>
      <w:rFonts w:asciiTheme="majorHAnsi" w:eastAsiaTheme="majorEastAsia" w:hAnsiTheme="majorHAnsi" w:cstheme="majorBidi"/>
      <w:i/>
      <w:iCs/>
      <w:color w:val="16272F" w:themeColor="accent1" w:themeShade="7F"/>
    </w:rPr>
  </w:style>
  <w:style w:type="paragraph" w:styleId="Heading8">
    <w:name w:val="heading 8"/>
    <w:basedOn w:val="Normal"/>
    <w:next w:val="Normal"/>
    <w:link w:val="Heading8Char"/>
    <w:uiPriority w:val="9"/>
    <w:semiHidden/>
    <w:unhideWhenUsed/>
    <w:qFormat/>
    <w:rsid w:val="00163C56"/>
    <w:pPr>
      <w:keepNext/>
      <w:keepLines/>
      <w:spacing w:before="40" w:after="0"/>
      <w:outlineLvl w:val="7"/>
    </w:pPr>
    <w:rPr>
      <w:rFonts w:asciiTheme="majorHAnsi" w:eastAsiaTheme="majorEastAsia" w:hAnsiTheme="majorHAnsi" w:cstheme="majorBidi"/>
      <w:color w:val="474747" w:themeColor="text1" w:themeTint="D8"/>
      <w:sz w:val="21"/>
      <w:szCs w:val="21"/>
    </w:rPr>
  </w:style>
  <w:style w:type="paragraph" w:styleId="Heading9">
    <w:name w:val="heading 9"/>
    <w:basedOn w:val="Normal"/>
    <w:next w:val="Normal"/>
    <w:link w:val="Heading9Char"/>
    <w:uiPriority w:val="9"/>
    <w:semiHidden/>
    <w:unhideWhenUsed/>
    <w:qFormat/>
    <w:rsid w:val="00163C56"/>
    <w:pPr>
      <w:keepNext/>
      <w:keepLines/>
      <w:spacing w:before="40" w:after="0"/>
      <w:outlineLvl w:val="8"/>
    </w:pPr>
    <w:rPr>
      <w:rFonts w:asciiTheme="majorHAnsi" w:eastAsiaTheme="majorEastAsia" w:hAnsiTheme="majorHAnsi" w:cstheme="majorBidi"/>
      <w:i/>
      <w:iCs/>
      <w:color w:val="47474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B62A95"/>
    <w:pPr>
      <w:numPr>
        <w:numId w:val="35"/>
      </w:numPr>
      <w:autoSpaceDE w:val="0"/>
      <w:autoSpaceDN w:val="0"/>
      <w:adjustRightInd w:val="0"/>
      <w:spacing w:after="0"/>
    </w:pPr>
    <w:rPr>
      <w:color w:val="auto"/>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B62A95"/>
    <w:rPr>
      <w:rFonts w:ascii="Arial" w:hAnsi="Arial"/>
      <w:sz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nhideWhenUsed/>
    <w:qFormat/>
    <w:rsid w:val="009B3649"/>
    <w:pPr>
      <w:tabs>
        <w:tab w:val="center" w:pos="4513"/>
        <w:tab w:val="right" w:pos="9026"/>
      </w:tabs>
      <w:spacing w:before="120" w:after="0" w:line="240" w:lineRule="auto"/>
      <w:jc w:val="right"/>
    </w:pPr>
    <w:rPr>
      <w:color w:val="262626" w:themeColor="text1"/>
    </w:rPr>
  </w:style>
  <w:style w:type="character" w:customStyle="1" w:styleId="FooterChar">
    <w:name w:val="Footer Char"/>
    <w:basedOn w:val="DefaultParagraphFont"/>
    <w:link w:val="Footer"/>
    <w:rsid w:val="009B3649"/>
    <w:rPr>
      <w:rFonts w:ascii="Arial" w:hAnsi="Arial"/>
      <w:color w:val="262626" w:themeColor="text1"/>
      <w:sz w:val="24"/>
    </w:rPr>
  </w:style>
  <w:style w:type="paragraph" w:styleId="NoSpacing">
    <w:name w:val="No Spacing"/>
    <w:autoRedefine/>
    <w:uiPriority w:val="1"/>
    <w:qFormat/>
    <w:rsid w:val="00E5494C"/>
    <w:pPr>
      <w:spacing w:after="0" w:line="240" w:lineRule="auto"/>
    </w:pPr>
    <w:rPr>
      <w:rFonts w:ascii="Arial" w:hAnsi="Arial"/>
      <w:color w:val="464646" w:themeColor="text1" w:themeTint="D9"/>
      <w:sz w:val="24"/>
    </w:rPr>
  </w:style>
  <w:style w:type="character" w:styleId="Hyperlink">
    <w:name w:val="Hyperlink"/>
    <w:basedOn w:val="DefaultParagraphFont"/>
    <w:uiPriority w:val="99"/>
    <w:unhideWhenUsed/>
    <w:rsid w:val="00FD63A5"/>
    <w:rPr>
      <w:color w:val="2C5060" w:themeColor="accent1"/>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5E3BA8"/>
    <w:rPr>
      <w:rFonts w:ascii="Arial" w:hAnsi="Arial"/>
      <w:b/>
      <w:bCs/>
      <w:color w:val="ED641C" w:themeColor="accent2"/>
      <w:sz w:val="52"/>
      <w:szCs w:val="40"/>
    </w:rPr>
  </w:style>
  <w:style w:type="character" w:customStyle="1" w:styleId="Heading3Char">
    <w:name w:val="Heading 3 Char"/>
    <w:basedOn w:val="DefaultParagraphFont"/>
    <w:link w:val="Heading3"/>
    <w:uiPriority w:val="9"/>
    <w:rsid w:val="005317AF"/>
    <w:rPr>
      <w:rFonts w:ascii="Arial" w:hAnsi="Arial"/>
      <w:b/>
      <w:bCs/>
      <w:color w:val="464646" w:themeColor="text1" w:themeTint="D9"/>
      <w:sz w:val="32"/>
      <w:szCs w:val="24"/>
    </w:rPr>
  </w:style>
  <w:style w:type="character" w:customStyle="1" w:styleId="Heading4Char">
    <w:name w:val="Heading 4 Char"/>
    <w:basedOn w:val="DefaultParagraphFont"/>
    <w:link w:val="Heading4"/>
    <w:uiPriority w:val="9"/>
    <w:rsid w:val="003C580E"/>
    <w:rPr>
      <w:rFonts w:ascii="Arial" w:hAnsi="Arial" w:cs="Arial"/>
      <w:b/>
      <w:bCs/>
      <w:sz w:val="24"/>
      <w:szCs w:val="24"/>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E5494C"/>
    <w:rPr>
      <w:rFonts w:ascii="Arial" w:hAnsi="Arial" w:cs="Arial"/>
      <w:b/>
      <w:bCs/>
      <w:color w:val="464646" w:themeColor="text1" w:themeTint="D9"/>
      <w:sz w:val="24"/>
    </w:rPr>
  </w:style>
  <w:style w:type="paragraph" w:styleId="TOCHeading">
    <w:name w:val="TOC Heading"/>
    <w:basedOn w:val="Heading1"/>
    <w:next w:val="Normal"/>
    <w:uiPriority w:val="39"/>
    <w:unhideWhenUsed/>
    <w:qFormat/>
    <w:rsid w:val="008D0846"/>
    <w:pPr>
      <w:outlineLvl w:val="9"/>
    </w:pPr>
    <w:rPr>
      <w:rFonts w:asciiTheme="majorHAnsi" w:hAnsiTheme="majorHAnsi" w:cstheme="majorBidi"/>
      <w:b w:val="0"/>
      <w:bCs w:val="0"/>
      <w:noProof w:val="0"/>
      <w:color w:val="213B47"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262626"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nhideWhenUsed/>
    <w:rsid w:val="00D11148"/>
    <w:pPr>
      <w:spacing w:after="0" w:line="240" w:lineRule="auto"/>
    </w:pPr>
    <w:rPr>
      <w:sz w:val="20"/>
      <w:szCs w:val="20"/>
    </w:rPr>
  </w:style>
  <w:style w:type="character" w:customStyle="1" w:styleId="FootnoteTextChar">
    <w:name w:val="Footnote Text Char"/>
    <w:basedOn w:val="DefaultParagraphFont"/>
    <w:link w:val="FootnoteText"/>
    <w:rsid w:val="00D11148"/>
    <w:rPr>
      <w:rFonts w:ascii="Arial" w:hAnsi="Arial"/>
      <w:color w:val="464646" w:themeColor="text1" w:themeTint="D9"/>
      <w:sz w:val="20"/>
      <w:szCs w:val="20"/>
    </w:rPr>
  </w:style>
  <w:style w:type="character" w:styleId="FootnoteReference">
    <w:name w:val="footnote reference"/>
    <w:basedOn w:val="DefaultParagraphFont"/>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46464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E57E83"/>
    <w:rPr>
      <w:b/>
      <w:color w:val="2C5060" w:themeColor="accent1"/>
      <w:sz w:val="28"/>
    </w:rPr>
  </w:style>
  <w:style w:type="character" w:customStyle="1" w:styleId="PagenumberChar">
    <w:name w:val="Page number Char"/>
    <w:basedOn w:val="FooterChar"/>
    <w:link w:val="PageNumber1"/>
    <w:rsid w:val="00E57E83"/>
    <w:rPr>
      <w:rFonts w:ascii="Arial" w:hAnsi="Arial"/>
      <w:b/>
      <w:color w:val="2C5060" w:themeColor="accent1"/>
      <w:sz w:val="28"/>
    </w:rPr>
  </w:style>
  <w:style w:type="paragraph" w:styleId="Title">
    <w:name w:val="Title"/>
    <w:aliases w:val="HEADING 1 LARGE TEXT ONLY"/>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aliases w:val="HEADING 1 LARGE TEXT ONLY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table" w:styleId="GridTable1Light-Accent2">
    <w:name w:val="Grid Table 1 Light Accent 2"/>
    <w:basedOn w:val="TableNormal"/>
    <w:uiPriority w:val="46"/>
    <w:rsid w:val="00A91752"/>
    <w:pPr>
      <w:spacing w:after="0" w:line="240" w:lineRule="auto"/>
    </w:pPr>
    <w:tblPr>
      <w:tblStyleRowBandSize w:val="1"/>
      <w:tblStyleColBandSize w:val="1"/>
      <w:tblBorders>
        <w:top w:val="single" w:sz="4" w:space="0" w:color="F7C0A4" w:themeColor="accent2" w:themeTint="66"/>
        <w:left w:val="single" w:sz="4" w:space="0" w:color="F7C0A4" w:themeColor="accent2" w:themeTint="66"/>
        <w:bottom w:val="single" w:sz="4" w:space="0" w:color="F7C0A4" w:themeColor="accent2" w:themeTint="66"/>
        <w:right w:val="single" w:sz="4" w:space="0" w:color="F7C0A4" w:themeColor="accent2" w:themeTint="66"/>
        <w:insideH w:val="single" w:sz="4" w:space="0" w:color="F7C0A4" w:themeColor="accent2" w:themeTint="66"/>
        <w:insideV w:val="single" w:sz="4" w:space="0" w:color="F7C0A4" w:themeColor="accent2" w:themeTint="66"/>
      </w:tblBorders>
    </w:tblPr>
    <w:tblStylePr w:type="firstRow">
      <w:rPr>
        <w:b/>
        <w:bCs/>
      </w:rPr>
      <w:tblPr/>
      <w:tcPr>
        <w:tcBorders>
          <w:bottom w:val="single" w:sz="12" w:space="0" w:color="F4A176" w:themeColor="accent2" w:themeTint="99"/>
        </w:tcBorders>
      </w:tcPr>
    </w:tblStylePr>
    <w:tblStylePr w:type="lastRow">
      <w:rPr>
        <w:b/>
        <w:bCs/>
      </w:rPr>
      <w:tblPr/>
      <w:tcPr>
        <w:tcBorders>
          <w:top w:val="double" w:sz="2" w:space="0" w:color="F4A176"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C10467"/>
    <w:pPr>
      <w:spacing w:after="0" w:line="240" w:lineRule="auto"/>
    </w:pPr>
    <w:tblPr>
      <w:tblStyleRowBandSize w:val="1"/>
      <w:tblStyleColBandSize w:val="1"/>
      <w:tblBorders>
        <w:top w:val="single" w:sz="4" w:space="0" w:color="F4A176" w:themeColor="accent2" w:themeTint="99"/>
        <w:left w:val="single" w:sz="4" w:space="0" w:color="F4A176" w:themeColor="accent2" w:themeTint="99"/>
        <w:bottom w:val="single" w:sz="4" w:space="0" w:color="F4A176" w:themeColor="accent2" w:themeTint="99"/>
        <w:right w:val="single" w:sz="4" w:space="0" w:color="F4A176" w:themeColor="accent2" w:themeTint="99"/>
        <w:insideH w:val="single" w:sz="4" w:space="0" w:color="F4A176" w:themeColor="accent2" w:themeTint="99"/>
        <w:insideV w:val="single" w:sz="4" w:space="0" w:color="F4A176" w:themeColor="accent2" w:themeTint="99"/>
      </w:tblBorders>
    </w:tblPr>
    <w:tblStylePr w:type="firstRow">
      <w:rPr>
        <w:b/>
        <w:bCs/>
        <w:color w:val="FFFFFF" w:themeColor="background1"/>
      </w:rPr>
      <w:tblPr/>
      <w:tcPr>
        <w:tcBorders>
          <w:top w:val="single" w:sz="4" w:space="0" w:color="ED641C" w:themeColor="accent2"/>
          <w:left w:val="single" w:sz="4" w:space="0" w:color="ED641C" w:themeColor="accent2"/>
          <w:bottom w:val="single" w:sz="4" w:space="0" w:color="ED641C" w:themeColor="accent2"/>
          <w:right w:val="single" w:sz="4" w:space="0" w:color="ED641C" w:themeColor="accent2"/>
          <w:insideH w:val="nil"/>
          <w:insideV w:val="nil"/>
        </w:tcBorders>
        <w:shd w:val="clear" w:color="auto" w:fill="ED641C" w:themeFill="accent2"/>
      </w:tcPr>
    </w:tblStylePr>
    <w:tblStylePr w:type="lastRow">
      <w:rPr>
        <w:b/>
        <w:bCs/>
      </w:rPr>
      <w:tblPr/>
      <w:tcPr>
        <w:tcBorders>
          <w:top w:val="double" w:sz="4" w:space="0" w:color="ED641C" w:themeColor="accent2"/>
        </w:tcBorders>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paragraph" w:styleId="Caption">
    <w:name w:val="caption"/>
    <w:basedOn w:val="Normal"/>
    <w:next w:val="Normal"/>
    <w:uiPriority w:val="35"/>
    <w:unhideWhenUsed/>
    <w:qFormat/>
    <w:rsid w:val="006532ED"/>
    <w:pPr>
      <w:spacing w:after="200" w:line="240" w:lineRule="auto"/>
    </w:pPr>
    <w:rPr>
      <w:i/>
      <w:iCs/>
      <w:color w:val="44546A" w:themeColor="text2"/>
      <w:sz w:val="18"/>
      <w:szCs w:val="18"/>
    </w:rPr>
  </w:style>
  <w:style w:type="character" w:customStyle="1" w:styleId="number">
    <w:name w:val="number"/>
    <w:basedOn w:val="DefaultParagraphFont"/>
    <w:rsid w:val="00811B57"/>
  </w:style>
  <w:style w:type="character" w:customStyle="1" w:styleId="units">
    <w:name w:val="units"/>
    <w:basedOn w:val="DefaultParagraphFont"/>
    <w:rsid w:val="00811B57"/>
  </w:style>
  <w:style w:type="character" w:customStyle="1" w:styleId="visually-hidden">
    <w:name w:val="visually-hidden"/>
    <w:basedOn w:val="DefaultParagraphFont"/>
    <w:rsid w:val="00811B57"/>
  </w:style>
  <w:style w:type="paragraph" w:customStyle="1" w:styleId="nav-item">
    <w:name w:val="nav-item"/>
    <w:basedOn w:val="Normal"/>
    <w:rsid w:val="005444B4"/>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Revision">
    <w:name w:val="Revision"/>
    <w:hidden/>
    <w:uiPriority w:val="99"/>
    <w:semiHidden/>
    <w:rsid w:val="00EE7EC8"/>
    <w:pPr>
      <w:spacing w:after="0" w:line="240" w:lineRule="auto"/>
    </w:pPr>
    <w:rPr>
      <w:rFonts w:ascii="Arial" w:hAnsi="Arial"/>
      <w:color w:val="464646" w:themeColor="text1" w:themeTint="D9"/>
      <w:sz w:val="24"/>
    </w:rPr>
  </w:style>
  <w:style w:type="paragraph" w:styleId="Bibliography">
    <w:name w:val="Bibliography"/>
    <w:basedOn w:val="Normal"/>
    <w:next w:val="Normal"/>
    <w:uiPriority w:val="37"/>
    <w:semiHidden/>
    <w:unhideWhenUsed/>
    <w:rsid w:val="00163C56"/>
  </w:style>
  <w:style w:type="paragraph" w:styleId="BlockText">
    <w:name w:val="Block Text"/>
    <w:basedOn w:val="Normal"/>
    <w:uiPriority w:val="99"/>
    <w:semiHidden/>
    <w:unhideWhenUsed/>
    <w:rsid w:val="00163C56"/>
    <w:pPr>
      <w:pBdr>
        <w:top w:val="single" w:sz="2" w:space="10" w:color="2C5060" w:themeColor="accent1"/>
        <w:left w:val="single" w:sz="2" w:space="10" w:color="2C5060" w:themeColor="accent1"/>
        <w:bottom w:val="single" w:sz="2" w:space="10" w:color="2C5060" w:themeColor="accent1"/>
        <w:right w:val="single" w:sz="2" w:space="10" w:color="2C5060" w:themeColor="accent1"/>
      </w:pBdr>
      <w:ind w:left="1152" w:right="1152"/>
    </w:pPr>
    <w:rPr>
      <w:rFonts w:asciiTheme="minorHAnsi" w:eastAsiaTheme="minorEastAsia" w:hAnsiTheme="minorHAnsi"/>
      <w:i/>
      <w:iCs/>
      <w:color w:val="2C5060" w:themeColor="accent1"/>
    </w:rPr>
  </w:style>
  <w:style w:type="paragraph" w:styleId="BodyText">
    <w:name w:val="Body Text"/>
    <w:basedOn w:val="Normal"/>
    <w:link w:val="BodyTextChar"/>
    <w:uiPriority w:val="99"/>
    <w:semiHidden/>
    <w:unhideWhenUsed/>
    <w:rsid w:val="00163C56"/>
    <w:pPr>
      <w:spacing w:after="120"/>
    </w:pPr>
  </w:style>
  <w:style w:type="character" w:customStyle="1" w:styleId="BodyTextChar">
    <w:name w:val="Body Text Char"/>
    <w:basedOn w:val="DefaultParagraphFont"/>
    <w:link w:val="BodyText"/>
    <w:uiPriority w:val="99"/>
    <w:semiHidden/>
    <w:rsid w:val="00163C56"/>
    <w:rPr>
      <w:rFonts w:ascii="Arial" w:hAnsi="Arial"/>
      <w:color w:val="464646" w:themeColor="text1" w:themeTint="D9"/>
      <w:sz w:val="24"/>
    </w:rPr>
  </w:style>
  <w:style w:type="paragraph" w:styleId="BodyText2">
    <w:name w:val="Body Text 2"/>
    <w:basedOn w:val="Normal"/>
    <w:link w:val="BodyText2Char"/>
    <w:uiPriority w:val="99"/>
    <w:semiHidden/>
    <w:unhideWhenUsed/>
    <w:rsid w:val="00163C56"/>
    <w:pPr>
      <w:spacing w:after="120" w:line="480" w:lineRule="auto"/>
    </w:pPr>
  </w:style>
  <w:style w:type="character" w:customStyle="1" w:styleId="BodyText2Char">
    <w:name w:val="Body Text 2 Char"/>
    <w:basedOn w:val="DefaultParagraphFont"/>
    <w:link w:val="BodyText2"/>
    <w:uiPriority w:val="99"/>
    <w:semiHidden/>
    <w:rsid w:val="00163C56"/>
    <w:rPr>
      <w:rFonts w:ascii="Arial" w:hAnsi="Arial"/>
      <w:color w:val="464646" w:themeColor="text1" w:themeTint="D9"/>
      <w:sz w:val="24"/>
    </w:rPr>
  </w:style>
  <w:style w:type="paragraph" w:styleId="BodyText3">
    <w:name w:val="Body Text 3"/>
    <w:basedOn w:val="Normal"/>
    <w:link w:val="BodyText3Char"/>
    <w:uiPriority w:val="99"/>
    <w:semiHidden/>
    <w:unhideWhenUsed/>
    <w:rsid w:val="00163C56"/>
    <w:pPr>
      <w:spacing w:after="120"/>
    </w:pPr>
    <w:rPr>
      <w:sz w:val="16"/>
      <w:szCs w:val="16"/>
    </w:rPr>
  </w:style>
  <w:style w:type="character" w:customStyle="1" w:styleId="BodyText3Char">
    <w:name w:val="Body Text 3 Char"/>
    <w:basedOn w:val="DefaultParagraphFont"/>
    <w:link w:val="BodyText3"/>
    <w:uiPriority w:val="99"/>
    <w:semiHidden/>
    <w:rsid w:val="00163C56"/>
    <w:rPr>
      <w:rFonts w:ascii="Arial" w:hAnsi="Arial"/>
      <w:color w:val="464646" w:themeColor="text1" w:themeTint="D9"/>
      <w:sz w:val="16"/>
      <w:szCs w:val="16"/>
    </w:rPr>
  </w:style>
  <w:style w:type="paragraph" w:styleId="BodyTextFirstIndent">
    <w:name w:val="Body Text First Indent"/>
    <w:basedOn w:val="BodyText"/>
    <w:link w:val="BodyTextFirstIndentChar"/>
    <w:uiPriority w:val="99"/>
    <w:semiHidden/>
    <w:unhideWhenUsed/>
    <w:rsid w:val="00163C56"/>
    <w:pPr>
      <w:spacing w:after="160"/>
      <w:ind w:firstLine="360"/>
    </w:pPr>
  </w:style>
  <w:style w:type="character" w:customStyle="1" w:styleId="BodyTextFirstIndentChar">
    <w:name w:val="Body Text First Indent Char"/>
    <w:basedOn w:val="BodyTextChar"/>
    <w:link w:val="BodyTextFirstIndent"/>
    <w:uiPriority w:val="99"/>
    <w:semiHidden/>
    <w:rsid w:val="00163C56"/>
    <w:rPr>
      <w:rFonts w:ascii="Arial" w:hAnsi="Arial"/>
      <w:color w:val="464646" w:themeColor="text1" w:themeTint="D9"/>
      <w:sz w:val="24"/>
    </w:rPr>
  </w:style>
  <w:style w:type="paragraph" w:styleId="BodyTextIndent">
    <w:name w:val="Body Text Indent"/>
    <w:basedOn w:val="Normal"/>
    <w:link w:val="BodyTextIndentChar"/>
    <w:uiPriority w:val="99"/>
    <w:semiHidden/>
    <w:unhideWhenUsed/>
    <w:rsid w:val="00163C56"/>
    <w:pPr>
      <w:spacing w:after="120"/>
      <w:ind w:left="283"/>
    </w:pPr>
  </w:style>
  <w:style w:type="character" w:customStyle="1" w:styleId="BodyTextIndentChar">
    <w:name w:val="Body Text Indent Char"/>
    <w:basedOn w:val="DefaultParagraphFont"/>
    <w:link w:val="BodyTextIndent"/>
    <w:uiPriority w:val="99"/>
    <w:semiHidden/>
    <w:rsid w:val="00163C56"/>
    <w:rPr>
      <w:rFonts w:ascii="Arial" w:hAnsi="Arial"/>
      <w:color w:val="464646" w:themeColor="text1" w:themeTint="D9"/>
      <w:sz w:val="24"/>
    </w:rPr>
  </w:style>
  <w:style w:type="paragraph" w:styleId="BodyTextFirstIndent2">
    <w:name w:val="Body Text First Indent 2"/>
    <w:basedOn w:val="BodyTextIndent"/>
    <w:link w:val="BodyTextFirstIndent2Char"/>
    <w:uiPriority w:val="99"/>
    <w:semiHidden/>
    <w:unhideWhenUsed/>
    <w:rsid w:val="00163C5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3C56"/>
    <w:rPr>
      <w:rFonts w:ascii="Arial" w:hAnsi="Arial"/>
      <w:color w:val="464646" w:themeColor="text1" w:themeTint="D9"/>
      <w:sz w:val="24"/>
    </w:rPr>
  </w:style>
  <w:style w:type="paragraph" w:styleId="BodyTextIndent2">
    <w:name w:val="Body Text Indent 2"/>
    <w:basedOn w:val="Normal"/>
    <w:link w:val="BodyTextIndent2Char"/>
    <w:uiPriority w:val="99"/>
    <w:semiHidden/>
    <w:unhideWhenUsed/>
    <w:rsid w:val="00163C56"/>
    <w:pPr>
      <w:spacing w:after="120" w:line="480" w:lineRule="auto"/>
      <w:ind w:left="283"/>
    </w:pPr>
  </w:style>
  <w:style w:type="character" w:customStyle="1" w:styleId="BodyTextIndent2Char">
    <w:name w:val="Body Text Indent 2 Char"/>
    <w:basedOn w:val="DefaultParagraphFont"/>
    <w:link w:val="BodyTextIndent2"/>
    <w:uiPriority w:val="99"/>
    <w:semiHidden/>
    <w:rsid w:val="00163C56"/>
    <w:rPr>
      <w:rFonts w:ascii="Arial" w:hAnsi="Arial"/>
      <w:color w:val="464646" w:themeColor="text1" w:themeTint="D9"/>
      <w:sz w:val="24"/>
    </w:rPr>
  </w:style>
  <w:style w:type="paragraph" w:styleId="BodyTextIndent3">
    <w:name w:val="Body Text Indent 3"/>
    <w:basedOn w:val="Normal"/>
    <w:link w:val="BodyTextIndent3Char"/>
    <w:uiPriority w:val="99"/>
    <w:semiHidden/>
    <w:unhideWhenUsed/>
    <w:rsid w:val="00163C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3C56"/>
    <w:rPr>
      <w:rFonts w:ascii="Arial" w:hAnsi="Arial"/>
      <w:color w:val="464646" w:themeColor="text1" w:themeTint="D9"/>
      <w:sz w:val="16"/>
      <w:szCs w:val="16"/>
    </w:rPr>
  </w:style>
  <w:style w:type="paragraph" w:styleId="Closing">
    <w:name w:val="Closing"/>
    <w:basedOn w:val="Normal"/>
    <w:link w:val="ClosingChar"/>
    <w:uiPriority w:val="99"/>
    <w:semiHidden/>
    <w:unhideWhenUsed/>
    <w:rsid w:val="00163C56"/>
    <w:pPr>
      <w:spacing w:after="0" w:line="240" w:lineRule="auto"/>
      <w:ind w:left="4252"/>
    </w:pPr>
  </w:style>
  <w:style w:type="character" w:customStyle="1" w:styleId="ClosingChar">
    <w:name w:val="Closing Char"/>
    <w:basedOn w:val="DefaultParagraphFont"/>
    <w:link w:val="Closing"/>
    <w:uiPriority w:val="99"/>
    <w:semiHidden/>
    <w:rsid w:val="00163C56"/>
    <w:rPr>
      <w:rFonts w:ascii="Arial" w:hAnsi="Arial"/>
      <w:color w:val="464646" w:themeColor="text1" w:themeTint="D9"/>
      <w:sz w:val="24"/>
    </w:rPr>
  </w:style>
  <w:style w:type="table" w:styleId="ColorfulGrid">
    <w:name w:val="Colorful Grid"/>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D3D3D3" w:themeFill="text1" w:themeFillTint="33"/>
    </w:tcPr>
    <w:tblStylePr w:type="firstRow">
      <w:rPr>
        <w:b/>
        <w:bCs/>
      </w:rPr>
      <w:tblPr/>
      <w:tcPr>
        <w:shd w:val="clear" w:color="auto" w:fill="A8A8A8" w:themeFill="text1" w:themeFillTint="66"/>
      </w:tcPr>
    </w:tblStylePr>
    <w:tblStylePr w:type="lastRow">
      <w:rPr>
        <w:b/>
        <w:bCs/>
        <w:color w:val="262626" w:themeColor="text1"/>
      </w:rPr>
      <w:tblPr/>
      <w:tcPr>
        <w:shd w:val="clear" w:color="auto" w:fill="A8A8A8" w:themeFill="text1" w:themeFillTint="66"/>
      </w:tcPr>
    </w:tblStylePr>
    <w:tblStylePr w:type="firstCol">
      <w:rPr>
        <w:color w:val="FFFFFF" w:themeColor="background1"/>
      </w:rPr>
      <w:tblPr/>
      <w:tcPr>
        <w:shd w:val="clear" w:color="auto" w:fill="1C1C1C" w:themeFill="text1" w:themeFillShade="BF"/>
      </w:tcPr>
    </w:tblStylePr>
    <w:tblStylePr w:type="lastCol">
      <w:rPr>
        <w:color w:val="FFFFFF" w:themeColor="background1"/>
      </w:rPr>
      <w:tblPr/>
      <w:tcPr>
        <w:shd w:val="clear" w:color="auto" w:fill="1C1C1C" w:themeFill="text1" w:themeFillShade="BF"/>
      </w:tc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ColorfulGrid-Accent1">
    <w:name w:val="Colorful Grid Accent 1"/>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CCDFE7" w:themeFill="accent1" w:themeFillTint="33"/>
    </w:tcPr>
    <w:tblStylePr w:type="firstRow">
      <w:rPr>
        <w:b/>
        <w:bCs/>
      </w:rPr>
      <w:tblPr/>
      <w:tcPr>
        <w:shd w:val="clear" w:color="auto" w:fill="99BFD0" w:themeFill="accent1" w:themeFillTint="66"/>
      </w:tcPr>
    </w:tblStylePr>
    <w:tblStylePr w:type="lastRow">
      <w:rPr>
        <w:b/>
        <w:bCs/>
        <w:color w:val="262626" w:themeColor="text1"/>
      </w:rPr>
      <w:tblPr/>
      <w:tcPr>
        <w:shd w:val="clear" w:color="auto" w:fill="99BFD0" w:themeFill="accent1" w:themeFillTint="66"/>
      </w:tcPr>
    </w:tblStylePr>
    <w:tblStylePr w:type="firstCol">
      <w:rPr>
        <w:color w:val="FFFFFF" w:themeColor="background1"/>
      </w:rPr>
      <w:tblPr/>
      <w:tcPr>
        <w:shd w:val="clear" w:color="auto" w:fill="213B47" w:themeFill="accent1" w:themeFillShade="BF"/>
      </w:tcPr>
    </w:tblStylePr>
    <w:tblStylePr w:type="lastCol">
      <w:rPr>
        <w:color w:val="FFFFFF" w:themeColor="background1"/>
      </w:rPr>
      <w:tblPr/>
      <w:tcPr>
        <w:shd w:val="clear" w:color="auto" w:fill="213B47" w:themeFill="accent1" w:themeFillShade="BF"/>
      </w:tcPr>
    </w:tblStylePr>
    <w:tblStylePr w:type="band1Vert">
      <w:tblPr/>
      <w:tcPr>
        <w:shd w:val="clear" w:color="auto" w:fill="80AFC5" w:themeFill="accent1" w:themeFillTint="7F"/>
      </w:tcPr>
    </w:tblStylePr>
    <w:tblStylePr w:type="band1Horz">
      <w:tblPr/>
      <w:tcPr>
        <w:shd w:val="clear" w:color="auto" w:fill="80AFC5" w:themeFill="accent1" w:themeFillTint="7F"/>
      </w:tcPr>
    </w:tblStylePr>
  </w:style>
  <w:style w:type="table" w:styleId="ColorfulGrid-Accent2">
    <w:name w:val="Colorful Grid Accent 2"/>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FBDFD1" w:themeFill="accent2" w:themeFillTint="33"/>
    </w:tcPr>
    <w:tblStylePr w:type="firstRow">
      <w:rPr>
        <w:b/>
        <w:bCs/>
      </w:rPr>
      <w:tblPr/>
      <w:tcPr>
        <w:shd w:val="clear" w:color="auto" w:fill="F7C0A4" w:themeFill="accent2" w:themeFillTint="66"/>
      </w:tcPr>
    </w:tblStylePr>
    <w:tblStylePr w:type="lastRow">
      <w:rPr>
        <w:b/>
        <w:bCs/>
        <w:color w:val="262626" w:themeColor="text1"/>
      </w:rPr>
      <w:tblPr/>
      <w:tcPr>
        <w:shd w:val="clear" w:color="auto" w:fill="F7C0A4" w:themeFill="accent2" w:themeFillTint="66"/>
      </w:tcPr>
    </w:tblStylePr>
    <w:tblStylePr w:type="firstCol">
      <w:rPr>
        <w:color w:val="FFFFFF" w:themeColor="background1"/>
      </w:rPr>
      <w:tblPr/>
      <w:tcPr>
        <w:shd w:val="clear" w:color="auto" w:fill="B7480E" w:themeFill="accent2" w:themeFillShade="BF"/>
      </w:tcPr>
    </w:tblStylePr>
    <w:tblStylePr w:type="lastCol">
      <w:rPr>
        <w:color w:val="FFFFFF" w:themeColor="background1"/>
      </w:rPr>
      <w:tblPr/>
      <w:tcPr>
        <w:shd w:val="clear" w:color="auto" w:fill="B7480E" w:themeFill="accent2" w:themeFillShade="BF"/>
      </w:tcPr>
    </w:tblStylePr>
    <w:tblStylePr w:type="band1Vert">
      <w:tblPr/>
      <w:tcPr>
        <w:shd w:val="clear" w:color="auto" w:fill="F6B18D" w:themeFill="accent2" w:themeFillTint="7F"/>
      </w:tcPr>
    </w:tblStylePr>
    <w:tblStylePr w:type="band1Horz">
      <w:tblPr/>
      <w:tcPr>
        <w:shd w:val="clear" w:color="auto" w:fill="F6B18D" w:themeFill="accent2" w:themeFillTint="7F"/>
      </w:tcPr>
    </w:tblStylePr>
  </w:style>
  <w:style w:type="table" w:styleId="ColorfulGrid-Accent3">
    <w:name w:val="Colorful Grid Accent 3"/>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EFF1F0" w:themeFill="accent3" w:themeFillTint="33"/>
    </w:tcPr>
    <w:tblStylePr w:type="firstRow">
      <w:rPr>
        <w:b/>
        <w:bCs/>
      </w:rPr>
      <w:tblPr/>
      <w:tcPr>
        <w:shd w:val="clear" w:color="auto" w:fill="DFE3E1" w:themeFill="accent3" w:themeFillTint="66"/>
      </w:tcPr>
    </w:tblStylePr>
    <w:tblStylePr w:type="lastRow">
      <w:rPr>
        <w:b/>
        <w:bCs/>
        <w:color w:val="262626" w:themeColor="text1"/>
      </w:rPr>
      <w:tblPr/>
      <w:tcPr>
        <w:shd w:val="clear" w:color="auto" w:fill="DFE3E1" w:themeFill="accent3" w:themeFillTint="66"/>
      </w:tcPr>
    </w:tblStylePr>
    <w:tblStylePr w:type="firstCol">
      <w:rPr>
        <w:color w:val="FFFFFF" w:themeColor="background1"/>
      </w:rPr>
      <w:tblPr/>
      <w:tcPr>
        <w:shd w:val="clear" w:color="auto" w:fill="7E8E89" w:themeFill="accent3" w:themeFillShade="BF"/>
      </w:tcPr>
    </w:tblStylePr>
    <w:tblStylePr w:type="lastCol">
      <w:rPr>
        <w:color w:val="FFFFFF" w:themeColor="background1"/>
      </w:rPr>
      <w:tblPr/>
      <w:tcPr>
        <w:shd w:val="clear" w:color="auto" w:fill="7E8E89" w:themeFill="accent3" w:themeFillShade="BF"/>
      </w:tcPr>
    </w:tblStylePr>
    <w:tblStylePr w:type="band1Vert">
      <w:tblPr/>
      <w:tcPr>
        <w:shd w:val="clear" w:color="auto" w:fill="D7DCDA" w:themeFill="accent3" w:themeFillTint="7F"/>
      </w:tcPr>
    </w:tblStylePr>
    <w:tblStylePr w:type="band1Horz">
      <w:tblPr/>
      <w:tcPr>
        <w:shd w:val="clear" w:color="auto" w:fill="D7DCDA" w:themeFill="accent3" w:themeFillTint="7F"/>
      </w:tcPr>
    </w:tblStylePr>
  </w:style>
  <w:style w:type="table" w:styleId="ColorfulGrid-Accent4">
    <w:name w:val="Colorful Grid Accent 4"/>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E9ECE5" w:themeFill="accent4" w:themeFillTint="33"/>
    </w:tcPr>
    <w:tblStylePr w:type="firstRow">
      <w:rPr>
        <w:b/>
        <w:bCs/>
      </w:rPr>
      <w:tblPr/>
      <w:tcPr>
        <w:shd w:val="clear" w:color="auto" w:fill="D4D9CB" w:themeFill="accent4" w:themeFillTint="66"/>
      </w:tcPr>
    </w:tblStylePr>
    <w:tblStylePr w:type="lastRow">
      <w:rPr>
        <w:b/>
        <w:bCs/>
        <w:color w:val="262626" w:themeColor="text1"/>
      </w:rPr>
      <w:tblPr/>
      <w:tcPr>
        <w:shd w:val="clear" w:color="auto" w:fill="D4D9CB" w:themeFill="accent4" w:themeFillTint="66"/>
      </w:tcPr>
    </w:tblStylePr>
    <w:tblStylePr w:type="firstCol">
      <w:rPr>
        <w:color w:val="FFFFFF" w:themeColor="background1"/>
      </w:rPr>
      <w:tblPr/>
      <w:tcPr>
        <w:shd w:val="clear" w:color="auto" w:fill="707C5A" w:themeFill="accent4" w:themeFillShade="BF"/>
      </w:tcPr>
    </w:tblStylePr>
    <w:tblStylePr w:type="lastCol">
      <w:rPr>
        <w:color w:val="FFFFFF" w:themeColor="background1"/>
      </w:rPr>
      <w:tblPr/>
      <w:tcPr>
        <w:shd w:val="clear" w:color="auto" w:fill="707C5A" w:themeFill="accent4" w:themeFillShade="BF"/>
      </w:tcPr>
    </w:tblStylePr>
    <w:tblStylePr w:type="band1Vert">
      <w:tblPr/>
      <w:tcPr>
        <w:shd w:val="clear" w:color="auto" w:fill="CAD0BE" w:themeFill="accent4" w:themeFillTint="7F"/>
      </w:tcPr>
    </w:tblStylePr>
    <w:tblStylePr w:type="band1Horz">
      <w:tblPr/>
      <w:tcPr>
        <w:shd w:val="clear" w:color="auto" w:fill="CAD0BE" w:themeFill="accent4" w:themeFillTint="7F"/>
      </w:tcPr>
    </w:tblStylePr>
  </w:style>
  <w:style w:type="table" w:styleId="ColorfulGrid-Accent5">
    <w:name w:val="Colorful Grid Accent 5"/>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FEF6F3" w:themeFill="accent5" w:themeFillTint="33"/>
    </w:tcPr>
    <w:tblStylePr w:type="firstRow">
      <w:rPr>
        <w:b/>
        <w:bCs/>
      </w:rPr>
      <w:tblPr/>
      <w:tcPr>
        <w:shd w:val="clear" w:color="auto" w:fill="FDEEE7" w:themeFill="accent5" w:themeFillTint="66"/>
      </w:tcPr>
    </w:tblStylePr>
    <w:tblStylePr w:type="lastRow">
      <w:rPr>
        <w:b/>
        <w:bCs/>
        <w:color w:val="262626" w:themeColor="text1"/>
      </w:rPr>
      <w:tblPr/>
      <w:tcPr>
        <w:shd w:val="clear" w:color="auto" w:fill="FDEEE7" w:themeFill="accent5" w:themeFillTint="66"/>
      </w:tcPr>
    </w:tblStylePr>
    <w:tblStylePr w:type="firstCol">
      <w:rPr>
        <w:color w:val="FFFFFF" w:themeColor="background1"/>
      </w:rPr>
      <w:tblPr/>
      <w:tcPr>
        <w:shd w:val="clear" w:color="auto" w:fill="F38E5B" w:themeFill="accent5" w:themeFillShade="BF"/>
      </w:tcPr>
    </w:tblStylePr>
    <w:tblStylePr w:type="lastCol">
      <w:rPr>
        <w:color w:val="FFFFFF" w:themeColor="background1"/>
      </w:rPr>
      <w:tblPr/>
      <w:tcPr>
        <w:shd w:val="clear" w:color="auto" w:fill="F38E5B" w:themeFill="accent5" w:themeFillShade="BF"/>
      </w:tcPr>
    </w:tblStylePr>
    <w:tblStylePr w:type="band1Vert">
      <w:tblPr/>
      <w:tcPr>
        <w:shd w:val="clear" w:color="auto" w:fill="FDEBE2" w:themeFill="accent5" w:themeFillTint="7F"/>
      </w:tcPr>
    </w:tblStylePr>
    <w:tblStylePr w:type="band1Horz">
      <w:tblPr/>
      <w:tcPr>
        <w:shd w:val="clear" w:color="auto" w:fill="FDEBE2" w:themeFill="accent5" w:themeFillTint="7F"/>
      </w:tcPr>
    </w:tblStylePr>
  </w:style>
  <w:style w:type="table" w:styleId="ColorfulGrid-Accent6">
    <w:name w:val="Colorful Grid Accent 6"/>
    <w:basedOn w:val="TableNormal"/>
    <w:uiPriority w:val="73"/>
    <w:semiHidden/>
    <w:unhideWhenUsed/>
    <w:rsid w:val="00163C56"/>
    <w:pPr>
      <w:spacing w:after="0" w:line="240" w:lineRule="auto"/>
    </w:pPr>
    <w:rPr>
      <w:color w:val="262626"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262626"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C44D0F" w:themeFill="accent2" w:themeFillShade="CC"/>
      </w:tcPr>
    </w:tblStylePr>
    <w:tblStylePr w:type="lastRow">
      <w:rPr>
        <w:b/>
        <w:bCs/>
        <w:color w:val="C44D0F"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9C9" w:themeFill="text1" w:themeFillTint="3F"/>
      </w:tcPr>
    </w:tblStylePr>
    <w:tblStylePr w:type="band1Horz">
      <w:tblPr/>
      <w:tcPr>
        <w:shd w:val="clear" w:color="auto" w:fill="D3D3D3" w:themeFill="text1" w:themeFillTint="33"/>
      </w:tcPr>
    </w:tblStylePr>
  </w:style>
  <w:style w:type="table" w:styleId="ColorfulList-Accent1">
    <w:name w:val="Colorful List Accent 1"/>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E6EFF3" w:themeFill="accent1" w:themeFillTint="19"/>
    </w:tcPr>
    <w:tblStylePr w:type="firstRow">
      <w:rPr>
        <w:b/>
        <w:bCs/>
        <w:color w:val="FFFFFF" w:themeColor="background1"/>
      </w:rPr>
      <w:tblPr/>
      <w:tcPr>
        <w:tcBorders>
          <w:bottom w:val="single" w:sz="12" w:space="0" w:color="FFFFFF" w:themeColor="background1"/>
        </w:tcBorders>
        <w:shd w:val="clear" w:color="auto" w:fill="C44D0F" w:themeFill="accent2" w:themeFillShade="CC"/>
      </w:tcPr>
    </w:tblStylePr>
    <w:tblStylePr w:type="lastRow">
      <w:rPr>
        <w:b/>
        <w:bCs/>
        <w:color w:val="C44D0F"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7E2" w:themeFill="accent1" w:themeFillTint="3F"/>
      </w:tcPr>
    </w:tblStylePr>
    <w:tblStylePr w:type="band1Horz">
      <w:tblPr/>
      <w:tcPr>
        <w:shd w:val="clear" w:color="auto" w:fill="CCDFE7" w:themeFill="accent1" w:themeFillTint="33"/>
      </w:tcPr>
    </w:tblStylePr>
  </w:style>
  <w:style w:type="table" w:styleId="ColorfulList-Accent2">
    <w:name w:val="Colorful List Accent 2"/>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FDEFE8" w:themeFill="accent2" w:themeFillTint="19"/>
    </w:tcPr>
    <w:tblStylePr w:type="firstRow">
      <w:rPr>
        <w:b/>
        <w:bCs/>
        <w:color w:val="FFFFFF" w:themeColor="background1"/>
      </w:rPr>
      <w:tblPr/>
      <w:tcPr>
        <w:tcBorders>
          <w:bottom w:val="single" w:sz="12" w:space="0" w:color="FFFFFF" w:themeColor="background1"/>
        </w:tcBorders>
        <w:shd w:val="clear" w:color="auto" w:fill="C44D0F" w:themeFill="accent2" w:themeFillShade="CC"/>
      </w:tcPr>
    </w:tblStylePr>
    <w:tblStylePr w:type="lastRow">
      <w:rPr>
        <w:b/>
        <w:bCs/>
        <w:color w:val="C44D0F" w:themeColor="accent2"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8C6" w:themeFill="accent2" w:themeFillTint="3F"/>
      </w:tcPr>
    </w:tblStylePr>
    <w:tblStylePr w:type="band1Horz">
      <w:tblPr/>
      <w:tcPr>
        <w:shd w:val="clear" w:color="auto" w:fill="FBDFD1" w:themeFill="accent2" w:themeFillTint="33"/>
      </w:tcPr>
    </w:tblStylePr>
  </w:style>
  <w:style w:type="table" w:styleId="ColorfulList-Accent3">
    <w:name w:val="Colorful List Accent 3"/>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F7F8F7" w:themeFill="accent3" w:themeFillTint="19"/>
    </w:tcPr>
    <w:tblStylePr w:type="firstRow">
      <w:rPr>
        <w:b/>
        <w:bCs/>
        <w:color w:val="FFFFFF" w:themeColor="background1"/>
      </w:rPr>
      <w:tblPr/>
      <w:tcPr>
        <w:tcBorders>
          <w:bottom w:val="single" w:sz="12" w:space="0" w:color="FFFFFF" w:themeColor="background1"/>
        </w:tcBorders>
        <w:shd w:val="clear" w:color="auto" w:fill="788460" w:themeFill="accent4" w:themeFillShade="CC"/>
      </w:tcPr>
    </w:tblStylePr>
    <w:tblStylePr w:type="lastRow">
      <w:rPr>
        <w:b/>
        <w:bCs/>
        <w:color w:val="788460" w:themeColor="accent4"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C" w:themeFill="accent3" w:themeFillTint="3F"/>
      </w:tcPr>
    </w:tblStylePr>
    <w:tblStylePr w:type="band1Horz">
      <w:tblPr/>
      <w:tcPr>
        <w:shd w:val="clear" w:color="auto" w:fill="EFF1F0" w:themeFill="accent3" w:themeFillTint="33"/>
      </w:tcPr>
    </w:tblStylePr>
  </w:style>
  <w:style w:type="table" w:styleId="ColorfulList-Accent4">
    <w:name w:val="Colorful List Accent 4"/>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F4F5F2" w:themeFill="accent4" w:themeFillTint="19"/>
    </w:tcPr>
    <w:tblStylePr w:type="firstRow">
      <w:rPr>
        <w:b/>
        <w:bCs/>
        <w:color w:val="FFFFFF" w:themeColor="background1"/>
      </w:rPr>
      <w:tblPr/>
      <w:tcPr>
        <w:tcBorders>
          <w:bottom w:val="single" w:sz="12" w:space="0" w:color="FFFFFF" w:themeColor="background1"/>
        </w:tcBorders>
        <w:shd w:val="clear" w:color="auto" w:fill="889792" w:themeFill="accent3" w:themeFillShade="CC"/>
      </w:tcPr>
    </w:tblStylePr>
    <w:tblStylePr w:type="lastRow">
      <w:rPr>
        <w:b/>
        <w:bCs/>
        <w:color w:val="889792" w:themeColor="accent3"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DE" w:themeFill="accent4" w:themeFillTint="3F"/>
      </w:tcPr>
    </w:tblStylePr>
    <w:tblStylePr w:type="band1Horz">
      <w:tblPr/>
      <w:tcPr>
        <w:shd w:val="clear" w:color="auto" w:fill="E9ECE5" w:themeFill="accent4" w:themeFillTint="33"/>
      </w:tcPr>
    </w:tblStylePr>
  </w:style>
  <w:style w:type="table" w:styleId="ColorfulList-Accent5">
    <w:name w:val="Colorful List Accent 5"/>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FEFAF9"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F0" w:themeFill="accent5" w:themeFillTint="3F"/>
      </w:tcPr>
    </w:tblStylePr>
    <w:tblStylePr w:type="band1Horz">
      <w:tblPr/>
      <w:tcPr>
        <w:shd w:val="clear" w:color="auto" w:fill="FEF6F3" w:themeFill="accent5" w:themeFillTint="33"/>
      </w:tcPr>
    </w:tblStylePr>
  </w:style>
  <w:style w:type="table" w:styleId="ColorfulList-Accent6">
    <w:name w:val="Colorful List Accent 6"/>
    <w:basedOn w:val="TableNormal"/>
    <w:uiPriority w:val="72"/>
    <w:semiHidden/>
    <w:unhideWhenUsed/>
    <w:rsid w:val="00163C56"/>
    <w:pPr>
      <w:spacing w:after="0" w:line="240" w:lineRule="auto"/>
    </w:pPr>
    <w:rPr>
      <w:color w:val="262626"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F59D71" w:themeFill="accent5" w:themeFillShade="CC"/>
      </w:tcPr>
    </w:tblStylePr>
    <w:tblStylePr w:type="lastRow">
      <w:rPr>
        <w:b/>
        <w:bCs/>
        <w:color w:val="F59D71" w:themeColor="accent5" w:themeShade="CC"/>
      </w:rPr>
      <w:tblPr/>
      <w:tcPr>
        <w:tcBorders>
          <w:top w:val="single" w:sz="12" w:space="0" w:color="2626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ED641C" w:themeColor="accent2"/>
        <w:left w:val="single" w:sz="4" w:space="0" w:color="262626" w:themeColor="text1"/>
        <w:bottom w:val="single" w:sz="4" w:space="0" w:color="262626" w:themeColor="text1"/>
        <w:right w:val="single" w:sz="4" w:space="0" w:color="262626"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D641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616" w:themeFill="text1" w:themeFillShade="99"/>
      </w:tcPr>
    </w:tblStylePr>
    <w:tblStylePr w:type="firstCol">
      <w:rPr>
        <w:color w:val="FFFFFF" w:themeColor="background1"/>
      </w:rPr>
      <w:tblPr/>
      <w:tcPr>
        <w:tcBorders>
          <w:top w:val="nil"/>
          <w:left w:val="nil"/>
          <w:bottom w:val="nil"/>
          <w:right w:val="nil"/>
          <w:insideH w:val="single" w:sz="4" w:space="0" w:color="161616" w:themeColor="text1" w:themeShade="99"/>
          <w:insideV w:val="nil"/>
        </w:tcBorders>
        <w:shd w:val="clear" w:color="auto" w:fill="1616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C1C1C" w:themeFill="text1" w:themeFillShade="BF"/>
      </w:tcPr>
    </w:tblStylePr>
    <w:tblStylePr w:type="band1Vert">
      <w:tblPr/>
      <w:tcPr>
        <w:shd w:val="clear" w:color="auto" w:fill="A8A8A8" w:themeFill="text1" w:themeFillTint="66"/>
      </w:tcPr>
    </w:tblStylePr>
    <w:tblStylePr w:type="band1Horz">
      <w:tblPr/>
      <w:tcPr>
        <w:shd w:val="clear" w:color="auto" w:fill="929292" w:themeFill="text1" w:themeFillTint="7F"/>
      </w:tcPr>
    </w:tblStylePr>
    <w:tblStylePr w:type="neCell">
      <w:rPr>
        <w:color w:val="262626" w:themeColor="text1"/>
      </w:rPr>
    </w:tblStylePr>
    <w:tblStylePr w:type="nwCell">
      <w:rPr>
        <w:color w:val="262626" w:themeColor="text1"/>
      </w:rPr>
    </w:tblStylePr>
  </w:style>
  <w:style w:type="table" w:styleId="ColorfulShading-Accent1">
    <w:name w:val="Colorful Shading Accent 1"/>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ED641C" w:themeColor="accent2"/>
        <w:left w:val="single" w:sz="4" w:space="0" w:color="2C5060" w:themeColor="accent1"/>
        <w:bottom w:val="single" w:sz="4" w:space="0" w:color="2C5060" w:themeColor="accent1"/>
        <w:right w:val="single" w:sz="4" w:space="0" w:color="2C5060" w:themeColor="accent1"/>
        <w:insideH w:val="single" w:sz="4" w:space="0" w:color="FFFFFF" w:themeColor="background1"/>
        <w:insideV w:val="single" w:sz="4" w:space="0" w:color="FFFFFF" w:themeColor="background1"/>
      </w:tblBorders>
    </w:tblPr>
    <w:tcPr>
      <w:shd w:val="clear" w:color="auto" w:fill="E6EFF3" w:themeFill="accent1" w:themeFillTint="19"/>
    </w:tcPr>
    <w:tblStylePr w:type="firstRow">
      <w:rPr>
        <w:b/>
        <w:bCs/>
      </w:rPr>
      <w:tblPr/>
      <w:tcPr>
        <w:tcBorders>
          <w:top w:val="nil"/>
          <w:left w:val="nil"/>
          <w:bottom w:val="single" w:sz="24" w:space="0" w:color="ED641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2F39" w:themeFill="accent1" w:themeFillShade="99"/>
      </w:tcPr>
    </w:tblStylePr>
    <w:tblStylePr w:type="firstCol">
      <w:rPr>
        <w:color w:val="FFFFFF" w:themeColor="background1"/>
      </w:rPr>
      <w:tblPr/>
      <w:tcPr>
        <w:tcBorders>
          <w:top w:val="nil"/>
          <w:left w:val="nil"/>
          <w:bottom w:val="nil"/>
          <w:right w:val="nil"/>
          <w:insideH w:val="single" w:sz="4" w:space="0" w:color="1A2F39" w:themeColor="accent1" w:themeShade="99"/>
          <w:insideV w:val="nil"/>
        </w:tcBorders>
        <w:shd w:val="clear" w:color="auto" w:fill="1A2F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2F39" w:themeFill="accent1" w:themeFillShade="99"/>
      </w:tcPr>
    </w:tblStylePr>
    <w:tblStylePr w:type="band1Vert">
      <w:tblPr/>
      <w:tcPr>
        <w:shd w:val="clear" w:color="auto" w:fill="99BFD0" w:themeFill="accent1" w:themeFillTint="66"/>
      </w:tcPr>
    </w:tblStylePr>
    <w:tblStylePr w:type="band1Horz">
      <w:tblPr/>
      <w:tcPr>
        <w:shd w:val="clear" w:color="auto" w:fill="80AFC5" w:themeFill="accent1" w:themeFillTint="7F"/>
      </w:tcPr>
    </w:tblStylePr>
    <w:tblStylePr w:type="neCell">
      <w:rPr>
        <w:color w:val="262626" w:themeColor="text1"/>
      </w:rPr>
    </w:tblStylePr>
    <w:tblStylePr w:type="nwCell">
      <w:rPr>
        <w:color w:val="262626" w:themeColor="text1"/>
      </w:rPr>
    </w:tblStylePr>
  </w:style>
  <w:style w:type="table" w:styleId="ColorfulShading-Accent2">
    <w:name w:val="Colorful Shading Accent 2"/>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ED641C" w:themeColor="accent2"/>
        <w:left w:val="single" w:sz="4" w:space="0" w:color="ED641C" w:themeColor="accent2"/>
        <w:bottom w:val="single" w:sz="4" w:space="0" w:color="ED641C" w:themeColor="accent2"/>
        <w:right w:val="single" w:sz="4" w:space="0" w:color="ED641C" w:themeColor="accent2"/>
        <w:insideH w:val="single" w:sz="4" w:space="0" w:color="FFFFFF" w:themeColor="background1"/>
        <w:insideV w:val="single" w:sz="4" w:space="0" w:color="FFFFFF" w:themeColor="background1"/>
      </w:tblBorders>
    </w:tblPr>
    <w:tcPr>
      <w:shd w:val="clear" w:color="auto" w:fill="FDEFE8" w:themeFill="accent2" w:themeFillTint="19"/>
    </w:tcPr>
    <w:tblStylePr w:type="firstRow">
      <w:rPr>
        <w:b/>
        <w:bCs/>
      </w:rPr>
      <w:tblPr/>
      <w:tcPr>
        <w:tcBorders>
          <w:top w:val="nil"/>
          <w:left w:val="nil"/>
          <w:bottom w:val="single" w:sz="24" w:space="0" w:color="ED641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3A0B" w:themeFill="accent2" w:themeFillShade="99"/>
      </w:tcPr>
    </w:tblStylePr>
    <w:tblStylePr w:type="firstCol">
      <w:rPr>
        <w:color w:val="FFFFFF" w:themeColor="background1"/>
      </w:rPr>
      <w:tblPr/>
      <w:tcPr>
        <w:tcBorders>
          <w:top w:val="nil"/>
          <w:left w:val="nil"/>
          <w:bottom w:val="nil"/>
          <w:right w:val="nil"/>
          <w:insideH w:val="single" w:sz="4" w:space="0" w:color="933A0B" w:themeColor="accent2" w:themeShade="99"/>
          <w:insideV w:val="nil"/>
        </w:tcBorders>
        <w:shd w:val="clear" w:color="auto" w:fill="933A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3A0B" w:themeFill="accent2" w:themeFillShade="99"/>
      </w:tcPr>
    </w:tblStylePr>
    <w:tblStylePr w:type="band1Vert">
      <w:tblPr/>
      <w:tcPr>
        <w:shd w:val="clear" w:color="auto" w:fill="F7C0A4" w:themeFill="accent2" w:themeFillTint="66"/>
      </w:tcPr>
    </w:tblStylePr>
    <w:tblStylePr w:type="band1Horz">
      <w:tblPr/>
      <w:tcPr>
        <w:shd w:val="clear" w:color="auto" w:fill="F6B18D" w:themeFill="accent2" w:themeFillTint="7F"/>
      </w:tcPr>
    </w:tblStylePr>
    <w:tblStylePr w:type="neCell">
      <w:rPr>
        <w:color w:val="262626" w:themeColor="text1"/>
      </w:rPr>
    </w:tblStylePr>
    <w:tblStylePr w:type="nwCell">
      <w:rPr>
        <w:color w:val="262626" w:themeColor="text1"/>
      </w:rPr>
    </w:tblStylePr>
  </w:style>
  <w:style w:type="table" w:styleId="ColorfulShading-Accent3">
    <w:name w:val="Colorful Shading Accent 3"/>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95A17E" w:themeColor="accent4"/>
        <w:left w:val="single" w:sz="4" w:space="0" w:color="AFB9B6" w:themeColor="accent3"/>
        <w:bottom w:val="single" w:sz="4" w:space="0" w:color="AFB9B6" w:themeColor="accent3"/>
        <w:right w:val="single" w:sz="4" w:space="0" w:color="AFB9B6" w:themeColor="accent3"/>
        <w:insideH w:val="single" w:sz="4" w:space="0" w:color="FFFFFF" w:themeColor="background1"/>
        <w:insideV w:val="single" w:sz="4" w:space="0" w:color="FFFFFF" w:themeColor="background1"/>
      </w:tblBorders>
    </w:tblPr>
    <w:tcPr>
      <w:shd w:val="clear" w:color="auto" w:fill="F7F8F7" w:themeFill="accent3" w:themeFillTint="19"/>
    </w:tcPr>
    <w:tblStylePr w:type="firstRow">
      <w:rPr>
        <w:b/>
        <w:bCs/>
      </w:rPr>
      <w:tblPr/>
      <w:tcPr>
        <w:tcBorders>
          <w:top w:val="nil"/>
          <w:left w:val="nil"/>
          <w:bottom w:val="single" w:sz="24" w:space="0" w:color="95A1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36E" w:themeFill="accent3" w:themeFillShade="99"/>
      </w:tcPr>
    </w:tblStylePr>
    <w:tblStylePr w:type="firstCol">
      <w:rPr>
        <w:color w:val="FFFFFF" w:themeColor="background1"/>
      </w:rPr>
      <w:tblPr/>
      <w:tcPr>
        <w:tcBorders>
          <w:top w:val="nil"/>
          <w:left w:val="nil"/>
          <w:bottom w:val="nil"/>
          <w:right w:val="nil"/>
          <w:insideH w:val="single" w:sz="4" w:space="0" w:color="64736E" w:themeColor="accent3" w:themeShade="99"/>
          <w:insideV w:val="nil"/>
        </w:tcBorders>
        <w:shd w:val="clear" w:color="auto" w:fill="64736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736E" w:themeFill="accent3" w:themeFillShade="99"/>
      </w:tcPr>
    </w:tblStylePr>
    <w:tblStylePr w:type="band1Vert">
      <w:tblPr/>
      <w:tcPr>
        <w:shd w:val="clear" w:color="auto" w:fill="DFE3E1" w:themeFill="accent3" w:themeFillTint="66"/>
      </w:tcPr>
    </w:tblStylePr>
    <w:tblStylePr w:type="band1Horz">
      <w:tblPr/>
      <w:tcPr>
        <w:shd w:val="clear" w:color="auto" w:fill="D7DCDA" w:themeFill="accent3" w:themeFillTint="7F"/>
      </w:tcPr>
    </w:tblStylePr>
  </w:style>
  <w:style w:type="table" w:styleId="ColorfulShading-Accent4">
    <w:name w:val="Colorful Shading Accent 4"/>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AFB9B6" w:themeColor="accent3"/>
        <w:left w:val="single" w:sz="4" w:space="0" w:color="95A17E" w:themeColor="accent4"/>
        <w:bottom w:val="single" w:sz="4" w:space="0" w:color="95A17E" w:themeColor="accent4"/>
        <w:right w:val="single" w:sz="4" w:space="0" w:color="95A17E" w:themeColor="accent4"/>
        <w:insideH w:val="single" w:sz="4" w:space="0" w:color="FFFFFF" w:themeColor="background1"/>
        <w:insideV w:val="single" w:sz="4" w:space="0" w:color="FFFFFF" w:themeColor="background1"/>
      </w:tblBorders>
    </w:tblPr>
    <w:tcPr>
      <w:shd w:val="clear" w:color="auto" w:fill="F4F5F2" w:themeFill="accent4" w:themeFillTint="19"/>
    </w:tcPr>
    <w:tblStylePr w:type="firstRow">
      <w:rPr>
        <w:b/>
        <w:bCs/>
      </w:rPr>
      <w:tblPr/>
      <w:tcPr>
        <w:tcBorders>
          <w:top w:val="nil"/>
          <w:left w:val="nil"/>
          <w:bottom w:val="single" w:sz="24" w:space="0" w:color="AFB9B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348" w:themeFill="accent4" w:themeFillShade="99"/>
      </w:tcPr>
    </w:tblStylePr>
    <w:tblStylePr w:type="firstCol">
      <w:rPr>
        <w:color w:val="FFFFFF" w:themeColor="background1"/>
      </w:rPr>
      <w:tblPr/>
      <w:tcPr>
        <w:tcBorders>
          <w:top w:val="nil"/>
          <w:left w:val="nil"/>
          <w:bottom w:val="nil"/>
          <w:right w:val="nil"/>
          <w:insideH w:val="single" w:sz="4" w:space="0" w:color="5A6348" w:themeColor="accent4" w:themeShade="99"/>
          <w:insideV w:val="nil"/>
        </w:tcBorders>
        <w:shd w:val="clear" w:color="auto" w:fill="5A63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A6348" w:themeFill="accent4" w:themeFillShade="99"/>
      </w:tcPr>
    </w:tblStylePr>
    <w:tblStylePr w:type="band1Vert">
      <w:tblPr/>
      <w:tcPr>
        <w:shd w:val="clear" w:color="auto" w:fill="D4D9CB" w:themeFill="accent4" w:themeFillTint="66"/>
      </w:tcPr>
    </w:tblStylePr>
    <w:tblStylePr w:type="band1Horz">
      <w:tblPr/>
      <w:tcPr>
        <w:shd w:val="clear" w:color="auto" w:fill="CAD0BE" w:themeFill="accent4" w:themeFillTint="7F"/>
      </w:tcPr>
    </w:tblStylePr>
    <w:tblStylePr w:type="neCell">
      <w:rPr>
        <w:color w:val="262626" w:themeColor="text1"/>
      </w:rPr>
    </w:tblStylePr>
    <w:tblStylePr w:type="nwCell">
      <w:rPr>
        <w:color w:val="262626" w:themeColor="text1"/>
      </w:rPr>
    </w:tblStylePr>
  </w:style>
  <w:style w:type="table" w:styleId="ColorfulShading-Accent5">
    <w:name w:val="Colorful Shading Accent 5"/>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FFFFFF" w:themeColor="accent6"/>
        <w:left w:val="single" w:sz="4" w:space="0" w:color="FBD7C5" w:themeColor="accent5"/>
        <w:bottom w:val="single" w:sz="4" w:space="0" w:color="FBD7C5" w:themeColor="accent5"/>
        <w:right w:val="single" w:sz="4" w:space="0" w:color="FBD7C5" w:themeColor="accent5"/>
        <w:insideH w:val="single" w:sz="4" w:space="0" w:color="FFFFFF" w:themeColor="background1"/>
        <w:insideV w:val="single" w:sz="4" w:space="0" w:color="FFFFFF" w:themeColor="background1"/>
      </w:tblBorders>
    </w:tblPr>
    <w:tcPr>
      <w:shd w:val="clear" w:color="auto" w:fill="FEFAF9"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F631D" w:themeFill="accent5" w:themeFillShade="99"/>
      </w:tcPr>
    </w:tblStylePr>
    <w:tblStylePr w:type="firstCol">
      <w:rPr>
        <w:color w:val="FFFFFF" w:themeColor="background1"/>
      </w:rPr>
      <w:tblPr/>
      <w:tcPr>
        <w:tcBorders>
          <w:top w:val="nil"/>
          <w:left w:val="nil"/>
          <w:bottom w:val="nil"/>
          <w:right w:val="nil"/>
          <w:insideH w:val="single" w:sz="4" w:space="0" w:color="EF631D" w:themeColor="accent5" w:themeShade="99"/>
          <w:insideV w:val="nil"/>
        </w:tcBorders>
        <w:shd w:val="clear" w:color="auto" w:fill="EF631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EF631D" w:themeFill="accent5" w:themeFillShade="99"/>
      </w:tcPr>
    </w:tblStylePr>
    <w:tblStylePr w:type="band1Vert">
      <w:tblPr/>
      <w:tcPr>
        <w:shd w:val="clear" w:color="auto" w:fill="FDEEE7" w:themeFill="accent5" w:themeFillTint="66"/>
      </w:tcPr>
    </w:tblStylePr>
    <w:tblStylePr w:type="band1Horz">
      <w:tblPr/>
      <w:tcPr>
        <w:shd w:val="clear" w:color="auto" w:fill="FDEBE2" w:themeFill="accent5" w:themeFillTint="7F"/>
      </w:tcPr>
    </w:tblStylePr>
    <w:tblStylePr w:type="neCell">
      <w:rPr>
        <w:color w:val="262626" w:themeColor="text1"/>
      </w:rPr>
    </w:tblStylePr>
    <w:tblStylePr w:type="nwCell">
      <w:rPr>
        <w:color w:val="262626" w:themeColor="text1"/>
      </w:rPr>
    </w:tblStylePr>
  </w:style>
  <w:style w:type="table" w:styleId="ColorfulShading-Accent6">
    <w:name w:val="Colorful Shading Accent 6"/>
    <w:basedOn w:val="TableNormal"/>
    <w:uiPriority w:val="71"/>
    <w:semiHidden/>
    <w:unhideWhenUsed/>
    <w:rsid w:val="00163C56"/>
    <w:pPr>
      <w:spacing w:after="0" w:line="240" w:lineRule="auto"/>
    </w:pPr>
    <w:rPr>
      <w:color w:val="262626" w:themeColor="text1"/>
    </w:rPr>
    <w:tblPr>
      <w:tblStyleRowBandSize w:val="1"/>
      <w:tblStyleColBandSize w:val="1"/>
      <w:tblBorders>
        <w:top w:val="single" w:sz="24" w:space="0" w:color="FBD7C5"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BD7C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262626" w:themeColor="text1"/>
      </w:rPr>
    </w:tblStylePr>
    <w:tblStylePr w:type="nwCell">
      <w:rPr>
        <w:color w:val="262626" w:themeColor="text1"/>
      </w:rPr>
    </w:tblStylePr>
  </w:style>
  <w:style w:type="table" w:styleId="DarkList">
    <w:name w:val="Dark List"/>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2626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12121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C1C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C1C1C" w:themeFill="text1" w:themeFillShade="BF"/>
      </w:tcPr>
    </w:tblStylePr>
    <w:tblStylePr w:type="band1Vert">
      <w:tblPr/>
      <w:tcPr>
        <w:tcBorders>
          <w:top w:val="nil"/>
          <w:left w:val="nil"/>
          <w:bottom w:val="nil"/>
          <w:right w:val="nil"/>
          <w:insideH w:val="nil"/>
          <w:insideV w:val="nil"/>
        </w:tcBorders>
        <w:shd w:val="clear" w:color="auto" w:fill="1C1C1C" w:themeFill="text1" w:themeFillShade="BF"/>
      </w:tcPr>
    </w:tblStylePr>
    <w:tblStylePr w:type="band1Horz">
      <w:tblPr/>
      <w:tcPr>
        <w:tcBorders>
          <w:top w:val="nil"/>
          <w:left w:val="nil"/>
          <w:bottom w:val="nil"/>
          <w:right w:val="nil"/>
          <w:insideH w:val="nil"/>
          <w:insideV w:val="nil"/>
        </w:tcBorders>
        <w:shd w:val="clear" w:color="auto" w:fill="1C1C1C" w:themeFill="text1" w:themeFillShade="BF"/>
      </w:tcPr>
    </w:tblStylePr>
  </w:style>
  <w:style w:type="table" w:styleId="DarkList-Accent1">
    <w:name w:val="Dark List Accent 1"/>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2C506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1627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3B4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3B47" w:themeFill="accent1" w:themeFillShade="BF"/>
      </w:tcPr>
    </w:tblStylePr>
    <w:tblStylePr w:type="band1Vert">
      <w:tblPr/>
      <w:tcPr>
        <w:tcBorders>
          <w:top w:val="nil"/>
          <w:left w:val="nil"/>
          <w:bottom w:val="nil"/>
          <w:right w:val="nil"/>
          <w:insideH w:val="nil"/>
          <w:insideV w:val="nil"/>
        </w:tcBorders>
        <w:shd w:val="clear" w:color="auto" w:fill="213B47" w:themeFill="accent1" w:themeFillShade="BF"/>
      </w:tcPr>
    </w:tblStylePr>
    <w:tblStylePr w:type="band1Horz">
      <w:tblPr/>
      <w:tcPr>
        <w:tcBorders>
          <w:top w:val="nil"/>
          <w:left w:val="nil"/>
          <w:bottom w:val="nil"/>
          <w:right w:val="nil"/>
          <w:insideH w:val="nil"/>
          <w:insideV w:val="nil"/>
        </w:tcBorders>
        <w:shd w:val="clear" w:color="auto" w:fill="213B47" w:themeFill="accent1" w:themeFillShade="BF"/>
      </w:tcPr>
    </w:tblStylePr>
  </w:style>
  <w:style w:type="table" w:styleId="DarkList-Accent2">
    <w:name w:val="Dark List Accent 2"/>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ED641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7930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748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7480E" w:themeFill="accent2" w:themeFillShade="BF"/>
      </w:tcPr>
    </w:tblStylePr>
    <w:tblStylePr w:type="band1Vert">
      <w:tblPr/>
      <w:tcPr>
        <w:tcBorders>
          <w:top w:val="nil"/>
          <w:left w:val="nil"/>
          <w:bottom w:val="nil"/>
          <w:right w:val="nil"/>
          <w:insideH w:val="nil"/>
          <w:insideV w:val="nil"/>
        </w:tcBorders>
        <w:shd w:val="clear" w:color="auto" w:fill="B7480E" w:themeFill="accent2" w:themeFillShade="BF"/>
      </w:tcPr>
    </w:tblStylePr>
    <w:tblStylePr w:type="band1Horz">
      <w:tblPr/>
      <w:tcPr>
        <w:tcBorders>
          <w:top w:val="nil"/>
          <w:left w:val="nil"/>
          <w:bottom w:val="nil"/>
          <w:right w:val="nil"/>
          <w:insideH w:val="nil"/>
          <w:insideV w:val="nil"/>
        </w:tcBorders>
        <w:shd w:val="clear" w:color="auto" w:fill="B7480E" w:themeFill="accent2" w:themeFillShade="BF"/>
      </w:tcPr>
    </w:tblStylePr>
  </w:style>
  <w:style w:type="table" w:styleId="DarkList-Accent3">
    <w:name w:val="Dark List Accent 3"/>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AFB9B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535F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8E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8E89" w:themeFill="accent3" w:themeFillShade="BF"/>
      </w:tcPr>
    </w:tblStylePr>
    <w:tblStylePr w:type="band1Vert">
      <w:tblPr/>
      <w:tcPr>
        <w:tcBorders>
          <w:top w:val="nil"/>
          <w:left w:val="nil"/>
          <w:bottom w:val="nil"/>
          <w:right w:val="nil"/>
          <w:insideH w:val="nil"/>
          <w:insideV w:val="nil"/>
        </w:tcBorders>
        <w:shd w:val="clear" w:color="auto" w:fill="7E8E89" w:themeFill="accent3" w:themeFillShade="BF"/>
      </w:tcPr>
    </w:tblStylePr>
    <w:tblStylePr w:type="band1Horz">
      <w:tblPr/>
      <w:tcPr>
        <w:tcBorders>
          <w:top w:val="nil"/>
          <w:left w:val="nil"/>
          <w:bottom w:val="nil"/>
          <w:right w:val="nil"/>
          <w:insideH w:val="nil"/>
          <w:insideV w:val="nil"/>
        </w:tcBorders>
        <w:shd w:val="clear" w:color="auto" w:fill="7E8E89" w:themeFill="accent3" w:themeFillShade="BF"/>
      </w:tcPr>
    </w:tblStylePr>
  </w:style>
  <w:style w:type="table" w:styleId="DarkList-Accent4">
    <w:name w:val="Dark List Accent 4"/>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95A1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4A52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7C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7C5A" w:themeFill="accent4" w:themeFillShade="BF"/>
      </w:tcPr>
    </w:tblStylePr>
    <w:tblStylePr w:type="band1Vert">
      <w:tblPr/>
      <w:tcPr>
        <w:tcBorders>
          <w:top w:val="nil"/>
          <w:left w:val="nil"/>
          <w:bottom w:val="nil"/>
          <w:right w:val="nil"/>
          <w:insideH w:val="nil"/>
          <w:insideV w:val="nil"/>
        </w:tcBorders>
        <w:shd w:val="clear" w:color="auto" w:fill="707C5A" w:themeFill="accent4" w:themeFillShade="BF"/>
      </w:tcPr>
    </w:tblStylePr>
    <w:tblStylePr w:type="band1Horz">
      <w:tblPr/>
      <w:tcPr>
        <w:tcBorders>
          <w:top w:val="nil"/>
          <w:left w:val="nil"/>
          <w:bottom w:val="nil"/>
          <w:right w:val="nil"/>
          <w:insideH w:val="nil"/>
          <w:insideV w:val="nil"/>
        </w:tcBorders>
        <w:shd w:val="clear" w:color="auto" w:fill="707C5A" w:themeFill="accent4" w:themeFillShade="BF"/>
      </w:tcPr>
    </w:tblStylePr>
  </w:style>
  <w:style w:type="table" w:styleId="DarkList-Accent5">
    <w:name w:val="Dark List Accent 5"/>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FBD7C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D04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38E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38E5B" w:themeFill="accent5" w:themeFillShade="BF"/>
      </w:tcPr>
    </w:tblStylePr>
    <w:tblStylePr w:type="band1Vert">
      <w:tblPr/>
      <w:tcPr>
        <w:tcBorders>
          <w:top w:val="nil"/>
          <w:left w:val="nil"/>
          <w:bottom w:val="nil"/>
          <w:right w:val="nil"/>
          <w:insideH w:val="nil"/>
          <w:insideV w:val="nil"/>
        </w:tcBorders>
        <w:shd w:val="clear" w:color="auto" w:fill="F38E5B" w:themeFill="accent5" w:themeFillShade="BF"/>
      </w:tcPr>
    </w:tblStylePr>
    <w:tblStylePr w:type="band1Horz">
      <w:tblPr/>
      <w:tcPr>
        <w:tcBorders>
          <w:top w:val="nil"/>
          <w:left w:val="nil"/>
          <w:bottom w:val="nil"/>
          <w:right w:val="nil"/>
          <w:insideH w:val="nil"/>
          <w:insideV w:val="nil"/>
        </w:tcBorders>
        <w:shd w:val="clear" w:color="auto" w:fill="F38E5B" w:themeFill="accent5" w:themeFillShade="BF"/>
      </w:tcPr>
    </w:tblStylePr>
  </w:style>
  <w:style w:type="table" w:styleId="DarkList-Accent6">
    <w:name w:val="Dark List Accent 6"/>
    <w:basedOn w:val="TableNormal"/>
    <w:uiPriority w:val="70"/>
    <w:semiHidden/>
    <w:unhideWhenUsed/>
    <w:rsid w:val="00163C56"/>
    <w:pPr>
      <w:spacing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62626"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rsid w:val="00163C56"/>
  </w:style>
  <w:style w:type="character" w:customStyle="1" w:styleId="DateChar">
    <w:name w:val="Date Char"/>
    <w:basedOn w:val="DefaultParagraphFont"/>
    <w:link w:val="Date"/>
    <w:uiPriority w:val="99"/>
    <w:semiHidden/>
    <w:rsid w:val="00163C56"/>
    <w:rPr>
      <w:rFonts w:ascii="Arial" w:hAnsi="Arial"/>
      <w:color w:val="464646" w:themeColor="text1" w:themeTint="D9"/>
      <w:sz w:val="24"/>
    </w:rPr>
  </w:style>
  <w:style w:type="paragraph" w:styleId="DocumentMap">
    <w:name w:val="Document Map"/>
    <w:basedOn w:val="Normal"/>
    <w:link w:val="DocumentMapChar"/>
    <w:uiPriority w:val="99"/>
    <w:semiHidden/>
    <w:unhideWhenUsed/>
    <w:rsid w:val="00163C5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3C56"/>
    <w:rPr>
      <w:rFonts w:ascii="Segoe UI" w:hAnsi="Segoe UI" w:cs="Segoe UI"/>
      <w:color w:val="464646" w:themeColor="text1" w:themeTint="D9"/>
      <w:sz w:val="16"/>
      <w:szCs w:val="16"/>
    </w:rPr>
  </w:style>
  <w:style w:type="paragraph" w:styleId="E-mailSignature">
    <w:name w:val="E-mail Signature"/>
    <w:basedOn w:val="Normal"/>
    <w:link w:val="E-mailSignatureChar"/>
    <w:uiPriority w:val="99"/>
    <w:semiHidden/>
    <w:unhideWhenUsed/>
    <w:rsid w:val="00163C56"/>
    <w:pPr>
      <w:spacing w:after="0" w:line="240" w:lineRule="auto"/>
    </w:pPr>
  </w:style>
  <w:style w:type="character" w:customStyle="1" w:styleId="E-mailSignatureChar">
    <w:name w:val="E-mail Signature Char"/>
    <w:basedOn w:val="DefaultParagraphFont"/>
    <w:link w:val="E-mailSignature"/>
    <w:uiPriority w:val="99"/>
    <w:semiHidden/>
    <w:rsid w:val="00163C56"/>
    <w:rPr>
      <w:rFonts w:ascii="Arial" w:hAnsi="Arial"/>
      <w:color w:val="464646" w:themeColor="text1" w:themeTint="D9"/>
      <w:sz w:val="24"/>
    </w:rPr>
  </w:style>
  <w:style w:type="paragraph" w:styleId="EnvelopeAddress">
    <w:name w:val="envelope address"/>
    <w:basedOn w:val="Normal"/>
    <w:uiPriority w:val="99"/>
    <w:semiHidden/>
    <w:unhideWhenUsed/>
    <w:rsid w:val="00163C56"/>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3C56"/>
    <w:pPr>
      <w:spacing w:after="0" w:line="240" w:lineRule="auto"/>
    </w:pPr>
    <w:rPr>
      <w:rFonts w:asciiTheme="majorHAnsi" w:eastAsiaTheme="majorEastAsia" w:hAnsiTheme="majorHAnsi" w:cstheme="majorBidi"/>
      <w:sz w:val="20"/>
      <w:szCs w:val="20"/>
    </w:rPr>
  </w:style>
  <w:style w:type="table" w:styleId="GridTable1Light">
    <w:name w:val="Grid Table 1 Light"/>
    <w:basedOn w:val="TableNormal"/>
    <w:uiPriority w:val="46"/>
    <w:rsid w:val="00163C56"/>
    <w:pPr>
      <w:spacing w:after="0" w:line="240" w:lineRule="auto"/>
    </w:pPr>
    <w:tblPr>
      <w:tblStyleRowBandSize w:val="1"/>
      <w:tblStyleColBandSize w:val="1"/>
      <w:tblBorders>
        <w:top w:val="single" w:sz="4" w:space="0" w:color="A8A8A8" w:themeColor="text1" w:themeTint="66"/>
        <w:left w:val="single" w:sz="4" w:space="0" w:color="A8A8A8" w:themeColor="text1" w:themeTint="66"/>
        <w:bottom w:val="single" w:sz="4" w:space="0" w:color="A8A8A8" w:themeColor="text1" w:themeTint="66"/>
        <w:right w:val="single" w:sz="4" w:space="0" w:color="A8A8A8" w:themeColor="text1" w:themeTint="66"/>
        <w:insideH w:val="single" w:sz="4" w:space="0" w:color="A8A8A8" w:themeColor="text1" w:themeTint="66"/>
        <w:insideV w:val="single" w:sz="4" w:space="0" w:color="A8A8A8" w:themeColor="text1" w:themeTint="66"/>
      </w:tblBorders>
    </w:tblPr>
    <w:tblStylePr w:type="firstRow">
      <w:rPr>
        <w:b/>
        <w:bCs/>
      </w:rPr>
      <w:tblPr/>
      <w:tcPr>
        <w:tcBorders>
          <w:bottom w:val="single" w:sz="12" w:space="0" w:color="7C7C7C" w:themeColor="text1" w:themeTint="99"/>
        </w:tcBorders>
      </w:tcPr>
    </w:tblStylePr>
    <w:tblStylePr w:type="lastRow">
      <w:rPr>
        <w:b/>
        <w:bCs/>
      </w:rPr>
      <w:tblPr/>
      <w:tcPr>
        <w:tcBorders>
          <w:top w:val="double" w:sz="2" w:space="0" w:color="7C7C7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63C56"/>
    <w:pPr>
      <w:spacing w:after="0" w:line="240" w:lineRule="auto"/>
    </w:pPr>
    <w:tblPr>
      <w:tblStyleRowBandSize w:val="1"/>
      <w:tblStyleColBandSize w:val="1"/>
      <w:tblBorders>
        <w:top w:val="single" w:sz="4" w:space="0" w:color="99BFD0" w:themeColor="accent1" w:themeTint="66"/>
        <w:left w:val="single" w:sz="4" w:space="0" w:color="99BFD0" w:themeColor="accent1" w:themeTint="66"/>
        <w:bottom w:val="single" w:sz="4" w:space="0" w:color="99BFD0" w:themeColor="accent1" w:themeTint="66"/>
        <w:right w:val="single" w:sz="4" w:space="0" w:color="99BFD0" w:themeColor="accent1" w:themeTint="66"/>
        <w:insideH w:val="single" w:sz="4" w:space="0" w:color="99BFD0" w:themeColor="accent1" w:themeTint="66"/>
        <w:insideV w:val="single" w:sz="4" w:space="0" w:color="99BFD0" w:themeColor="accent1" w:themeTint="66"/>
      </w:tblBorders>
    </w:tblPr>
    <w:tblStylePr w:type="firstRow">
      <w:rPr>
        <w:b/>
        <w:bCs/>
      </w:rPr>
      <w:tblPr/>
      <w:tcPr>
        <w:tcBorders>
          <w:bottom w:val="single" w:sz="12" w:space="0" w:color="669FB9" w:themeColor="accent1" w:themeTint="99"/>
        </w:tcBorders>
      </w:tcPr>
    </w:tblStylePr>
    <w:tblStylePr w:type="lastRow">
      <w:rPr>
        <w:b/>
        <w:bCs/>
      </w:rPr>
      <w:tblPr/>
      <w:tcPr>
        <w:tcBorders>
          <w:top w:val="double" w:sz="2" w:space="0" w:color="669FB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3C56"/>
    <w:pPr>
      <w:spacing w:after="0" w:line="240" w:lineRule="auto"/>
    </w:pPr>
    <w:tblPr>
      <w:tblStyleRowBandSize w:val="1"/>
      <w:tblStyleColBandSize w:val="1"/>
      <w:tblBorders>
        <w:top w:val="single" w:sz="4" w:space="0" w:color="DFE3E1" w:themeColor="accent3" w:themeTint="66"/>
        <w:left w:val="single" w:sz="4" w:space="0" w:color="DFE3E1" w:themeColor="accent3" w:themeTint="66"/>
        <w:bottom w:val="single" w:sz="4" w:space="0" w:color="DFE3E1" w:themeColor="accent3" w:themeTint="66"/>
        <w:right w:val="single" w:sz="4" w:space="0" w:color="DFE3E1" w:themeColor="accent3" w:themeTint="66"/>
        <w:insideH w:val="single" w:sz="4" w:space="0" w:color="DFE3E1" w:themeColor="accent3" w:themeTint="66"/>
        <w:insideV w:val="single" w:sz="4" w:space="0" w:color="DFE3E1" w:themeColor="accent3" w:themeTint="66"/>
      </w:tblBorders>
    </w:tblPr>
    <w:tblStylePr w:type="firstRow">
      <w:rPr>
        <w:b/>
        <w:bCs/>
      </w:rPr>
      <w:tblPr/>
      <w:tcPr>
        <w:tcBorders>
          <w:bottom w:val="single" w:sz="12" w:space="0" w:color="CFD5D3" w:themeColor="accent3" w:themeTint="99"/>
        </w:tcBorders>
      </w:tcPr>
    </w:tblStylePr>
    <w:tblStylePr w:type="lastRow">
      <w:rPr>
        <w:b/>
        <w:bCs/>
      </w:rPr>
      <w:tblPr/>
      <w:tcPr>
        <w:tcBorders>
          <w:top w:val="double" w:sz="2" w:space="0" w:color="CFD5D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63C56"/>
    <w:pPr>
      <w:spacing w:after="0" w:line="240" w:lineRule="auto"/>
    </w:pPr>
    <w:tblPr>
      <w:tblStyleRowBandSize w:val="1"/>
      <w:tblStyleColBandSize w:val="1"/>
      <w:tblBorders>
        <w:top w:val="single" w:sz="4" w:space="0" w:color="D4D9CB" w:themeColor="accent4" w:themeTint="66"/>
        <w:left w:val="single" w:sz="4" w:space="0" w:color="D4D9CB" w:themeColor="accent4" w:themeTint="66"/>
        <w:bottom w:val="single" w:sz="4" w:space="0" w:color="D4D9CB" w:themeColor="accent4" w:themeTint="66"/>
        <w:right w:val="single" w:sz="4" w:space="0" w:color="D4D9CB" w:themeColor="accent4" w:themeTint="66"/>
        <w:insideH w:val="single" w:sz="4" w:space="0" w:color="D4D9CB" w:themeColor="accent4" w:themeTint="66"/>
        <w:insideV w:val="single" w:sz="4" w:space="0" w:color="D4D9CB" w:themeColor="accent4" w:themeTint="66"/>
      </w:tblBorders>
    </w:tblPr>
    <w:tblStylePr w:type="firstRow">
      <w:rPr>
        <w:b/>
        <w:bCs/>
      </w:rPr>
      <w:tblPr/>
      <w:tcPr>
        <w:tcBorders>
          <w:bottom w:val="single" w:sz="12" w:space="0" w:color="BFC6B1" w:themeColor="accent4" w:themeTint="99"/>
        </w:tcBorders>
      </w:tcPr>
    </w:tblStylePr>
    <w:tblStylePr w:type="lastRow">
      <w:rPr>
        <w:b/>
        <w:bCs/>
      </w:rPr>
      <w:tblPr/>
      <w:tcPr>
        <w:tcBorders>
          <w:top w:val="double" w:sz="2" w:space="0" w:color="BFC6B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63C56"/>
    <w:pPr>
      <w:spacing w:after="0" w:line="240" w:lineRule="auto"/>
    </w:pPr>
    <w:tblPr>
      <w:tblStyleRowBandSize w:val="1"/>
      <w:tblStyleColBandSize w:val="1"/>
      <w:tblBorders>
        <w:top w:val="single" w:sz="4" w:space="0" w:color="FDEEE7" w:themeColor="accent5" w:themeTint="66"/>
        <w:left w:val="single" w:sz="4" w:space="0" w:color="FDEEE7" w:themeColor="accent5" w:themeTint="66"/>
        <w:bottom w:val="single" w:sz="4" w:space="0" w:color="FDEEE7" w:themeColor="accent5" w:themeTint="66"/>
        <w:right w:val="single" w:sz="4" w:space="0" w:color="FDEEE7" w:themeColor="accent5" w:themeTint="66"/>
        <w:insideH w:val="single" w:sz="4" w:space="0" w:color="FDEEE7" w:themeColor="accent5" w:themeTint="66"/>
        <w:insideV w:val="single" w:sz="4" w:space="0" w:color="FDEEE7" w:themeColor="accent5" w:themeTint="66"/>
      </w:tblBorders>
    </w:tblPr>
    <w:tblStylePr w:type="firstRow">
      <w:rPr>
        <w:b/>
        <w:bCs/>
      </w:rPr>
      <w:tblPr/>
      <w:tcPr>
        <w:tcBorders>
          <w:bottom w:val="single" w:sz="12" w:space="0" w:color="FCE6DC" w:themeColor="accent5" w:themeTint="99"/>
        </w:tcBorders>
      </w:tcPr>
    </w:tblStylePr>
    <w:tblStylePr w:type="lastRow">
      <w:rPr>
        <w:b/>
        <w:bCs/>
      </w:rPr>
      <w:tblPr/>
      <w:tcPr>
        <w:tcBorders>
          <w:top w:val="double" w:sz="2" w:space="0" w:color="FCE6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63C56"/>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63C56"/>
    <w:pPr>
      <w:spacing w:after="0" w:line="240" w:lineRule="auto"/>
    </w:pPr>
    <w:tblPr>
      <w:tblStyleRowBandSize w:val="1"/>
      <w:tblStyleColBandSize w:val="1"/>
      <w:tblBorders>
        <w:top w:val="single" w:sz="2" w:space="0" w:color="7C7C7C" w:themeColor="text1" w:themeTint="99"/>
        <w:bottom w:val="single" w:sz="2" w:space="0" w:color="7C7C7C" w:themeColor="text1" w:themeTint="99"/>
        <w:insideH w:val="single" w:sz="2" w:space="0" w:color="7C7C7C" w:themeColor="text1" w:themeTint="99"/>
        <w:insideV w:val="single" w:sz="2" w:space="0" w:color="7C7C7C" w:themeColor="text1" w:themeTint="99"/>
      </w:tblBorders>
    </w:tblPr>
    <w:tblStylePr w:type="firstRow">
      <w:rPr>
        <w:b/>
        <w:bCs/>
      </w:rPr>
      <w:tblPr/>
      <w:tcPr>
        <w:tcBorders>
          <w:top w:val="nil"/>
          <w:bottom w:val="single" w:sz="12" w:space="0" w:color="7C7C7C" w:themeColor="text1" w:themeTint="99"/>
          <w:insideH w:val="nil"/>
          <w:insideV w:val="nil"/>
        </w:tcBorders>
        <w:shd w:val="clear" w:color="auto" w:fill="FFFFFF" w:themeFill="background1"/>
      </w:tcPr>
    </w:tblStylePr>
    <w:tblStylePr w:type="lastRow">
      <w:rPr>
        <w:b/>
        <w:bCs/>
      </w:rPr>
      <w:tblPr/>
      <w:tcPr>
        <w:tcBorders>
          <w:top w:val="double" w:sz="2" w:space="0" w:color="7C7C7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2-Accent1">
    <w:name w:val="Grid Table 2 Accent 1"/>
    <w:basedOn w:val="TableNormal"/>
    <w:uiPriority w:val="47"/>
    <w:rsid w:val="00163C56"/>
    <w:pPr>
      <w:spacing w:after="0" w:line="240" w:lineRule="auto"/>
    </w:pPr>
    <w:tblPr>
      <w:tblStyleRowBandSize w:val="1"/>
      <w:tblStyleColBandSize w:val="1"/>
      <w:tblBorders>
        <w:top w:val="single" w:sz="2" w:space="0" w:color="669FB9" w:themeColor="accent1" w:themeTint="99"/>
        <w:bottom w:val="single" w:sz="2" w:space="0" w:color="669FB9" w:themeColor="accent1" w:themeTint="99"/>
        <w:insideH w:val="single" w:sz="2" w:space="0" w:color="669FB9" w:themeColor="accent1" w:themeTint="99"/>
        <w:insideV w:val="single" w:sz="2" w:space="0" w:color="669FB9" w:themeColor="accent1" w:themeTint="99"/>
      </w:tblBorders>
    </w:tblPr>
    <w:tblStylePr w:type="firstRow">
      <w:rPr>
        <w:b/>
        <w:bCs/>
      </w:rPr>
      <w:tblPr/>
      <w:tcPr>
        <w:tcBorders>
          <w:top w:val="nil"/>
          <w:bottom w:val="single" w:sz="12" w:space="0" w:color="669FB9" w:themeColor="accent1" w:themeTint="99"/>
          <w:insideH w:val="nil"/>
          <w:insideV w:val="nil"/>
        </w:tcBorders>
        <w:shd w:val="clear" w:color="auto" w:fill="FFFFFF" w:themeFill="background1"/>
      </w:tcPr>
    </w:tblStylePr>
    <w:tblStylePr w:type="lastRow">
      <w:rPr>
        <w:b/>
        <w:bCs/>
      </w:rPr>
      <w:tblPr/>
      <w:tcPr>
        <w:tcBorders>
          <w:top w:val="double" w:sz="2" w:space="0" w:color="669F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GridTable2-Accent2">
    <w:name w:val="Grid Table 2 Accent 2"/>
    <w:basedOn w:val="TableNormal"/>
    <w:uiPriority w:val="47"/>
    <w:rsid w:val="00163C56"/>
    <w:pPr>
      <w:spacing w:after="0" w:line="240" w:lineRule="auto"/>
    </w:pPr>
    <w:tblPr>
      <w:tblStyleRowBandSize w:val="1"/>
      <w:tblStyleColBandSize w:val="1"/>
      <w:tblBorders>
        <w:top w:val="single" w:sz="2" w:space="0" w:color="F4A176" w:themeColor="accent2" w:themeTint="99"/>
        <w:bottom w:val="single" w:sz="2" w:space="0" w:color="F4A176" w:themeColor="accent2" w:themeTint="99"/>
        <w:insideH w:val="single" w:sz="2" w:space="0" w:color="F4A176" w:themeColor="accent2" w:themeTint="99"/>
        <w:insideV w:val="single" w:sz="2" w:space="0" w:color="F4A176" w:themeColor="accent2" w:themeTint="99"/>
      </w:tblBorders>
    </w:tblPr>
    <w:tblStylePr w:type="firstRow">
      <w:rPr>
        <w:b/>
        <w:bCs/>
      </w:rPr>
      <w:tblPr/>
      <w:tcPr>
        <w:tcBorders>
          <w:top w:val="nil"/>
          <w:bottom w:val="single" w:sz="12" w:space="0" w:color="F4A176" w:themeColor="accent2" w:themeTint="99"/>
          <w:insideH w:val="nil"/>
          <w:insideV w:val="nil"/>
        </w:tcBorders>
        <w:shd w:val="clear" w:color="auto" w:fill="FFFFFF" w:themeFill="background1"/>
      </w:tcPr>
    </w:tblStylePr>
    <w:tblStylePr w:type="lastRow">
      <w:rPr>
        <w:b/>
        <w:bCs/>
      </w:rPr>
      <w:tblPr/>
      <w:tcPr>
        <w:tcBorders>
          <w:top w:val="double" w:sz="2" w:space="0" w:color="F4A1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GridTable2-Accent3">
    <w:name w:val="Grid Table 2 Accent 3"/>
    <w:basedOn w:val="TableNormal"/>
    <w:uiPriority w:val="47"/>
    <w:rsid w:val="00163C56"/>
    <w:pPr>
      <w:spacing w:after="0" w:line="240" w:lineRule="auto"/>
    </w:pPr>
    <w:tblPr>
      <w:tblStyleRowBandSize w:val="1"/>
      <w:tblStyleColBandSize w:val="1"/>
      <w:tblBorders>
        <w:top w:val="single" w:sz="2" w:space="0" w:color="CFD5D3" w:themeColor="accent3" w:themeTint="99"/>
        <w:bottom w:val="single" w:sz="2" w:space="0" w:color="CFD5D3" w:themeColor="accent3" w:themeTint="99"/>
        <w:insideH w:val="single" w:sz="2" w:space="0" w:color="CFD5D3" w:themeColor="accent3" w:themeTint="99"/>
        <w:insideV w:val="single" w:sz="2" w:space="0" w:color="CFD5D3" w:themeColor="accent3" w:themeTint="99"/>
      </w:tblBorders>
    </w:tblPr>
    <w:tblStylePr w:type="firstRow">
      <w:rPr>
        <w:b/>
        <w:bCs/>
      </w:rPr>
      <w:tblPr/>
      <w:tcPr>
        <w:tcBorders>
          <w:top w:val="nil"/>
          <w:bottom w:val="single" w:sz="12" w:space="0" w:color="CFD5D3" w:themeColor="accent3" w:themeTint="99"/>
          <w:insideH w:val="nil"/>
          <w:insideV w:val="nil"/>
        </w:tcBorders>
        <w:shd w:val="clear" w:color="auto" w:fill="FFFFFF" w:themeFill="background1"/>
      </w:tcPr>
    </w:tblStylePr>
    <w:tblStylePr w:type="lastRow">
      <w:rPr>
        <w:b/>
        <w:bCs/>
      </w:rPr>
      <w:tblPr/>
      <w:tcPr>
        <w:tcBorders>
          <w:top w:val="double" w:sz="2" w:space="0" w:color="CFD5D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GridTable2-Accent4">
    <w:name w:val="Grid Table 2 Accent 4"/>
    <w:basedOn w:val="TableNormal"/>
    <w:uiPriority w:val="47"/>
    <w:rsid w:val="00163C56"/>
    <w:pPr>
      <w:spacing w:after="0" w:line="240" w:lineRule="auto"/>
    </w:pPr>
    <w:tblPr>
      <w:tblStyleRowBandSize w:val="1"/>
      <w:tblStyleColBandSize w:val="1"/>
      <w:tblBorders>
        <w:top w:val="single" w:sz="2" w:space="0" w:color="BFC6B1" w:themeColor="accent4" w:themeTint="99"/>
        <w:bottom w:val="single" w:sz="2" w:space="0" w:color="BFC6B1" w:themeColor="accent4" w:themeTint="99"/>
        <w:insideH w:val="single" w:sz="2" w:space="0" w:color="BFC6B1" w:themeColor="accent4" w:themeTint="99"/>
        <w:insideV w:val="single" w:sz="2" w:space="0" w:color="BFC6B1" w:themeColor="accent4" w:themeTint="99"/>
      </w:tblBorders>
    </w:tblPr>
    <w:tblStylePr w:type="firstRow">
      <w:rPr>
        <w:b/>
        <w:bCs/>
      </w:rPr>
      <w:tblPr/>
      <w:tcPr>
        <w:tcBorders>
          <w:top w:val="nil"/>
          <w:bottom w:val="single" w:sz="12" w:space="0" w:color="BFC6B1" w:themeColor="accent4" w:themeTint="99"/>
          <w:insideH w:val="nil"/>
          <w:insideV w:val="nil"/>
        </w:tcBorders>
        <w:shd w:val="clear" w:color="auto" w:fill="FFFFFF" w:themeFill="background1"/>
      </w:tcPr>
    </w:tblStylePr>
    <w:tblStylePr w:type="lastRow">
      <w:rPr>
        <w:b/>
        <w:bCs/>
      </w:rPr>
      <w:tblPr/>
      <w:tcPr>
        <w:tcBorders>
          <w:top w:val="double" w:sz="2" w:space="0" w:color="BFC6B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GridTable2-Accent5">
    <w:name w:val="Grid Table 2 Accent 5"/>
    <w:basedOn w:val="TableNormal"/>
    <w:uiPriority w:val="47"/>
    <w:rsid w:val="00163C56"/>
    <w:pPr>
      <w:spacing w:after="0" w:line="240" w:lineRule="auto"/>
    </w:pPr>
    <w:tblPr>
      <w:tblStyleRowBandSize w:val="1"/>
      <w:tblStyleColBandSize w:val="1"/>
      <w:tblBorders>
        <w:top w:val="single" w:sz="2" w:space="0" w:color="FCE6DC" w:themeColor="accent5" w:themeTint="99"/>
        <w:bottom w:val="single" w:sz="2" w:space="0" w:color="FCE6DC" w:themeColor="accent5" w:themeTint="99"/>
        <w:insideH w:val="single" w:sz="2" w:space="0" w:color="FCE6DC" w:themeColor="accent5" w:themeTint="99"/>
        <w:insideV w:val="single" w:sz="2" w:space="0" w:color="FCE6DC" w:themeColor="accent5" w:themeTint="99"/>
      </w:tblBorders>
    </w:tblPr>
    <w:tblStylePr w:type="firstRow">
      <w:rPr>
        <w:b/>
        <w:bCs/>
      </w:rPr>
      <w:tblPr/>
      <w:tcPr>
        <w:tcBorders>
          <w:top w:val="nil"/>
          <w:bottom w:val="single" w:sz="12" w:space="0" w:color="FCE6DC" w:themeColor="accent5" w:themeTint="99"/>
          <w:insideH w:val="nil"/>
          <w:insideV w:val="nil"/>
        </w:tcBorders>
        <w:shd w:val="clear" w:color="auto" w:fill="FFFFFF" w:themeFill="background1"/>
      </w:tcPr>
    </w:tblStylePr>
    <w:tblStylePr w:type="lastRow">
      <w:rPr>
        <w:b/>
        <w:bCs/>
      </w:rPr>
      <w:tblPr/>
      <w:tcPr>
        <w:tcBorders>
          <w:top w:val="double" w:sz="2" w:space="0" w:color="FCE6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GridTable2-Accent6">
    <w:name w:val="Grid Table 2 Accent 6"/>
    <w:basedOn w:val="TableNormal"/>
    <w:uiPriority w:val="47"/>
    <w:rsid w:val="00163C56"/>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rsid w:val="00163C56"/>
    <w:pPr>
      <w:spacing w:after="0"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C7C7C" w:themeColor="text1" w:themeTint="99"/>
        </w:tcBorders>
      </w:tcPr>
    </w:tblStylePr>
    <w:tblStylePr w:type="nwCell">
      <w:tblPr/>
      <w:tcPr>
        <w:tcBorders>
          <w:bottom w:val="single" w:sz="4" w:space="0" w:color="7C7C7C" w:themeColor="text1" w:themeTint="99"/>
        </w:tcBorders>
      </w:tcPr>
    </w:tblStylePr>
    <w:tblStylePr w:type="seCell">
      <w:tblPr/>
      <w:tcPr>
        <w:tcBorders>
          <w:top w:val="single" w:sz="4" w:space="0" w:color="7C7C7C" w:themeColor="text1" w:themeTint="99"/>
        </w:tcBorders>
      </w:tcPr>
    </w:tblStylePr>
    <w:tblStylePr w:type="swCell">
      <w:tblPr/>
      <w:tcPr>
        <w:tcBorders>
          <w:top w:val="single" w:sz="4" w:space="0" w:color="7C7C7C" w:themeColor="text1" w:themeTint="99"/>
        </w:tcBorders>
      </w:tcPr>
    </w:tblStylePr>
  </w:style>
  <w:style w:type="table" w:styleId="GridTable3-Accent1">
    <w:name w:val="Grid Table 3 Accent 1"/>
    <w:basedOn w:val="TableNormal"/>
    <w:uiPriority w:val="48"/>
    <w:rsid w:val="00163C56"/>
    <w:pPr>
      <w:spacing w:after="0" w:line="240" w:lineRule="auto"/>
    </w:pPr>
    <w:tblPr>
      <w:tblStyleRowBandSize w:val="1"/>
      <w:tblStyleColBandSize w:val="1"/>
      <w:tblBorders>
        <w:top w:val="single" w:sz="4" w:space="0" w:color="669FB9" w:themeColor="accent1" w:themeTint="99"/>
        <w:left w:val="single" w:sz="4" w:space="0" w:color="669FB9" w:themeColor="accent1" w:themeTint="99"/>
        <w:bottom w:val="single" w:sz="4" w:space="0" w:color="669FB9" w:themeColor="accent1" w:themeTint="99"/>
        <w:right w:val="single" w:sz="4" w:space="0" w:color="669FB9" w:themeColor="accent1" w:themeTint="99"/>
        <w:insideH w:val="single" w:sz="4" w:space="0" w:color="669FB9" w:themeColor="accent1" w:themeTint="99"/>
        <w:insideV w:val="single" w:sz="4" w:space="0" w:color="669F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7" w:themeFill="accent1" w:themeFillTint="33"/>
      </w:tcPr>
    </w:tblStylePr>
    <w:tblStylePr w:type="band1Horz">
      <w:tblPr/>
      <w:tcPr>
        <w:shd w:val="clear" w:color="auto" w:fill="CCDFE7" w:themeFill="accent1" w:themeFillTint="33"/>
      </w:tcPr>
    </w:tblStylePr>
    <w:tblStylePr w:type="neCell">
      <w:tblPr/>
      <w:tcPr>
        <w:tcBorders>
          <w:bottom w:val="single" w:sz="4" w:space="0" w:color="669FB9" w:themeColor="accent1" w:themeTint="99"/>
        </w:tcBorders>
      </w:tcPr>
    </w:tblStylePr>
    <w:tblStylePr w:type="nwCell">
      <w:tblPr/>
      <w:tcPr>
        <w:tcBorders>
          <w:bottom w:val="single" w:sz="4" w:space="0" w:color="669FB9" w:themeColor="accent1" w:themeTint="99"/>
        </w:tcBorders>
      </w:tcPr>
    </w:tblStylePr>
    <w:tblStylePr w:type="seCell">
      <w:tblPr/>
      <w:tcPr>
        <w:tcBorders>
          <w:top w:val="single" w:sz="4" w:space="0" w:color="669FB9" w:themeColor="accent1" w:themeTint="99"/>
        </w:tcBorders>
      </w:tcPr>
    </w:tblStylePr>
    <w:tblStylePr w:type="swCell">
      <w:tblPr/>
      <w:tcPr>
        <w:tcBorders>
          <w:top w:val="single" w:sz="4" w:space="0" w:color="669FB9" w:themeColor="accent1" w:themeTint="99"/>
        </w:tcBorders>
      </w:tcPr>
    </w:tblStylePr>
  </w:style>
  <w:style w:type="table" w:styleId="GridTable3-Accent2">
    <w:name w:val="Grid Table 3 Accent 2"/>
    <w:basedOn w:val="TableNormal"/>
    <w:uiPriority w:val="48"/>
    <w:rsid w:val="00163C56"/>
    <w:pPr>
      <w:spacing w:after="0" w:line="240" w:lineRule="auto"/>
    </w:pPr>
    <w:tblPr>
      <w:tblStyleRowBandSize w:val="1"/>
      <w:tblStyleColBandSize w:val="1"/>
      <w:tblBorders>
        <w:top w:val="single" w:sz="4" w:space="0" w:color="F4A176" w:themeColor="accent2" w:themeTint="99"/>
        <w:left w:val="single" w:sz="4" w:space="0" w:color="F4A176" w:themeColor="accent2" w:themeTint="99"/>
        <w:bottom w:val="single" w:sz="4" w:space="0" w:color="F4A176" w:themeColor="accent2" w:themeTint="99"/>
        <w:right w:val="single" w:sz="4" w:space="0" w:color="F4A176" w:themeColor="accent2" w:themeTint="99"/>
        <w:insideH w:val="single" w:sz="4" w:space="0" w:color="F4A176" w:themeColor="accent2" w:themeTint="99"/>
        <w:insideV w:val="single" w:sz="4" w:space="0" w:color="F4A1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FD1" w:themeFill="accent2" w:themeFillTint="33"/>
      </w:tcPr>
    </w:tblStylePr>
    <w:tblStylePr w:type="band1Horz">
      <w:tblPr/>
      <w:tcPr>
        <w:shd w:val="clear" w:color="auto" w:fill="FBDFD1" w:themeFill="accent2" w:themeFillTint="33"/>
      </w:tcPr>
    </w:tblStylePr>
    <w:tblStylePr w:type="neCell">
      <w:tblPr/>
      <w:tcPr>
        <w:tcBorders>
          <w:bottom w:val="single" w:sz="4" w:space="0" w:color="F4A176" w:themeColor="accent2" w:themeTint="99"/>
        </w:tcBorders>
      </w:tcPr>
    </w:tblStylePr>
    <w:tblStylePr w:type="nwCell">
      <w:tblPr/>
      <w:tcPr>
        <w:tcBorders>
          <w:bottom w:val="single" w:sz="4" w:space="0" w:color="F4A176" w:themeColor="accent2" w:themeTint="99"/>
        </w:tcBorders>
      </w:tcPr>
    </w:tblStylePr>
    <w:tblStylePr w:type="seCell">
      <w:tblPr/>
      <w:tcPr>
        <w:tcBorders>
          <w:top w:val="single" w:sz="4" w:space="0" w:color="F4A176" w:themeColor="accent2" w:themeTint="99"/>
        </w:tcBorders>
      </w:tcPr>
    </w:tblStylePr>
    <w:tblStylePr w:type="swCell">
      <w:tblPr/>
      <w:tcPr>
        <w:tcBorders>
          <w:top w:val="single" w:sz="4" w:space="0" w:color="F4A176" w:themeColor="accent2" w:themeTint="99"/>
        </w:tcBorders>
      </w:tcPr>
    </w:tblStylePr>
  </w:style>
  <w:style w:type="table" w:styleId="GridTable3-Accent3">
    <w:name w:val="Grid Table 3 Accent 3"/>
    <w:basedOn w:val="TableNormal"/>
    <w:uiPriority w:val="48"/>
    <w:rsid w:val="00163C56"/>
    <w:pPr>
      <w:spacing w:after="0" w:line="240" w:lineRule="auto"/>
    </w:pPr>
    <w:tblPr>
      <w:tblStyleRowBandSize w:val="1"/>
      <w:tblStyleColBandSize w:val="1"/>
      <w:tblBorders>
        <w:top w:val="single" w:sz="4" w:space="0" w:color="CFD5D3" w:themeColor="accent3" w:themeTint="99"/>
        <w:left w:val="single" w:sz="4" w:space="0" w:color="CFD5D3" w:themeColor="accent3" w:themeTint="99"/>
        <w:bottom w:val="single" w:sz="4" w:space="0" w:color="CFD5D3" w:themeColor="accent3" w:themeTint="99"/>
        <w:right w:val="single" w:sz="4" w:space="0" w:color="CFD5D3" w:themeColor="accent3" w:themeTint="99"/>
        <w:insideH w:val="single" w:sz="4" w:space="0" w:color="CFD5D3" w:themeColor="accent3" w:themeTint="99"/>
        <w:insideV w:val="single" w:sz="4" w:space="0" w:color="CFD5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1F0" w:themeFill="accent3" w:themeFillTint="33"/>
      </w:tcPr>
    </w:tblStylePr>
    <w:tblStylePr w:type="band1Horz">
      <w:tblPr/>
      <w:tcPr>
        <w:shd w:val="clear" w:color="auto" w:fill="EFF1F0" w:themeFill="accent3" w:themeFillTint="33"/>
      </w:tcPr>
    </w:tblStylePr>
    <w:tblStylePr w:type="neCell">
      <w:tblPr/>
      <w:tcPr>
        <w:tcBorders>
          <w:bottom w:val="single" w:sz="4" w:space="0" w:color="CFD5D3" w:themeColor="accent3" w:themeTint="99"/>
        </w:tcBorders>
      </w:tcPr>
    </w:tblStylePr>
    <w:tblStylePr w:type="nwCell">
      <w:tblPr/>
      <w:tcPr>
        <w:tcBorders>
          <w:bottom w:val="single" w:sz="4" w:space="0" w:color="CFD5D3" w:themeColor="accent3" w:themeTint="99"/>
        </w:tcBorders>
      </w:tcPr>
    </w:tblStylePr>
    <w:tblStylePr w:type="seCell">
      <w:tblPr/>
      <w:tcPr>
        <w:tcBorders>
          <w:top w:val="single" w:sz="4" w:space="0" w:color="CFD5D3" w:themeColor="accent3" w:themeTint="99"/>
        </w:tcBorders>
      </w:tcPr>
    </w:tblStylePr>
    <w:tblStylePr w:type="swCell">
      <w:tblPr/>
      <w:tcPr>
        <w:tcBorders>
          <w:top w:val="single" w:sz="4" w:space="0" w:color="CFD5D3" w:themeColor="accent3" w:themeTint="99"/>
        </w:tcBorders>
      </w:tcPr>
    </w:tblStylePr>
  </w:style>
  <w:style w:type="table" w:styleId="GridTable3-Accent4">
    <w:name w:val="Grid Table 3 Accent 4"/>
    <w:basedOn w:val="TableNormal"/>
    <w:uiPriority w:val="48"/>
    <w:rsid w:val="00163C56"/>
    <w:pPr>
      <w:spacing w:after="0" w:line="240" w:lineRule="auto"/>
    </w:pPr>
    <w:tblPr>
      <w:tblStyleRowBandSize w:val="1"/>
      <w:tblStyleColBandSize w:val="1"/>
      <w:tblBorders>
        <w:top w:val="single" w:sz="4" w:space="0" w:color="BFC6B1" w:themeColor="accent4" w:themeTint="99"/>
        <w:left w:val="single" w:sz="4" w:space="0" w:color="BFC6B1" w:themeColor="accent4" w:themeTint="99"/>
        <w:bottom w:val="single" w:sz="4" w:space="0" w:color="BFC6B1" w:themeColor="accent4" w:themeTint="99"/>
        <w:right w:val="single" w:sz="4" w:space="0" w:color="BFC6B1" w:themeColor="accent4" w:themeTint="99"/>
        <w:insideH w:val="single" w:sz="4" w:space="0" w:color="BFC6B1" w:themeColor="accent4" w:themeTint="99"/>
        <w:insideV w:val="single" w:sz="4" w:space="0" w:color="BFC6B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5" w:themeFill="accent4" w:themeFillTint="33"/>
      </w:tcPr>
    </w:tblStylePr>
    <w:tblStylePr w:type="band1Horz">
      <w:tblPr/>
      <w:tcPr>
        <w:shd w:val="clear" w:color="auto" w:fill="E9ECE5" w:themeFill="accent4" w:themeFillTint="33"/>
      </w:tcPr>
    </w:tblStylePr>
    <w:tblStylePr w:type="neCell">
      <w:tblPr/>
      <w:tcPr>
        <w:tcBorders>
          <w:bottom w:val="single" w:sz="4" w:space="0" w:color="BFC6B1" w:themeColor="accent4" w:themeTint="99"/>
        </w:tcBorders>
      </w:tcPr>
    </w:tblStylePr>
    <w:tblStylePr w:type="nwCell">
      <w:tblPr/>
      <w:tcPr>
        <w:tcBorders>
          <w:bottom w:val="single" w:sz="4" w:space="0" w:color="BFC6B1" w:themeColor="accent4" w:themeTint="99"/>
        </w:tcBorders>
      </w:tcPr>
    </w:tblStylePr>
    <w:tblStylePr w:type="seCell">
      <w:tblPr/>
      <w:tcPr>
        <w:tcBorders>
          <w:top w:val="single" w:sz="4" w:space="0" w:color="BFC6B1" w:themeColor="accent4" w:themeTint="99"/>
        </w:tcBorders>
      </w:tcPr>
    </w:tblStylePr>
    <w:tblStylePr w:type="swCell">
      <w:tblPr/>
      <w:tcPr>
        <w:tcBorders>
          <w:top w:val="single" w:sz="4" w:space="0" w:color="BFC6B1" w:themeColor="accent4" w:themeTint="99"/>
        </w:tcBorders>
      </w:tcPr>
    </w:tblStylePr>
  </w:style>
  <w:style w:type="table" w:styleId="GridTable3-Accent5">
    <w:name w:val="Grid Table 3 Accent 5"/>
    <w:basedOn w:val="TableNormal"/>
    <w:uiPriority w:val="48"/>
    <w:rsid w:val="00163C56"/>
    <w:pPr>
      <w:spacing w:after="0" w:line="240" w:lineRule="auto"/>
    </w:pPr>
    <w:tblPr>
      <w:tblStyleRowBandSize w:val="1"/>
      <w:tblStyleColBandSize w:val="1"/>
      <w:tblBorders>
        <w:top w:val="single" w:sz="4" w:space="0" w:color="FCE6DC" w:themeColor="accent5" w:themeTint="99"/>
        <w:left w:val="single" w:sz="4" w:space="0" w:color="FCE6DC" w:themeColor="accent5" w:themeTint="99"/>
        <w:bottom w:val="single" w:sz="4" w:space="0" w:color="FCE6DC" w:themeColor="accent5" w:themeTint="99"/>
        <w:right w:val="single" w:sz="4" w:space="0" w:color="FCE6DC" w:themeColor="accent5" w:themeTint="99"/>
        <w:insideH w:val="single" w:sz="4" w:space="0" w:color="FCE6DC" w:themeColor="accent5" w:themeTint="99"/>
        <w:insideV w:val="single" w:sz="4" w:space="0" w:color="FCE6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F3" w:themeFill="accent5" w:themeFillTint="33"/>
      </w:tcPr>
    </w:tblStylePr>
    <w:tblStylePr w:type="band1Horz">
      <w:tblPr/>
      <w:tcPr>
        <w:shd w:val="clear" w:color="auto" w:fill="FEF6F3" w:themeFill="accent5" w:themeFillTint="33"/>
      </w:tcPr>
    </w:tblStylePr>
    <w:tblStylePr w:type="neCell">
      <w:tblPr/>
      <w:tcPr>
        <w:tcBorders>
          <w:bottom w:val="single" w:sz="4" w:space="0" w:color="FCE6DC" w:themeColor="accent5" w:themeTint="99"/>
        </w:tcBorders>
      </w:tcPr>
    </w:tblStylePr>
    <w:tblStylePr w:type="nwCell">
      <w:tblPr/>
      <w:tcPr>
        <w:tcBorders>
          <w:bottom w:val="single" w:sz="4" w:space="0" w:color="FCE6DC" w:themeColor="accent5" w:themeTint="99"/>
        </w:tcBorders>
      </w:tcPr>
    </w:tblStylePr>
    <w:tblStylePr w:type="seCell">
      <w:tblPr/>
      <w:tcPr>
        <w:tcBorders>
          <w:top w:val="single" w:sz="4" w:space="0" w:color="FCE6DC" w:themeColor="accent5" w:themeTint="99"/>
        </w:tcBorders>
      </w:tcPr>
    </w:tblStylePr>
    <w:tblStylePr w:type="swCell">
      <w:tblPr/>
      <w:tcPr>
        <w:tcBorders>
          <w:top w:val="single" w:sz="4" w:space="0" w:color="FCE6DC" w:themeColor="accent5" w:themeTint="99"/>
        </w:tcBorders>
      </w:tcPr>
    </w:tblStylePr>
  </w:style>
  <w:style w:type="table" w:styleId="GridTable3-Accent6">
    <w:name w:val="Grid Table 3 Accent 6"/>
    <w:basedOn w:val="TableNormal"/>
    <w:uiPriority w:val="48"/>
    <w:rsid w:val="00163C56"/>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rsid w:val="00163C56"/>
    <w:pPr>
      <w:spacing w:after="0"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color w:val="FFFFFF" w:themeColor="background1"/>
      </w:rPr>
      <w:tblPr/>
      <w:tcPr>
        <w:tcBorders>
          <w:top w:val="single" w:sz="4" w:space="0" w:color="262626" w:themeColor="text1"/>
          <w:left w:val="single" w:sz="4" w:space="0" w:color="262626" w:themeColor="text1"/>
          <w:bottom w:val="single" w:sz="4" w:space="0" w:color="262626" w:themeColor="text1"/>
          <w:right w:val="single" w:sz="4" w:space="0" w:color="262626" w:themeColor="text1"/>
          <w:insideH w:val="nil"/>
          <w:insideV w:val="nil"/>
        </w:tcBorders>
        <w:shd w:val="clear" w:color="auto" w:fill="262626" w:themeFill="text1"/>
      </w:tcPr>
    </w:tblStylePr>
    <w:tblStylePr w:type="lastRow">
      <w:rPr>
        <w:b/>
        <w:bCs/>
      </w:rPr>
      <w:tblPr/>
      <w:tcPr>
        <w:tcBorders>
          <w:top w:val="double" w:sz="4" w:space="0" w:color="262626"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4-Accent1">
    <w:name w:val="Grid Table 4 Accent 1"/>
    <w:basedOn w:val="TableNormal"/>
    <w:uiPriority w:val="49"/>
    <w:rsid w:val="00163C56"/>
    <w:pPr>
      <w:spacing w:after="0" w:line="240" w:lineRule="auto"/>
    </w:pPr>
    <w:tblPr>
      <w:tblStyleRowBandSize w:val="1"/>
      <w:tblStyleColBandSize w:val="1"/>
      <w:tblBorders>
        <w:top w:val="single" w:sz="4" w:space="0" w:color="669FB9" w:themeColor="accent1" w:themeTint="99"/>
        <w:left w:val="single" w:sz="4" w:space="0" w:color="669FB9" w:themeColor="accent1" w:themeTint="99"/>
        <w:bottom w:val="single" w:sz="4" w:space="0" w:color="669FB9" w:themeColor="accent1" w:themeTint="99"/>
        <w:right w:val="single" w:sz="4" w:space="0" w:color="669FB9" w:themeColor="accent1" w:themeTint="99"/>
        <w:insideH w:val="single" w:sz="4" w:space="0" w:color="669FB9" w:themeColor="accent1" w:themeTint="99"/>
        <w:insideV w:val="single" w:sz="4" w:space="0" w:color="669FB9" w:themeColor="accent1" w:themeTint="99"/>
      </w:tblBorders>
    </w:tblPr>
    <w:tblStylePr w:type="firstRow">
      <w:rPr>
        <w:b/>
        <w:bCs/>
        <w:color w:val="FFFFFF" w:themeColor="background1"/>
      </w:rPr>
      <w:tblPr/>
      <w:tcPr>
        <w:tcBorders>
          <w:top w:val="single" w:sz="4" w:space="0" w:color="2C5060" w:themeColor="accent1"/>
          <w:left w:val="single" w:sz="4" w:space="0" w:color="2C5060" w:themeColor="accent1"/>
          <w:bottom w:val="single" w:sz="4" w:space="0" w:color="2C5060" w:themeColor="accent1"/>
          <w:right w:val="single" w:sz="4" w:space="0" w:color="2C5060" w:themeColor="accent1"/>
          <w:insideH w:val="nil"/>
          <w:insideV w:val="nil"/>
        </w:tcBorders>
        <w:shd w:val="clear" w:color="auto" w:fill="2C5060" w:themeFill="accent1"/>
      </w:tcPr>
    </w:tblStylePr>
    <w:tblStylePr w:type="lastRow">
      <w:rPr>
        <w:b/>
        <w:bCs/>
      </w:rPr>
      <w:tblPr/>
      <w:tcPr>
        <w:tcBorders>
          <w:top w:val="double" w:sz="4" w:space="0" w:color="2C5060" w:themeColor="accent1"/>
        </w:tcBorders>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GridTable4-Accent3">
    <w:name w:val="Grid Table 4 Accent 3"/>
    <w:basedOn w:val="TableNormal"/>
    <w:uiPriority w:val="49"/>
    <w:rsid w:val="00163C56"/>
    <w:pPr>
      <w:spacing w:after="0" w:line="240" w:lineRule="auto"/>
    </w:pPr>
    <w:tblPr>
      <w:tblStyleRowBandSize w:val="1"/>
      <w:tblStyleColBandSize w:val="1"/>
      <w:tblBorders>
        <w:top w:val="single" w:sz="4" w:space="0" w:color="CFD5D3" w:themeColor="accent3" w:themeTint="99"/>
        <w:left w:val="single" w:sz="4" w:space="0" w:color="CFD5D3" w:themeColor="accent3" w:themeTint="99"/>
        <w:bottom w:val="single" w:sz="4" w:space="0" w:color="CFD5D3" w:themeColor="accent3" w:themeTint="99"/>
        <w:right w:val="single" w:sz="4" w:space="0" w:color="CFD5D3" w:themeColor="accent3" w:themeTint="99"/>
        <w:insideH w:val="single" w:sz="4" w:space="0" w:color="CFD5D3" w:themeColor="accent3" w:themeTint="99"/>
        <w:insideV w:val="single" w:sz="4" w:space="0" w:color="CFD5D3" w:themeColor="accent3" w:themeTint="99"/>
      </w:tblBorders>
    </w:tblPr>
    <w:tblStylePr w:type="firstRow">
      <w:rPr>
        <w:b/>
        <w:bCs/>
        <w:color w:val="FFFFFF" w:themeColor="background1"/>
      </w:rPr>
      <w:tblPr/>
      <w:tcPr>
        <w:tcBorders>
          <w:top w:val="single" w:sz="4" w:space="0" w:color="AFB9B6" w:themeColor="accent3"/>
          <w:left w:val="single" w:sz="4" w:space="0" w:color="AFB9B6" w:themeColor="accent3"/>
          <w:bottom w:val="single" w:sz="4" w:space="0" w:color="AFB9B6" w:themeColor="accent3"/>
          <w:right w:val="single" w:sz="4" w:space="0" w:color="AFB9B6" w:themeColor="accent3"/>
          <w:insideH w:val="nil"/>
          <w:insideV w:val="nil"/>
        </w:tcBorders>
        <w:shd w:val="clear" w:color="auto" w:fill="AFB9B6" w:themeFill="accent3"/>
      </w:tcPr>
    </w:tblStylePr>
    <w:tblStylePr w:type="lastRow">
      <w:rPr>
        <w:b/>
        <w:bCs/>
      </w:rPr>
      <w:tblPr/>
      <w:tcPr>
        <w:tcBorders>
          <w:top w:val="double" w:sz="4" w:space="0" w:color="AFB9B6" w:themeColor="accent3"/>
        </w:tcBorders>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GridTable4-Accent4">
    <w:name w:val="Grid Table 4 Accent 4"/>
    <w:basedOn w:val="TableNormal"/>
    <w:uiPriority w:val="49"/>
    <w:rsid w:val="00163C56"/>
    <w:pPr>
      <w:spacing w:after="0" w:line="240" w:lineRule="auto"/>
    </w:pPr>
    <w:tblPr>
      <w:tblStyleRowBandSize w:val="1"/>
      <w:tblStyleColBandSize w:val="1"/>
      <w:tblBorders>
        <w:top w:val="single" w:sz="4" w:space="0" w:color="BFC6B1" w:themeColor="accent4" w:themeTint="99"/>
        <w:left w:val="single" w:sz="4" w:space="0" w:color="BFC6B1" w:themeColor="accent4" w:themeTint="99"/>
        <w:bottom w:val="single" w:sz="4" w:space="0" w:color="BFC6B1" w:themeColor="accent4" w:themeTint="99"/>
        <w:right w:val="single" w:sz="4" w:space="0" w:color="BFC6B1" w:themeColor="accent4" w:themeTint="99"/>
        <w:insideH w:val="single" w:sz="4" w:space="0" w:color="BFC6B1" w:themeColor="accent4" w:themeTint="99"/>
        <w:insideV w:val="single" w:sz="4" w:space="0" w:color="BFC6B1" w:themeColor="accent4" w:themeTint="99"/>
      </w:tblBorders>
    </w:tblPr>
    <w:tblStylePr w:type="firstRow">
      <w:rPr>
        <w:b/>
        <w:bCs/>
        <w:color w:val="FFFFFF" w:themeColor="background1"/>
      </w:rPr>
      <w:tblPr/>
      <w:tcPr>
        <w:tcBorders>
          <w:top w:val="single" w:sz="4" w:space="0" w:color="95A17E" w:themeColor="accent4"/>
          <w:left w:val="single" w:sz="4" w:space="0" w:color="95A17E" w:themeColor="accent4"/>
          <w:bottom w:val="single" w:sz="4" w:space="0" w:color="95A17E" w:themeColor="accent4"/>
          <w:right w:val="single" w:sz="4" w:space="0" w:color="95A17E" w:themeColor="accent4"/>
          <w:insideH w:val="nil"/>
          <w:insideV w:val="nil"/>
        </w:tcBorders>
        <w:shd w:val="clear" w:color="auto" w:fill="95A17E" w:themeFill="accent4"/>
      </w:tcPr>
    </w:tblStylePr>
    <w:tblStylePr w:type="lastRow">
      <w:rPr>
        <w:b/>
        <w:bCs/>
      </w:rPr>
      <w:tblPr/>
      <w:tcPr>
        <w:tcBorders>
          <w:top w:val="double" w:sz="4" w:space="0" w:color="95A17E" w:themeColor="accent4"/>
        </w:tcBorders>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GridTable4-Accent5">
    <w:name w:val="Grid Table 4 Accent 5"/>
    <w:basedOn w:val="TableNormal"/>
    <w:uiPriority w:val="49"/>
    <w:rsid w:val="00163C56"/>
    <w:pPr>
      <w:spacing w:after="0" w:line="240" w:lineRule="auto"/>
    </w:pPr>
    <w:tblPr>
      <w:tblStyleRowBandSize w:val="1"/>
      <w:tblStyleColBandSize w:val="1"/>
      <w:tblBorders>
        <w:top w:val="single" w:sz="4" w:space="0" w:color="FCE6DC" w:themeColor="accent5" w:themeTint="99"/>
        <w:left w:val="single" w:sz="4" w:space="0" w:color="FCE6DC" w:themeColor="accent5" w:themeTint="99"/>
        <w:bottom w:val="single" w:sz="4" w:space="0" w:color="FCE6DC" w:themeColor="accent5" w:themeTint="99"/>
        <w:right w:val="single" w:sz="4" w:space="0" w:color="FCE6DC" w:themeColor="accent5" w:themeTint="99"/>
        <w:insideH w:val="single" w:sz="4" w:space="0" w:color="FCE6DC" w:themeColor="accent5" w:themeTint="99"/>
        <w:insideV w:val="single" w:sz="4" w:space="0" w:color="FCE6DC" w:themeColor="accent5" w:themeTint="99"/>
      </w:tblBorders>
    </w:tblPr>
    <w:tblStylePr w:type="firstRow">
      <w:rPr>
        <w:b/>
        <w:bCs/>
        <w:color w:val="FFFFFF" w:themeColor="background1"/>
      </w:rPr>
      <w:tblPr/>
      <w:tcPr>
        <w:tcBorders>
          <w:top w:val="single" w:sz="4" w:space="0" w:color="FBD7C5" w:themeColor="accent5"/>
          <w:left w:val="single" w:sz="4" w:space="0" w:color="FBD7C5" w:themeColor="accent5"/>
          <w:bottom w:val="single" w:sz="4" w:space="0" w:color="FBD7C5" w:themeColor="accent5"/>
          <w:right w:val="single" w:sz="4" w:space="0" w:color="FBD7C5" w:themeColor="accent5"/>
          <w:insideH w:val="nil"/>
          <w:insideV w:val="nil"/>
        </w:tcBorders>
        <w:shd w:val="clear" w:color="auto" w:fill="FBD7C5" w:themeFill="accent5"/>
      </w:tcPr>
    </w:tblStylePr>
    <w:tblStylePr w:type="lastRow">
      <w:rPr>
        <w:b/>
        <w:bCs/>
      </w:rPr>
      <w:tblPr/>
      <w:tcPr>
        <w:tcBorders>
          <w:top w:val="double" w:sz="4" w:space="0" w:color="FBD7C5" w:themeColor="accent5"/>
        </w:tcBorders>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GridTable4-Accent6">
    <w:name w:val="Grid Table 4 Accent 6"/>
    <w:basedOn w:val="TableNormal"/>
    <w:uiPriority w:val="49"/>
    <w:rsid w:val="00163C56"/>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6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6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6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626" w:themeFill="text1"/>
      </w:tcPr>
    </w:tblStylePr>
    <w:tblStylePr w:type="band1Vert">
      <w:tblPr/>
      <w:tcPr>
        <w:shd w:val="clear" w:color="auto" w:fill="A8A8A8" w:themeFill="text1" w:themeFillTint="66"/>
      </w:tcPr>
    </w:tblStylePr>
    <w:tblStylePr w:type="band1Horz">
      <w:tblPr/>
      <w:tcPr>
        <w:shd w:val="clear" w:color="auto" w:fill="A8A8A8" w:themeFill="text1" w:themeFillTint="66"/>
      </w:tcPr>
    </w:tblStylePr>
  </w:style>
  <w:style w:type="table" w:styleId="GridTable5Dark-Accent1">
    <w:name w:val="Grid Table 5 Dark Accent 1"/>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060" w:themeFill="accent1"/>
      </w:tcPr>
    </w:tblStylePr>
    <w:tblStylePr w:type="band1Vert">
      <w:tblPr/>
      <w:tcPr>
        <w:shd w:val="clear" w:color="auto" w:fill="99BFD0" w:themeFill="accent1" w:themeFillTint="66"/>
      </w:tcPr>
    </w:tblStylePr>
    <w:tblStylePr w:type="band1Horz">
      <w:tblPr/>
      <w:tcPr>
        <w:shd w:val="clear" w:color="auto" w:fill="99BFD0" w:themeFill="accent1" w:themeFillTint="66"/>
      </w:tcPr>
    </w:tblStylePr>
  </w:style>
  <w:style w:type="table" w:styleId="GridTable5Dark-Accent2">
    <w:name w:val="Grid Table 5 Dark Accent 2"/>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F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641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641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641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641C" w:themeFill="accent2"/>
      </w:tcPr>
    </w:tblStylePr>
    <w:tblStylePr w:type="band1Vert">
      <w:tblPr/>
      <w:tcPr>
        <w:shd w:val="clear" w:color="auto" w:fill="F7C0A4" w:themeFill="accent2" w:themeFillTint="66"/>
      </w:tcPr>
    </w:tblStylePr>
    <w:tblStylePr w:type="band1Horz">
      <w:tblPr/>
      <w:tcPr>
        <w:shd w:val="clear" w:color="auto" w:fill="F7C0A4" w:themeFill="accent2" w:themeFillTint="66"/>
      </w:tcPr>
    </w:tblStylePr>
  </w:style>
  <w:style w:type="table" w:styleId="GridTable5Dark-Accent3">
    <w:name w:val="Grid Table 5 Dark Accent 3"/>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1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B9B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B9B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B9B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B9B6" w:themeFill="accent3"/>
      </w:tcPr>
    </w:tblStylePr>
    <w:tblStylePr w:type="band1Vert">
      <w:tblPr/>
      <w:tcPr>
        <w:shd w:val="clear" w:color="auto" w:fill="DFE3E1" w:themeFill="accent3" w:themeFillTint="66"/>
      </w:tcPr>
    </w:tblStylePr>
    <w:tblStylePr w:type="band1Horz">
      <w:tblPr/>
      <w:tcPr>
        <w:shd w:val="clear" w:color="auto" w:fill="DFE3E1" w:themeFill="accent3" w:themeFillTint="66"/>
      </w:tcPr>
    </w:tblStylePr>
  </w:style>
  <w:style w:type="table" w:styleId="GridTable5Dark-Accent4">
    <w:name w:val="Grid Table 5 Dark Accent 4"/>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A17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A17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A17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A17E" w:themeFill="accent4"/>
      </w:tcPr>
    </w:tblStylePr>
    <w:tblStylePr w:type="band1Vert">
      <w:tblPr/>
      <w:tcPr>
        <w:shd w:val="clear" w:color="auto" w:fill="D4D9CB" w:themeFill="accent4" w:themeFillTint="66"/>
      </w:tcPr>
    </w:tblStylePr>
    <w:tblStylePr w:type="band1Horz">
      <w:tblPr/>
      <w:tcPr>
        <w:shd w:val="clear" w:color="auto" w:fill="D4D9CB" w:themeFill="accent4" w:themeFillTint="66"/>
      </w:tcPr>
    </w:tblStylePr>
  </w:style>
  <w:style w:type="table" w:styleId="GridTable5Dark-Accent5">
    <w:name w:val="Grid Table 5 Dark Accent 5"/>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6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D7C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D7C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D7C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D7C5" w:themeFill="accent5"/>
      </w:tcPr>
    </w:tblStylePr>
    <w:tblStylePr w:type="band1Vert">
      <w:tblPr/>
      <w:tcPr>
        <w:shd w:val="clear" w:color="auto" w:fill="FDEEE7" w:themeFill="accent5" w:themeFillTint="66"/>
      </w:tcPr>
    </w:tblStylePr>
    <w:tblStylePr w:type="band1Horz">
      <w:tblPr/>
      <w:tcPr>
        <w:shd w:val="clear" w:color="auto" w:fill="FDEEE7" w:themeFill="accent5" w:themeFillTint="66"/>
      </w:tcPr>
    </w:tblStylePr>
  </w:style>
  <w:style w:type="table" w:styleId="GridTable5Dark-Accent6">
    <w:name w:val="Grid Table 5 Dark Accent 6"/>
    <w:basedOn w:val="TableNormal"/>
    <w:uiPriority w:val="50"/>
    <w:rsid w:val="00163C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rsid w:val="00163C56"/>
    <w:pPr>
      <w:spacing w:after="0" w:line="240" w:lineRule="auto"/>
    </w:pPr>
    <w:rPr>
      <w:color w:val="262626" w:themeColor="text1"/>
    </w:r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bottom w:val="single" w:sz="12" w:space="0" w:color="7C7C7C" w:themeColor="text1" w:themeTint="99"/>
        </w:tcBorders>
      </w:tcPr>
    </w:tblStylePr>
    <w:tblStylePr w:type="lastRow">
      <w:rPr>
        <w:b/>
        <w:bCs/>
      </w:rPr>
      <w:tblPr/>
      <w:tcPr>
        <w:tcBorders>
          <w:top w:val="doub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6Colorful-Accent1">
    <w:name w:val="Grid Table 6 Colorful Accent 1"/>
    <w:basedOn w:val="TableNormal"/>
    <w:uiPriority w:val="51"/>
    <w:rsid w:val="00163C56"/>
    <w:pPr>
      <w:spacing w:after="0" w:line="240" w:lineRule="auto"/>
    </w:pPr>
    <w:rPr>
      <w:color w:val="213B47" w:themeColor="accent1" w:themeShade="BF"/>
    </w:rPr>
    <w:tblPr>
      <w:tblStyleRowBandSize w:val="1"/>
      <w:tblStyleColBandSize w:val="1"/>
      <w:tblBorders>
        <w:top w:val="single" w:sz="4" w:space="0" w:color="669FB9" w:themeColor="accent1" w:themeTint="99"/>
        <w:left w:val="single" w:sz="4" w:space="0" w:color="669FB9" w:themeColor="accent1" w:themeTint="99"/>
        <w:bottom w:val="single" w:sz="4" w:space="0" w:color="669FB9" w:themeColor="accent1" w:themeTint="99"/>
        <w:right w:val="single" w:sz="4" w:space="0" w:color="669FB9" w:themeColor="accent1" w:themeTint="99"/>
        <w:insideH w:val="single" w:sz="4" w:space="0" w:color="669FB9" w:themeColor="accent1" w:themeTint="99"/>
        <w:insideV w:val="single" w:sz="4" w:space="0" w:color="669FB9" w:themeColor="accent1" w:themeTint="99"/>
      </w:tblBorders>
    </w:tblPr>
    <w:tblStylePr w:type="firstRow">
      <w:rPr>
        <w:b/>
        <w:bCs/>
      </w:rPr>
      <w:tblPr/>
      <w:tcPr>
        <w:tcBorders>
          <w:bottom w:val="single" w:sz="12" w:space="0" w:color="669FB9" w:themeColor="accent1" w:themeTint="99"/>
        </w:tcBorders>
      </w:tcPr>
    </w:tblStylePr>
    <w:tblStylePr w:type="lastRow">
      <w:rPr>
        <w:b/>
        <w:bCs/>
      </w:rPr>
      <w:tblPr/>
      <w:tcPr>
        <w:tcBorders>
          <w:top w:val="double" w:sz="4" w:space="0" w:color="669FB9" w:themeColor="accent1" w:themeTint="99"/>
        </w:tcBorders>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GridTable6Colorful-Accent2">
    <w:name w:val="Grid Table 6 Colorful Accent 2"/>
    <w:basedOn w:val="TableNormal"/>
    <w:uiPriority w:val="51"/>
    <w:rsid w:val="00163C56"/>
    <w:pPr>
      <w:spacing w:after="0" w:line="240" w:lineRule="auto"/>
    </w:pPr>
    <w:rPr>
      <w:color w:val="B7480E" w:themeColor="accent2" w:themeShade="BF"/>
    </w:rPr>
    <w:tblPr>
      <w:tblStyleRowBandSize w:val="1"/>
      <w:tblStyleColBandSize w:val="1"/>
      <w:tblBorders>
        <w:top w:val="single" w:sz="4" w:space="0" w:color="F4A176" w:themeColor="accent2" w:themeTint="99"/>
        <w:left w:val="single" w:sz="4" w:space="0" w:color="F4A176" w:themeColor="accent2" w:themeTint="99"/>
        <w:bottom w:val="single" w:sz="4" w:space="0" w:color="F4A176" w:themeColor="accent2" w:themeTint="99"/>
        <w:right w:val="single" w:sz="4" w:space="0" w:color="F4A176" w:themeColor="accent2" w:themeTint="99"/>
        <w:insideH w:val="single" w:sz="4" w:space="0" w:color="F4A176" w:themeColor="accent2" w:themeTint="99"/>
        <w:insideV w:val="single" w:sz="4" w:space="0" w:color="F4A176" w:themeColor="accent2" w:themeTint="99"/>
      </w:tblBorders>
    </w:tblPr>
    <w:tblStylePr w:type="firstRow">
      <w:rPr>
        <w:b/>
        <w:bCs/>
      </w:rPr>
      <w:tblPr/>
      <w:tcPr>
        <w:tcBorders>
          <w:bottom w:val="single" w:sz="12" w:space="0" w:color="F4A176" w:themeColor="accent2" w:themeTint="99"/>
        </w:tcBorders>
      </w:tcPr>
    </w:tblStylePr>
    <w:tblStylePr w:type="lastRow">
      <w:rPr>
        <w:b/>
        <w:bCs/>
      </w:rPr>
      <w:tblPr/>
      <w:tcPr>
        <w:tcBorders>
          <w:top w:val="double" w:sz="4" w:space="0" w:color="F4A176" w:themeColor="accent2" w:themeTint="99"/>
        </w:tcBorders>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GridTable6Colorful-Accent3">
    <w:name w:val="Grid Table 6 Colorful Accent 3"/>
    <w:basedOn w:val="TableNormal"/>
    <w:uiPriority w:val="51"/>
    <w:rsid w:val="00163C56"/>
    <w:pPr>
      <w:spacing w:after="0" w:line="240" w:lineRule="auto"/>
    </w:pPr>
    <w:rPr>
      <w:color w:val="7E8E89" w:themeColor="accent3" w:themeShade="BF"/>
    </w:rPr>
    <w:tblPr>
      <w:tblStyleRowBandSize w:val="1"/>
      <w:tblStyleColBandSize w:val="1"/>
      <w:tblBorders>
        <w:top w:val="single" w:sz="4" w:space="0" w:color="CFD5D3" w:themeColor="accent3" w:themeTint="99"/>
        <w:left w:val="single" w:sz="4" w:space="0" w:color="CFD5D3" w:themeColor="accent3" w:themeTint="99"/>
        <w:bottom w:val="single" w:sz="4" w:space="0" w:color="CFD5D3" w:themeColor="accent3" w:themeTint="99"/>
        <w:right w:val="single" w:sz="4" w:space="0" w:color="CFD5D3" w:themeColor="accent3" w:themeTint="99"/>
        <w:insideH w:val="single" w:sz="4" w:space="0" w:color="CFD5D3" w:themeColor="accent3" w:themeTint="99"/>
        <w:insideV w:val="single" w:sz="4" w:space="0" w:color="CFD5D3" w:themeColor="accent3" w:themeTint="99"/>
      </w:tblBorders>
    </w:tblPr>
    <w:tblStylePr w:type="firstRow">
      <w:rPr>
        <w:b/>
        <w:bCs/>
      </w:rPr>
      <w:tblPr/>
      <w:tcPr>
        <w:tcBorders>
          <w:bottom w:val="single" w:sz="12" w:space="0" w:color="CFD5D3" w:themeColor="accent3" w:themeTint="99"/>
        </w:tcBorders>
      </w:tcPr>
    </w:tblStylePr>
    <w:tblStylePr w:type="lastRow">
      <w:rPr>
        <w:b/>
        <w:bCs/>
      </w:rPr>
      <w:tblPr/>
      <w:tcPr>
        <w:tcBorders>
          <w:top w:val="double" w:sz="4" w:space="0" w:color="CFD5D3" w:themeColor="accent3" w:themeTint="99"/>
        </w:tcBorders>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GridTable6Colorful-Accent4">
    <w:name w:val="Grid Table 6 Colorful Accent 4"/>
    <w:basedOn w:val="TableNormal"/>
    <w:uiPriority w:val="51"/>
    <w:rsid w:val="00163C56"/>
    <w:pPr>
      <w:spacing w:after="0" w:line="240" w:lineRule="auto"/>
    </w:pPr>
    <w:rPr>
      <w:color w:val="707C5A" w:themeColor="accent4" w:themeShade="BF"/>
    </w:rPr>
    <w:tblPr>
      <w:tblStyleRowBandSize w:val="1"/>
      <w:tblStyleColBandSize w:val="1"/>
      <w:tblBorders>
        <w:top w:val="single" w:sz="4" w:space="0" w:color="BFC6B1" w:themeColor="accent4" w:themeTint="99"/>
        <w:left w:val="single" w:sz="4" w:space="0" w:color="BFC6B1" w:themeColor="accent4" w:themeTint="99"/>
        <w:bottom w:val="single" w:sz="4" w:space="0" w:color="BFC6B1" w:themeColor="accent4" w:themeTint="99"/>
        <w:right w:val="single" w:sz="4" w:space="0" w:color="BFC6B1" w:themeColor="accent4" w:themeTint="99"/>
        <w:insideH w:val="single" w:sz="4" w:space="0" w:color="BFC6B1" w:themeColor="accent4" w:themeTint="99"/>
        <w:insideV w:val="single" w:sz="4" w:space="0" w:color="BFC6B1" w:themeColor="accent4" w:themeTint="99"/>
      </w:tblBorders>
    </w:tblPr>
    <w:tblStylePr w:type="firstRow">
      <w:rPr>
        <w:b/>
        <w:bCs/>
      </w:rPr>
      <w:tblPr/>
      <w:tcPr>
        <w:tcBorders>
          <w:bottom w:val="single" w:sz="12" w:space="0" w:color="BFC6B1" w:themeColor="accent4" w:themeTint="99"/>
        </w:tcBorders>
      </w:tcPr>
    </w:tblStylePr>
    <w:tblStylePr w:type="lastRow">
      <w:rPr>
        <w:b/>
        <w:bCs/>
      </w:rPr>
      <w:tblPr/>
      <w:tcPr>
        <w:tcBorders>
          <w:top w:val="double" w:sz="4" w:space="0" w:color="BFC6B1" w:themeColor="accent4" w:themeTint="99"/>
        </w:tcBorders>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GridTable6Colorful-Accent5">
    <w:name w:val="Grid Table 6 Colorful Accent 5"/>
    <w:basedOn w:val="TableNormal"/>
    <w:uiPriority w:val="51"/>
    <w:rsid w:val="00163C56"/>
    <w:pPr>
      <w:spacing w:after="0" w:line="240" w:lineRule="auto"/>
    </w:pPr>
    <w:rPr>
      <w:color w:val="F38E5B" w:themeColor="accent5" w:themeShade="BF"/>
    </w:rPr>
    <w:tblPr>
      <w:tblStyleRowBandSize w:val="1"/>
      <w:tblStyleColBandSize w:val="1"/>
      <w:tblBorders>
        <w:top w:val="single" w:sz="4" w:space="0" w:color="FCE6DC" w:themeColor="accent5" w:themeTint="99"/>
        <w:left w:val="single" w:sz="4" w:space="0" w:color="FCE6DC" w:themeColor="accent5" w:themeTint="99"/>
        <w:bottom w:val="single" w:sz="4" w:space="0" w:color="FCE6DC" w:themeColor="accent5" w:themeTint="99"/>
        <w:right w:val="single" w:sz="4" w:space="0" w:color="FCE6DC" w:themeColor="accent5" w:themeTint="99"/>
        <w:insideH w:val="single" w:sz="4" w:space="0" w:color="FCE6DC" w:themeColor="accent5" w:themeTint="99"/>
        <w:insideV w:val="single" w:sz="4" w:space="0" w:color="FCE6DC" w:themeColor="accent5" w:themeTint="99"/>
      </w:tblBorders>
    </w:tblPr>
    <w:tblStylePr w:type="firstRow">
      <w:rPr>
        <w:b/>
        <w:bCs/>
      </w:rPr>
      <w:tblPr/>
      <w:tcPr>
        <w:tcBorders>
          <w:bottom w:val="single" w:sz="12" w:space="0" w:color="FCE6DC" w:themeColor="accent5" w:themeTint="99"/>
        </w:tcBorders>
      </w:tcPr>
    </w:tblStylePr>
    <w:tblStylePr w:type="lastRow">
      <w:rPr>
        <w:b/>
        <w:bCs/>
      </w:rPr>
      <w:tblPr/>
      <w:tcPr>
        <w:tcBorders>
          <w:top w:val="double" w:sz="4" w:space="0" w:color="FCE6DC" w:themeColor="accent5" w:themeTint="99"/>
        </w:tcBorders>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GridTable6Colorful-Accent6">
    <w:name w:val="Grid Table 6 Colorful Accent 6"/>
    <w:basedOn w:val="TableNormal"/>
    <w:uiPriority w:val="51"/>
    <w:rsid w:val="00163C56"/>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rsid w:val="00163C56"/>
    <w:pPr>
      <w:spacing w:after="0" w:line="240" w:lineRule="auto"/>
    </w:pPr>
    <w:rPr>
      <w:color w:val="262626" w:themeColor="text1"/>
    </w:r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C7C7C" w:themeColor="text1" w:themeTint="99"/>
        </w:tcBorders>
      </w:tcPr>
    </w:tblStylePr>
    <w:tblStylePr w:type="nwCell">
      <w:tblPr/>
      <w:tcPr>
        <w:tcBorders>
          <w:bottom w:val="single" w:sz="4" w:space="0" w:color="7C7C7C" w:themeColor="text1" w:themeTint="99"/>
        </w:tcBorders>
      </w:tcPr>
    </w:tblStylePr>
    <w:tblStylePr w:type="seCell">
      <w:tblPr/>
      <w:tcPr>
        <w:tcBorders>
          <w:top w:val="single" w:sz="4" w:space="0" w:color="7C7C7C" w:themeColor="text1" w:themeTint="99"/>
        </w:tcBorders>
      </w:tcPr>
    </w:tblStylePr>
    <w:tblStylePr w:type="swCell">
      <w:tblPr/>
      <w:tcPr>
        <w:tcBorders>
          <w:top w:val="single" w:sz="4" w:space="0" w:color="7C7C7C" w:themeColor="text1" w:themeTint="99"/>
        </w:tcBorders>
      </w:tcPr>
    </w:tblStylePr>
  </w:style>
  <w:style w:type="table" w:styleId="GridTable7Colorful-Accent1">
    <w:name w:val="Grid Table 7 Colorful Accent 1"/>
    <w:basedOn w:val="TableNormal"/>
    <w:uiPriority w:val="52"/>
    <w:rsid w:val="00163C56"/>
    <w:pPr>
      <w:spacing w:after="0" w:line="240" w:lineRule="auto"/>
    </w:pPr>
    <w:rPr>
      <w:color w:val="213B47" w:themeColor="accent1" w:themeShade="BF"/>
    </w:rPr>
    <w:tblPr>
      <w:tblStyleRowBandSize w:val="1"/>
      <w:tblStyleColBandSize w:val="1"/>
      <w:tblBorders>
        <w:top w:val="single" w:sz="4" w:space="0" w:color="669FB9" w:themeColor="accent1" w:themeTint="99"/>
        <w:left w:val="single" w:sz="4" w:space="0" w:color="669FB9" w:themeColor="accent1" w:themeTint="99"/>
        <w:bottom w:val="single" w:sz="4" w:space="0" w:color="669FB9" w:themeColor="accent1" w:themeTint="99"/>
        <w:right w:val="single" w:sz="4" w:space="0" w:color="669FB9" w:themeColor="accent1" w:themeTint="99"/>
        <w:insideH w:val="single" w:sz="4" w:space="0" w:color="669FB9" w:themeColor="accent1" w:themeTint="99"/>
        <w:insideV w:val="single" w:sz="4" w:space="0" w:color="669FB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FE7" w:themeFill="accent1" w:themeFillTint="33"/>
      </w:tcPr>
    </w:tblStylePr>
    <w:tblStylePr w:type="band1Horz">
      <w:tblPr/>
      <w:tcPr>
        <w:shd w:val="clear" w:color="auto" w:fill="CCDFE7" w:themeFill="accent1" w:themeFillTint="33"/>
      </w:tcPr>
    </w:tblStylePr>
    <w:tblStylePr w:type="neCell">
      <w:tblPr/>
      <w:tcPr>
        <w:tcBorders>
          <w:bottom w:val="single" w:sz="4" w:space="0" w:color="669FB9" w:themeColor="accent1" w:themeTint="99"/>
        </w:tcBorders>
      </w:tcPr>
    </w:tblStylePr>
    <w:tblStylePr w:type="nwCell">
      <w:tblPr/>
      <w:tcPr>
        <w:tcBorders>
          <w:bottom w:val="single" w:sz="4" w:space="0" w:color="669FB9" w:themeColor="accent1" w:themeTint="99"/>
        </w:tcBorders>
      </w:tcPr>
    </w:tblStylePr>
    <w:tblStylePr w:type="seCell">
      <w:tblPr/>
      <w:tcPr>
        <w:tcBorders>
          <w:top w:val="single" w:sz="4" w:space="0" w:color="669FB9" w:themeColor="accent1" w:themeTint="99"/>
        </w:tcBorders>
      </w:tcPr>
    </w:tblStylePr>
    <w:tblStylePr w:type="swCell">
      <w:tblPr/>
      <w:tcPr>
        <w:tcBorders>
          <w:top w:val="single" w:sz="4" w:space="0" w:color="669FB9" w:themeColor="accent1" w:themeTint="99"/>
        </w:tcBorders>
      </w:tcPr>
    </w:tblStylePr>
  </w:style>
  <w:style w:type="table" w:styleId="GridTable7Colorful-Accent2">
    <w:name w:val="Grid Table 7 Colorful Accent 2"/>
    <w:basedOn w:val="TableNormal"/>
    <w:uiPriority w:val="52"/>
    <w:rsid w:val="00163C56"/>
    <w:pPr>
      <w:spacing w:after="0" w:line="240" w:lineRule="auto"/>
    </w:pPr>
    <w:rPr>
      <w:color w:val="B7480E" w:themeColor="accent2" w:themeShade="BF"/>
    </w:rPr>
    <w:tblPr>
      <w:tblStyleRowBandSize w:val="1"/>
      <w:tblStyleColBandSize w:val="1"/>
      <w:tblBorders>
        <w:top w:val="single" w:sz="4" w:space="0" w:color="F4A176" w:themeColor="accent2" w:themeTint="99"/>
        <w:left w:val="single" w:sz="4" w:space="0" w:color="F4A176" w:themeColor="accent2" w:themeTint="99"/>
        <w:bottom w:val="single" w:sz="4" w:space="0" w:color="F4A176" w:themeColor="accent2" w:themeTint="99"/>
        <w:right w:val="single" w:sz="4" w:space="0" w:color="F4A176" w:themeColor="accent2" w:themeTint="99"/>
        <w:insideH w:val="single" w:sz="4" w:space="0" w:color="F4A176" w:themeColor="accent2" w:themeTint="99"/>
        <w:insideV w:val="single" w:sz="4" w:space="0" w:color="F4A1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FD1" w:themeFill="accent2" w:themeFillTint="33"/>
      </w:tcPr>
    </w:tblStylePr>
    <w:tblStylePr w:type="band1Horz">
      <w:tblPr/>
      <w:tcPr>
        <w:shd w:val="clear" w:color="auto" w:fill="FBDFD1" w:themeFill="accent2" w:themeFillTint="33"/>
      </w:tcPr>
    </w:tblStylePr>
    <w:tblStylePr w:type="neCell">
      <w:tblPr/>
      <w:tcPr>
        <w:tcBorders>
          <w:bottom w:val="single" w:sz="4" w:space="0" w:color="F4A176" w:themeColor="accent2" w:themeTint="99"/>
        </w:tcBorders>
      </w:tcPr>
    </w:tblStylePr>
    <w:tblStylePr w:type="nwCell">
      <w:tblPr/>
      <w:tcPr>
        <w:tcBorders>
          <w:bottom w:val="single" w:sz="4" w:space="0" w:color="F4A176" w:themeColor="accent2" w:themeTint="99"/>
        </w:tcBorders>
      </w:tcPr>
    </w:tblStylePr>
    <w:tblStylePr w:type="seCell">
      <w:tblPr/>
      <w:tcPr>
        <w:tcBorders>
          <w:top w:val="single" w:sz="4" w:space="0" w:color="F4A176" w:themeColor="accent2" w:themeTint="99"/>
        </w:tcBorders>
      </w:tcPr>
    </w:tblStylePr>
    <w:tblStylePr w:type="swCell">
      <w:tblPr/>
      <w:tcPr>
        <w:tcBorders>
          <w:top w:val="single" w:sz="4" w:space="0" w:color="F4A176" w:themeColor="accent2" w:themeTint="99"/>
        </w:tcBorders>
      </w:tcPr>
    </w:tblStylePr>
  </w:style>
  <w:style w:type="table" w:styleId="GridTable7Colorful-Accent3">
    <w:name w:val="Grid Table 7 Colorful Accent 3"/>
    <w:basedOn w:val="TableNormal"/>
    <w:uiPriority w:val="52"/>
    <w:rsid w:val="00163C56"/>
    <w:pPr>
      <w:spacing w:after="0" w:line="240" w:lineRule="auto"/>
    </w:pPr>
    <w:rPr>
      <w:color w:val="7E8E89" w:themeColor="accent3" w:themeShade="BF"/>
    </w:rPr>
    <w:tblPr>
      <w:tblStyleRowBandSize w:val="1"/>
      <w:tblStyleColBandSize w:val="1"/>
      <w:tblBorders>
        <w:top w:val="single" w:sz="4" w:space="0" w:color="CFD5D3" w:themeColor="accent3" w:themeTint="99"/>
        <w:left w:val="single" w:sz="4" w:space="0" w:color="CFD5D3" w:themeColor="accent3" w:themeTint="99"/>
        <w:bottom w:val="single" w:sz="4" w:space="0" w:color="CFD5D3" w:themeColor="accent3" w:themeTint="99"/>
        <w:right w:val="single" w:sz="4" w:space="0" w:color="CFD5D3" w:themeColor="accent3" w:themeTint="99"/>
        <w:insideH w:val="single" w:sz="4" w:space="0" w:color="CFD5D3" w:themeColor="accent3" w:themeTint="99"/>
        <w:insideV w:val="single" w:sz="4" w:space="0" w:color="CFD5D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1F0" w:themeFill="accent3" w:themeFillTint="33"/>
      </w:tcPr>
    </w:tblStylePr>
    <w:tblStylePr w:type="band1Horz">
      <w:tblPr/>
      <w:tcPr>
        <w:shd w:val="clear" w:color="auto" w:fill="EFF1F0" w:themeFill="accent3" w:themeFillTint="33"/>
      </w:tcPr>
    </w:tblStylePr>
    <w:tblStylePr w:type="neCell">
      <w:tblPr/>
      <w:tcPr>
        <w:tcBorders>
          <w:bottom w:val="single" w:sz="4" w:space="0" w:color="CFD5D3" w:themeColor="accent3" w:themeTint="99"/>
        </w:tcBorders>
      </w:tcPr>
    </w:tblStylePr>
    <w:tblStylePr w:type="nwCell">
      <w:tblPr/>
      <w:tcPr>
        <w:tcBorders>
          <w:bottom w:val="single" w:sz="4" w:space="0" w:color="CFD5D3" w:themeColor="accent3" w:themeTint="99"/>
        </w:tcBorders>
      </w:tcPr>
    </w:tblStylePr>
    <w:tblStylePr w:type="seCell">
      <w:tblPr/>
      <w:tcPr>
        <w:tcBorders>
          <w:top w:val="single" w:sz="4" w:space="0" w:color="CFD5D3" w:themeColor="accent3" w:themeTint="99"/>
        </w:tcBorders>
      </w:tcPr>
    </w:tblStylePr>
    <w:tblStylePr w:type="swCell">
      <w:tblPr/>
      <w:tcPr>
        <w:tcBorders>
          <w:top w:val="single" w:sz="4" w:space="0" w:color="CFD5D3" w:themeColor="accent3" w:themeTint="99"/>
        </w:tcBorders>
      </w:tcPr>
    </w:tblStylePr>
  </w:style>
  <w:style w:type="table" w:styleId="GridTable7Colorful-Accent4">
    <w:name w:val="Grid Table 7 Colorful Accent 4"/>
    <w:basedOn w:val="TableNormal"/>
    <w:uiPriority w:val="52"/>
    <w:rsid w:val="00163C56"/>
    <w:pPr>
      <w:spacing w:after="0" w:line="240" w:lineRule="auto"/>
    </w:pPr>
    <w:rPr>
      <w:color w:val="707C5A" w:themeColor="accent4" w:themeShade="BF"/>
    </w:rPr>
    <w:tblPr>
      <w:tblStyleRowBandSize w:val="1"/>
      <w:tblStyleColBandSize w:val="1"/>
      <w:tblBorders>
        <w:top w:val="single" w:sz="4" w:space="0" w:color="BFC6B1" w:themeColor="accent4" w:themeTint="99"/>
        <w:left w:val="single" w:sz="4" w:space="0" w:color="BFC6B1" w:themeColor="accent4" w:themeTint="99"/>
        <w:bottom w:val="single" w:sz="4" w:space="0" w:color="BFC6B1" w:themeColor="accent4" w:themeTint="99"/>
        <w:right w:val="single" w:sz="4" w:space="0" w:color="BFC6B1" w:themeColor="accent4" w:themeTint="99"/>
        <w:insideH w:val="single" w:sz="4" w:space="0" w:color="BFC6B1" w:themeColor="accent4" w:themeTint="99"/>
        <w:insideV w:val="single" w:sz="4" w:space="0" w:color="BFC6B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5" w:themeFill="accent4" w:themeFillTint="33"/>
      </w:tcPr>
    </w:tblStylePr>
    <w:tblStylePr w:type="band1Horz">
      <w:tblPr/>
      <w:tcPr>
        <w:shd w:val="clear" w:color="auto" w:fill="E9ECE5" w:themeFill="accent4" w:themeFillTint="33"/>
      </w:tcPr>
    </w:tblStylePr>
    <w:tblStylePr w:type="neCell">
      <w:tblPr/>
      <w:tcPr>
        <w:tcBorders>
          <w:bottom w:val="single" w:sz="4" w:space="0" w:color="BFC6B1" w:themeColor="accent4" w:themeTint="99"/>
        </w:tcBorders>
      </w:tcPr>
    </w:tblStylePr>
    <w:tblStylePr w:type="nwCell">
      <w:tblPr/>
      <w:tcPr>
        <w:tcBorders>
          <w:bottom w:val="single" w:sz="4" w:space="0" w:color="BFC6B1" w:themeColor="accent4" w:themeTint="99"/>
        </w:tcBorders>
      </w:tcPr>
    </w:tblStylePr>
    <w:tblStylePr w:type="seCell">
      <w:tblPr/>
      <w:tcPr>
        <w:tcBorders>
          <w:top w:val="single" w:sz="4" w:space="0" w:color="BFC6B1" w:themeColor="accent4" w:themeTint="99"/>
        </w:tcBorders>
      </w:tcPr>
    </w:tblStylePr>
    <w:tblStylePr w:type="swCell">
      <w:tblPr/>
      <w:tcPr>
        <w:tcBorders>
          <w:top w:val="single" w:sz="4" w:space="0" w:color="BFC6B1" w:themeColor="accent4" w:themeTint="99"/>
        </w:tcBorders>
      </w:tcPr>
    </w:tblStylePr>
  </w:style>
  <w:style w:type="table" w:styleId="GridTable7Colorful-Accent5">
    <w:name w:val="Grid Table 7 Colorful Accent 5"/>
    <w:basedOn w:val="TableNormal"/>
    <w:uiPriority w:val="52"/>
    <w:rsid w:val="00163C56"/>
    <w:pPr>
      <w:spacing w:after="0" w:line="240" w:lineRule="auto"/>
    </w:pPr>
    <w:rPr>
      <w:color w:val="F38E5B" w:themeColor="accent5" w:themeShade="BF"/>
    </w:rPr>
    <w:tblPr>
      <w:tblStyleRowBandSize w:val="1"/>
      <w:tblStyleColBandSize w:val="1"/>
      <w:tblBorders>
        <w:top w:val="single" w:sz="4" w:space="0" w:color="FCE6DC" w:themeColor="accent5" w:themeTint="99"/>
        <w:left w:val="single" w:sz="4" w:space="0" w:color="FCE6DC" w:themeColor="accent5" w:themeTint="99"/>
        <w:bottom w:val="single" w:sz="4" w:space="0" w:color="FCE6DC" w:themeColor="accent5" w:themeTint="99"/>
        <w:right w:val="single" w:sz="4" w:space="0" w:color="FCE6DC" w:themeColor="accent5" w:themeTint="99"/>
        <w:insideH w:val="single" w:sz="4" w:space="0" w:color="FCE6DC" w:themeColor="accent5" w:themeTint="99"/>
        <w:insideV w:val="single" w:sz="4" w:space="0" w:color="FCE6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F3" w:themeFill="accent5" w:themeFillTint="33"/>
      </w:tcPr>
    </w:tblStylePr>
    <w:tblStylePr w:type="band1Horz">
      <w:tblPr/>
      <w:tcPr>
        <w:shd w:val="clear" w:color="auto" w:fill="FEF6F3" w:themeFill="accent5" w:themeFillTint="33"/>
      </w:tcPr>
    </w:tblStylePr>
    <w:tblStylePr w:type="neCell">
      <w:tblPr/>
      <w:tcPr>
        <w:tcBorders>
          <w:bottom w:val="single" w:sz="4" w:space="0" w:color="FCE6DC" w:themeColor="accent5" w:themeTint="99"/>
        </w:tcBorders>
      </w:tcPr>
    </w:tblStylePr>
    <w:tblStylePr w:type="nwCell">
      <w:tblPr/>
      <w:tcPr>
        <w:tcBorders>
          <w:bottom w:val="single" w:sz="4" w:space="0" w:color="FCE6DC" w:themeColor="accent5" w:themeTint="99"/>
        </w:tcBorders>
      </w:tcPr>
    </w:tblStylePr>
    <w:tblStylePr w:type="seCell">
      <w:tblPr/>
      <w:tcPr>
        <w:tcBorders>
          <w:top w:val="single" w:sz="4" w:space="0" w:color="FCE6DC" w:themeColor="accent5" w:themeTint="99"/>
        </w:tcBorders>
      </w:tcPr>
    </w:tblStylePr>
    <w:tblStylePr w:type="swCell">
      <w:tblPr/>
      <w:tcPr>
        <w:tcBorders>
          <w:top w:val="single" w:sz="4" w:space="0" w:color="FCE6DC" w:themeColor="accent5" w:themeTint="99"/>
        </w:tcBorders>
      </w:tcPr>
    </w:tblStylePr>
  </w:style>
  <w:style w:type="table" w:styleId="GridTable7Colorful-Accent6">
    <w:name w:val="Grid Table 7 Colorful Accent 6"/>
    <w:basedOn w:val="TableNormal"/>
    <w:uiPriority w:val="52"/>
    <w:rsid w:val="00163C56"/>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eading6Char">
    <w:name w:val="Heading 6 Char"/>
    <w:basedOn w:val="DefaultParagraphFont"/>
    <w:link w:val="Heading6"/>
    <w:uiPriority w:val="9"/>
    <w:semiHidden/>
    <w:rsid w:val="00163C56"/>
    <w:rPr>
      <w:rFonts w:asciiTheme="majorHAnsi" w:eastAsiaTheme="majorEastAsia" w:hAnsiTheme="majorHAnsi" w:cstheme="majorBidi"/>
      <w:color w:val="16272F" w:themeColor="accent1" w:themeShade="7F"/>
      <w:sz w:val="24"/>
    </w:rPr>
  </w:style>
  <w:style w:type="character" w:customStyle="1" w:styleId="Heading7Char">
    <w:name w:val="Heading 7 Char"/>
    <w:basedOn w:val="DefaultParagraphFont"/>
    <w:link w:val="Heading7"/>
    <w:uiPriority w:val="9"/>
    <w:semiHidden/>
    <w:rsid w:val="00163C56"/>
    <w:rPr>
      <w:rFonts w:asciiTheme="majorHAnsi" w:eastAsiaTheme="majorEastAsia" w:hAnsiTheme="majorHAnsi" w:cstheme="majorBidi"/>
      <w:i/>
      <w:iCs/>
      <w:color w:val="16272F" w:themeColor="accent1" w:themeShade="7F"/>
      <w:sz w:val="24"/>
    </w:rPr>
  </w:style>
  <w:style w:type="character" w:customStyle="1" w:styleId="Heading8Char">
    <w:name w:val="Heading 8 Char"/>
    <w:basedOn w:val="DefaultParagraphFont"/>
    <w:link w:val="Heading8"/>
    <w:uiPriority w:val="9"/>
    <w:semiHidden/>
    <w:rsid w:val="00163C56"/>
    <w:rPr>
      <w:rFonts w:asciiTheme="majorHAnsi" w:eastAsiaTheme="majorEastAsia" w:hAnsiTheme="majorHAnsi" w:cstheme="majorBidi"/>
      <w:color w:val="474747" w:themeColor="text1" w:themeTint="D8"/>
      <w:sz w:val="21"/>
      <w:szCs w:val="21"/>
    </w:rPr>
  </w:style>
  <w:style w:type="character" w:customStyle="1" w:styleId="Heading9Char">
    <w:name w:val="Heading 9 Char"/>
    <w:basedOn w:val="DefaultParagraphFont"/>
    <w:link w:val="Heading9"/>
    <w:uiPriority w:val="9"/>
    <w:semiHidden/>
    <w:rsid w:val="00163C56"/>
    <w:rPr>
      <w:rFonts w:asciiTheme="majorHAnsi" w:eastAsiaTheme="majorEastAsia" w:hAnsiTheme="majorHAnsi" w:cstheme="majorBidi"/>
      <w:i/>
      <w:iCs/>
      <w:color w:val="474747" w:themeColor="text1" w:themeTint="D8"/>
      <w:sz w:val="21"/>
      <w:szCs w:val="21"/>
    </w:rPr>
  </w:style>
  <w:style w:type="paragraph" w:styleId="HTMLAddress">
    <w:name w:val="HTML Address"/>
    <w:basedOn w:val="Normal"/>
    <w:link w:val="HTMLAddressChar"/>
    <w:uiPriority w:val="99"/>
    <w:semiHidden/>
    <w:unhideWhenUsed/>
    <w:rsid w:val="00163C56"/>
    <w:pPr>
      <w:spacing w:after="0" w:line="240" w:lineRule="auto"/>
    </w:pPr>
    <w:rPr>
      <w:i/>
      <w:iCs/>
    </w:rPr>
  </w:style>
  <w:style w:type="character" w:customStyle="1" w:styleId="HTMLAddressChar">
    <w:name w:val="HTML Address Char"/>
    <w:basedOn w:val="DefaultParagraphFont"/>
    <w:link w:val="HTMLAddress"/>
    <w:uiPriority w:val="99"/>
    <w:semiHidden/>
    <w:rsid w:val="00163C56"/>
    <w:rPr>
      <w:rFonts w:ascii="Arial" w:hAnsi="Arial"/>
      <w:i/>
      <w:iCs/>
      <w:color w:val="464646" w:themeColor="text1" w:themeTint="D9"/>
      <w:sz w:val="24"/>
    </w:rPr>
  </w:style>
  <w:style w:type="paragraph" w:styleId="HTMLPreformatted">
    <w:name w:val="HTML Preformatted"/>
    <w:basedOn w:val="Normal"/>
    <w:link w:val="HTMLPreformattedChar"/>
    <w:uiPriority w:val="99"/>
    <w:semiHidden/>
    <w:unhideWhenUsed/>
    <w:rsid w:val="00163C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3C56"/>
    <w:rPr>
      <w:rFonts w:ascii="Consolas" w:hAnsi="Consolas"/>
      <w:color w:val="464646" w:themeColor="text1" w:themeTint="D9"/>
      <w:sz w:val="20"/>
      <w:szCs w:val="20"/>
    </w:rPr>
  </w:style>
  <w:style w:type="paragraph" w:styleId="Index1">
    <w:name w:val="index 1"/>
    <w:basedOn w:val="Normal"/>
    <w:next w:val="Normal"/>
    <w:autoRedefine/>
    <w:uiPriority w:val="99"/>
    <w:semiHidden/>
    <w:unhideWhenUsed/>
    <w:rsid w:val="00163C56"/>
    <w:pPr>
      <w:spacing w:after="0" w:line="240" w:lineRule="auto"/>
      <w:ind w:left="240" w:hanging="240"/>
    </w:pPr>
  </w:style>
  <w:style w:type="paragraph" w:styleId="Index2">
    <w:name w:val="index 2"/>
    <w:basedOn w:val="Normal"/>
    <w:next w:val="Normal"/>
    <w:autoRedefine/>
    <w:uiPriority w:val="99"/>
    <w:semiHidden/>
    <w:unhideWhenUsed/>
    <w:rsid w:val="00163C56"/>
    <w:pPr>
      <w:spacing w:after="0" w:line="240" w:lineRule="auto"/>
      <w:ind w:left="480" w:hanging="240"/>
    </w:pPr>
  </w:style>
  <w:style w:type="paragraph" w:styleId="Index3">
    <w:name w:val="index 3"/>
    <w:basedOn w:val="Normal"/>
    <w:next w:val="Normal"/>
    <w:autoRedefine/>
    <w:uiPriority w:val="99"/>
    <w:semiHidden/>
    <w:unhideWhenUsed/>
    <w:rsid w:val="00163C56"/>
    <w:pPr>
      <w:spacing w:after="0" w:line="240" w:lineRule="auto"/>
      <w:ind w:left="720" w:hanging="240"/>
    </w:pPr>
  </w:style>
  <w:style w:type="paragraph" w:styleId="Index4">
    <w:name w:val="index 4"/>
    <w:basedOn w:val="Normal"/>
    <w:next w:val="Normal"/>
    <w:autoRedefine/>
    <w:uiPriority w:val="99"/>
    <w:semiHidden/>
    <w:unhideWhenUsed/>
    <w:rsid w:val="00163C56"/>
    <w:pPr>
      <w:spacing w:after="0" w:line="240" w:lineRule="auto"/>
      <w:ind w:left="960" w:hanging="240"/>
    </w:pPr>
  </w:style>
  <w:style w:type="paragraph" w:styleId="Index5">
    <w:name w:val="index 5"/>
    <w:basedOn w:val="Normal"/>
    <w:next w:val="Normal"/>
    <w:autoRedefine/>
    <w:uiPriority w:val="99"/>
    <w:semiHidden/>
    <w:unhideWhenUsed/>
    <w:rsid w:val="00163C56"/>
    <w:pPr>
      <w:spacing w:after="0" w:line="240" w:lineRule="auto"/>
      <w:ind w:left="1200" w:hanging="240"/>
    </w:pPr>
  </w:style>
  <w:style w:type="paragraph" w:styleId="Index6">
    <w:name w:val="index 6"/>
    <w:basedOn w:val="Normal"/>
    <w:next w:val="Normal"/>
    <w:autoRedefine/>
    <w:uiPriority w:val="99"/>
    <w:semiHidden/>
    <w:unhideWhenUsed/>
    <w:rsid w:val="00163C56"/>
    <w:pPr>
      <w:spacing w:after="0" w:line="240" w:lineRule="auto"/>
      <w:ind w:left="1440" w:hanging="240"/>
    </w:pPr>
  </w:style>
  <w:style w:type="paragraph" w:styleId="Index7">
    <w:name w:val="index 7"/>
    <w:basedOn w:val="Normal"/>
    <w:next w:val="Normal"/>
    <w:autoRedefine/>
    <w:uiPriority w:val="99"/>
    <w:semiHidden/>
    <w:unhideWhenUsed/>
    <w:rsid w:val="00163C56"/>
    <w:pPr>
      <w:spacing w:after="0" w:line="240" w:lineRule="auto"/>
      <w:ind w:left="1680" w:hanging="240"/>
    </w:pPr>
  </w:style>
  <w:style w:type="paragraph" w:styleId="Index8">
    <w:name w:val="index 8"/>
    <w:basedOn w:val="Normal"/>
    <w:next w:val="Normal"/>
    <w:autoRedefine/>
    <w:uiPriority w:val="99"/>
    <w:semiHidden/>
    <w:unhideWhenUsed/>
    <w:rsid w:val="00163C56"/>
    <w:pPr>
      <w:spacing w:after="0" w:line="240" w:lineRule="auto"/>
      <w:ind w:left="1920" w:hanging="240"/>
    </w:pPr>
  </w:style>
  <w:style w:type="paragraph" w:styleId="Index9">
    <w:name w:val="index 9"/>
    <w:basedOn w:val="Normal"/>
    <w:next w:val="Normal"/>
    <w:autoRedefine/>
    <w:uiPriority w:val="99"/>
    <w:semiHidden/>
    <w:unhideWhenUsed/>
    <w:rsid w:val="00163C56"/>
    <w:pPr>
      <w:spacing w:after="0" w:line="240" w:lineRule="auto"/>
      <w:ind w:left="2160" w:hanging="240"/>
    </w:pPr>
  </w:style>
  <w:style w:type="paragraph" w:styleId="IndexHeading">
    <w:name w:val="index heading"/>
    <w:basedOn w:val="Normal"/>
    <w:next w:val="Index1"/>
    <w:uiPriority w:val="99"/>
    <w:semiHidden/>
    <w:unhideWhenUsed/>
    <w:rsid w:val="00163C5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63C56"/>
    <w:pPr>
      <w:pBdr>
        <w:top w:val="single" w:sz="4" w:space="10" w:color="2C5060" w:themeColor="accent1"/>
        <w:bottom w:val="single" w:sz="4" w:space="10" w:color="2C5060" w:themeColor="accent1"/>
      </w:pBdr>
      <w:spacing w:before="360" w:after="360"/>
      <w:ind w:left="864" w:right="864"/>
      <w:jc w:val="center"/>
    </w:pPr>
    <w:rPr>
      <w:i/>
      <w:iCs/>
      <w:color w:val="2C5060" w:themeColor="accent1"/>
    </w:rPr>
  </w:style>
  <w:style w:type="character" w:customStyle="1" w:styleId="IntenseQuoteChar">
    <w:name w:val="Intense Quote Char"/>
    <w:basedOn w:val="DefaultParagraphFont"/>
    <w:link w:val="IntenseQuote"/>
    <w:uiPriority w:val="30"/>
    <w:rsid w:val="00163C56"/>
    <w:rPr>
      <w:rFonts w:ascii="Arial" w:hAnsi="Arial"/>
      <w:i/>
      <w:iCs/>
      <w:color w:val="2C5060" w:themeColor="accent1"/>
      <w:sz w:val="24"/>
    </w:rPr>
  </w:style>
  <w:style w:type="table" w:styleId="LightGrid">
    <w:name w:val="Light Grid"/>
    <w:basedOn w:val="TableNormal"/>
    <w:uiPriority w:val="62"/>
    <w:semiHidden/>
    <w:unhideWhenUsed/>
    <w:rsid w:val="00163C56"/>
    <w:pPr>
      <w:spacing w:after="0"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18" w:space="0" w:color="262626" w:themeColor="text1"/>
          <w:right w:val="single" w:sz="8" w:space="0" w:color="262626" w:themeColor="text1"/>
          <w:insideH w:val="nil"/>
          <w:insideV w:val="single" w:sz="8" w:space="0" w:color="2626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insideH w:val="nil"/>
          <w:insideV w:val="single" w:sz="8" w:space="0" w:color="2626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shd w:val="clear" w:color="auto" w:fill="C9C9C9" w:themeFill="text1" w:themeFillTint="3F"/>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shd w:val="clear" w:color="auto" w:fill="C9C9C9" w:themeFill="text1" w:themeFillTint="3F"/>
      </w:tcPr>
    </w:tblStylePr>
    <w:tblStylePr w:type="band2Horz">
      <w:tblPr/>
      <w:tcPr>
        <w:tcBorders>
          <w:top w:val="single" w:sz="8" w:space="0" w:color="262626" w:themeColor="text1"/>
          <w:left w:val="single" w:sz="8" w:space="0" w:color="262626" w:themeColor="text1"/>
          <w:bottom w:val="single" w:sz="8" w:space="0" w:color="262626" w:themeColor="text1"/>
          <w:right w:val="single" w:sz="8" w:space="0" w:color="262626" w:themeColor="text1"/>
          <w:insideV w:val="single" w:sz="8" w:space="0" w:color="262626" w:themeColor="text1"/>
        </w:tcBorders>
      </w:tcPr>
    </w:tblStylePr>
  </w:style>
  <w:style w:type="table" w:styleId="LightGrid-Accent1">
    <w:name w:val="Light Grid Accent 1"/>
    <w:basedOn w:val="TableNormal"/>
    <w:uiPriority w:val="62"/>
    <w:semiHidden/>
    <w:unhideWhenUsed/>
    <w:rsid w:val="00163C56"/>
    <w:pPr>
      <w:spacing w:after="0" w:line="240" w:lineRule="auto"/>
    </w:pPr>
    <w:tblPr>
      <w:tblStyleRowBandSize w:val="1"/>
      <w:tblStyleColBandSize w:val="1"/>
      <w:tblBorders>
        <w:top w:val="single" w:sz="8" w:space="0" w:color="2C5060" w:themeColor="accent1"/>
        <w:left w:val="single" w:sz="8" w:space="0" w:color="2C5060" w:themeColor="accent1"/>
        <w:bottom w:val="single" w:sz="8" w:space="0" w:color="2C5060" w:themeColor="accent1"/>
        <w:right w:val="single" w:sz="8" w:space="0" w:color="2C5060" w:themeColor="accent1"/>
        <w:insideH w:val="single" w:sz="8" w:space="0" w:color="2C5060" w:themeColor="accent1"/>
        <w:insideV w:val="single" w:sz="8" w:space="0" w:color="2C50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060" w:themeColor="accent1"/>
          <w:left w:val="single" w:sz="8" w:space="0" w:color="2C5060" w:themeColor="accent1"/>
          <w:bottom w:val="single" w:sz="18" w:space="0" w:color="2C5060" w:themeColor="accent1"/>
          <w:right w:val="single" w:sz="8" w:space="0" w:color="2C5060" w:themeColor="accent1"/>
          <w:insideH w:val="nil"/>
          <w:insideV w:val="single" w:sz="8" w:space="0" w:color="2C50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060" w:themeColor="accent1"/>
          <w:left w:val="single" w:sz="8" w:space="0" w:color="2C5060" w:themeColor="accent1"/>
          <w:bottom w:val="single" w:sz="8" w:space="0" w:color="2C5060" w:themeColor="accent1"/>
          <w:right w:val="single" w:sz="8" w:space="0" w:color="2C5060" w:themeColor="accent1"/>
          <w:insideH w:val="nil"/>
          <w:insideV w:val="single" w:sz="8" w:space="0" w:color="2C50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060" w:themeColor="accent1"/>
          <w:left w:val="single" w:sz="8" w:space="0" w:color="2C5060" w:themeColor="accent1"/>
          <w:bottom w:val="single" w:sz="8" w:space="0" w:color="2C5060" w:themeColor="accent1"/>
          <w:right w:val="single" w:sz="8" w:space="0" w:color="2C5060" w:themeColor="accent1"/>
        </w:tcBorders>
      </w:tcPr>
    </w:tblStylePr>
    <w:tblStylePr w:type="band1Vert">
      <w:tblPr/>
      <w:tcPr>
        <w:tcBorders>
          <w:top w:val="single" w:sz="8" w:space="0" w:color="2C5060" w:themeColor="accent1"/>
          <w:left w:val="single" w:sz="8" w:space="0" w:color="2C5060" w:themeColor="accent1"/>
          <w:bottom w:val="single" w:sz="8" w:space="0" w:color="2C5060" w:themeColor="accent1"/>
          <w:right w:val="single" w:sz="8" w:space="0" w:color="2C5060" w:themeColor="accent1"/>
        </w:tcBorders>
        <w:shd w:val="clear" w:color="auto" w:fill="C0D7E2" w:themeFill="accent1" w:themeFillTint="3F"/>
      </w:tcPr>
    </w:tblStylePr>
    <w:tblStylePr w:type="band1Horz">
      <w:tblPr/>
      <w:tcPr>
        <w:tcBorders>
          <w:top w:val="single" w:sz="8" w:space="0" w:color="2C5060" w:themeColor="accent1"/>
          <w:left w:val="single" w:sz="8" w:space="0" w:color="2C5060" w:themeColor="accent1"/>
          <w:bottom w:val="single" w:sz="8" w:space="0" w:color="2C5060" w:themeColor="accent1"/>
          <w:right w:val="single" w:sz="8" w:space="0" w:color="2C5060" w:themeColor="accent1"/>
          <w:insideV w:val="single" w:sz="8" w:space="0" w:color="2C5060" w:themeColor="accent1"/>
        </w:tcBorders>
        <w:shd w:val="clear" w:color="auto" w:fill="C0D7E2" w:themeFill="accent1" w:themeFillTint="3F"/>
      </w:tcPr>
    </w:tblStylePr>
    <w:tblStylePr w:type="band2Horz">
      <w:tblPr/>
      <w:tcPr>
        <w:tcBorders>
          <w:top w:val="single" w:sz="8" w:space="0" w:color="2C5060" w:themeColor="accent1"/>
          <w:left w:val="single" w:sz="8" w:space="0" w:color="2C5060" w:themeColor="accent1"/>
          <w:bottom w:val="single" w:sz="8" w:space="0" w:color="2C5060" w:themeColor="accent1"/>
          <w:right w:val="single" w:sz="8" w:space="0" w:color="2C5060" w:themeColor="accent1"/>
          <w:insideV w:val="single" w:sz="8" w:space="0" w:color="2C5060" w:themeColor="accent1"/>
        </w:tcBorders>
      </w:tcPr>
    </w:tblStylePr>
  </w:style>
  <w:style w:type="table" w:styleId="LightGrid-Accent2">
    <w:name w:val="Light Grid Accent 2"/>
    <w:basedOn w:val="TableNormal"/>
    <w:uiPriority w:val="62"/>
    <w:semiHidden/>
    <w:unhideWhenUsed/>
    <w:rsid w:val="00163C56"/>
    <w:pPr>
      <w:spacing w:after="0" w:line="240" w:lineRule="auto"/>
    </w:pPr>
    <w:tblPr>
      <w:tblStyleRowBandSize w:val="1"/>
      <w:tblStyleColBandSize w:val="1"/>
      <w:tblBorders>
        <w:top w:val="single" w:sz="8" w:space="0" w:color="ED641C" w:themeColor="accent2"/>
        <w:left w:val="single" w:sz="8" w:space="0" w:color="ED641C" w:themeColor="accent2"/>
        <w:bottom w:val="single" w:sz="8" w:space="0" w:color="ED641C" w:themeColor="accent2"/>
        <w:right w:val="single" w:sz="8" w:space="0" w:color="ED641C" w:themeColor="accent2"/>
        <w:insideH w:val="single" w:sz="8" w:space="0" w:color="ED641C" w:themeColor="accent2"/>
        <w:insideV w:val="single" w:sz="8" w:space="0" w:color="ED641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641C" w:themeColor="accent2"/>
          <w:left w:val="single" w:sz="8" w:space="0" w:color="ED641C" w:themeColor="accent2"/>
          <w:bottom w:val="single" w:sz="18" w:space="0" w:color="ED641C" w:themeColor="accent2"/>
          <w:right w:val="single" w:sz="8" w:space="0" w:color="ED641C" w:themeColor="accent2"/>
          <w:insideH w:val="nil"/>
          <w:insideV w:val="single" w:sz="8" w:space="0" w:color="ED641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641C" w:themeColor="accent2"/>
          <w:left w:val="single" w:sz="8" w:space="0" w:color="ED641C" w:themeColor="accent2"/>
          <w:bottom w:val="single" w:sz="8" w:space="0" w:color="ED641C" w:themeColor="accent2"/>
          <w:right w:val="single" w:sz="8" w:space="0" w:color="ED641C" w:themeColor="accent2"/>
          <w:insideH w:val="nil"/>
          <w:insideV w:val="single" w:sz="8" w:space="0" w:color="ED641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641C" w:themeColor="accent2"/>
          <w:left w:val="single" w:sz="8" w:space="0" w:color="ED641C" w:themeColor="accent2"/>
          <w:bottom w:val="single" w:sz="8" w:space="0" w:color="ED641C" w:themeColor="accent2"/>
          <w:right w:val="single" w:sz="8" w:space="0" w:color="ED641C" w:themeColor="accent2"/>
        </w:tcBorders>
      </w:tcPr>
    </w:tblStylePr>
    <w:tblStylePr w:type="band1Vert">
      <w:tblPr/>
      <w:tcPr>
        <w:tcBorders>
          <w:top w:val="single" w:sz="8" w:space="0" w:color="ED641C" w:themeColor="accent2"/>
          <w:left w:val="single" w:sz="8" w:space="0" w:color="ED641C" w:themeColor="accent2"/>
          <w:bottom w:val="single" w:sz="8" w:space="0" w:color="ED641C" w:themeColor="accent2"/>
          <w:right w:val="single" w:sz="8" w:space="0" w:color="ED641C" w:themeColor="accent2"/>
        </w:tcBorders>
        <w:shd w:val="clear" w:color="auto" w:fill="FAD8C6" w:themeFill="accent2" w:themeFillTint="3F"/>
      </w:tcPr>
    </w:tblStylePr>
    <w:tblStylePr w:type="band1Horz">
      <w:tblPr/>
      <w:tcPr>
        <w:tcBorders>
          <w:top w:val="single" w:sz="8" w:space="0" w:color="ED641C" w:themeColor="accent2"/>
          <w:left w:val="single" w:sz="8" w:space="0" w:color="ED641C" w:themeColor="accent2"/>
          <w:bottom w:val="single" w:sz="8" w:space="0" w:color="ED641C" w:themeColor="accent2"/>
          <w:right w:val="single" w:sz="8" w:space="0" w:color="ED641C" w:themeColor="accent2"/>
          <w:insideV w:val="single" w:sz="8" w:space="0" w:color="ED641C" w:themeColor="accent2"/>
        </w:tcBorders>
        <w:shd w:val="clear" w:color="auto" w:fill="FAD8C6" w:themeFill="accent2" w:themeFillTint="3F"/>
      </w:tcPr>
    </w:tblStylePr>
    <w:tblStylePr w:type="band2Horz">
      <w:tblPr/>
      <w:tcPr>
        <w:tcBorders>
          <w:top w:val="single" w:sz="8" w:space="0" w:color="ED641C" w:themeColor="accent2"/>
          <w:left w:val="single" w:sz="8" w:space="0" w:color="ED641C" w:themeColor="accent2"/>
          <w:bottom w:val="single" w:sz="8" w:space="0" w:color="ED641C" w:themeColor="accent2"/>
          <w:right w:val="single" w:sz="8" w:space="0" w:color="ED641C" w:themeColor="accent2"/>
          <w:insideV w:val="single" w:sz="8" w:space="0" w:color="ED641C" w:themeColor="accent2"/>
        </w:tcBorders>
      </w:tcPr>
    </w:tblStylePr>
  </w:style>
  <w:style w:type="table" w:styleId="LightGrid-Accent3">
    <w:name w:val="Light Grid Accent 3"/>
    <w:basedOn w:val="TableNormal"/>
    <w:uiPriority w:val="62"/>
    <w:semiHidden/>
    <w:unhideWhenUsed/>
    <w:rsid w:val="00163C56"/>
    <w:pPr>
      <w:spacing w:after="0" w:line="240" w:lineRule="auto"/>
    </w:pPr>
    <w:tblPr>
      <w:tblStyleRowBandSize w:val="1"/>
      <w:tblStyleColBandSize w:val="1"/>
      <w:tblBorders>
        <w:top w:val="single" w:sz="8" w:space="0" w:color="AFB9B6" w:themeColor="accent3"/>
        <w:left w:val="single" w:sz="8" w:space="0" w:color="AFB9B6" w:themeColor="accent3"/>
        <w:bottom w:val="single" w:sz="8" w:space="0" w:color="AFB9B6" w:themeColor="accent3"/>
        <w:right w:val="single" w:sz="8" w:space="0" w:color="AFB9B6" w:themeColor="accent3"/>
        <w:insideH w:val="single" w:sz="8" w:space="0" w:color="AFB9B6" w:themeColor="accent3"/>
        <w:insideV w:val="single" w:sz="8" w:space="0" w:color="AFB9B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B9B6" w:themeColor="accent3"/>
          <w:left w:val="single" w:sz="8" w:space="0" w:color="AFB9B6" w:themeColor="accent3"/>
          <w:bottom w:val="single" w:sz="18" w:space="0" w:color="AFB9B6" w:themeColor="accent3"/>
          <w:right w:val="single" w:sz="8" w:space="0" w:color="AFB9B6" w:themeColor="accent3"/>
          <w:insideH w:val="nil"/>
          <w:insideV w:val="single" w:sz="8" w:space="0" w:color="AFB9B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B9B6" w:themeColor="accent3"/>
          <w:left w:val="single" w:sz="8" w:space="0" w:color="AFB9B6" w:themeColor="accent3"/>
          <w:bottom w:val="single" w:sz="8" w:space="0" w:color="AFB9B6" w:themeColor="accent3"/>
          <w:right w:val="single" w:sz="8" w:space="0" w:color="AFB9B6" w:themeColor="accent3"/>
          <w:insideH w:val="nil"/>
          <w:insideV w:val="single" w:sz="8" w:space="0" w:color="AFB9B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B9B6" w:themeColor="accent3"/>
          <w:left w:val="single" w:sz="8" w:space="0" w:color="AFB9B6" w:themeColor="accent3"/>
          <w:bottom w:val="single" w:sz="8" w:space="0" w:color="AFB9B6" w:themeColor="accent3"/>
          <w:right w:val="single" w:sz="8" w:space="0" w:color="AFB9B6" w:themeColor="accent3"/>
        </w:tcBorders>
      </w:tcPr>
    </w:tblStylePr>
    <w:tblStylePr w:type="band1Vert">
      <w:tblPr/>
      <w:tcPr>
        <w:tcBorders>
          <w:top w:val="single" w:sz="8" w:space="0" w:color="AFB9B6" w:themeColor="accent3"/>
          <w:left w:val="single" w:sz="8" w:space="0" w:color="AFB9B6" w:themeColor="accent3"/>
          <w:bottom w:val="single" w:sz="8" w:space="0" w:color="AFB9B6" w:themeColor="accent3"/>
          <w:right w:val="single" w:sz="8" w:space="0" w:color="AFB9B6" w:themeColor="accent3"/>
        </w:tcBorders>
        <w:shd w:val="clear" w:color="auto" w:fill="EBEDEC" w:themeFill="accent3" w:themeFillTint="3F"/>
      </w:tcPr>
    </w:tblStylePr>
    <w:tblStylePr w:type="band1Horz">
      <w:tblPr/>
      <w:tcPr>
        <w:tcBorders>
          <w:top w:val="single" w:sz="8" w:space="0" w:color="AFB9B6" w:themeColor="accent3"/>
          <w:left w:val="single" w:sz="8" w:space="0" w:color="AFB9B6" w:themeColor="accent3"/>
          <w:bottom w:val="single" w:sz="8" w:space="0" w:color="AFB9B6" w:themeColor="accent3"/>
          <w:right w:val="single" w:sz="8" w:space="0" w:color="AFB9B6" w:themeColor="accent3"/>
          <w:insideV w:val="single" w:sz="8" w:space="0" w:color="AFB9B6" w:themeColor="accent3"/>
        </w:tcBorders>
        <w:shd w:val="clear" w:color="auto" w:fill="EBEDEC" w:themeFill="accent3" w:themeFillTint="3F"/>
      </w:tcPr>
    </w:tblStylePr>
    <w:tblStylePr w:type="band2Horz">
      <w:tblPr/>
      <w:tcPr>
        <w:tcBorders>
          <w:top w:val="single" w:sz="8" w:space="0" w:color="AFB9B6" w:themeColor="accent3"/>
          <w:left w:val="single" w:sz="8" w:space="0" w:color="AFB9B6" w:themeColor="accent3"/>
          <w:bottom w:val="single" w:sz="8" w:space="0" w:color="AFB9B6" w:themeColor="accent3"/>
          <w:right w:val="single" w:sz="8" w:space="0" w:color="AFB9B6" w:themeColor="accent3"/>
          <w:insideV w:val="single" w:sz="8" w:space="0" w:color="AFB9B6" w:themeColor="accent3"/>
        </w:tcBorders>
      </w:tcPr>
    </w:tblStylePr>
  </w:style>
  <w:style w:type="table" w:styleId="LightGrid-Accent4">
    <w:name w:val="Light Grid Accent 4"/>
    <w:basedOn w:val="TableNormal"/>
    <w:uiPriority w:val="62"/>
    <w:semiHidden/>
    <w:unhideWhenUsed/>
    <w:rsid w:val="00163C56"/>
    <w:pPr>
      <w:spacing w:after="0" w:line="240" w:lineRule="auto"/>
    </w:pPr>
    <w:tblPr>
      <w:tblStyleRowBandSize w:val="1"/>
      <w:tblStyleColBandSize w:val="1"/>
      <w:tblBorders>
        <w:top w:val="single" w:sz="8" w:space="0" w:color="95A17E" w:themeColor="accent4"/>
        <w:left w:val="single" w:sz="8" w:space="0" w:color="95A17E" w:themeColor="accent4"/>
        <w:bottom w:val="single" w:sz="8" w:space="0" w:color="95A17E" w:themeColor="accent4"/>
        <w:right w:val="single" w:sz="8" w:space="0" w:color="95A17E" w:themeColor="accent4"/>
        <w:insideH w:val="single" w:sz="8" w:space="0" w:color="95A17E" w:themeColor="accent4"/>
        <w:insideV w:val="single" w:sz="8" w:space="0" w:color="95A1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A17E" w:themeColor="accent4"/>
          <w:left w:val="single" w:sz="8" w:space="0" w:color="95A17E" w:themeColor="accent4"/>
          <w:bottom w:val="single" w:sz="18" w:space="0" w:color="95A17E" w:themeColor="accent4"/>
          <w:right w:val="single" w:sz="8" w:space="0" w:color="95A17E" w:themeColor="accent4"/>
          <w:insideH w:val="nil"/>
          <w:insideV w:val="single" w:sz="8" w:space="0" w:color="95A1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A17E" w:themeColor="accent4"/>
          <w:left w:val="single" w:sz="8" w:space="0" w:color="95A17E" w:themeColor="accent4"/>
          <w:bottom w:val="single" w:sz="8" w:space="0" w:color="95A17E" w:themeColor="accent4"/>
          <w:right w:val="single" w:sz="8" w:space="0" w:color="95A17E" w:themeColor="accent4"/>
          <w:insideH w:val="nil"/>
          <w:insideV w:val="single" w:sz="8" w:space="0" w:color="95A1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A17E" w:themeColor="accent4"/>
          <w:left w:val="single" w:sz="8" w:space="0" w:color="95A17E" w:themeColor="accent4"/>
          <w:bottom w:val="single" w:sz="8" w:space="0" w:color="95A17E" w:themeColor="accent4"/>
          <w:right w:val="single" w:sz="8" w:space="0" w:color="95A17E" w:themeColor="accent4"/>
        </w:tcBorders>
      </w:tcPr>
    </w:tblStylePr>
    <w:tblStylePr w:type="band1Vert">
      <w:tblPr/>
      <w:tcPr>
        <w:tcBorders>
          <w:top w:val="single" w:sz="8" w:space="0" w:color="95A17E" w:themeColor="accent4"/>
          <w:left w:val="single" w:sz="8" w:space="0" w:color="95A17E" w:themeColor="accent4"/>
          <w:bottom w:val="single" w:sz="8" w:space="0" w:color="95A17E" w:themeColor="accent4"/>
          <w:right w:val="single" w:sz="8" w:space="0" w:color="95A17E" w:themeColor="accent4"/>
        </w:tcBorders>
        <w:shd w:val="clear" w:color="auto" w:fill="E4E7DE" w:themeFill="accent4" w:themeFillTint="3F"/>
      </w:tcPr>
    </w:tblStylePr>
    <w:tblStylePr w:type="band1Horz">
      <w:tblPr/>
      <w:tcPr>
        <w:tcBorders>
          <w:top w:val="single" w:sz="8" w:space="0" w:color="95A17E" w:themeColor="accent4"/>
          <w:left w:val="single" w:sz="8" w:space="0" w:color="95A17E" w:themeColor="accent4"/>
          <w:bottom w:val="single" w:sz="8" w:space="0" w:color="95A17E" w:themeColor="accent4"/>
          <w:right w:val="single" w:sz="8" w:space="0" w:color="95A17E" w:themeColor="accent4"/>
          <w:insideV w:val="single" w:sz="8" w:space="0" w:color="95A17E" w:themeColor="accent4"/>
        </w:tcBorders>
        <w:shd w:val="clear" w:color="auto" w:fill="E4E7DE" w:themeFill="accent4" w:themeFillTint="3F"/>
      </w:tcPr>
    </w:tblStylePr>
    <w:tblStylePr w:type="band2Horz">
      <w:tblPr/>
      <w:tcPr>
        <w:tcBorders>
          <w:top w:val="single" w:sz="8" w:space="0" w:color="95A17E" w:themeColor="accent4"/>
          <w:left w:val="single" w:sz="8" w:space="0" w:color="95A17E" w:themeColor="accent4"/>
          <w:bottom w:val="single" w:sz="8" w:space="0" w:color="95A17E" w:themeColor="accent4"/>
          <w:right w:val="single" w:sz="8" w:space="0" w:color="95A17E" w:themeColor="accent4"/>
          <w:insideV w:val="single" w:sz="8" w:space="0" w:color="95A17E" w:themeColor="accent4"/>
        </w:tcBorders>
      </w:tcPr>
    </w:tblStylePr>
  </w:style>
  <w:style w:type="table" w:styleId="LightGrid-Accent5">
    <w:name w:val="Light Grid Accent 5"/>
    <w:basedOn w:val="TableNormal"/>
    <w:uiPriority w:val="62"/>
    <w:semiHidden/>
    <w:unhideWhenUsed/>
    <w:rsid w:val="00163C56"/>
    <w:pPr>
      <w:spacing w:after="0" w:line="240" w:lineRule="auto"/>
    </w:pPr>
    <w:tblPr>
      <w:tblStyleRowBandSize w:val="1"/>
      <w:tblStyleColBandSize w:val="1"/>
      <w:tblBorders>
        <w:top w:val="single" w:sz="8" w:space="0" w:color="FBD7C5" w:themeColor="accent5"/>
        <w:left w:val="single" w:sz="8" w:space="0" w:color="FBD7C5" w:themeColor="accent5"/>
        <w:bottom w:val="single" w:sz="8" w:space="0" w:color="FBD7C5" w:themeColor="accent5"/>
        <w:right w:val="single" w:sz="8" w:space="0" w:color="FBD7C5" w:themeColor="accent5"/>
        <w:insideH w:val="single" w:sz="8" w:space="0" w:color="FBD7C5" w:themeColor="accent5"/>
        <w:insideV w:val="single" w:sz="8" w:space="0" w:color="FBD7C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D7C5" w:themeColor="accent5"/>
          <w:left w:val="single" w:sz="8" w:space="0" w:color="FBD7C5" w:themeColor="accent5"/>
          <w:bottom w:val="single" w:sz="18" w:space="0" w:color="FBD7C5" w:themeColor="accent5"/>
          <w:right w:val="single" w:sz="8" w:space="0" w:color="FBD7C5" w:themeColor="accent5"/>
          <w:insideH w:val="nil"/>
          <w:insideV w:val="single" w:sz="8" w:space="0" w:color="FBD7C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D7C5" w:themeColor="accent5"/>
          <w:left w:val="single" w:sz="8" w:space="0" w:color="FBD7C5" w:themeColor="accent5"/>
          <w:bottom w:val="single" w:sz="8" w:space="0" w:color="FBD7C5" w:themeColor="accent5"/>
          <w:right w:val="single" w:sz="8" w:space="0" w:color="FBD7C5" w:themeColor="accent5"/>
          <w:insideH w:val="nil"/>
          <w:insideV w:val="single" w:sz="8" w:space="0" w:color="FBD7C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D7C5" w:themeColor="accent5"/>
          <w:left w:val="single" w:sz="8" w:space="0" w:color="FBD7C5" w:themeColor="accent5"/>
          <w:bottom w:val="single" w:sz="8" w:space="0" w:color="FBD7C5" w:themeColor="accent5"/>
          <w:right w:val="single" w:sz="8" w:space="0" w:color="FBD7C5" w:themeColor="accent5"/>
        </w:tcBorders>
      </w:tcPr>
    </w:tblStylePr>
    <w:tblStylePr w:type="band1Vert">
      <w:tblPr/>
      <w:tcPr>
        <w:tcBorders>
          <w:top w:val="single" w:sz="8" w:space="0" w:color="FBD7C5" w:themeColor="accent5"/>
          <w:left w:val="single" w:sz="8" w:space="0" w:color="FBD7C5" w:themeColor="accent5"/>
          <w:bottom w:val="single" w:sz="8" w:space="0" w:color="FBD7C5" w:themeColor="accent5"/>
          <w:right w:val="single" w:sz="8" w:space="0" w:color="FBD7C5" w:themeColor="accent5"/>
        </w:tcBorders>
        <w:shd w:val="clear" w:color="auto" w:fill="FEF5F0" w:themeFill="accent5" w:themeFillTint="3F"/>
      </w:tcPr>
    </w:tblStylePr>
    <w:tblStylePr w:type="band1Horz">
      <w:tblPr/>
      <w:tcPr>
        <w:tcBorders>
          <w:top w:val="single" w:sz="8" w:space="0" w:color="FBD7C5" w:themeColor="accent5"/>
          <w:left w:val="single" w:sz="8" w:space="0" w:color="FBD7C5" w:themeColor="accent5"/>
          <w:bottom w:val="single" w:sz="8" w:space="0" w:color="FBD7C5" w:themeColor="accent5"/>
          <w:right w:val="single" w:sz="8" w:space="0" w:color="FBD7C5" w:themeColor="accent5"/>
          <w:insideV w:val="single" w:sz="8" w:space="0" w:color="FBD7C5" w:themeColor="accent5"/>
        </w:tcBorders>
        <w:shd w:val="clear" w:color="auto" w:fill="FEF5F0" w:themeFill="accent5" w:themeFillTint="3F"/>
      </w:tcPr>
    </w:tblStylePr>
    <w:tblStylePr w:type="band2Horz">
      <w:tblPr/>
      <w:tcPr>
        <w:tcBorders>
          <w:top w:val="single" w:sz="8" w:space="0" w:color="FBD7C5" w:themeColor="accent5"/>
          <w:left w:val="single" w:sz="8" w:space="0" w:color="FBD7C5" w:themeColor="accent5"/>
          <w:bottom w:val="single" w:sz="8" w:space="0" w:color="FBD7C5" w:themeColor="accent5"/>
          <w:right w:val="single" w:sz="8" w:space="0" w:color="FBD7C5" w:themeColor="accent5"/>
          <w:insideV w:val="single" w:sz="8" w:space="0" w:color="FBD7C5" w:themeColor="accent5"/>
        </w:tcBorders>
      </w:tcPr>
    </w:tblStylePr>
  </w:style>
  <w:style w:type="table" w:styleId="LightGrid-Accent6">
    <w:name w:val="Light Grid Accent 6"/>
    <w:basedOn w:val="TableNormal"/>
    <w:uiPriority w:val="62"/>
    <w:semiHidden/>
    <w:unhideWhenUsed/>
    <w:rsid w:val="00163C56"/>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163C56"/>
    <w:pPr>
      <w:spacing w:after="0" w:line="240" w:lineRule="auto"/>
    </w:p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pPr>
        <w:spacing w:before="0" w:after="0" w:line="240" w:lineRule="auto"/>
      </w:pPr>
      <w:rPr>
        <w:b/>
        <w:bCs/>
        <w:color w:val="FFFFFF" w:themeColor="background1"/>
      </w:rPr>
      <w:tblPr/>
      <w:tcPr>
        <w:shd w:val="clear" w:color="auto" w:fill="262626" w:themeFill="text1"/>
      </w:tcPr>
    </w:tblStylePr>
    <w:tblStylePr w:type="lastRow">
      <w:pPr>
        <w:spacing w:before="0" w:after="0" w:line="240" w:lineRule="auto"/>
      </w:pPr>
      <w:rPr>
        <w:b/>
        <w:bCs/>
      </w:rPr>
      <w:tblPr/>
      <w:tcPr>
        <w:tcBorders>
          <w:top w:val="double" w:sz="6" w:space="0" w:color="262626" w:themeColor="text1"/>
          <w:left w:val="single" w:sz="8" w:space="0" w:color="262626" w:themeColor="text1"/>
          <w:bottom w:val="single" w:sz="8" w:space="0" w:color="262626" w:themeColor="text1"/>
          <w:right w:val="single" w:sz="8" w:space="0" w:color="262626" w:themeColor="text1"/>
        </w:tcBorders>
      </w:tcPr>
    </w:tblStylePr>
    <w:tblStylePr w:type="firstCol">
      <w:rPr>
        <w:b/>
        <w:bCs/>
      </w:rPr>
    </w:tblStylePr>
    <w:tblStylePr w:type="lastCol">
      <w:rPr>
        <w:b/>
        <w:bCs/>
      </w:rPr>
    </w:tblStylePr>
    <w:tblStylePr w:type="band1Vert">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tblStylePr w:type="band1Horz">
      <w:tblPr/>
      <w:tcPr>
        <w:tcBorders>
          <w:top w:val="single" w:sz="8" w:space="0" w:color="262626" w:themeColor="text1"/>
          <w:left w:val="single" w:sz="8" w:space="0" w:color="262626" w:themeColor="text1"/>
          <w:bottom w:val="single" w:sz="8" w:space="0" w:color="262626" w:themeColor="text1"/>
          <w:right w:val="single" w:sz="8" w:space="0" w:color="262626" w:themeColor="text1"/>
        </w:tcBorders>
      </w:tcPr>
    </w:tblStylePr>
  </w:style>
  <w:style w:type="table" w:styleId="LightList-Accent1">
    <w:name w:val="Light List Accent 1"/>
    <w:basedOn w:val="TableNormal"/>
    <w:uiPriority w:val="61"/>
    <w:semiHidden/>
    <w:unhideWhenUsed/>
    <w:rsid w:val="00163C56"/>
    <w:pPr>
      <w:spacing w:after="0" w:line="240" w:lineRule="auto"/>
    </w:pPr>
    <w:tblPr>
      <w:tblStyleRowBandSize w:val="1"/>
      <w:tblStyleColBandSize w:val="1"/>
      <w:tblBorders>
        <w:top w:val="single" w:sz="8" w:space="0" w:color="2C5060" w:themeColor="accent1"/>
        <w:left w:val="single" w:sz="8" w:space="0" w:color="2C5060" w:themeColor="accent1"/>
        <w:bottom w:val="single" w:sz="8" w:space="0" w:color="2C5060" w:themeColor="accent1"/>
        <w:right w:val="single" w:sz="8" w:space="0" w:color="2C5060" w:themeColor="accent1"/>
      </w:tblBorders>
    </w:tblPr>
    <w:tblStylePr w:type="firstRow">
      <w:pPr>
        <w:spacing w:before="0" w:after="0" w:line="240" w:lineRule="auto"/>
      </w:pPr>
      <w:rPr>
        <w:b/>
        <w:bCs/>
        <w:color w:val="FFFFFF" w:themeColor="background1"/>
      </w:rPr>
      <w:tblPr/>
      <w:tcPr>
        <w:shd w:val="clear" w:color="auto" w:fill="2C5060" w:themeFill="accent1"/>
      </w:tcPr>
    </w:tblStylePr>
    <w:tblStylePr w:type="lastRow">
      <w:pPr>
        <w:spacing w:before="0" w:after="0" w:line="240" w:lineRule="auto"/>
      </w:pPr>
      <w:rPr>
        <w:b/>
        <w:bCs/>
      </w:rPr>
      <w:tblPr/>
      <w:tcPr>
        <w:tcBorders>
          <w:top w:val="double" w:sz="6" w:space="0" w:color="2C5060" w:themeColor="accent1"/>
          <w:left w:val="single" w:sz="8" w:space="0" w:color="2C5060" w:themeColor="accent1"/>
          <w:bottom w:val="single" w:sz="8" w:space="0" w:color="2C5060" w:themeColor="accent1"/>
          <w:right w:val="single" w:sz="8" w:space="0" w:color="2C5060" w:themeColor="accent1"/>
        </w:tcBorders>
      </w:tcPr>
    </w:tblStylePr>
    <w:tblStylePr w:type="firstCol">
      <w:rPr>
        <w:b/>
        <w:bCs/>
      </w:rPr>
    </w:tblStylePr>
    <w:tblStylePr w:type="lastCol">
      <w:rPr>
        <w:b/>
        <w:bCs/>
      </w:rPr>
    </w:tblStylePr>
    <w:tblStylePr w:type="band1Vert">
      <w:tblPr/>
      <w:tcPr>
        <w:tcBorders>
          <w:top w:val="single" w:sz="8" w:space="0" w:color="2C5060" w:themeColor="accent1"/>
          <w:left w:val="single" w:sz="8" w:space="0" w:color="2C5060" w:themeColor="accent1"/>
          <w:bottom w:val="single" w:sz="8" w:space="0" w:color="2C5060" w:themeColor="accent1"/>
          <w:right w:val="single" w:sz="8" w:space="0" w:color="2C5060" w:themeColor="accent1"/>
        </w:tcBorders>
      </w:tcPr>
    </w:tblStylePr>
    <w:tblStylePr w:type="band1Horz">
      <w:tblPr/>
      <w:tcPr>
        <w:tcBorders>
          <w:top w:val="single" w:sz="8" w:space="0" w:color="2C5060" w:themeColor="accent1"/>
          <w:left w:val="single" w:sz="8" w:space="0" w:color="2C5060" w:themeColor="accent1"/>
          <w:bottom w:val="single" w:sz="8" w:space="0" w:color="2C5060" w:themeColor="accent1"/>
          <w:right w:val="single" w:sz="8" w:space="0" w:color="2C5060" w:themeColor="accent1"/>
        </w:tcBorders>
      </w:tcPr>
    </w:tblStylePr>
  </w:style>
  <w:style w:type="table" w:styleId="LightList-Accent2">
    <w:name w:val="Light List Accent 2"/>
    <w:basedOn w:val="TableNormal"/>
    <w:uiPriority w:val="61"/>
    <w:semiHidden/>
    <w:unhideWhenUsed/>
    <w:rsid w:val="00163C56"/>
    <w:pPr>
      <w:spacing w:after="0" w:line="240" w:lineRule="auto"/>
    </w:pPr>
    <w:tblPr>
      <w:tblStyleRowBandSize w:val="1"/>
      <w:tblStyleColBandSize w:val="1"/>
      <w:tblBorders>
        <w:top w:val="single" w:sz="8" w:space="0" w:color="ED641C" w:themeColor="accent2"/>
        <w:left w:val="single" w:sz="8" w:space="0" w:color="ED641C" w:themeColor="accent2"/>
        <w:bottom w:val="single" w:sz="8" w:space="0" w:color="ED641C" w:themeColor="accent2"/>
        <w:right w:val="single" w:sz="8" w:space="0" w:color="ED641C" w:themeColor="accent2"/>
      </w:tblBorders>
    </w:tblPr>
    <w:tblStylePr w:type="firstRow">
      <w:pPr>
        <w:spacing w:before="0" w:after="0" w:line="240" w:lineRule="auto"/>
      </w:pPr>
      <w:rPr>
        <w:b/>
        <w:bCs/>
        <w:color w:val="FFFFFF" w:themeColor="background1"/>
      </w:rPr>
      <w:tblPr/>
      <w:tcPr>
        <w:shd w:val="clear" w:color="auto" w:fill="ED641C" w:themeFill="accent2"/>
      </w:tcPr>
    </w:tblStylePr>
    <w:tblStylePr w:type="lastRow">
      <w:pPr>
        <w:spacing w:before="0" w:after="0" w:line="240" w:lineRule="auto"/>
      </w:pPr>
      <w:rPr>
        <w:b/>
        <w:bCs/>
      </w:rPr>
      <w:tblPr/>
      <w:tcPr>
        <w:tcBorders>
          <w:top w:val="double" w:sz="6" w:space="0" w:color="ED641C" w:themeColor="accent2"/>
          <w:left w:val="single" w:sz="8" w:space="0" w:color="ED641C" w:themeColor="accent2"/>
          <w:bottom w:val="single" w:sz="8" w:space="0" w:color="ED641C" w:themeColor="accent2"/>
          <w:right w:val="single" w:sz="8" w:space="0" w:color="ED641C" w:themeColor="accent2"/>
        </w:tcBorders>
      </w:tcPr>
    </w:tblStylePr>
    <w:tblStylePr w:type="firstCol">
      <w:rPr>
        <w:b/>
        <w:bCs/>
      </w:rPr>
    </w:tblStylePr>
    <w:tblStylePr w:type="lastCol">
      <w:rPr>
        <w:b/>
        <w:bCs/>
      </w:rPr>
    </w:tblStylePr>
    <w:tblStylePr w:type="band1Vert">
      <w:tblPr/>
      <w:tcPr>
        <w:tcBorders>
          <w:top w:val="single" w:sz="8" w:space="0" w:color="ED641C" w:themeColor="accent2"/>
          <w:left w:val="single" w:sz="8" w:space="0" w:color="ED641C" w:themeColor="accent2"/>
          <w:bottom w:val="single" w:sz="8" w:space="0" w:color="ED641C" w:themeColor="accent2"/>
          <w:right w:val="single" w:sz="8" w:space="0" w:color="ED641C" w:themeColor="accent2"/>
        </w:tcBorders>
      </w:tcPr>
    </w:tblStylePr>
    <w:tblStylePr w:type="band1Horz">
      <w:tblPr/>
      <w:tcPr>
        <w:tcBorders>
          <w:top w:val="single" w:sz="8" w:space="0" w:color="ED641C" w:themeColor="accent2"/>
          <w:left w:val="single" w:sz="8" w:space="0" w:color="ED641C" w:themeColor="accent2"/>
          <w:bottom w:val="single" w:sz="8" w:space="0" w:color="ED641C" w:themeColor="accent2"/>
          <w:right w:val="single" w:sz="8" w:space="0" w:color="ED641C" w:themeColor="accent2"/>
        </w:tcBorders>
      </w:tcPr>
    </w:tblStylePr>
  </w:style>
  <w:style w:type="table" w:styleId="LightList-Accent3">
    <w:name w:val="Light List Accent 3"/>
    <w:basedOn w:val="TableNormal"/>
    <w:uiPriority w:val="61"/>
    <w:semiHidden/>
    <w:unhideWhenUsed/>
    <w:rsid w:val="00163C56"/>
    <w:pPr>
      <w:spacing w:after="0" w:line="240" w:lineRule="auto"/>
    </w:pPr>
    <w:tblPr>
      <w:tblStyleRowBandSize w:val="1"/>
      <w:tblStyleColBandSize w:val="1"/>
      <w:tblBorders>
        <w:top w:val="single" w:sz="8" w:space="0" w:color="AFB9B6" w:themeColor="accent3"/>
        <w:left w:val="single" w:sz="8" w:space="0" w:color="AFB9B6" w:themeColor="accent3"/>
        <w:bottom w:val="single" w:sz="8" w:space="0" w:color="AFB9B6" w:themeColor="accent3"/>
        <w:right w:val="single" w:sz="8" w:space="0" w:color="AFB9B6" w:themeColor="accent3"/>
      </w:tblBorders>
    </w:tblPr>
    <w:tblStylePr w:type="firstRow">
      <w:pPr>
        <w:spacing w:before="0" w:after="0" w:line="240" w:lineRule="auto"/>
      </w:pPr>
      <w:rPr>
        <w:b/>
        <w:bCs/>
        <w:color w:val="FFFFFF" w:themeColor="background1"/>
      </w:rPr>
      <w:tblPr/>
      <w:tcPr>
        <w:shd w:val="clear" w:color="auto" w:fill="AFB9B6" w:themeFill="accent3"/>
      </w:tcPr>
    </w:tblStylePr>
    <w:tblStylePr w:type="lastRow">
      <w:pPr>
        <w:spacing w:before="0" w:after="0" w:line="240" w:lineRule="auto"/>
      </w:pPr>
      <w:rPr>
        <w:b/>
        <w:bCs/>
      </w:rPr>
      <w:tblPr/>
      <w:tcPr>
        <w:tcBorders>
          <w:top w:val="double" w:sz="6" w:space="0" w:color="AFB9B6" w:themeColor="accent3"/>
          <w:left w:val="single" w:sz="8" w:space="0" w:color="AFB9B6" w:themeColor="accent3"/>
          <w:bottom w:val="single" w:sz="8" w:space="0" w:color="AFB9B6" w:themeColor="accent3"/>
          <w:right w:val="single" w:sz="8" w:space="0" w:color="AFB9B6" w:themeColor="accent3"/>
        </w:tcBorders>
      </w:tcPr>
    </w:tblStylePr>
    <w:tblStylePr w:type="firstCol">
      <w:rPr>
        <w:b/>
        <w:bCs/>
      </w:rPr>
    </w:tblStylePr>
    <w:tblStylePr w:type="lastCol">
      <w:rPr>
        <w:b/>
        <w:bCs/>
      </w:rPr>
    </w:tblStylePr>
    <w:tblStylePr w:type="band1Vert">
      <w:tblPr/>
      <w:tcPr>
        <w:tcBorders>
          <w:top w:val="single" w:sz="8" w:space="0" w:color="AFB9B6" w:themeColor="accent3"/>
          <w:left w:val="single" w:sz="8" w:space="0" w:color="AFB9B6" w:themeColor="accent3"/>
          <w:bottom w:val="single" w:sz="8" w:space="0" w:color="AFB9B6" w:themeColor="accent3"/>
          <w:right w:val="single" w:sz="8" w:space="0" w:color="AFB9B6" w:themeColor="accent3"/>
        </w:tcBorders>
      </w:tcPr>
    </w:tblStylePr>
    <w:tblStylePr w:type="band1Horz">
      <w:tblPr/>
      <w:tcPr>
        <w:tcBorders>
          <w:top w:val="single" w:sz="8" w:space="0" w:color="AFB9B6" w:themeColor="accent3"/>
          <w:left w:val="single" w:sz="8" w:space="0" w:color="AFB9B6" w:themeColor="accent3"/>
          <w:bottom w:val="single" w:sz="8" w:space="0" w:color="AFB9B6" w:themeColor="accent3"/>
          <w:right w:val="single" w:sz="8" w:space="0" w:color="AFB9B6" w:themeColor="accent3"/>
        </w:tcBorders>
      </w:tcPr>
    </w:tblStylePr>
  </w:style>
  <w:style w:type="table" w:styleId="LightList-Accent4">
    <w:name w:val="Light List Accent 4"/>
    <w:basedOn w:val="TableNormal"/>
    <w:uiPriority w:val="61"/>
    <w:semiHidden/>
    <w:unhideWhenUsed/>
    <w:rsid w:val="00163C56"/>
    <w:pPr>
      <w:spacing w:after="0" w:line="240" w:lineRule="auto"/>
    </w:pPr>
    <w:tblPr>
      <w:tblStyleRowBandSize w:val="1"/>
      <w:tblStyleColBandSize w:val="1"/>
      <w:tblBorders>
        <w:top w:val="single" w:sz="8" w:space="0" w:color="95A17E" w:themeColor="accent4"/>
        <w:left w:val="single" w:sz="8" w:space="0" w:color="95A17E" w:themeColor="accent4"/>
        <w:bottom w:val="single" w:sz="8" w:space="0" w:color="95A17E" w:themeColor="accent4"/>
        <w:right w:val="single" w:sz="8" w:space="0" w:color="95A17E" w:themeColor="accent4"/>
      </w:tblBorders>
    </w:tblPr>
    <w:tblStylePr w:type="firstRow">
      <w:pPr>
        <w:spacing w:before="0" w:after="0" w:line="240" w:lineRule="auto"/>
      </w:pPr>
      <w:rPr>
        <w:b/>
        <w:bCs/>
        <w:color w:val="FFFFFF" w:themeColor="background1"/>
      </w:rPr>
      <w:tblPr/>
      <w:tcPr>
        <w:shd w:val="clear" w:color="auto" w:fill="95A17E" w:themeFill="accent4"/>
      </w:tcPr>
    </w:tblStylePr>
    <w:tblStylePr w:type="lastRow">
      <w:pPr>
        <w:spacing w:before="0" w:after="0" w:line="240" w:lineRule="auto"/>
      </w:pPr>
      <w:rPr>
        <w:b/>
        <w:bCs/>
      </w:rPr>
      <w:tblPr/>
      <w:tcPr>
        <w:tcBorders>
          <w:top w:val="double" w:sz="6" w:space="0" w:color="95A17E" w:themeColor="accent4"/>
          <w:left w:val="single" w:sz="8" w:space="0" w:color="95A17E" w:themeColor="accent4"/>
          <w:bottom w:val="single" w:sz="8" w:space="0" w:color="95A17E" w:themeColor="accent4"/>
          <w:right w:val="single" w:sz="8" w:space="0" w:color="95A17E" w:themeColor="accent4"/>
        </w:tcBorders>
      </w:tcPr>
    </w:tblStylePr>
    <w:tblStylePr w:type="firstCol">
      <w:rPr>
        <w:b/>
        <w:bCs/>
      </w:rPr>
    </w:tblStylePr>
    <w:tblStylePr w:type="lastCol">
      <w:rPr>
        <w:b/>
        <w:bCs/>
      </w:rPr>
    </w:tblStylePr>
    <w:tblStylePr w:type="band1Vert">
      <w:tblPr/>
      <w:tcPr>
        <w:tcBorders>
          <w:top w:val="single" w:sz="8" w:space="0" w:color="95A17E" w:themeColor="accent4"/>
          <w:left w:val="single" w:sz="8" w:space="0" w:color="95A17E" w:themeColor="accent4"/>
          <w:bottom w:val="single" w:sz="8" w:space="0" w:color="95A17E" w:themeColor="accent4"/>
          <w:right w:val="single" w:sz="8" w:space="0" w:color="95A17E" w:themeColor="accent4"/>
        </w:tcBorders>
      </w:tcPr>
    </w:tblStylePr>
    <w:tblStylePr w:type="band1Horz">
      <w:tblPr/>
      <w:tcPr>
        <w:tcBorders>
          <w:top w:val="single" w:sz="8" w:space="0" w:color="95A17E" w:themeColor="accent4"/>
          <w:left w:val="single" w:sz="8" w:space="0" w:color="95A17E" w:themeColor="accent4"/>
          <w:bottom w:val="single" w:sz="8" w:space="0" w:color="95A17E" w:themeColor="accent4"/>
          <w:right w:val="single" w:sz="8" w:space="0" w:color="95A17E" w:themeColor="accent4"/>
        </w:tcBorders>
      </w:tcPr>
    </w:tblStylePr>
  </w:style>
  <w:style w:type="table" w:styleId="LightList-Accent5">
    <w:name w:val="Light List Accent 5"/>
    <w:basedOn w:val="TableNormal"/>
    <w:uiPriority w:val="61"/>
    <w:semiHidden/>
    <w:unhideWhenUsed/>
    <w:rsid w:val="00163C56"/>
    <w:pPr>
      <w:spacing w:after="0" w:line="240" w:lineRule="auto"/>
    </w:pPr>
    <w:tblPr>
      <w:tblStyleRowBandSize w:val="1"/>
      <w:tblStyleColBandSize w:val="1"/>
      <w:tblBorders>
        <w:top w:val="single" w:sz="8" w:space="0" w:color="FBD7C5" w:themeColor="accent5"/>
        <w:left w:val="single" w:sz="8" w:space="0" w:color="FBD7C5" w:themeColor="accent5"/>
        <w:bottom w:val="single" w:sz="8" w:space="0" w:color="FBD7C5" w:themeColor="accent5"/>
        <w:right w:val="single" w:sz="8" w:space="0" w:color="FBD7C5" w:themeColor="accent5"/>
      </w:tblBorders>
    </w:tblPr>
    <w:tblStylePr w:type="firstRow">
      <w:pPr>
        <w:spacing w:before="0" w:after="0" w:line="240" w:lineRule="auto"/>
      </w:pPr>
      <w:rPr>
        <w:b/>
        <w:bCs/>
        <w:color w:val="FFFFFF" w:themeColor="background1"/>
      </w:rPr>
      <w:tblPr/>
      <w:tcPr>
        <w:shd w:val="clear" w:color="auto" w:fill="FBD7C5" w:themeFill="accent5"/>
      </w:tcPr>
    </w:tblStylePr>
    <w:tblStylePr w:type="lastRow">
      <w:pPr>
        <w:spacing w:before="0" w:after="0" w:line="240" w:lineRule="auto"/>
      </w:pPr>
      <w:rPr>
        <w:b/>
        <w:bCs/>
      </w:rPr>
      <w:tblPr/>
      <w:tcPr>
        <w:tcBorders>
          <w:top w:val="double" w:sz="6" w:space="0" w:color="FBD7C5" w:themeColor="accent5"/>
          <w:left w:val="single" w:sz="8" w:space="0" w:color="FBD7C5" w:themeColor="accent5"/>
          <w:bottom w:val="single" w:sz="8" w:space="0" w:color="FBD7C5" w:themeColor="accent5"/>
          <w:right w:val="single" w:sz="8" w:space="0" w:color="FBD7C5" w:themeColor="accent5"/>
        </w:tcBorders>
      </w:tcPr>
    </w:tblStylePr>
    <w:tblStylePr w:type="firstCol">
      <w:rPr>
        <w:b/>
        <w:bCs/>
      </w:rPr>
    </w:tblStylePr>
    <w:tblStylePr w:type="lastCol">
      <w:rPr>
        <w:b/>
        <w:bCs/>
      </w:rPr>
    </w:tblStylePr>
    <w:tblStylePr w:type="band1Vert">
      <w:tblPr/>
      <w:tcPr>
        <w:tcBorders>
          <w:top w:val="single" w:sz="8" w:space="0" w:color="FBD7C5" w:themeColor="accent5"/>
          <w:left w:val="single" w:sz="8" w:space="0" w:color="FBD7C5" w:themeColor="accent5"/>
          <w:bottom w:val="single" w:sz="8" w:space="0" w:color="FBD7C5" w:themeColor="accent5"/>
          <w:right w:val="single" w:sz="8" w:space="0" w:color="FBD7C5" w:themeColor="accent5"/>
        </w:tcBorders>
      </w:tcPr>
    </w:tblStylePr>
    <w:tblStylePr w:type="band1Horz">
      <w:tblPr/>
      <w:tcPr>
        <w:tcBorders>
          <w:top w:val="single" w:sz="8" w:space="0" w:color="FBD7C5" w:themeColor="accent5"/>
          <w:left w:val="single" w:sz="8" w:space="0" w:color="FBD7C5" w:themeColor="accent5"/>
          <w:bottom w:val="single" w:sz="8" w:space="0" w:color="FBD7C5" w:themeColor="accent5"/>
          <w:right w:val="single" w:sz="8" w:space="0" w:color="FBD7C5" w:themeColor="accent5"/>
        </w:tcBorders>
      </w:tcPr>
    </w:tblStylePr>
  </w:style>
  <w:style w:type="table" w:styleId="LightList-Accent6">
    <w:name w:val="Light List Accent 6"/>
    <w:basedOn w:val="TableNormal"/>
    <w:uiPriority w:val="61"/>
    <w:semiHidden/>
    <w:unhideWhenUsed/>
    <w:rsid w:val="00163C56"/>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163C56"/>
    <w:pPr>
      <w:spacing w:after="0" w:line="240" w:lineRule="auto"/>
    </w:pPr>
    <w:rPr>
      <w:color w:val="1C1C1C" w:themeColor="text1" w:themeShade="BF"/>
    </w:rPr>
    <w:tblPr>
      <w:tblStyleRowBandSize w:val="1"/>
      <w:tblStyleColBandSize w:val="1"/>
      <w:tblBorders>
        <w:top w:val="single" w:sz="8" w:space="0" w:color="262626" w:themeColor="text1"/>
        <w:bottom w:val="single" w:sz="8" w:space="0" w:color="262626" w:themeColor="text1"/>
      </w:tblBorders>
    </w:tblPr>
    <w:tblStylePr w:type="fir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lastRow">
      <w:pPr>
        <w:spacing w:before="0" w:after="0" w:line="240" w:lineRule="auto"/>
      </w:pPr>
      <w:rPr>
        <w:b/>
        <w:bCs/>
      </w:rPr>
      <w:tblPr/>
      <w:tcPr>
        <w:tcBorders>
          <w:top w:val="single" w:sz="8" w:space="0" w:color="262626" w:themeColor="text1"/>
          <w:left w:val="nil"/>
          <w:bottom w:val="single" w:sz="8" w:space="0" w:color="2626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left w:val="nil"/>
          <w:right w:val="nil"/>
          <w:insideH w:val="nil"/>
          <w:insideV w:val="nil"/>
        </w:tcBorders>
        <w:shd w:val="clear" w:color="auto" w:fill="C9C9C9" w:themeFill="text1" w:themeFillTint="3F"/>
      </w:tcPr>
    </w:tblStylePr>
  </w:style>
  <w:style w:type="table" w:styleId="LightShading-Accent1">
    <w:name w:val="Light Shading Accent 1"/>
    <w:basedOn w:val="TableNormal"/>
    <w:uiPriority w:val="60"/>
    <w:semiHidden/>
    <w:unhideWhenUsed/>
    <w:rsid w:val="00163C56"/>
    <w:pPr>
      <w:spacing w:after="0" w:line="240" w:lineRule="auto"/>
    </w:pPr>
    <w:rPr>
      <w:color w:val="213B47" w:themeColor="accent1" w:themeShade="BF"/>
    </w:rPr>
    <w:tblPr>
      <w:tblStyleRowBandSize w:val="1"/>
      <w:tblStyleColBandSize w:val="1"/>
      <w:tblBorders>
        <w:top w:val="single" w:sz="8" w:space="0" w:color="2C5060" w:themeColor="accent1"/>
        <w:bottom w:val="single" w:sz="8" w:space="0" w:color="2C5060" w:themeColor="accent1"/>
      </w:tblBorders>
    </w:tblPr>
    <w:tblStylePr w:type="firstRow">
      <w:pPr>
        <w:spacing w:before="0" w:after="0" w:line="240" w:lineRule="auto"/>
      </w:pPr>
      <w:rPr>
        <w:b/>
        <w:bCs/>
      </w:rPr>
      <w:tblPr/>
      <w:tcPr>
        <w:tcBorders>
          <w:top w:val="single" w:sz="8" w:space="0" w:color="2C5060" w:themeColor="accent1"/>
          <w:left w:val="nil"/>
          <w:bottom w:val="single" w:sz="8" w:space="0" w:color="2C5060" w:themeColor="accent1"/>
          <w:right w:val="nil"/>
          <w:insideH w:val="nil"/>
          <w:insideV w:val="nil"/>
        </w:tcBorders>
      </w:tcPr>
    </w:tblStylePr>
    <w:tblStylePr w:type="lastRow">
      <w:pPr>
        <w:spacing w:before="0" w:after="0" w:line="240" w:lineRule="auto"/>
      </w:pPr>
      <w:rPr>
        <w:b/>
        <w:bCs/>
      </w:rPr>
      <w:tblPr/>
      <w:tcPr>
        <w:tcBorders>
          <w:top w:val="single" w:sz="8" w:space="0" w:color="2C5060" w:themeColor="accent1"/>
          <w:left w:val="nil"/>
          <w:bottom w:val="single" w:sz="8" w:space="0" w:color="2C50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7E2" w:themeFill="accent1" w:themeFillTint="3F"/>
      </w:tcPr>
    </w:tblStylePr>
    <w:tblStylePr w:type="band1Horz">
      <w:tblPr/>
      <w:tcPr>
        <w:tcBorders>
          <w:left w:val="nil"/>
          <w:right w:val="nil"/>
          <w:insideH w:val="nil"/>
          <w:insideV w:val="nil"/>
        </w:tcBorders>
        <w:shd w:val="clear" w:color="auto" w:fill="C0D7E2" w:themeFill="accent1" w:themeFillTint="3F"/>
      </w:tcPr>
    </w:tblStylePr>
  </w:style>
  <w:style w:type="table" w:styleId="LightShading-Accent2">
    <w:name w:val="Light Shading Accent 2"/>
    <w:basedOn w:val="TableNormal"/>
    <w:uiPriority w:val="60"/>
    <w:semiHidden/>
    <w:unhideWhenUsed/>
    <w:rsid w:val="00163C56"/>
    <w:pPr>
      <w:spacing w:after="0" w:line="240" w:lineRule="auto"/>
    </w:pPr>
    <w:rPr>
      <w:color w:val="B7480E" w:themeColor="accent2" w:themeShade="BF"/>
    </w:rPr>
    <w:tblPr>
      <w:tblStyleRowBandSize w:val="1"/>
      <w:tblStyleColBandSize w:val="1"/>
      <w:tblBorders>
        <w:top w:val="single" w:sz="8" w:space="0" w:color="ED641C" w:themeColor="accent2"/>
        <w:bottom w:val="single" w:sz="8" w:space="0" w:color="ED641C" w:themeColor="accent2"/>
      </w:tblBorders>
    </w:tblPr>
    <w:tblStylePr w:type="firstRow">
      <w:pPr>
        <w:spacing w:before="0" w:after="0" w:line="240" w:lineRule="auto"/>
      </w:pPr>
      <w:rPr>
        <w:b/>
        <w:bCs/>
      </w:rPr>
      <w:tblPr/>
      <w:tcPr>
        <w:tcBorders>
          <w:top w:val="single" w:sz="8" w:space="0" w:color="ED641C" w:themeColor="accent2"/>
          <w:left w:val="nil"/>
          <w:bottom w:val="single" w:sz="8" w:space="0" w:color="ED641C" w:themeColor="accent2"/>
          <w:right w:val="nil"/>
          <w:insideH w:val="nil"/>
          <w:insideV w:val="nil"/>
        </w:tcBorders>
      </w:tcPr>
    </w:tblStylePr>
    <w:tblStylePr w:type="lastRow">
      <w:pPr>
        <w:spacing w:before="0" w:after="0" w:line="240" w:lineRule="auto"/>
      </w:pPr>
      <w:rPr>
        <w:b/>
        <w:bCs/>
      </w:rPr>
      <w:tblPr/>
      <w:tcPr>
        <w:tcBorders>
          <w:top w:val="single" w:sz="8" w:space="0" w:color="ED641C" w:themeColor="accent2"/>
          <w:left w:val="nil"/>
          <w:bottom w:val="single" w:sz="8" w:space="0" w:color="ED641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8C6" w:themeFill="accent2" w:themeFillTint="3F"/>
      </w:tcPr>
    </w:tblStylePr>
    <w:tblStylePr w:type="band1Horz">
      <w:tblPr/>
      <w:tcPr>
        <w:tcBorders>
          <w:left w:val="nil"/>
          <w:right w:val="nil"/>
          <w:insideH w:val="nil"/>
          <w:insideV w:val="nil"/>
        </w:tcBorders>
        <w:shd w:val="clear" w:color="auto" w:fill="FAD8C6" w:themeFill="accent2" w:themeFillTint="3F"/>
      </w:tcPr>
    </w:tblStylePr>
  </w:style>
  <w:style w:type="table" w:styleId="LightShading-Accent3">
    <w:name w:val="Light Shading Accent 3"/>
    <w:basedOn w:val="TableNormal"/>
    <w:uiPriority w:val="60"/>
    <w:semiHidden/>
    <w:unhideWhenUsed/>
    <w:rsid w:val="00163C56"/>
    <w:pPr>
      <w:spacing w:after="0" w:line="240" w:lineRule="auto"/>
    </w:pPr>
    <w:rPr>
      <w:color w:val="7E8E89" w:themeColor="accent3" w:themeShade="BF"/>
    </w:rPr>
    <w:tblPr>
      <w:tblStyleRowBandSize w:val="1"/>
      <w:tblStyleColBandSize w:val="1"/>
      <w:tblBorders>
        <w:top w:val="single" w:sz="8" w:space="0" w:color="AFB9B6" w:themeColor="accent3"/>
        <w:bottom w:val="single" w:sz="8" w:space="0" w:color="AFB9B6" w:themeColor="accent3"/>
      </w:tblBorders>
    </w:tblPr>
    <w:tblStylePr w:type="firstRow">
      <w:pPr>
        <w:spacing w:before="0" w:after="0" w:line="240" w:lineRule="auto"/>
      </w:pPr>
      <w:rPr>
        <w:b/>
        <w:bCs/>
      </w:rPr>
      <w:tblPr/>
      <w:tcPr>
        <w:tcBorders>
          <w:top w:val="single" w:sz="8" w:space="0" w:color="AFB9B6" w:themeColor="accent3"/>
          <w:left w:val="nil"/>
          <w:bottom w:val="single" w:sz="8" w:space="0" w:color="AFB9B6" w:themeColor="accent3"/>
          <w:right w:val="nil"/>
          <w:insideH w:val="nil"/>
          <w:insideV w:val="nil"/>
        </w:tcBorders>
      </w:tcPr>
    </w:tblStylePr>
    <w:tblStylePr w:type="lastRow">
      <w:pPr>
        <w:spacing w:before="0" w:after="0" w:line="240" w:lineRule="auto"/>
      </w:pPr>
      <w:rPr>
        <w:b/>
        <w:bCs/>
      </w:rPr>
      <w:tblPr/>
      <w:tcPr>
        <w:tcBorders>
          <w:top w:val="single" w:sz="8" w:space="0" w:color="AFB9B6" w:themeColor="accent3"/>
          <w:left w:val="nil"/>
          <w:bottom w:val="single" w:sz="8" w:space="0" w:color="AFB9B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C" w:themeFill="accent3" w:themeFillTint="3F"/>
      </w:tcPr>
    </w:tblStylePr>
    <w:tblStylePr w:type="band1Horz">
      <w:tblPr/>
      <w:tcPr>
        <w:tcBorders>
          <w:left w:val="nil"/>
          <w:right w:val="nil"/>
          <w:insideH w:val="nil"/>
          <w:insideV w:val="nil"/>
        </w:tcBorders>
        <w:shd w:val="clear" w:color="auto" w:fill="EBEDEC" w:themeFill="accent3" w:themeFillTint="3F"/>
      </w:tcPr>
    </w:tblStylePr>
  </w:style>
  <w:style w:type="table" w:styleId="LightShading-Accent4">
    <w:name w:val="Light Shading Accent 4"/>
    <w:basedOn w:val="TableNormal"/>
    <w:uiPriority w:val="60"/>
    <w:semiHidden/>
    <w:unhideWhenUsed/>
    <w:rsid w:val="00163C56"/>
    <w:pPr>
      <w:spacing w:after="0" w:line="240" w:lineRule="auto"/>
    </w:pPr>
    <w:rPr>
      <w:color w:val="707C5A" w:themeColor="accent4" w:themeShade="BF"/>
    </w:rPr>
    <w:tblPr>
      <w:tblStyleRowBandSize w:val="1"/>
      <w:tblStyleColBandSize w:val="1"/>
      <w:tblBorders>
        <w:top w:val="single" w:sz="8" w:space="0" w:color="95A17E" w:themeColor="accent4"/>
        <w:bottom w:val="single" w:sz="8" w:space="0" w:color="95A17E" w:themeColor="accent4"/>
      </w:tblBorders>
    </w:tblPr>
    <w:tblStylePr w:type="firstRow">
      <w:pPr>
        <w:spacing w:before="0" w:after="0" w:line="240" w:lineRule="auto"/>
      </w:pPr>
      <w:rPr>
        <w:b/>
        <w:bCs/>
      </w:rPr>
      <w:tblPr/>
      <w:tcPr>
        <w:tcBorders>
          <w:top w:val="single" w:sz="8" w:space="0" w:color="95A17E" w:themeColor="accent4"/>
          <w:left w:val="nil"/>
          <w:bottom w:val="single" w:sz="8" w:space="0" w:color="95A17E" w:themeColor="accent4"/>
          <w:right w:val="nil"/>
          <w:insideH w:val="nil"/>
          <w:insideV w:val="nil"/>
        </w:tcBorders>
      </w:tcPr>
    </w:tblStylePr>
    <w:tblStylePr w:type="lastRow">
      <w:pPr>
        <w:spacing w:before="0" w:after="0" w:line="240" w:lineRule="auto"/>
      </w:pPr>
      <w:rPr>
        <w:b/>
        <w:bCs/>
      </w:rPr>
      <w:tblPr/>
      <w:tcPr>
        <w:tcBorders>
          <w:top w:val="single" w:sz="8" w:space="0" w:color="95A17E" w:themeColor="accent4"/>
          <w:left w:val="nil"/>
          <w:bottom w:val="single" w:sz="8" w:space="0" w:color="95A1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DE" w:themeFill="accent4" w:themeFillTint="3F"/>
      </w:tcPr>
    </w:tblStylePr>
    <w:tblStylePr w:type="band1Horz">
      <w:tblPr/>
      <w:tcPr>
        <w:tcBorders>
          <w:left w:val="nil"/>
          <w:right w:val="nil"/>
          <w:insideH w:val="nil"/>
          <w:insideV w:val="nil"/>
        </w:tcBorders>
        <w:shd w:val="clear" w:color="auto" w:fill="E4E7DE" w:themeFill="accent4" w:themeFillTint="3F"/>
      </w:tcPr>
    </w:tblStylePr>
  </w:style>
  <w:style w:type="table" w:styleId="LightShading-Accent5">
    <w:name w:val="Light Shading Accent 5"/>
    <w:basedOn w:val="TableNormal"/>
    <w:uiPriority w:val="60"/>
    <w:semiHidden/>
    <w:unhideWhenUsed/>
    <w:rsid w:val="00163C56"/>
    <w:pPr>
      <w:spacing w:after="0" w:line="240" w:lineRule="auto"/>
    </w:pPr>
    <w:rPr>
      <w:color w:val="F38E5B" w:themeColor="accent5" w:themeShade="BF"/>
    </w:rPr>
    <w:tblPr>
      <w:tblStyleRowBandSize w:val="1"/>
      <w:tblStyleColBandSize w:val="1"/>
      <w:tblBorders>
        <w:top w:val="single" w:sz="8" w:space="0" w:color="FBD7C5" w:themeColor="accent5"/>
        <w:bottom w:val="single" w:sz="8" w:space="0" w:color="FBD7C5" w:themeColor="accent5"/>
      </w:tblBorders>
    </w:tblPr>
    <w:tblStylePr w:type="firstRow">
      <w:pPr>
        <w:spacing w:before="0" w:after="0" w:line="240" w:lineRule="auto"/>
      </w:pPr>
      <w:rPr>
        <w:b/>
        <w:bCs/>
      </w:rPr>
      <w:tblPr/>
      <w:tcPr>
        <w:tcBorders>
          <w:top w:val="single" w:sz="8" w:space="0" w:color="FBD7C5" w:themeColor="accent5"/>
          <w:left w:val="nil"/>
          <w:bottom w:val="single" w:sz="8" w:space="0" w:color="FBD7C5" w:themeColor="accent5"/>
          <w:right w:val="nil"/>
          <w:insideH w:val="nil"/>
          <w:insideV w:val="nil"/>
        </w:tcBorders>
      </w:tcPr>
    </w:tblStylePr>
    <w:tblStylePr w:type="lastRow">
      <w:pPr>
        <w:spacing w:before="0" w:after="0" w:line="240" w:lineRule="auto"/>
      </w:pPr>
      <w:rPr>
        <w:b/>
        <w:bCs/>
      </w:rPr>
      <w:tblPr/>
      <w:tcPr>
        <w:tcBorders>
          <w:top w:val="single" w:sz="8" w:space="0" w:color="FBD7C5" w:themeColor="accent5"/>
          <w:left w:val="nil"/>
          <w:bottom w:val="single" w:sz="8" w:space="0" w:color="FBD7C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F0" w:themeFill="accent5" w:themeFillTint="3F"/>
      </w:tcPr>
    </w:tblStylePr>
    <w:tblStylePr w:type="band1Horz">
      <w:tblPr/>
      <w:tcPr>
        <w:tcBorders>
          <w:left w:val="nil"/>
          <w:right w:val="nil"/>
          <w:insideH w:val="nil"/>
          <w:insideV w:val="nil"/>
        </w:tcBorders>
        <w:shd w:val="clear" w:color="auto" w:fill="FEF5F0" w:themeFill="accent5" w:themeFillTint="3F"/>
      </w:tcPr>
    </w:tblStylePr>
  </w:style>
  <w:style w:type="table" w:styleId="LightShading-Accent6">
    <w:name w:val="Light Shading Accent 6"/>
    <w:basedOn w:val="TableNormal"/>
    <w:uiPriority w:val="60"/>
    <w:semiHidden/>
    <w:unhideWhenUsed/>
    <w:rsid w:val="00163C56"/>
    <w:pPr>
      <w:spacing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paragraph" w:styleId="List">
    <w:name w:val="List"/>
    <w:basedOn w:val="Normal"/>
    <w:uiPriority w:val="99"/>
    <w:semiHidden/>
    <w:unhideWhenUsed/>
    <w:rsid w:val="00163C56"/>
    <w:pPr>
      <w:ind w:left="283" w:hanging="283"/>
      <w:contextualSpacing/>
    </w:pPr>
  </w:style>
  <w:style w:type="paragraph" w:styleId="List2">
    <w:name w:val="List 2"/>
    <w:basedOn w:val="Normal"/>
    <w:uiPriority w:val="99"/>
    <w:semiHidden/>
    <w:unhideWhenUsed/>
    <w:rsid w:val="00163C56"/>
    <w:pPr>
      <w:ind w:left="566" w:hanging="283"/>
      <w:contextualSpacing/>
    </w:pPr>
  </w:style>
  <w:style w:type="paragraph" w:styleId="List3">
    <w:name w:val="List 3"/>
    <w:basedOn w:val="Normal"/>
    <w:uiPriority w:val="99"/>
    <w:semiHidden/>
    <w:unhideWhenUsed/>
    <w:rsid w:val="00163C56"/>
    <w:pPr>
      <w:ind w:left="849" w:hanging="283"/>
      <w:contextualSpacing/>
    </w:pPr>
  </w:style>
  <w:style w:type="paragraph" w:styleId="List4">
    <w:name w:val="List 4"/>
    <w:basedOn w:val="Normal"/>
    <w:uiPriority w:val="99"/>
    <w:semiHidden/>
    <w:unhideWhenUsed/>
    <w:rsid w:val="00163C56"/>
    <w:pPr>
      <w:ind w:left="1132" w:hanging="283"/>
      <w:contextualSpacing/>
    </w:pPr>
  </w:style>
  <w:style w:type="paragraph" w:styleId="List5">
    <w:name w:val="List 5"/>
    <w:basedOn w:val="Normal"/>
    <w:uiPriority w:val="99"/>
    <w:semiHidden/>
    <w:unhideWhenUsed/>
    <w:rsid w:val="00163C56"/>
    <w:pPr>
      <w:ind w:left="1415" w:hanging="283"/>
      <w:contextualSpacing/>
    </w:pPr>
  </w:style>
  <w:style w:type="paragraph" w:styleId="ListBullet">
    <w:name w:val="List Bullet"/>
    <w:basedOn w:val="Normal"/>
    <w:uiPriority w:val="99"/>
    <w:semiHidden/>
    <w:unhideWhenUsed/>
    <w:rsid w:val="00163C56"/>
    <w:pPr>
      <w:numPr>
        <w:numId w:val="37"/>
      </w:numPr>
      <w:contextualSpacing/>
    </w:pPr>
  </w:style>
  <w:style w:type="paragraph" w:styleId="ListBullet2">
    <w:name w:val="List Bullet 2"/>
    <w:basedOn w:val="Normal"/>
    <w:uiPriority w:val="99"/>
    <w:semiHidden/>
    <w:unhideWhenUsed/>
    <w:rsid w:val="00163C56"/>
    <w:pPr>
      <w:numPr>
        <w:numId w:val="38"/>
      </w:numPr>
      <w:contextualSpacing/>
    </w:pPr>
  </w:style>
  <w:style w:type="paragraph" w:styleId="ListBullet3">
    <w:name w:val="List Bullet 3"/>
    <w:basedOn w:val="Normal"/>
    <w:uiPriority w:val="99"/>
    <w:semiHidden/>
    <w:unhideWhenUsed/>
    <w:rsid w:val="00163C56"/>
    <w:pPr>
      <w:numPr>
        <w:numId w:val="39"/>
      </w:numPr>
      <w:contextualSpacing/>
    </w:pPr>
  </w:style>
  <w:style w:type="paragraph" w:styleId="ListBullet4">
    <w:name w:val="List Bullet 4"/>
    <w:basedOn w:val="Normal"/>
    <w:uiPriority w:val="99"/>
    <w:semiHidden/>
    <w:unhideWhenUsed/>
    <w:rsid w:val="00163C56"/>
    <w:pPr>
      <w:numPr>
        <w:numId w:val="40"/>
      </w:numPr>
      <w:contextualSpacing/>
    </w:pPr>
  </w:style>
  <w:style w:type="paragraph" w:styleId="ListBullet5">
    <w:name w:val="List Bullet 5"/>
    <w:basedOn w:val="Normal"/>
    <w:uiPriority w:val="99"/>
    <w:semiHidden/>
    <w:unhideWhenUsed/>
    <w:rsid w:val="00163C56"/>
    <w:pPr>
      <w:numPr>
        <w:numId w:val="41"/>
      </w:numPr>
      <w:contextualSpacing/>
    </w:pPr>
  </w:style>
  <w:style w:type="paragraph" w:styleId="ListContinue">
    <w:name w:val="List Continue"/>
    <w:basedOn w:val="Normal"/>
    <w:uiPriority w:val="99"/>
    <w:semiHidden/>
    <w:unhideWhenUsed/>
    <w:rsid w:val="00163C56"/>
    <w:pPr>
      <w:spacing w:after="120"/>
      <w:ind w:left="283"/>
      <w:contextualSpacing/>
    </w:pPr>
  </w:style>
  <w:style w:type="paragraph" w:styleId="ListContinue2">
    <w:name w:val="List Continue 2"/>
    <w:basedOn w:val="Normal"/>
    <w:uiPriority w:val="99"/>
    <w:semiHidden/>
    <w:unhideWhenUsed/>
    <w:rsid w:val="00163C56"/>
    <w:pPr>
      <w:spacing w:after="120"/>
      <w:ind w:left="566"/>
      <w:contextualSpacing/>
    </w:pPr>
  </w:style>
  <w:style w:type="paragraph" w:styleId="ListContinue3">
    <w:name w:val="List Continue 3"/>
    <w:basedOn w:val="Normal"/>
    <w:uiPriority w:val="99"/>
    <w:semiHidden/>
    <w:unhideWhenUsed/>
    <w:rsid w:val="00163C56"/>
    <w:pPr>
      <w:spacing w:after="120"/>
      <w:ind w:left="849"/>
      <w:contextualSpacing/>
    </w:pPr>
  </w:style>
  <w:style w:type="paragraph" w:styleId="ListContinue4">
    <w:name w:val="List Continue 4"/>
    <w:basedOn w:val="Normal"/>
    <w:uiPriority w:val="99"/>
    <w:semiHidden/>
    <w:unhideWhenUsed/>
    <w:rsid w:val="00163C56"/>
    <w:pPr>
      <w:spacing w:after="120"/>
      <w:ind w:left="1132"/>
      <w:contextualSpacing/>
    </w:pPr>
  </w:style>
  <w:style w:type="paragraph" w:styleId="ListContinue5">
    <w:name w:val="List Continue 5"/>
    <w:basedOn w:val="Normal"/>
    <w:uiPriority w:val="99"/>
    <w:semiHidden/>
    <w:unhideWhenUsed/>
    <w:rsid w:val="00163C56"/>
    <w:pPr>
      <w:spacing w:after="120"/>
      <w:ind w:left="1415"/>
      <w:contextualSpacing/>
    </w:pPr>
  </w:style>
  <w:style w:type="paragraph" w:styleId="ListNumber">
    <w:name w:val="List Number"/>
    <w:basedOn w:val="Normal"/>
    <w:uiPriority w:val="99"/>
    <w:semiHidden/>
    <w:unhideWhenUsed/>
    <w:rsid w:val="00163C56"/>
    <w:pPr>
      <w:numPr>
        <w:numId w:val="42"/>
      </w:numPr>
      <w:contextualSpacing/>
    </w:pPr>
  </w:style>
  <w:style w:type="paragraph" w:styleId="ListNumber2">
    <w:name w:val="List Number 2"/>
    <w:basedOn w:val="Normal"/>
    <w:uiPriority w:val="99"/>
    <w:semiHidden/>
    <w:unhideWhenUsed/>
    <w:rsid w:val="00163C56"/>
    <w:pPr>
      <w:numPr>
        <w:numId w:val="43"/>
      </w:numPr>
      <w:contextualSpacing/>
    </w:pPr>
  </w:style>
  <w:style w:type="paragraph" w:styleId="ListNumber3">
    <w:name w:val="List Number 3"/>
    <w:basedOn w:val="Normal"/>
    <w:uiPriority w:val="99"/>
    <w:semiHidden/>
    <w:unhideWhenUsed/>
    <w:rsid w:val="00163C56"/>
    <w:pPr>
      <w:numPr>
        <w:numId w:val="44"/>
      </w:numPr>
      <w:contextualSpacing/>
    </w:pPr>
  </w:style>
  <w:style w:type="paragraph" w:styleId="ListNumber4">
    <w:name w:val="List Number 4"/>
    <w:basedOn w:val="Normal"/>
    <w:uiPriority w:val="99"/>
    <w:semiHidden/>
    <w:unhideWhenUsed/>
    <w:rsid w:val="00163C56"/>
    <w:pPr>
      <w:numPr>
        <w:numId w:val="45"/>
      </w:numPr>
      <w:contextualSpacing/>
    </w:pPr>
  </w:style>
  <w:style w:type="paragraph" w:styleId="ListNumber5">
    <w:name w:val="List Number 5"/>
    <w:basedOn w:val="Normal"/>
    <w:uiPriority w:val="99"/>
    <w:semiHidden/>
    <w:unhideWhenUsed/>
    <w:rsid w:val="00163C56"/>
    <w:pPr>
      <w:numPr>
        <w:numId w:val="46"/>
      </w:numPr>
      <w:contextualSpacing/>
    </w:pPr>
  </w:style>
  <w:style w:type="table" w:styleId="ListTable1Light">
    <w:name w:val="List Table 1 Light"/>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7C7C7C" w:themeColor="text1" w:themeTint="99"/>
        </w:tcBorders>
      </w:tcPr>
    </w:tblStylePr>
    <w:tblStylePr w:type="lastRow">
      <w:rPr>
        <w:b/>
        <w:bCs/>
      </w:rPr>
      <w:tblPr/>
      <w:tcPr>
        <w:tcBorders>
          <w:top w:val="sing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1Light-Accent1">
    <w:name w:val="List Table 1 Light Accent 1"/>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669FB9" w:themeColor="accent1" w:themeTint="99"/>
        </w:tcBorders>
      </w:tcPr>
    </w:tblStylePr>
    <w:tblStylePr w:type="lastRow">
      <w:rPr>
        <w:b/>
        <w:bCs/>
      </w:rPr>
      <w:tblPr/>
      <w:tcPr>
        <w:tcBorders>
          <w:top w:val="single" w:sz="4" w:space="0" w:color="669FB9" w:themeColor="accent1" w:themeTint="99"/>
        </w:tcBorders>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ListTable1Light-Accent2">
    <w:name w:val="List Table 1 Light Accent 2"/>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F4A176" w:themeColor="accent2" w:themeTint="99"/>
        </w:tcBorders>
      </w:tcPr>
    </w:tblStylePr>
    <w:tblStylePr w:type="lastRow">
      <w:rPr>
        <w:b/>
        <w:bCs/>
      </w:rPr>
      <w:tblPr/>
      <w:tcPr>
        <w:tcBorders>
          <w:top w:val="single" w:sz="4" w:space="0" w:color="F4A176" w:themeColor="accent2" w:themeTint="99"/>
        </w:tcBorders>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ListTable1Light-Accent3">
    <w:name w:val="List Table 1 Light Accent 3"/>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CFD5D3" w:themeColor="accent3" w:themeTint="99"/>
        </w:tcBorders>
      </w:tcPr>
    </w:tblStylePr>
    <w:tblStylePr w:type="lastRow">
      <w:rPr>
        <w:b/>
        <w:bCs/>
      </w:rPr>
      <w:tblPr/>
      <w:tcPr>
        <w:tcBorders>
          <w:top w:val="single" w:sz="4" w:space="0" w:color="CFD5D3" w:themeColor="accent3" w:themeTint="99"/>
        </w:tcBorders>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ListTable1Light-Accent4">
    <w:name w:val="List Table 1 Light Accent 4"/>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BFC6B1" w:themeColor="accent4" w:themeTint="99"/>
        </w:tcBorders>
      </w:tcPr>
    </w:tblStylePr>
    <w:tblStylePr w:type="lastRow">
      <w:rPr>
        <w:b/>
        <w:bCs/>
      </w:rPr>
      <w:tblPr/>
      <w:tcPr>
        <w:tcBorders>
          <w:top w:val="single" w:sz="4" w:space="0" w:color="BFC6B1" w:themeColor="accent4" w:themeTint="99"/>
        </w:tcBorders>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ListTable1Light-Accent5">
    <w:name w:val="List Table 1 Light Accent 5"/>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FCE6DC" w:themeColor="accent5" w:themeTint="99"/>
        </w:tcBorders>
      </w:tcPr>
    </w:tblStylePr>
    <w:tblStylePr w:type="lastRow">
      <w:rPr>
        <w:b/>
        <w:bCs/>
      </w:rPr>
      <w:tblPr/>
      <w:tcPr>
        <w:tcBorders>
          <w:top w:val="single" w:sz="4" w:space="0" w:color="FCE6DC" w:themeColor="accent5" w:themeTint="99"/>
        </w:tcBorders>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ListTable1Light-Accent6">
    <w:name w:val="List Table 1 Light Accent 6"/>
    <w:basedOn w:val="TableNormal"/>
    <w:uiPriority w:val="46"/>
    <w:rsid w:val="00163C56"/>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rsid w:val="00163C56"/>
    <w:pPr>
      <w:spacing w:after="0" w:line="240" w:lineRule="auto"/>
    </w:pPr>
    <w:tblPr>
      <w:tblStyleRowBandSize w:val="1"/>
      <w:tblStyleColBandSize w:val="1"/>
      <w:tblBorders>
        <w:top w:val="single" w:sz="4" w:space="0" w:color="7C7C7C" w:themeColor="text1" w:themeTint="99"/>
        <w:bottom w:val="single" w:sz="4" w:space="0" w:color="7C7C7C" w:themeColor="text1" w:themeTint="99"/>
        <w:insideH w:val="single" w:sz="4" w:space="0" w:color="7C7C7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2-Accent1">
    <w:name w:val="List Table 2 Accent 1"/>
    <w:basedOn w:val="TableNormal"/>
    <w:uiPriority w:val="47"/>
    <w:rsid w:val="00163C56"/>
    <w:pPr>
      <w:spacing w:after="0" w:line="240" w:lineRule="auto"/>
    </w:pPr>
    <w:tblPr>
      <w:tblStyleRowBandSize w:val="1"/>
      <w:tblStyleColBandSize w:val="1"/>
      <w:tblBorders>
        <w:top w:val="single" w:sz="4" w:space="0" w:color="669FB9" w:themeColor="accent1" w:themeTint="99"/>
        <w:bottom w:val="single" w:sz="4" w:space="0" w:color="669FB9" w:themeColor="accent1" w:themeTint="99"/>
        <w:insideH w:val="single" w:sz="4" w:space="0" w:color="669FB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ListTable2-Accent2">
    <w:name w:val="List Table 2 Accent 2"/>
    <w:basedOn w:val="TableNormal"/>
    <w:uiPriority w:val="47"/>
    <w:rsid w:val="00163C56"/>
    <w:pPr>
      <w:spacing w:after="0" w:line="240" w:lineRule="auto"/>
    </w:pPr>
    <w:tblPr>
      <w:tblStyleRowBandSize w:val="1"/>
      <w:tblStyleColBandSize w:val="1"/>
      <w:tblBorders>
        <w:top w:val="single" w:sz="4" w:space="0" w:color="F4A176" w:themeColor="accent2" w:themeTint="99"/>
        <w:bottom w:val="single" w:sz="4" w:space="0" w:color="F4A176" w:themeColor="accent2" w:themeTint="99"/>
        <w:insideH w:val="single" w:sz="4" w:space="0" w:color="F4A1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ListTable2-Accent3">
    <w:name w:val="List Table 2 Accent 3"/>
    <w:basedOn w:val="TableNormal"/>
    <w:uiPriority w:val="47"/>
    <w:rsid w:val="00163C56"/>
    <w:pPr>
      <w:spacing w:after="0" w:line="240" w:lineRule="auto"/>
    </w:pPr>
    <w:tblPr>
      <w:tblStyleRowBandSize w:val="1"/>
      <w:tblStyleColBandSize w:val="1"/>
      <w:tblBorders>
        <w:top w:val="single" w:sz="4" w:space="0" w:color="CFD5D3" w:themeColor="accent3" w:themeTint="99"/>
        <w:bottom w:val="single" w:sz="4" w:space="0" w:color="CFD5D3" w:themeColor="accent3" w:themeTint="99"/>
        <w:insideH w:val="single" w:sz="4" w:space="0" w:color="CFD5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ListTable2-Accent4">
    <w:name w:val="List Table 2 Accent 4"/>
    <w:basedOn w:val="TableNormal"/>
    <w:uiPriority w:val="47"/>
    <w:rsid w:val="00163C56"/>
    <w:pPr>
      <w:spacing w:after="0" w:line="240" w:lineRule="auto"/>
    </w:pPr>
    <w:tblPr>
      <w:tblStyleRowBandSize w:val="1"/>
      <w:tblStyleColBandSize w:val="1"/>
      <w:tblBorders>
        <w:top w:val="single" w:sz="4" w:space="0" w:color="BFC6B1" w:themeColor="accent4" w:themeTint="99"/>
        <w:bottom w:val="single" w:sz="4" w:space="0" w:color="BFC6B1" w:themeColor="accent4" w:themeTint="99"/>
        <w:insideH w:val="single" w:sz="4" w:space="0" w:color="BFC6B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ListTable2-Accent5">
    <w:name w:val="List Table 2 Accent 5"/>
    <w:basedOn w:val="TableNormal"/>
    <w:uiPriority w:val="47"/>
    <w:rsid w:val="00163C56"/>
    <w:pPr>
      <w:spacing w:after="0" w:line="240" w:lineRule="auto"/>
    </w:pPr>
    <w:tblPr>
      <w:tblStyleRowBandSize w:val="1"/>
      <w:tblStyleColBandSize w:val="1"/>
      <w:tblBorders>
        <w:top w:val="single" w:sz="4" w:space="0" w:color="FCE6DC" w:themeColor="accent5" w:themeTint="99"/>
        <w:bottom w:val="single" w:sz="4" w:space="0" w:color="FCE6DC" w:themeColor="accent5" w:themeTint="99"/>
        <w:insideH w:val="single" w:sz="4" w:space="0" w:color="FCE6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ListTable2-Accent6">
    <w:name w:val="List Table 2 Accent 6"/>
    <w:basedOn w:val="TableNormal"/>
    <w:uiPriority w:val="47"/>
    <w:rsid w:val="00163C56"/>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rsid w:val="00163C56"/>
    <w:pPr>
      <w:spacing w:after="0" w:line="240" w:lineRule="auto"/>
    </w:pPr>
    <w:tblPr>
      <w:tblStyleRowBandSize w:val="1"/>
      <w:tblStyleColBandSize w:val="1"/>
      <w:tblBorders>
        <w:top w:val="single" w:sz="4" w:space="0" w:color="262626" w:themeColor="text1"/>
        <w:left w:val="single" w:sz="4" w:space="0" w:color="262626" w:themeColor="text1"/>
        <w:bottom w:val="single" w:sz="4" w:space="0" w:color="262626" w:themeColor="text1"/>
        <w:right w:val="single" w:sz="4" w:space="0" w:color="262626" w:themeColor="text1"/>
      </w:tblBorders>
    </w:tblPr>
    <w:tblStylePr w:type="firstRow">
      <w:rPr>
        <w:b/>
        <w:bCs/>
        <w:color w:val="FFFFFF" w:themeColor="background1"/>
      </w:rPr>
      <w:tblPr/>
      <w:tcPr>
        <w:shd w:val="clear" w:color="auto" w:fill="262626" w:themeFill="text1"/>
      </w:tcPr>
    </w:tblStylePr>
    <w:tblStylePr w:type="lastRow">
      <w:rPr>
        <w:b/>
        <w:bCs/>
      </w:rPr>
      <w:tblPr/>
      <w:tcPr>
        <w:tcBorders>
          <w:top w:val="double" w:sz="4" w:space="0" w:color="2626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2626" w:themeColor="text1"/>
          <w:right w:val="single" w:sz="4" w:space="0" w:color="262626" w:themeColor="text1"/>
        </w:tcBorders>
      </w:tcPr>
    </w:tblStylePr>
    <w:tblStylePr w:type="band1Horz">
      <w:tblPr/>
      <w:tcPr>
        <w:tcBorders>
          <w:top w:val="single" w:sz="4" w:space="0" w:color="262626" w:themeColor="text1"/>
          <w:bottom w:val="single" w:sz="4" w:space="0" w:color="2626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2626" w:themeColor="text1"/>
          <w:left w:val="nil"/>
        </w:tcBorders>
      </w:tcPr>
    </w:tblStylePr>
    <w:tblStylePr w:type="swCell">
      <w:tblPr/>
      <w:tcPr>
        <w:tcBorders>
          <w:top w:val="double" w:sz="4" w:space="0" w:color="262626" w:themeColor="text1"/>
          <w:right w:val="nil"/>
        </w:tcBorders>
      </w:tcPr>
    </w:tblStylePr>
  </w:style>
  <w:style w:type="table" w:styleId="ListTable3-Accent1">
    <w:name w:val="List Table 3 Accent 1"/>
    <w:basedOn w:val="TableNormal"/>
    <w:uiPriority w:val="48"/>
    <w:rsid w:val="00163C56"/>
    <w:pPr>
      <w:spacing w:after="0" w:line="240" w:lineRule="auto"/>
    </w:pPr>
    <w:tblPr>
      <w:tblStyleRowBandSize w:val="1"/>
      <w:tblStyleColBandSize w:val="1"/>
      <w:tblBorders>
        <w:top w:val="single" w:sz="4" w:space="0" w:color="2C5060" w:themeColor="accent1"/>
        <w:left w:val="single" w:sz="4" w:space="0" w:color="2C5060" w:themeColor="accent1"/>
        <w:bottom w:val="single" w:sz="4" w:space="0" w:color="2C5060" w:themeColor="accent1"/>
        <w:right w:val="single" w:sz="4" w:space="0" w:color="2C5060" w:themeColor="accent1"/>
      </w:tblBorders>
    </w:tblPr>
    <w:tblStylePr w:type="firstRow">
      <w:rPr>
        <w:b/>
        <w:bCs/>
        <w:color w:val="FFFFFF" w:themeColor="background1"/>
      </w:rPr>
      <w:tblPr/>
      <w:tcPr>
        <w:shd w:val="clear" w:color="auto" w:fill="2C5060" w:themeFill="accent1"/>
      </w:tcPr>
    </w:tblStylePr>
    <w:tblStylePr w:type="lastRow">
      <w:rPr>
        <w:b/>
        <w:bCs/>
      </w:rPr>
      <w:tblPr/>
      <w:tcPr>
        <w:tcBorders>
          <w:top w:val="double" w:sz="4" w:space="0" w:color="2C506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060" w:themeColor="accent1"/>
          <w:right w:val="single" w:sz="4" w:space="0" w:color="2C5060" w:themeColor="accent1"/>
        </w:tcBorders>
      </w:tcPr>
    </w:tblStylePr>
    <w:tblStylePr w:type="band1Horz">
      <w:tblPr/>
      <w:tcPr>
        <w:tcBorders>
          <w:top w:val="single" w:sz="4" w:space="0" w:color="2C5060" w:themeColor="accent1"/>
          <w:bottom w:val="single" w:sz="4" w:space="0" w:color="2C506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060" w:themeColor="accent1"/>
          <w:left w:val="nil"/>
        </w:tcBorders>
      </w:tcPr>
    </w:tblStylePr>
    <w:tblStylePr w:type="swCell">
      <w:tblPr/>
      <w:tcPr>
        <w:tcBorders>
          <w:top w:val="double" w:sz="4" w:space="0" w:color="2C5060" w:themeColor="accent1"/>
          <w:right w:val="nil"/>
        </w:tcBorders>
      </w:tcPr>
    </w:tblStylePr>
  </w:style>
  <w:style w:type="table" w:styleId="ListTable3-Accent2">
    <w:name w:val="List Table 3 Accent 2"/>
    <w:basedOn w:val="TableNormal"/>
    <w:uiPriority w:val="48"/>
    <w:rsid w:val="00163C56"/>
    <w:pPr>
      <w:spacing w:after="0" w:line="240" w:lineRule="auto"/>
    </w:pPr>
    <w:tblPr>
      <w:tblStyleRowBandSize w:val="1"/>
      <w:tblStyleColBandSize w:val="1"/>
      <w:tblBorders>
        <w:top w:val="single" w:sz="4" w:space="0" w:color="ED641C" w:themeColor="accent2"/>
        <w:left w:val="single" w:sz="4" w:space="0" w:color="ED641C" w:themeColor="accent2"/>
        <w:bottom w:val="single" w:sz="4" w:space="0" w:color="ED641C" w:themeColor="accent2"/>
        <w:right w:val="single" w:sz="4" w:space="0" w:color="ED641C" w:themeColor="accent2"/>
      </w:tblBorders>
    </w:tblPr>
    <w:tblStylePr w:type="firstRow">
      <w:rPr>
        <w:b/>
        <w:bCs/>
        <w:color w:val="FFFFFF" w:themeColor="background1"/>
      </w:rPr>
      <w:tblPr/>
      <w:tcPr>
        <w:shd w:val="clear" w:color="auto" w:fill="ED641C" w:themeFill="accent2"/>
      </w:tcPr>
    </w:tblStylePr>
    <w:tblStylePr w:type="lastRow">
      <w:rPr>
        <w:b/>
        <w:bCs/>
      </w:rPr>
      <w:tblPr/>
      <w:tcPr>
        <w:tcBorders>
          <w:top w:val="double" w:sz="4" w:space="0" w:color="ED641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641C" w:themeColor="accent2"/>
          <w:right w:val="single" w:sz="4" w:space="0" w:color="ED641C" w:themeColor="accent2"/>
        </w:tcBorders>
      </w:tcPr>
    </w:tblStylePr>
    <w:tblStylePr w:type="band1Horz">
      <w:tblPr/>
      <w:tcPr>
        <w:tcBorders>
          <w:top w:val="single" w:sz="4" w:space="0" w:color="ED641C" w:themeColor="accent2"/>
          <w:bottom w:val="single" w:sz="4" w:space="0" w:color="ED641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641C" w:themeColor="accent2"/>
          <w:left w:val="nil"/>
        </w:tcBorders>
      </w:tcPr>
    </w:tblStylePr>
    <w:tblStylePr w:type="swCell">
      <w:tblPr/>
      <w:tcPr>
        <w:tcBorders>
          <w:top w:val="double" w:sz="4" w:space="0" w:color="ED641C" w:themeColor="accent2"/>
          <w:right w:val="nil"/>
        </w:tcBorders>
      </w:tcPr>
    </w:tblStylePr>
  </w:style>
  <w:style w:type="table" w:styleId="ListTable3-Accent3">
    <w:name w:val="List Table 3 Accent 3"/>
    <w:basedOn w:val="TableNormal"/>
    <w:uiPriority w:val="48"/>
    <w:rsid w:val="00163C56"/>
    <w:pPr>
      <w:spacing w:after="0" w:line="240" w:lineRule="auto"/>
    </w:pPr>
    <w:tblPr>
      <w:tblStyleRowBandSize w:val="1"/>
      <w:tblStyleColBandSize w:val="1"/>
      <w:tblBorders>
        <w:top w:val="single" w:sz="4" w:space="0" w:color="AFB9B6" w:themeColor="accent3"/>
        <w:left w:val="single" w:sz="4" w:space="0" w:color="AFB9B6" w:themeColor="accent3"/>
        <w:bottom w:val="single" w:sz="4" w:space="0" w:color="AFB9B6" w:themeColor="accent3"/>
        <w:right w:val="single" w:sz="4" w:space="0" w:color="AFB9B6" w:themeColor="accent3"/>
      </w:tblBorders>
    </w:tblPr>
    <w:tblStylePr w:type="firstRow">
      <w:rPr>
        <w:b/>
        <w:bCs/>
        <w:color w:val="FFFFFF" w:themeColor="background1"/>
      </w:rPr>
      <w:tblPr/>
      <w:tcPr>
        <w:shd w:val="clear" w:color="auto" w:fill="AFB9B6" w:themeFill="accent3"/>
      </w:tcPr>
    </w:tblStylePr>
    <w:tblStylePr w:type="lastRow">
      <w:rPr>
        <w:b/>
        <w:bCs/>
      </w:rPr>
      <w:tblPr/>
      <w:tcPr>
        <w:tcBorders>
          <w:top w:val="double" w:sz="4" w:space="0" w:color="AFB9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B9B6" w:themeColor="accent3"/>
          <w:right w:val="single" w:sz="4" w:space="0" w:color="AFB9B6" w:themeColor="accent3"/>
        </w:tcBorders>
      </w:tcPr>
    </w:tblStylePr>
    <w:tblStylePr w:type="band1Horz">
      <w:tblPr/>
      <w:tcPr>
        <w:tcBorders>
          <w:top w:val="single" w:sz="4" w:space="0" w:color="AFB9B6" w:themeColor="accent3"/>
          <w:bottom w:val="single" w:sz="4" w:space="0" w:color="AFB9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B9B6" w:themeColor="accent3"/>
          <w:left w:val="nil"/>
        </w:tcBorders>
      </w:tcPr>
    </w:tblStylePr>
    <w:tblStylePr w:type="swCell">
      <w:tblPr/>
      <w:tcPr>
        <w:tcBorders>
          <w:top w:val="double" w:sz="4" w:space="0" w:color="AFB9B6" w:themeColor="accent3"/>
          <w:right w:val="nil"/>
        </w:tcBorders>
      </w:tcPr>
    </w:tblStylePr>
  </w:style>
  <w:style w:type="table" w:styleId="ListTable3-Accent4">
    <w:name w:val="List Table 3 Accent 4"/>
    <w:basedOn w:val="TableNormal"/>
    <w:uiPriority w:val="48"/>
    <w:rsid w:val="00163C56"/>
    <w:pPr>
      <w:spacing w:after="0" w:line="240" w:lineRule="auto"/>
    </w:pPr>
    <w:tblPr>
      <w:tblStyleRowBandSize w:val="1"/>
      <w:tblStyleColBandSize w:val="1"/>
      <w:tblBorders>
        <w:top w:val="single" w:sz="4" w:space="0" w:color="95A17E" w:themeColor="accent4"/>
        <w:left w:val="single" w:sz="4" w:space="0" w:color="95A17E" w:themeColor="accent4"/>
        <w:bottom w:val="single" w:sz="4" w:space="0" w:color="95A17E" w:themeColor="accent4"/>
        <w:right w:val="single" w:sz="4" w:space="0" w:color="95A17E" w:themeColor="accent4"/>
      </w:tblBorders>
    </w:tblPr>
    <w:tblStylePr w:type="firstRow">
      <w:rPr>
        <w:b/>
        <w:bCs/>
        <w:color w:val="FFFFFF" w:themeColor="background1"/>
      </w:rPr>
      <w:tblPr/>
      <w:tcPr>
        <w:shd w:val="clear" w:color="auto" w:fill="95A17E" w:themeFill="accent4"/>
      </w:tcPr>
    </w:tblStylePr>
    <w:tblStylePr w:type="lastRow">
      <w:rPr>
        <w:b/>
        <w:bCs/>
      </w:rPr>
      <w:tblPr/>
      <w:tcPr>
        <w:tcBorders>
          <w:top w:val="double" w:sz="4" w:space="0" w:color="95A17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A17E" w:themeColor="accent4"/>
          <w:right w:val="single" w:sz="4" w:space="0" w:color="95A17E" w:themeColor="accent4"/>
        </w:tcBorders>
      </w:tcPr>
    </w:tblStylePr>
    <w:tblStylePr w:type="band1Horz">
      <w:tblPr/>
      <w:tcPr>
        <w:tcBorders>
          <w:top w:val="single" w:sz="4" w:space="0" w:color="95A17E" w:themeColor="accent4"/>
          <w:bottom w:val="single" w:sz="4" w:space="0" w:color="95A17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A17E" w:themeColor="accent4"/>
          <w:left w:val="nil"/>
        </w:tcBorders>
      </w:tcPr>
    </w:tblStylePr>
    <w:tblStylePr w:type="swCell">
      <w:tblPr/>
      <w:tcPr>
        <w:tcBorders>
          <w:top w:val="double" w:sz="4" w:space="0" w:color="95A17E" w:themeColor="accent4"/>
          <w:right w:val="nil"/>
        </w:tcBorders>
      </w:tcPr>
    </w:tblStylePr>
  </w:style>
  <w:style w:type="table" w:styleId="ListTable3-Accent5">
    <w:name w:val="List Table 3 Accent 5"/>
    <w:basedOn w:val="TableNormal"/>
    <w:uiPriority w:val="48"/>
    <w:rsid w:val="00163C56"/>
    <w:pPr>
      <w:spacing w:after="0" w:line="240" w:lineRule="auto"/>
    </w:pPr>
    <w:tblPr>
      <w:tblStyleRowBandSize w:val="1"/>
      <w:tblStyleColBandSize w:val="1"/>
      <w:tblBorders>
        <w:top w:val="single" w:sz="4" w:space="0" w:color="FBD7C5" w:themeColor="accent5"/>
        <w:left w:val="single" w:sz="4" w:space="0" w:color="FBD7C5" w:themeColor="accent5"/>
        <w:bottom w:val="single" w:sz="4" w:space="0" w:color="FBD7C5" w:themeColor="accent5"/>
        <w:right w:val="single" w:sz="4" w:space="0" w:color="FBD7C5" w:themeColor="accent5"/>
      </w:tblBorders>
    </w:tblPr>
    <w:tblStylePr w:type="firstRow">
      <w:rPr>
        <w:b/>
        <w:bCs/>
        <w:color w:val="FFFFFF" w:themeColor="background1"/>
      </w:rPr>
      <w:tblPr/>
      <w:tcPr>
        <w:shd w:val="clear" w:color="auto" w:fill="FBD7C5" w:themeFill="accent5"/>
      </w:tcPr>
    </w:tblStylePr>
    <w:tblStylePr w:type="lastRow">
      <w:rPr>
        <w:b/>
        <w:bCs/>
      </w:rPr>
      <w:tblPr/>
      <w:tcPr>
        <w:tcBorders>
          <w:top w:val="double" w:sz="4" w:space="0" w:color="FBD7C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D7C5" w:themeColor="accent5"/>
          <w:right w:val="single" w:sz="4" w:space="0" w:color="FBD7C5" w:themeColor="accent5"/>
        </w:tcBorders>
      </w:tcPr>
    </w:tblStylePr>
    <w:tblStylePr w:type="band1Horz">
      <w:tblPr/>
      <w:tcPr>
        <w:tcBorders>
          <w:top w:val="single" w:sz="4" w:space="0" w:color="FBD7C5" w:themeColor="accent5"/>
          <w:bottom w:val="single" w:sz="4" w:space="0" w:color="FBD7C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D7C5" w:themeColor="accent5"/>
          <w:left w:val="nil"/>
        </w:tcBorders>
      </w:tcPr>
    </w:tblStylePr>
    <w:tblStylePr w:type="swCell">
      <w:tblPr/>
      <w:tcPr>
        <w:tcBorders>
          <w:top w:val="double" w:sz="4" w:space="0" w:color="FBD7C5" w:themeColor="accent5"/>
          <w:right w:val="nil"/>
        </w:tcBorders>
      </w:tcPr>
    </w:tblStylePr>
  </w:style>
  <w:style w:type="table" w:styleId="ListTable3-Accent6">
    <w:name w:val="List Table 3 Accent 6"/>
    <w:basedOn w:val="TableNormal"/>
    <w:uiPriority w:val="48"/>
    <w:rsid w:val="00163C56"/>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rsid w:val="00163C56"/>
    <w:pPr>
      <w:spacing w:after="0" w:line="240" w:lineRule="auto"/>
    </w:pPr>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tblBorders>
    </w:tblPr>
    <w:tblStylePr w:type="firstRow">
      <w:rPr>
        <w:b/>
        <w:bCs/>
        <w:color w:val="FFFFFF" w:themeColor="background1"/>
      </w:rPr>
      <w:tblPr/>
      <w:tcPr>
        <w:tcBorders>
          <w:top w:val="single" w:sz="4" w:space="0" w:color="262626" w:themeColor="text1"/>
          <w:left w:val="single" w:sz="4" w:space="0" w:color="262626" w:themeColor="text1"/>
          <w:bottom w:val="single" w:sz="4" w:space="0" w:color="262626" w:themeColor="text1"/>
          <w:right w:val="single" w:sz="4" w:space="0" w:color="262626" w:themeColor="text1"/>
          <w:insideH w:val="nil"/>
        </w:tcBorders>
        <w:shd w:val="clear" w:color="auto" w:fill="262626" w:themeFill="text1"/>
      </w:tcPr>
    </w:tblStylePr>
    <w:tblStylePr w:type="lastRow">
      <w:rPr>
        <w:b/>
        <w:bCs/>
      </w:rPr>
      <w:tblPr/>
      <w:tcPr>
        <w:tcBorders>
          <w:top w:val="double" w:sz="4" w:space="0" w:color="7C7C7C"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163C56"/>
    <w:pPr>
      <w:spacing w:after="0" w:line="240" w:lineRule="auto"/>
    </w:pPr>
    <w:tblPr>
      <w:tblStyleRowBandSize w:val="1"/>
      <w:tblStyleColBandSize w:val="1"/>
      <w:tblBorders>
        <w:top w:val="single" w:sz="4" w:space="0" w:color="669FB9" w:themeColor="accent1" w:themeTint="99"/>
        <w:left w:val="single" w:sz="4" w:space="0" w:color="669FB9" w:themeColor="accent1" w:themeTint="99"/>
        <w:bottom w:val="single" w:sz="4" w:space="0" w:color="669FB9" w:themeColor="accent1" w:themeTint="99"/>
        <w:right w:val="single" w:sz="4" w:space="0" w:color="669FB9" w:themeColor="accent1" w:themeTint="99"/>
        <w:insideH w:val="single" w:sz="4" w:space="0" w:color="669FB9" w:themeColor="accent1" w:themeTint="99"/>
      </w:tblBorders>
    </w:tblPr>
    <w:tblStylePr w:type="firstRow">
      <w:rPr>
        <w:b/>
        <w:bCs/>
        <w:color w:val="FFFFFF" w:themeColor="background1"/>
      </w:rPr>
      <w:tblPr/>
      <w:tcPr>
        <w:tcBorders>
          <w:top w:val="single" w:sz="4" w:space="0" w:color="2C5060" w:themeColor="accent1"/>
          <w:left w:val="single" w:sz="4" w:space="0" w:color="2C5060" w:themeColor="accent1"/>
          <w:bottom w:val="single" w:sz="4" w:space="0" w:color="2C5060" w:themeColor="accent1"/>
          <w:right w:val="single" w:sz="4" w:space="0" w:color="2C5060" w:themeColor="accent1"/>
          <w:insideH w:val="nil"/>
        </w:tcBorders>
        <w:shd w:val="clear" w:color="auto" w:fill="2C5060" w:themeFill="accent1"/>
      </w:tcPr>
    </w:tblStylePr>
    <w:tblStylePr w:type="lastRow">
      <w:rPr>
        <w:b/>
        <w:bCs/>
      </w:rPr>
      <w:tblPr/>
      <w:tcPr>
        <w:tcBorders>
          <w:top w:val="double" w:sz="4" w:space="0" w:color="669FB9" w:themeColor="accent1" w:themeTint="99"/>
        </w:tcBorders>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ListTable4-Accent2">
    <w:name w:val="List Table 4 Accent 2"/>
    <w:basedOn w:val="TableNormal"/>
    <w:uiPriority w:val="49"/>
    <w:rsid w:val="00163C56"/>
    <w:pPr>
      <w:spacing w:after="0" w:line="240" w:lineRule="auto"/>
    </w:pPr>
    <w:tblPr>
      <w:tblStyleRowBandSize w:val="1"/>
      <w:tblStyleColBandSize w:val="1"/>
      <w:tblBorders>
        <w:top w:val="single" w:sz="4" w:space="0" w:color="F4A176" w:themeColor="accent2" w:themeTint="99"/>
        <w:left w:val="single" w:sz="4" w:space="0" w:color="F4A176" w:themeColor="accent2" w:themeTint="99"/>
        <w:bottom w:val="single" w:sz="4" w:space="0" w:color="F4A176" w:themeColor="accent2" w:themeTint="99"/>
        <w:right w:val="single" w:sz="4" w:space="0" w:color="F4A176" w:themeColor="accent2" w:themeTint="99"/>
        <w:insideH w:val="single" w:sz="4" w:space="0" w:color="F4A176" w:themeColor="accent2" w:themeTint="99"/>
      </w:tblBorders>
    </w:tblPr>
    <w:tblStylePr w:type="firstRow">
      <w:rPr>
        <w:b/>
        <w:bCs/>
        <w:color w:val="FFFFFF" w:themeColor="background1"/>
      </w:rPr>
      <w:tblPr/>
      <w:tcPr>
        <w:tcBorders>
          <w:top w:val="single" w:sz="4" w:space="0" w:color="ED641C" w:themeColor="accent2"/>
          <w:left w:val="single" w:sz="4" w:space="0" w:color="ED641C" w:themeColor="accent2"/>
          <w:bottom w:val="single" w:sz="4" w:space="0" w:color="ED641C" w:themeColor="accent2"/>
          <w:right w:val="single" w:sz="4" w:space="0" w:color="ED641C" w:themeColor="accent2"/>
          <w:insideH w:val="nil"/>
        </w:tcBorders>
        <w:shd w:val="clear" w:color="auto" w:fill="ED641C" w:themeFill="accent2"/>
      </w:tcPr>
    </w:tblStylePr>
    <w:tblStylePr w:type="lastRow">
      <w:rPr>
        <w:b/>
        <w:bCs/>
      </w:rPr>
      <w:tblPr/>
      <w:tcPr>
        <w:tcBorders>
          <w:top w:val="double" w:sz="4" w:space="0" w:color="F4A176" w:themeColor="accent2" w:themeTint="99"/>
        </w:tcBorders>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ListTable4-Accent3">
    <w:name w:val="List Table 4 Accent 3"/>
    <w:basedOn w:val="TableNormal"/>
    <w:uiPriority w:val="49"/>
    <w:rsid w:val="00163C56"/>
    <w:pPr>
      <w:spacing w:after="0" w:line="240" w:lineRule="auto"/>
    </w:pPr>
    <w:tblPr>
      <w:tblStyleRowBandSize w:val="1"/>
      <w:tblStyleColBandSize w:val="1"/>
      <w:tblBorders>
        <w:top w:val="single" w:sz="4" w:space="0" w:color="CFD5D3" w:themeColor="accent3" w:themeTint="99"/>
        <w:left w:val="single" w:sz="4" w:space="0" w:color="CFD5D3" w:themeColor="accent3" w:themeTint="99"/>
        <w:bottom w:val="single" w:sz="4" w:space="0" w:color="CFD5D3" w:themeColor="accent3" w:themeTint="99"/>
        <w:right w:val="single" w:sz="4" w:space="0" w:color="CFD5D3" w:themeColor="accent3" w:themeTint="99"/>
        <w:insideH w:val="single" w:sz="4" w:space="0" w:color="CFD5D3" w:themeColor="accent3" w:themeTint="99"/>
      </w:tblBorders>
    </w:tblPr>
    <w:tblStylePr w:type="firstRow">
      <w:rPr>
        <w:b/>
        <w:bCs/>
        <w:color w:val="FFFFFF" w:themeColor="background1"/>
      </w:rPr>
      <w:tblPr/>
      <w:tcPr>
        <w:tcBorders>
          <w:top w:val="single" w:sz="4" w:space="0" w:color="AFB9B6" w:themeColor="accent3"/>
          <w:left w:val="single" w:sz="4" w:space="0" w:color="AFB9B6" w:themeColor="accent3"/>
          <w:bottom w:val="single" w:sz="4" w:space="0" w:color="AFB9B6" w:themeColor="accent3"/>
          <w:right w:val="single" w:sz="4" w:space="0" w:color="AFB9B6" w:themeColor="accent3"/>
          <w:insideH w:val="nil"/>
        </w:tcBorders>
        <w:shd w:val="clear" w:color="auto" w:fill="AFB9B6" w:themeFill="accent3"/>
      </w:tcPr>
    </w:tblStylePr>
    <w:tblStylePr w:type="lastRow">
      <w:rPr>
        <w:b/>
        <w:bCs/>
      </w:rPr>
      <w:tblPr/>
      <w:tcPr>
        <w:tcBorders>
          <w:top w:val="double" w:sz="4" w:space="0" w:color="CFD5D3" w:themeColor="accent3" w:themeTint="99"/>
        </w:tcBorders>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ListTable4-Accent4">
    <w:name w:val="List Table 4 Accent 4"/>
    <w:basedOn w:val="TableNormal"/>
    <w:uiPriority w:val="49"/>
    <w:rsid w:val="00163C56"/>
    <w:pPr>
      <w:spacing w:after="0" w:line="240" w:lineRule="auto"/>
    </w:pPr>
    <w:tblPr>
      <w:tblStyleRowBandSize w:val="1"/>
      <w:tblStyleColBandSize w:val="1"/>
      <w:tblBorders>
        <w:top w:val="single" w:sz="4" w:space="0" w:color="BFC6B1" w:themeColor="accent4" w:themeTint="99"/>
        <w:left w:val="single" w:sz="4" w:space="0" w:color="BFC6B1" w:themeColor="accent4" w:themeTint="99"/>
        <w:bottom w:val="single" w:sz="4" w:space="0" w:color="BFC6B1" w:themeColor="accent4" w:themeTint="99"/>
        <w:right w:val="single" w:sz="4" w:space="0" w:color="BFC6B1" w:themeColor="accent4" w:themeTint="99"/>
        <w:insideH w:val="single" w:sz="4" w:space="0" w:color="BFC6B1" w:themeColor="accent4" w:themeTint="99"/>
      </w:tblBorders>
    </w:tblPr>
    <w:tblStylePr w:type="firstRow">
      <w:rPr>
        <w:b/>
        <w:bCs/>
        <w:color w:val="FFFFFF" w:themeColor="background1"/>
      </w:rPr>
      <w:tblPr/>
      <w:tcPr>
        <w:tcBorders>
          <w:top w:val="single" w:sz="4" w:space="0" w:color="95A17E" w:themeColor="accent4"/>
          <w:left w:val="single" w:sz="4" w:space="0" w:color="95A17E" w:themeColor="accent4"/>
          <w:bottom w:val="single" w:sz="4" w:space="0" w:color="95A17E" w:themeColor="accent4"/>
          <w:right w:val="single" w:sz="4" w:space="0" w:color="95A17E" w:themeColor="accent4"/>
          <w:insideH w:val="nil"/>
        </w:tcBorders>
        <w:shd w:val="clear" w:color="auto" w:fill="95A17E" w:themeFill="accent4"/>
      </w:tcPr>
    </w:tblStylePr>
    <w:tblStylePr w:type="lastRow">
      <w:rPr>
        <w:b/>
        <w:bCs/>
      </w:rPr>
      <w:tblPr/>
      <w:tcPr>
        <w:tcBorders>
          <w:top w:val="double" w:sz="4" w:space="0" w:color="BFC6B1" w:themeColor="accent4" w:themeTint="99"/>
        </w:tcBorders>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ListTable4-Accent5">
    <w:name w:val="List Table 4 Accent 5"/>
    <w:basedOn w:val="TableNormal"/>
    <w:uiPriority w:val="49"/>
    <w:rsid w:val="00163C56"/>
    <w:pPr>
      <w:spacing w:after="0" w:line="240" w:lineRule="auto"/>
    </w:pPr>
    <w:tblPr>
      <w:tblStyleRowBandSize w:val="1"/>
      <w:tblStyleColBandSize w:val="1"/>
      <w:tblBorders>
        <w:top w:val="single" w:sz="4" w:space="0" w:color="FCE6DC" w:themeColor="accent5" w:themeTint="99"/>
        <w:left w:val="single" w:sz="4" w:space="0" w:color="FCE6DC" w:themeColor="accent5" w:themeTint="99"/>
        <w:bottom w:val="single" w:sz="4" w:space="0" w:color="FCE6DC" w:themeColor="accent5" w:themeTint="99"/>
        <w:right w:val="single" w:sz="4" w:space="0" w:color="FCE6DC" w:themeColor="accent5" w:themeTint="99"/>
        <w:insideH w:val="single" w:sz="4" w:space="0" w:color="FCE6DC" w:themeColor="accent5" w:themeTint="99"/>
      </w:tblBorders>
    </w:tblPr>
    <w:tblStylePr w:type="firstRow">
      <w:rPr>
        <w:b/>
        <w:bCs/>
        <w:color w:val="FFFFFF" w:themeColor="background1"/>
      </w:rPr>
      <w:tblPr/>
      <w:tcPr>
        <w:tcBorders>
          <w:top w:val="single" w:sz="4" w:space="0" w:color="FBD7C5" w:themeColor="accent5"/>
          <w:left w:val="single" w:sz="4" w:space="0" w:color="FBD7C5" w:themeColor="accent5"/>
          <w:bottom w:val="single" w:sz="4" w:space="0" w:color="FBD7C5" w:themeColor="accent5"/>
          <w:right w:val="single" w:sz="4" w:space="0" w:color="FBD7C5" w:themeColor="accent5"/>
          <w:insideH w:val="nil"/>
        </w:tcBorders>
        <w:shd w:val="clear" w:color="auto" w:fill="FBD7C5" w:themeFill="accent5"/>
      </w:tcPr>
    </w:tblStylePr>
    <w:tblStylePr w:type="lastRow">
      <w:rPr>
        <w:b/>
        <w:bCs/>
      </w:rPr>
      <w:tblPr/>
      <w:tcPr>
        <w:tcBorders>
          <w:top w:val="double" w:sz="4" w:space="0" w:color="FCE6DC" w:themeColor="accent5" w:themeTint="99"/>
        </w:tcBorders>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ListTable4-Accent6">
    <w:name w:val="List Table 4 Accent 6"/>
    <w:basedOn w:val="TableNormal"/>
    <w:uiPriority w:val="49"/>
    <w:rsid w:val="00163C56"/>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rsid w:val="00163C56"/>
    <w:pPr>
      <w:spacing w:after="0" w:line="240" w:lineRule="auto"/>
    </w:pPr>
    <w:rPr>
      <w:color w:val="FFFFFF" w:themeColor="background1"/>
    </w:rPr>
    <w:tblPr>
      <w:tblStyleRowBandSize w:val="1"/>
      <w:tblStyleColBandSize w:val="1"/>
      <w:tblBorders>
        <w:top w:val="single" w:sz="24" w:space="0" w:color="262626" w:themeColor="text1"/>
        <w:left w:val="single" w:sz="24" w:space="0" w:color="262626" w:themeColor="text1"/>
        <w:bottom w:val="single" w:sz="24" w:space="0" w:color="262626" w:themeColor="text1"/>
        <w:right w:val="single" w:sz="24" w:space="0" w:color="262626" w:themeColor="text1"/>
      </w:tblBorders>
    </w:tblPr>
    <w:tcPr>
      <w:shd w:val="clear" w:color="auto" w:fill="2626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63C56"/>
    <w:pPr>
      <w:spacing w:after="0" w:line="240" w:lineRule="auto"/>
    </w:pPr>
    <w:rPr>
      <w:color w:val="FFFFFF" w:themeColor="background1"/>
    </w:rPr>
    <w:tblPr>
      <w:tblStyleRowBandSize w:val="1"/>
      <w:tblStyleColBandSize w:val="1"/>
      <w:tblBorders>
        <w:top w:val="single" w:sz="24" w:space="0" w:color="2C5060" w:themeColor="accent1"/>
        <w:left w:val="single" w:sz="24" w:space="0" w:color="2C5060" w:themeColor="accent1"/>
        <w:bottom w:val="single" w:sz="24" w:space="0" w:color="2C5060" w:themeColor="accent1"/>
        <w:right w:val="single" w:sz="24" w:space="0" w:color="2C5060" w:themeColor="accent1"/>
      </w:tblBorders>
    </w:tblPr>
    <w:tcPr>
      <w:shd w:val="clear" w:color="auto" w:fill="2C506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63C56"/>
    <w:pPr>
      <w:spacing w:after="0" w:line="240" w:lineRule="auto"/>
    </w:pPr>
    <w:rPr>
      <w:color w:val="FFFFFF" w:themeColor="background1"/>
    </w:rPr>
    <w:tblPr>
      <w:tblStyleRowBandSize w:val="1"/>
      <w:tblStyleColBandSize w:val="1"/>
      <w:tblBorders>
        <w:top w:val="single" w:sz="24" w:space="0" w:color="ED641C" w:themeColor="accent2"/>
        <w:left w:val="single" w:sz="24" w:space="0" w:color="ED641C" w:themeColor="accent2"/>
        <w:bottom w:val="single" w:sz="24" w:space="0" w:color="ED641C" w:themeColor="accent2"/>
        <w:right w:val="single" w:sz="24" w:space="0" w:color="ED641C" w:themeColor="accent2"/>
      </w:tblBorders>
    </w:tblPr>
    <w:tcPr>
      <w:shd w:val="clear" w:color="auto" w:fill="ED641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63C56"/>
    <w:pPr>
      <w:spacing w:after="0" w:line="240" w:lineRule="auto"/>
    </w:pPr>
    <w:rPr>
      <w:color w:val="FFFFFF" w:themeColor="background1"/>
    </w:rPr>
    <w:tblPr>
      <w:tblStyleRowBandSize w:val="1"/>
      <w:tblStyleColBandSize w:val="1"/>
      <w:tblBorders>
        <w:top w:val="single" w:sz="24" w:space="0" w:color="AFB9B6" w:themeColor="accent3"/>
        <w:left w:val="single" w:sz="24" w:space="0" w:color="AFB9B6" w:themeColor="accent3"/>
        <w:bottom w:val="single" w:sz="24" w:space="0" w:color="AFB9B6" w:themeColor="accent3"/>
        <w:right w:val="single" w:sz="24" w:space="0" w:color="AFB9B6" w:themeColor="accent3"/>
      </w:tblBorders>
    </w:tblPr>
    <w:tcPr>
      <w:shd w:val="clear" w:color="auto" w:fill="AFB9B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63C56"/>
    <w:pPr>
      <w:spacing w:after="0" w:line="240" w:lineRule="auto"/>
    </w:pPr>
    <w:rPr>
      <w:color w:val="FFFFFF" w:themeColor="background1"/>
    </w:rPr>
    <w:tblPr>
      <w:tblStyleRowBandSize w:val="1"/>
      <w:tblStyleColBandSize w:val="1"/>
      <w:tblBorders>
        <w:top w:val="single" w:sz="24" w:space="0" w:color="95A17E" w:themeColor="accent4"/>
        <w:left w:val="single" w:sz="24" w:space="0" w:color="95A17E" w:themeColor="accent4"/>
        <w:bottom w:val="single" w:sz="24" w:space="0" w:color="95A17E" w:themeColor="accent4"/>
        <w:right w:val="single" w:sz="24" w:space="0" w:color="95A17E" w:themeColor="accent4"/>
      </w:tblBorders>
    </w:tblPr>
    <w:tcPr>
      <w:shd w:val="clear" w:color="auto" w:fill="95A17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63C56"/>
    <w:pPr>
      <w:spacing w:after="0" w:line="240" w:lineRule="auto"/>
    </w:pPr>
    <w:rPr>
      <w:color w:val="FFFFFF" w:themeColor="background1"/>
    </w:rPr>
    <w:tblPr>
      <w:tblStyleRowBandSize w:val="1"/>
      <w:tblStyleColBandSize w:val="1"/>
      <w:tblBorders>
        <w:top w:val="single" w:sz="24" w:space="0" w:color="FBD7C5" w:themeColor="accent5"/>
        <w:left w:val="single" w:sz="24" w:space="0" w:color="FBD7C5" w:themeColor="accent5"/>
        <w:bottom w:val="single" w:sz="24" w:space="0" w:color="FBD7C5" w:themeColor="accent5"/>
        <w:right w:val="single" w:sz="24" w:space="0" w:color="FBD7C5" w:themeColor="accent5"/>
      </w:tblBorders>
    </w:tblPr>
    <w:tcPr>
      <w:shd w:val="clear" w:color="auto" w:fill="FBD7C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63C56"/>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63C56"/>
    <w:pPr>
      <w:spacing w:after="0" w:line="240" w:lineRule="auto"/>
    </w:pPr>
    <w:rPr>
      <w:color w:val="262626" w:themeColor="text1"/>
    </w:rPr>
    <w:tblPr>
      <w:tblStyleRowBandSize w:val="1"/>
      <w:tblStyleColBandSize w:val="1"/>
      <w:tblBorders>
        <w:top w:val="single" w:sz="4" w:space="0" w:color="262626" w:themeColor="text1"/>
        <w:bottom w:val="single" w:sz="4" w:space="0" w:color="262626" w:themeColor="text1"/>
      </w:tblBorders>
    </w:tblPr>
    <w:tblStylePr w:type="firstRow">
      <w:rPr>
        <w:b/>
        <w:bCs/>
      </w:rPr>
      <w:tblPr/>
      <w:tcPr>
        <w:tcBorders>
          <w:bottom w:val="single" w:sz="4" w:space="0" w:color="262626" w:themeColor="text1"/>
        </w:tcBorders>
      </w:tcPr>
    </w:tblStylePr>
    <w:tblStylePr w:type="lastRow">
      <w:rPr>
        <w:b/>
        <w:bCs/>
      </w:rPr>
      <w:tblPr/>
      <w:tcPr>
        <w:tcBorders>
          <w:top w:val="double" w:sz="4" w:space="0" w:color="262626"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6Colorful-Accent1">
    <w:name w:val="List Table 6 Colorful Accent 1"/>
    <w:basedOn w:val="TableNormal"/>
    <w:uiPriority w:val="51"/>
    <w:rsid w:val="00163C56"/>
    <w:pPr>
      <w:spacing w:after="0" w:line="240" w:lineRule="auto"/>
    </w:pPr>
    <w:rPr>
      <w:color w:val="213B47" w:themeColor="accent1" w:themeShade="BF"/>
    </w:rPr>
    <w:tblPr>
      <w:tblStyleRowBandSize w:val="1"/>
      <w:tblStyleColBandSize w:val="1"/>
      <w:tblBorders>
        <w:top w:val="single" w:sz="4" w:space="0" w:color="2C5060" w:themeColor="accent1"/>
        <w:bottom w:val="single" w:sz="4" w:space="0" w:color="2C5060" w:themeColor="accent1"/>
      </w:tblBorders>
    </w:tblPr>
    <w:tblStylePr w:type="firstRow">
      <w:rPr>
        <w:b/>
        <w:bCs/>
      </w:rPr>
      <w:tblPr/>
      <w:tcPr>
        <w:tcBorders>
          <w:bottom w:val="single" w:sz="4" w:space="0" w:color="2C5060" w:themeColor="accent1"/>
        </w:tcBorders>
      </w:tcPr>
    </w:tblStylePr>
    <w:tblStylePr w:type="lastRow">
      <w:rPr>
        <w:b/>
        <w:bCs/>
      </w:rPr>
      <w:tblPr/>
      <w:tcPr>
        <w:tcBorders>
          <w:top w:val="double" w:sz="4" w:space="0" w:color="2C5060" w:themeColor="accent1"/>
        </w:tcBorders>
      </w:tcPr>
    </w:tblStylePr>
    <w:tblStylePr w:type="firstCol">
      <w:rPr>
        <w:b/>
        <w:bCs/>
      </w:rPr>
    </w:tblStylePr>
    <w:tblStylePr w:type="lastCol">
      <w:rPr>
        <w:b/>
        <w:bCs/>
      </w:rPr>
    </w:tblStylePr>
    <w:tblStylePr w:type="band1Vert">
      <w:tblPr/>
      <w:tcPr>
        <w:shd w:val="clear" w:color="auto" w:fill="CCDFE7" w:themeFill="accent1" w:themeFillTint="33"/>
      </w:tcPr>
    </w:tblStylePr>
    <w:tblStylePr w:type="band1Horz">
      <w:tblPr/>
      <w:tcPr>
        <w:shd w:val="clear" w:color="auto" w:fill="CCDFE7" w:themeFill="accent1" w:themeFillTint="33"/>
      </w:tcPr>
    </w:tblStylePr>
  </w:style>
  <w:style w:type="table" w:styleId="ListTable6Colorful-Accent2">
    <w:name w:val="List Table 6 Colorful Accent 2"/>
    <w:basedOn w:val="TableNormal"/>
    <w:uiPriority w:val="51"/>
    <w:rsid w:val="00163C56"/>
    <w:pPr>
      <w:spacing w:after="0" w:line="240" w:lineRule="auto"/>
    </w:pPr>
    <w:rPr>
      <w:color w:val="B7480E" w:themeColor="accent2" w:themeShade="BF"/>
    </w:rPr>
    <w:tblPr>
      <w:tblStyleRowBandSize w:val="1"/>
      <w:tblStyleColBandSize w:val="1"/>
      <w:tblBorders>
        <w:top w:val="single" w:sz="4" w:space="0" w:color="ED641C" w:themeColor="accent2"/>
        <w:bottom w:val="single" w:sz="4" w:space="0" w:color="ED641C" w:themeColor="accent2"/>
      </w:tblBorders>
    </w:tblPr>
    <w:tblStylePr w:type="firstRow">
      <w:rPr>
        <w:b/>
        <w:bCs/>
      </w:rPr>
      <w:tblPr/>
      <w:tcPr>
        <w:tcBorders>
          <w:bottom w:val="single" w:sz="4" w:space="0" w:color="ED641C" w:themeColor="accent2"/>
        </w:tcBorders>
      </w:tcPr>
    </w:tblStylePr>
    <w:tblStylePr w:type="lastRow">
      <w:rPr>
        <w:b/>
        <w:bCs/>
      </w:rPr>
      <w:tblPr/>
      <w:tcPr>
        <w:tcBorders>
          <w:top w:val="double" w:sz="4" w:space="0" w:color="ED641C" w:themeColor="accent2"/>
        </w:tcBorders>
      </w:tcPr>
    </w:tblStylePr>
    <w:tblStylePr w:type="firstCol">
      <w:rPr>
        <w:b/>
        <w:bCs/>
      </w:rPr>
    </w:tblStylePr>
    <w:tblStylePr w:type="lastCol">
      <w:rPr>
        <w:b/>
        <w:bCs/>
      </w:rPr>
    </w:tblStylePr>
    <w:tblStylePr w:type="band1Vert">
      <w:tblPr/>
      <w:tcPr>
        <w:shd w:val="clear" w:color="auto" w:fill="FBDFD1" w:themeFill="accent2" w:themeFillTint="33"/>
      </w:tcPr>
    </w:tblStylePr>
    <w:tblStylePr w:type="band1Horz">
      <w:tblPr/>
      <w:tcPr>
        <w:shd w:val="clear" w:color="auto" w:fill="FBDFD1" w:themeFill="accent2" w:themeFillTint="33"/>
      </w:tcPr>
    </w:tblStylePr>
  </w:style>
  <w:style w:type="table" w:styleId="ListTable6Colorful-Accent3">
    <w:name w:val="List Table 6 Colorful Accent 3"/>
    <w:basedOn w:val="TableNormal"/>
    <w:uiPriority w:val="51"/>
    <w:rsid w:val="00163C56"/>
    <w:pPr>
      <w:spacing w:after="0" w:line="240" w:lineRule="auto"/>
    </w:pPr>
    <w:rPr>
      <w:color w:val="7E8E89" w:themeColor="accent3" w:themeShade="BF"/>
    </w:rPr>
    <w:tblPr>
      <w:tblStyleRowBandSize w:val="1"/>
      <w:tblStyleColBandSize w:val="1"/>
      <w:tblBorders>
        <w:top w:val="single" w:sz="4" w:space="0" w:color="AFB9B6" w:themeColor="accent3"/>
        <w:bottom w:val="single" w:sz="4" w:space="0" w:color="AFB9B6" w:themeColor="accent3"/>
      </w:tblBorders>
    </w:tblPr>
    <w:tblStylePr w:type="firstRow">
      <w:rPr>
        <w:b/>
        <w:bCs/>
      </w:rPr>
      <w:tblPr/>
      <w:tcPr>
        <w:tcBorders>
          <w:bottom w:val="single" w:sz="4" w:space="0" w:color="AFB9B6" w:themeColor="accent3"/>
        </w:tcBorders>
      </w:tcPr>
    </w:tblStylePr>
    <w:tblStylePr w:type="lastRow">
      <w:rPr>
        <w:b/>
        <w:bCs/>
      </w:rPr>
      <w:tblPr/>
      <w:tcPr>
        <w:tcBorders>
          <w:top w:val="double" w:sz="4" w:space="0" w:color="AFB9B6" w:themeColor="accent3"/>
        </w:tcBorders>
      </w:tcPr>
    </w:tblStylePr>
    <w:tblStylePr w:type="firstCol">
      <w:rPr>
        <w:b/>
        <w:bCs/>
      </w:rPr>
    </w:tblStylePr>
    <w:tblStylePr w:type="lastCol">
      <w:rPr>
        <w:b/>
        <w:bCs/>
      </w:rPr>
    </w:tblStylePr>
    <w:tblStylePr w:type="band1Vert">
      <w:tblPr/>
      <w:tcPr>
        <w:shd w:val="clear" w:color="auto" w:fill="EFF1F0" w:themeFill="accent3" w:themeFillTint="33"/>
      </w:tcPr>
    </w:tblStylePr>
    <w:tblStylePr w:type="band1Horz">
      <w:tblPr/>
      <w:tcPr>
        <w:shd w:val="clear" w:color="auto" w:fill="EFF1F0" w:themeFill="accent3" w:themeFillTint="33"/>
      </w:tcPr>
    </w:tblStylePr>
  </w:style>
  <w:style w:type="table" w:styleId="ListTable6Colorful-Accent4">
    <w:name w:val="List Table 6 Colorful Accent 4"/>
    <w:basedOn w:val="TableNormal"/>
    <w:uiPriority w:val="51"/>
    <w:rsid w:val="00163C56"/>
    <w:pPr>
      <w:spacing w:after="0" w:line="240" w:lineRule="auto"/>
    </w:pPr>
    <w:rPr>
      <w:color w:val="707C5A" w:themeColor="accent4" w:themeShade="BF"/>
    </w:rPr>
    <w:tblPr>
      <w:tblStyleRowBandSize w:val="1"/>
      <w:tblStyleColBandSize w:val="1"/>
      <w:tblBorders>
        <w:top w:val="single" w:sz="4" w:space="0" w:color="95A17E" w:themeColor="accent4"/>
        <w:bottom w:val="single" w:sz="4" w:space="0" w:color="95A17E" w:themeColor="accent4"/>
      </w:tblBorders>
    </w:tblPr>
    <w:tblStylePr w:type="firstRow">
      <w:rPr>
        <w:b/>
        <w:bCs/>
      </w:rPr>
      <w:tblPr/>
      <w:tcPr>
        <w:tcBorders>
          <w:bottom w:val="single" w:sz="4" w:space="0" w:color="95A17E" w:themeColor="accent4"/>
        </w:tcBorders>
      </w:tcPr>
    </w:tblStylePr>
    <w:tblStylePr w:type="lastRow">
      <w:rPr>
        <w:b/>
        <w:bCs/>
      </w:rPr>
      <w:tblPr/>
      <w:tcPr>
        <w:tcBorders>
          <w:top w:val="double" w:sz="4" w:space="0" w:color="95A17E" w:themeColor="accent4"/>
        </w:tcBorders>
      </w:tcPr>
    </w:tblStylePr>
    <w:tblStylePr w:type="firstCol">
      <w:rPr>
        <w:b/>
        <w:bCs/>
      </w:rPr>
    </w:tblStylePr>
    <w:tblStylePr w:type="lastCol">
      <w:rPr>
        <w:b/>
        <w:bCs/>
      </w:rPr>
    </w:tblStylePr>
    <w:tblStylePr w:type="band1Vert">
      <w:tblPr/>
      <w:tcPr>
        <w:shd w:val="clear" w:color="auto" w:fill="E9ECE5" w:themeFill="accent4" w:themeFillTint="33"/>
      </w:tcPr>
    </w:tblStylePr>
    <w:tblStylePr w:type="band1Horz">
      <w:tblPr/>
      <w:tcPr>
        <w:shd w:val="clear" w:color="auto" w:fill="E9ECE5" w:themeFill="accent4" w:themeFillTint="33"/>
      </w:tcPr>
    </w:tblStylePr>
  </w:style>
  <w:style w:type="table" w:styleId="ListTable6Colorful-Accent5">
    <w:name w:val="List Table 6 Colorful Accent 5"/>
    <w:basedOn w:val="TableNormal"/>
    <w:uiPriority w:val="51"/>
    <w:rsid w:val="00163C56"/>
    <w:pPr>
      <w:spacing w:after="0" w:line="240" w:lineRule="auto"/>
    </w:pPr>
    <w:rPr>
      <w:color w:val="F38E5B" w:themeColor="accent5" w:themeShade="BF"/>
    </w:rPr>
    <w:tblPr>
      <w:tblStyleRowBandSize w:val="1"/>
      <w:tblStyleColBandSize w:val="1"/>
      <w:tblBorders>
        <w:top w:val="single" w:sz="4" w:space="0" w:color="FBD7C5" w:themeColor="accent5"/>
        <w:bottom w:val="single" w:sz="4" w:space="0" w:color="FBD7C5" w:themeColor="accent5"/>
      </w:tblBorders>
    </w:tblPr>
    <w:tblStylePr w:type="firstRow">
      <w:rPr>
        <w:b/>
        <w:bCs/>
      </w:rPr>
      <w:tblPr/>
      <w:tcPr>
        <w:tcBorders>
          <w:bottom w:val="single" w:sz="4" w:space="0" w:color="FBD7C5" w:themeColor="accent5"/>
        </w:tcBorders>
      </w:tcPr>
    </w:tblStylePr>
    <w:tblStylePr w:type="lastRow">
      <w:rPr>
        <w:b/>
        <w:bCs/>
      </w:rPr>
      <w:tblPr/>
      <w:tcPr>
        <w:tcBorders>
          <w:top w:val="double" w:sz="4" w:space="0" w:color="FBD7C5" w:themeColor="accent5"/>
        </w:tcBorders>
      </w:tcPr>
    </w:tblStylePr>
    <w:tblStylePr w:type="firstCol">
      <w:rPr>
        <w:b/>
        <w:bCs/>
      </w:rPr>
    </w:tblStylePr>
    <w:tblStylePr w:type="lastCol">
      <w:rPr>
        <w:b/>
        <w:bCs/>
      </w:rPr>
    </w:tblStylePr>
    <w:tblStylePr w:type="band1Vert">
      <w:tblPr/>
      <w:tcPr>
        <w:shd w:val="clear" w:color="auto" w:fill="FEF6F3" w:themeFill="accent5" w:themeFillTint="33"/>
      </w:tcPr>
    </w:tblStylePr>
    <w:tblStylePr w:type="band1Horz">
      <w:tblPr/>
      <w:tcPr>
        <w:shd w:val="clear" w:color="auto" w:fill="FEF6F3" w:themeFill="accent5" w:themeFillTint="33"/>
      </w:tcPr>
    </w:tblStylePr>
  </w:style>
  <w:style w:type="table" w:styleId="ListTable6Colorful-Accent6">
    <w:name w:val="List Table 6 Colorful Accent 6"/>
    <w:basedOn w:val="TableNormal"/>
    <w:uiPriority w:val="51"/>
    <w:rsid w:val="00163C56"/>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rsid w:val="00163C56"/>
    <w:pPr>
      <w:spacing w:after="0" w:line="240" w:lineRule="auto"/>
    </w:pPr>
    <w:rPr>
      <w:color w:val="2626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26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26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26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2626" w:themeColor="text1"/>
        </w:tcBorders>
        <w:shd w:val="clear" w:color="auto" w:fill="FFFFFF"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63C56"/>
    <w:pPr>
      <w:spacing w:after="0" w:line="240" w:lineRule="auto"/>
    </w:pPr>
    <w:rPr>
      <w:color w:val="213B4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06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06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06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060" w:themeColor="accent1"/>
        </w:tcBorders>
        <w:shd w:val="clear" w:color="auto" w:fill="FFFFFF" w:themeFill="background1"/>
      </w:tcPr>
    </w:tblStylePr>
    <w:tblStylePr w:type="band1Vert">
      <w:tblPr/>
      <w:tcPr>
        <w:shd w:val="clear" w:color="auto" w:fill="CCDFE7" w:themeFill="accent1" w:themeFillTint="33"/>
      </w:tcPr>
    </w:tblStylePr>
    <w:tblStylePr w:type="band1Horz">
      <w:tblPr/>
      <w:tcPr>
        <w:shd w:val="clear" w:color="auto" w:fill="CCDF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63C56"/>
    <w:pPr>
      <w:spacing w:after="0" w:line="240" w:lineRule="auto"/>
    </w:pPr>
    <w:rPr>
      <w:color w:val="B748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641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641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641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641C" w:themeColor="accent2"/>
        </w:tcBorders>
        <w:shd w:val="clear" w:color="auto" w:fill="FFFFFF" w:themeFill="background1"/>
      </w:tcPr>
    </w:tblStylePr>
    <w:tblStylePr w:type="band1Vert">
      <w:tblPr/>
      <w:tcPr>
        <w:shd w:val="clear" w:color="auto" w:fill="FBDFD1" w:themeFill="accent2" w:themeFillTint="33"/>
      </w:tcPr>
    </w:tblStylePr>
    <w:tblStylePr w:type="band1Horz">
      <w:tblPr/>
      <w:tcPr>
        <w:shd w:val="clear" w:color="auto" w:fill="FBDF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63C56"/>
    <w:pPr>
      <w:spacing w:after="0" w:line="240" w:lineRule="auto"/>
    </w:pPr>
    <w:rPr>
      <w:color w:val="7E8E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B9B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B9B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B9B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B9B6" w:themeColor="accent3"/>
        </w:tcBorders>
        <w:shd w:val="clear" w:color="auto" w:fill="FFFFFF" w:themeFill="background1"/>
      </w:tcPr>
    </w:tblStylePr>
    <w:tblStylePr w:type="band1Vert">
      <w:tblPr/>
      <w:tcPr>
        <w:shd w:val="clear" w:color="auto" w:fill="EFF1F0" w:themeFill="accent3" w:themeFillTint="33"/>
      </w:tcPr>
    </w:tblStylePr>
    <w:tblStylePr w:type="band1Horz">
      <w:tblPr/>
      <w:tcPr>
        <w:shd w:val="clear" w:color="auto" w:fill="EFF1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63C56"/>
    <w:pPr>
      <w:spacing w:after="0" w:line="240" w:lineRule="auto"/>
    </w:pPr>
    <w:rPr>
      <w:color w:val="707C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A17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A17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A17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A17E" w:themeColor="accent4"/>
        </w:tcBorders>
        <w:shd w:val="clear" w:color="auto" w:fill="FFFFFF" w:themeFill="background1"/>
      </w:tcPr>
    </w:tblStylePr>
    <w:tblStylePr w:type="band1Vert">
      <w:tblPr/>
      <w:tcPr>
        <w:shd w:val="clear" w:color="auto" w:fill="E9ECE5" w:themeFill="accent4" w:themeFillTint="33"/>
      </w:tcPr>
    </w:tblStylePr>
    <w:tblStylePr w:type="band1Horz">
      <w:tblPr/>
      <w:tcPr>
        <w:shd w:val="clear" w:color="auto" w:fill="E9EC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63C56"/>
    <w:pPr>
      <w:spacing w:after="0" w:line="240" w:lineRule="auto"/>
    </w:pPr>
    <w:rPr>
      <w:color w:val="F38E5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D7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D7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D7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D7C5" w:themeColor="accent5"/>
        </w:tcBorders>
        <w:shd w:val="clear" w:color="auto" w:fill="FFFFFF" w:themeFill="background1"/>
      </w:tcPr>
    </w:tblStylePr>
    <w:tblStylePr w:type="band1Vert">
      <w:tblPr/>
      <w:tcPr>
        <w:shd w:val="clear" w:color="auto" w:fill="FEF6F3" w:themeFill="accent5" w:themeFillTint="33"/>
      </w:tcPr>
    </w:tblStylePr>
    <w:tblStylePr w:type="band1Horz">
      <w:tblPr/>
      <w:tcPr>
        <w:shd w:val="clear" w:color="auto" w:fill="FEF6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63C56"/>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63C5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hAnsi="Consolas"/>
      <w:color w:val="464646" w:themeColor="text1" w:themeTint="D9"/>
      <w:sz w:val="20"/>
      <w:szCs w:val="20"/>
    </w:rPr>
  </w:style>
  <w:style w:type="character" w:customStyle="1" w:styleId="MacroTextChar">
    <w:name w:val="Macro Text Char"/>
    <w:basedOn w:val="DefaultParagraphFont"/>
    <w:link w:val="MacroText"/>
    <w:uiPriority w:val="99"/>
    <w:semiHidden/>
    <w:rsid w:val="00163C56"/>
    <w:rPr>
      <w:rFonts w:ascii="Consolas" w:hAnsi="Consolas"/>
      <w:color w:val="464646" w:themeColor="text1" w:themeTint="D9"/>
      <w:sz w:val="20"/>
      <w:szCs w:val="20"/>
    </w:rPr>
  </w:style>
  <w:style w:type="table" w:styleId="MediumGrid1">
    <w:name w:val="Medium Grid 1"/>
    <w:basedOn w:val="TableNormal"/>
    <w:uiPriority w:val="67"/>
    <w:semiHidden/>
    <w:unhideWhenUsed/>
    <w:rsid w:val="00163C56"/>
    <w:pPr>
      <w:spacing w:after="0"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insideV w:val="single" w:sz="8" w:space="0" w:color="5C5C5C" w:themeColor="text1" w:themeTint="BF"/>
      </w:tblBorders>
    </w:tblPr>
    <w:tcPr>
      <w:shd w:val="clear" w:color="auto" w:fill="C9C9C9" w:themeFill="text1" w:themeFillTint="3F"/>
    </w:tcPr>
    <w:tblStylePr w:type="firstRow">
      <w:rPr>
        <w:b/>
        <w:bCs/>
      </w:rPr>
    </w:tblStylePr>
    <w:tblStylePr w:type="lastRow">
      <w:rPr>
        <w:b/>
        <w:bCs/>
      </w:rPr>
      <w:tblPr/>
      <w:tcPr>
        <w:tcBorders>
          <w:top w:val="single" w:sz="18" w:space="0" w:color="5C5C5C" w:themeColor="text1" w:themeTint="BF"/>
        </w:tcBorders>
      </w:tcPr>
    </w:tblStylePr>
    <w:tblStylePr w:type="firstCol">
      <w:rPr>
        <w:b/>
        <w:bCs/>
      </w:rPr>
    </w:tblStylePr>
    <w:tblStylePr w:type="lastCol">
      <w:rPr>
        <w:b/>
        <w:bCs/>
      </w:rPr>
    </w:tblStylePr>
    <w:tblStylePr w:type="band1Vert">
      <w:tblPr/>
      <w:tcPr>
        <w:shd w:val="clear" w:color="auto" w:fill="929292" w:themeFill="text1" w:themeFillTint="7F"/>
      </w:tcPr>
    </w:tblStylePr>
    <w:tblStylePr w:type="band1Horz">
      <w:tblPr/>
      <w:tcPr>
        <w:shd w:val="clear" w:color="auto" w:fill="929292" w:themeFill="text1" w:themeFillTint="7F"/>
      </w:tcPr>
    </w:tblStylePr>
  </w:style>
  <w:style w:type="table" w:styleId="MediumGrid1-Accent1">
    <w:name w:val="Medium Grid 1 Accent 1"/>
    <w:basedOn w:val="TableNormal"/>
    <w:uiPriority w:val="67"/>
    <w:semiHidden/>
    <w:unhideWhenUsed/>
    <w:rsid w:val="00163C56"/>
    <w:pPr>
      <w:spacing w:after="0" w:line="240" w:lineRule="auto"/>
    </w:pPr>
    <w:tblPr>
      <w:tblStyleRowBandSize w:val="1"/>
      <w:tblStyleColBandSize w:val="1"/>
      <w:tblBorders>
        <w:top w:val="single" w:sz="8" w:space="0" w:color="49849F" w:themeColor="accent1" w:themeTint="BF"/>
        <w:left w:val="single" w:sz="8" w:space="0" w:color="49849F" w:themeColor="accent1" w:themeTint="BF"/>
        <w:bottom w:val="single" w:sz="8" w:space="0" w:color="49849F" w:themeColor="accent1" w:themeTint="BF"/>
        <w:right w:val="single" w:sz="8" w:space="0" w:color="49849F" w:themeColor="accent1" w:themeTint="BF"/>
        <w:insideH w:val="single" w:sz="8" w:space="0" w:color="49849F" w:themeColor="accent1" w:themeTint="BF"/>
        <w:insideV w:val="single" w:sz="8" w:space="0" w:color="49849F" w:themeColor="accent1" w:themeTint="BF"/>
      </w:tblBorders>
    </w:tblPr>
    <w:tcPr>
      <w:shd w:val="clear" w:color="auto" w:fill="C0D7E2" w:themeFill="accent1" w:themeFillTint="3F"/>
    </w:tcPr>
    <w:tblStylePr w:type="firstRow">
      <w:rPr>
        <w:b/>
        <w:bCs/>
      </w:rPr>
    </w:tblStylePr>
    <w:tblStylePr w:type="lastRow">
      <w:rPr>
        <w:b/>
        <w:bCs/>
      </w:rPr>
      <w:tblPr/>
      <w:tcPr>
        <w:tcBorders>
          <w:top w:val="single" w:sz="18" w:space="0" w:color="49849F" w:themeColor="accent1" w:themeTint="BF"/>
        </w:tcBorders>
      </w:tcPr>
    </w:tblStylePr>
    <w:tblStylePr w:type="firstCol">
      <w:rPr>
        <w:b/>
        <w:bCs/>
      </w:rPr>
    </w:tblStylePr>
    <w:tblStylePr w:type="lastCol">
      <w:rPr>
        <w:b/>
        <w:bCs/>
      </w:rPr>
    </w:tblStylePr>
    <w:tblStylePr w:type="band1Vert">
      <w:tblPr/>
      <w:tcPr>
        <w:shd w:val="clear" w:color="auto" w:fill="80AFC5" w:themeFill="accent1" w:themeFillTint="7F"/>
      </w:tcPr>
    </w:tblStylePr>
    <w:tblStylePr w:type="band1Horz">
      <w:tblPr/>
      <w:tcPr>
        <w:shd w:val="clear" w:color="auto" w:fill="80AFC5" w:themeFill="accent1" w:themeFillTint="7F"/>
      </w:tcPr>
    </w:tblStylePr>
  </w:style>
  <w:style w:type="table" w:styleId="MediumGrid1-Accent2">
    <w:name w:val="Medium Grid 1 Accent 2"/>
    <w:basedOn w:val="TableNormal"/>
    <w:uiPriority w:val="67"/>
    <w:semiHidden/>
    <w:unhideWhenUsed/>
    <w:rsid w:val="00163C56"/>
    <w:pPr>
      <w:spacing w:after="0" w:line="240" w:lineRule="auto"/>
    </w:pPr>
    <w:tblPr>
      <w:tblStyleRowBandSize w:val="1"/>
      <w:tblStyleColBandSize w:val="1"/>
      <w:tblBorders>
        <w:top w:val="single" w:sz="8" w:space="0" w:color="F18A54" w:themeColor="accent2" w:themeTint="BF"/>
        <w:left w:val="single" w:sz="8" w:space="0" w:color="F18A54" w:themeColor="accent2" w:themeTint="BF"/>
        <w:bottom w:val="single" w:sz="8" w:space="0" w:color="F18A54" w:themeColor="accent2" w:themeTint="BF"/>
        <w:right w:val="single" w:sz="8" w:space="0" w:color="F18A54" w:themeColor="accent2" w:themeTint="BF"/>
        <w:insideH w:val="single" w:sz="8" w:space="0" w:color="F18A54" w:themeColor="accent2" w:themeTint="BF"/>
        <w:insideV w:val="single" w:sz="8" w:space="0" w:color="F18A54" w:themeColor="accent2" w:themeTint="BF"/>
      </w:tblBorders>
    </w:tblPr>
    <w:tcPr>
      <w:shd w:val="clear" w:color="auto" w:fill="FAD8C6" w:themeFill="accent2" w:themeFillTint="3F"/>
    </w:tcPr>
    <w:tblStylePr w:type="firstRow">
      <w:rPr>
        <w:b/>
        <w:bCs/>
      </w:rPr>
    </w:tblStylePr>
    <w:tblStylePr w:type="lastRow">
      <w:rPr>
        <w:b/>
        <w:bCs/>
      </w:rPr>
      <w:tblPr/>
      <w:tcPr>
        <w:tcBorders>
          <w:top w:val="single" w:sz="18" w:space="0" w:color="F18A54" w:themeColor="accent2" w:themeTint="BF"/>
        </w:tcBorders>
      </w:tcPr>
    </w:tblStylePr>
    <w:tblStylePr w:type="firstCol">
      <w:rPr>
        <w:b/>
        <w:bCs/>
      </w:rPr>
    </w:tblStylePr>
    <w:tblStylePr w:type="lastCol">
      <w:rPr>
        <w:b/>
        <w:bCs/>
      </w:rPr>
    </w:tblStylePr>
    <w:tblStylePr w:type="band1Vert">
      <w:tblPr/>
      <w:tcPr>
        <w:shd w:val="clear" w:color="auto" w:fill="F6B18D" w:themeFill="accent2" w:themeFillTint="7F"/>
      </w:tcPr>
    </w:tblStylePr>
    <w:tblStylePr w:type="band1Horz">
      <w:tblPr/>
      <w:tcPr>
        <w:shd w:val="clear" w:color="auto" w:fill="F6B18D" w:themeFill="accent2" w:themeFillTint="7F"/>
      </w:tcPr>
    </w:tblStylePr>
  </w:style>
  <w:style w:type="table" w:styleId="MediumGrid1-Accent3">
    <w:name w:val="Medium Grid 1 Accent 3"/>
    <w:basedOn w:val="TableNormal"/>
    <w:uiPriority w:val="67"/>
    <w:semiHidden/>
    <w:unhideWhenUsed/>
    <w:rsid w:val="00163C56"/>
    <w:pPr>
      <w:spacing w:after="0" w:line="240" w:lineRule="auto"/>
    </w:pPr>
    <w:tblPr>
      <w:tblStyleRowBandSize w:val="1"/>
      <w:tblStyleColBandSize w:val="1"/>
      <w:tblBorders>
        <w:top w:val="single" w:sz="8" w:space="0" w:color="C2CAC8" w:themeColor="accent3" w:themeTint="BF"/>
        <w:left w:val="single" w:sz="8" w:space="0" w:color="C2CAC8" w:themeColor="accent3" w:themeTint="BF"/>
        <w:bottom w:val="single" w:sz="8" w:space="0" w:color="C2CAC8" w:themeColor="accent3" w:themeTint="BF"/>
        <w:right w:val="single" w:sz="8" w:space="0" w:color="C2CAC8" w:themeColor="accent3" w:themeTint="BF"/>
        <w:insideH w:val="single" w:sz="8" w:space="0" w:color="C2CAC8" w:themeColor="accent3" w:themeTint="BF"/>
        <w:insideV w:val="single" w:sz="8" w:space="0" w:color="C2CAC8" w:themeColor="accent3" w:themeTint="BF"/>
      </w:tblBorders>
    </w:tblPr>
    <w:tcPr>
      <w:shd w:val="clear" w:color="auto" w:fill="EBEDEC" w:themeFill="accent3" w:themeFillTint="3F"/>
    </w:tcPr>
    <w:tblStylePr w:type="firstRow">
      <w:rPr>
        <w:b/>
        <w:bCs/>
      </w:rPr>
    </w:tblStylePr>
    <w:tblStylePr w:type="lastRow">
      <w:rPr>
        <w:b/>
        <w:bCs/>
      </w:rPr>
      <w:tblPr/>
      <w:tcPr>
        <w:tcBorders>
          <w:top w:val="single" w:sz="18" w:space="0" w:color="C2CAC8" w:themeColor="accent3" w:themeTint="BF"/>
        </w:tcBorders>
      </w:tcPr>
    </w:tblStylePr>
    <w:tblStylePr w:type="firstCol">
      <w:rPr>
        <w:b/>
        <w:bCs/>
      </w:rPr>
    </w:tblStylePr>
    <w:tblStylePr w:type="lastCol">
      <w:rPr>
        <w:b/>
        <w:bCs/>
      </w:rPr>
    </w:tblStylePr>
    <w:tblStylePr w:type="band1Vert">
      <w:tblPr/>
      <w:tcPr>
        <w:shd w:val="clear" w:color="auto" w:fill="D7DCDA" w:themeFill="accent3" w:themeFillTint="7F"/>
      </w:tcPr>
    </w:tblStylePr>
    <w:tblStylePr w:type="band1Horz">
      <w:tblPr/>
      <w:tcPr>
        <w:shd w:val="clear" w:color="auto" w:fill="D7DCDA" w:themeFill="accent3" w:themeFillTint="7F"/>
      </w:tcPr>
    </w:tblStylePr>
  </w:style>
  <w:style w:type="table" w:styleId="MediumGrid1-Accent4">
    <w:name w:val="Medium Grid 1 Accent 4"/>
    <w:basedOn w:val="TableNormal"/>
    <w:uiPriority w:val="67"/>
    <w:semiHidden/>
    <w:unhideWhenUsed/>
    <w:rsid w:val="00163C56"/>
    <w:pPr>
      <w:spacing w:after="0" w:line="240" w:lineRule="auto"/>
    </w:pPr>
    <w:tblPr>
      <w:tblStyleRowBandSize w:val="1"/>
      <w:tblStyleColBandSize w:val="1"/>
      <w:tblBorders>
        <w:top w:val="single" w:sz="8" w:space="0" w:color="AFB89E" w:themeColor="accent4" w:themeTint="BF"/>
        <w:left w:val="single" w:sz="8" w:space="0" w:color="AFB89E" w:themeColor="accent4" w:themeTint="BF"/>
        <w:bottom w:val="single" w:sz="8" w:space="0" w:color="AFB89E" w:themeColor="accent4" w:themeTint="BF"/>
        <w:right w:val="single" w:sz="8" w:space="0" w:color="AFB89E" w:themeColor="accent4" w:themeTint="BF"/>
        <w:insideH w:val="single" w:sz="8" w:space="0" w:color="AFB89E" w:themeColor="accent4" w:themeTint="BF"/>
        <w:insideV w:val="single" w:sz="8" w:space="0" w:color="AFB89E" w:themeColor="accent4" w:themeTint="BF"/>
      </w:tblBorders>
    </w:tblPr>
    <w:tcPr>
      <w:shd w:val="clear" w:color="auto" w:fill="E4E7DE" w:themeFill="accent4" w:themeFillTint="3F"/>
    </w:tcPr>
    <w:tblStylePr w:type="firstRow">
      <w:rPr>
        <w:b/>
        <w:bCs/>
      </w:rPr>
    </w:tblStylePr>
    <w:tblStylePr w:type="lastRow">
      <w:rPr>
        <w:b/>
        <w:bCs/>
      </w:rPr>
      <w:tblPr/>
      <w:tcPr>
        <w:tcBorders>
          <w:top w:val="single" w:sz="18" w:space="0" w:color="AFB89E" w:themeColor="accent4" w:themeTint="BF"/>
        </w:tcBorders>
      </w:tcPr>
    </w:tblStylePr>
    <w:tblStylePr w:type="firstCol">
      <w:rPr>
        <w:b/>
        <w:bCs/>
      </w:rPr>
    </w:tblStylePr>
    <w:tblStylePr w:type="lastCol">
      <w:rPr>
        <w:b/>
        <w:bCs/>
      </w:rPr>
    </w:tblStylePr>
    <w:tblStylePr w:type="band1Vert">
      <w:tblPr/>
      <w:tcPr>
        <w:shd w:val="clear" w:color="auto" w:fill="CAD0BE" w:themeFill="accent4" w:themeFillTint="7F"/>
      </w:tcPr>
    </w:tblStylePr>
    <w:tblStylePr w:type="band1Horz">
      <w:tblPr/>
      <w:tcPr>
        <w:shd w:val="clear" w:color="auto" w:fill="CAD0BE" w:themeFill="accent4" w:themeFillTint="7F"/>
      </w:tcPr>
    </w:tblStylePr>
  </w:style>
  <w:style w:type="table" w:styleId="MediumGrid1-Accent5">
    <w:name w:val="Medium Grid 1 Accent 5"/>
    <w:basedOn w:val="TableNormal"/>
    <w:uiPriority w:val="67"/>
    <w:semiHidden/>
    <w:unhideWhenUsed/>
    <w:rsid w:val="00163C56"/>
    <w:pPr>
      <w:spacing w:after="0" w:line="240" w:lineRule="auto"/>
    </w:pPr>
    <w:tblPr>
      <w:tblStyleRowBandSize w:val="1"/>
      <w:tblStyleColBandSize w:val="1"/>
      <w:tblBorders>
        <w:top w:val="single" w:sz="8" w:space="0" w:color="FCE0D3" w:themeColor="accent5" w:themeTint="BF"/>
        <w:left w:val="single" w:sz="8" w:space="0" w:color="FCE0D3" w:themeColor="accent5" w:themeTint="BF"/>
        <w:bottom w:val="single" w:sz="8" w:space="0" w:color="FCE0D3" w:themeColor="accent5" w:themeTint="BF"/>
        <w:right w:val="single" w:sz="8" w:space="0" w:color="FCE0D3" w:themeColor="accent5" w:themeTint="BF"/>
        <w:insideH w:val="single" w:sz="8" w:space="0" w:color="FCE0D3" w:themeColor="accent5" w:themeTint="BF"/>
        <w:insideV w:val="single" w:sz="8" w:space="0" w:color="FCE0D3" w:themeColor="accent5" w:themeTint="BF"/>
      </w:tblBorders>
    </w:tblPr>
    <w:tcPr>
      <w:shd w:val="clear" w:color="auto" w:fill="FEF5F0" w:themeFill="accent5" w:themeFillTint="3F"/>
    </w:tcPr>
    <w:tblStylePr w:type="firstRow">
      <w:rPr>
        <w:b/>
        <w:bCs/>
      </w:rPr>
    </w:tblStylePr>
    <w:tblStylePr w:type="lastRow">
      <w:rPr>
        <w:b/>
        <w:bCs/>
      </w:rPr>
      <w:tblPr/>
      <w:tcPr>
        <w:tcBorders>
          <w:top w:val="single" w:sz="18" w:space="0" w:color="FCE0D3" w:themeColor="accent5" w:themeTint="BF"/>
        </w:tcBorders>
      </w:tcPr>
    </w:tblStylePr>
    <w:tblStylePr w:type="firstCol">
      <w:rPr>
        <w:b/>
        <w:bCs/>
      </w:rPr>
    </w:tblStylePr>
    <w:tblStylePr w:type="lastCol">
      <w:rPr>
        <w:b/>
        <w:bCs/>
      </w:rPr>
    </w:tblStylePr>
    <w:tblStylePr w:type="band1Vert">
      <w:tblPr/>
      <w:tcPr>
        <w:shd w:val="clear" w:color="auto" w:fill="FDEBE2" w:themeFill="accent5" w:themeFillTint="7F"/>
      </w:tcPr>
    </w:tblStylePr>
    <w:tblStylePr w:type="band1Horz">
      <w:tblPr/>
      <w:tcPr>
        <w:shd w:val="clear" w:color="auto" w:fill="FDEBE2" w:themeFill="accent5" w:themeFillTint="7F"/>
      </w:tcPr>
    </w:tblStylePr>
  </w:style>
  <w:style w:type="table" w:styleId="MediumGrid1-Accent6">
    <w:name w:val="Medium Grid 1 Accent 6"/>
    <w:basedOn w:val="TableNormal"/>
    <w:uiPriority w:val="67"/>
    <w:semiHidden/>
    <w:unhideWhenUsed/>
    <w:rsid w:val="00163C56"/>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insideH w:val="single" w:sz="8" w:space="0" w:color="262626" w:themeColor="text1"/>
        <w:insideV w:val="single" w:sz="8" w:space="0" w:color="262626" w:themeColor="text1"/>
      </w:tblBorders>
    </w:tblPr>
    <w:tcPr>
      <w:shd w:val="clear" w:color="auto" w:fill="C9C9C9" w:themeFill="text1" w:themeFillTint="3F"/>
    </w:tcPr>
    <w:tblStylePr w:type="firstRow">
      <w:rPr>
        <w:b/>
        <w:bCs/>
        <w:color w:val="262626" w:themeColor="text1"/>
      </w:rPr>
      <w:tblPr/>
      <w:tcPr>
        <w:shd w:val="clear" w:color="auto" w:fill="E9E9E9" w:themeFill="tex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D3D3D3" w:themeFill="text1" w:themeFillTint="33"/>
      </w:tcPr>
    </w:tblStylePr>
    <w:tblStylePr w:type="band1Vert">
      <w:tblPr/>
      <w:tcPr>
        <w:shd w:val="clear" w:color="auto" w:fill="929292" w:themeFill="text1" w:themeFillTint="7F"/>
      </w:tcPr>
    </w:tblStylePr>
    <w:tblStylePr w:type="band1Horz">
      <w:tblPr/>
      <w:tcPr>
        <w:tcBorders>
          <w:insideH w:val="single" w:sz="6" w:space="0" w:color="262626" w:themeColor="text1"/>
          <w:insideV w:val="single" w:sz="6" w:space="0" w:color="262626" w:themeColor="text1"/>
        </w:tcBorders>
        <w:shd w:val="clear" w:color="auto" w:fill="929292"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C5060" w:themeColor="accent1"/>
        <w:left w:val="single" w:sz="8" w:space="0" w:color="2C5060" w:themeColor="accent1"/>
        <w:bottom w:val="single" w:sz="8" w:space="0" w:color="2C5060" w:themeColor="accent1"/>
        <w:right w:val="single" w:sz="8" w:space="0" w:color="2C5060" w:themeColor="accent1"/>
        <w:insideH w:val="single" w:sz="8" w:space="0" w:color="2C5060" w:themeColor="accent1"/>
        <w:insideV w:val="single" w:sz="8" w:space="0" w:color="2C5060" w:themeColor="accent1"/>
      </w:tblBorders>
    </w:tblPr>
    <w:tcPr>
      <w:shd w:val="clear" w:color="auto" w:fill="C0D7E2" w:themeFill="accent1" w:themeFillTint="3F"/>
    </w:tcPr>
    <w:tblStylePr w:type="firstRow">
      <w:rPr>
        <w:b/>
        <w:bCs/>
        <w:color w:val="262626" w:themeColor="text1"/>
      </w:rPr>
      <w:tblPr/>
      <w:tcPr>
        <w:shd w:val="clear" w:color="auto" w:fill="E6EFF3" w:themeFill="accent1"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CCDFE7" w:themeFill="accent1" w:themeFillTint="33"/>
      </w:tcPr>
    </w:tblStylePr>
    <w:tblStylePr w:type="band1Vert">
      <w:tblPr/>
      <w:tcPr>
        <w:shd w:val="clear" w:color="auto" w:fill="80AFC5" w:themeFill="accent1" w:themeFillTint="7F"/>
      </w:tcPr>
    </w:tblStylePr>
    <w:tblStylePr w:type="band1Horz">
      <w:tblPr/>
      <w:tcPr>
        <w:tcBorders>
          <w:insideH w:val="single" w:sz="6" w:space="0" w:color="2C5060" w:themeColor="accent1"/>
          <w:insideV w:val="single" w:sz="6" w:space="0" w:color="2C5060" w:themeColor="accent1"/>
        </w:tcBorders>
        <w:shd w:val="clear" w:color="auto" w:fill="80AFC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ED641C" w:themeColor="accent2"/>
        <w:left w:val="single" w:sz="8" w:space="0" w:color="ED641C" w:themeColor="accent2"/>
        <w:bottom w:val="single" w:sz="8" w:space="0" w:color="ED641C" w:themeColor="accent2"/>
        <w:right w:val="single" w:sz="8" w:space="0" w:color="ED641C" w:themeColor="accent2"/>
        <w:insideH w:val="single" w:sz="8" w:space="0" w:color="ED641C" w:themeColor="accent2"/>
        <w:insideV w:val="single" w:sz="8" w:space="0" w:color="ED641C" w:themeColor="accent2"/>
      </w:tblBorders>
    </w:tblPr>
    <w:tcPr>
      <w:shd w:val="clear" w:color="auto" w:fill="FAD8C6" w:themeFill="accent2" w:themeFillTint="3F"/>
    </w:tcPr>
    <w:tblStylePr w:type="firstRow">
      <w:rPr>
        <w:b/>
        <w:bCs/>
        <w:color w:val="262626" w:themeColor="text1"/>
      </w:rPr>
      <w:tblPr/>
      <w:tcPr>
        <w:shd w:val="clear" w:color="auto" w:fill="FDEFE8" w:themeFill="accent2"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BDFD1" w:themeFill="accent2" w:themeFillTint="33"/>
      </w:tcPr>
    </w:tblStylePr>
    <w:tblStylePr w:type="band1Vert">
      <w:tblPr/>
      <w:tcPr>
        <w:shd w:val="clear" w:color="auto" w:fill="F6B18D" w:themeFill="accent2" w:themeFillTint="7F"/>
      </w:tcPr>
    </w:tblStylePr>
    <w:tblStylePr w:type="band1Horz">
      <w:tblPr/>
      <w:tcPr>
        <w:tcBorders>
          <w:insideH w:val="single" w:sz="6" w:space="0" w:color="ED641C" w:themeColor="accent2"/>
          <w:insideV w:val="single" w:sz="6" w:space="0" w:color="ED641C" w:themeColor="accent2"/>
        </w:tcBorders>
        <w:shd w:val="clear" w:color="auto" w:fill="F6B1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AFB9B6" w:themeColor="accent3"/>
        <w:left w:val="single" w:sz="8" w:space="0" w:color="AFB9B6" w:themeColor="accent3"/>
        <w:bottom w:val="single" w:sz="8" w:space="0" w:color="AFB9B6" w:themeColor="accent3"/>
        <w:right w:val="single" w:sz="8" w:space="0" w:color="AFB9B6" w:themeColor="accent3"/>
        <w:insideH w:val="single" w:sz="8" w:space="0" w:color="AFB9B6" w:themeColor="accent3"/>
        <w:insideV w:val="single" w:sz="8" w:space="0" w:color="AFB9B6" w:themeColor="accent3"/>
      </w:tblBorders>
    </w:tblPr>
    <w:tcPr>
      <w:shd w:val="clear" w:color="auto" w:fill="EBEDEC" w:themeFill="accent3" w:themeFillTint="3F"/>
    </w:tcPr>
    <w:tblStylePr w:type="firstRow">
      <w:rPr>
        <w:b/>
        <w:bCs/>
        <w:color w:val="262626" w:themeColor="text1"/>
      </w:rPr>
      <w:tblPr/>
      <w:tcPr>
        <w:shd w:val="clear" w:color="auto" w:fill="F7F8F7" w:themeFill="accent3"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EFF1F0" w:themeFill="accent3" w:themeFillTint="33"/>
      </w:tcPr>
    </w:tblStylePr>
    <w:tblStylePr w:type="band1Vert">
      <w:tblPr/>
      <w:tcPr>
        <w:shd w:val="clear" w:color="auto" w:fill="D7DCDA" w:themeFill="accent3" w:themeFillTint="7F"/>
      </w:tcPr>
    </w:tblStylePr>
    <w:tblStylePr w:type="band1Horz">
      <w:tblPr/>
      <w:tcPr>
        <w:tcBorders>
          <w:insideH w:val="single" w:sz="6" w:space="0" w:color="AFB9B6" w:themeColor="accent3"/>
          <w:insideV w:val="single" w:sz="6" w:space="0" w:color="AFB9B6" w:themeColor="accent3"/>
        </w:tcBorders>
        <w:shd w:val="clear" w:color="auto" w:fill="D7DC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95A17E" w:themeColor="accent4"/>
        <w:left w:val="single" w:sz="8" w:space="0" w:color="95A17E" w:themeColor="accent4"/>
        <w:bottom w:val="single" w:sz="8" w:space="0" w:color="95A17E" w:themeColor="accent4"/>
        <w:right w:val="single" w:sz="8" w:space="0" w:color="95A17E" w:themeColor="accent4"/>
        <w:insideH w:val="single" w:sz="8" w:space="0" w:color="95A17E" w:themeColor="accent4"/>
        <w:insideV w:val="single" w:sz="8" w:space="0" w:color="95A17E" w:themeColor="accent4"/>
      </w:tblBorders>
    </w:tblPr>
    <w:tcPr>
      <w:shd w:val="clear" w:color="auto" w:fill="E4E7DE" w:themeFill="accent4" w:themeFillTint="3F"/>
    </w:tcPr>
    <w:tblStylePr w:type="firstRow">
      <w:rPr>
        <w:b/>
        <w:bCs/>
        <w:color w:val="262626" w:themeColor="text1"/>
      </w:rPr>
      <w:tblPr/>
      <w:tcPr>
        <w:shd w:val="clear" w:color="auto" w:fill="F4F5F2" w:themeFill="accent4"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E9ECE5" w:themeFill="accent4" w:themeFillTint="33"/>
      </w:tcPr>
    </w:tblStylePr>
    <w:tblStylePr w:type="band1Vert">
      <w:tblPr/>
      <w:tcPr>
        <w:shd w:val="clear" w:color="auto" w:fill="CAD0BE" w:themeFill="accent4" w:themeFillTint="7F"/>
      </w:tcPr>
    </w:tblStylePr>
    <w:tblStylePr w:type="band1Horz">
      <w:tblPr/>
      <w:tcPr>
        <w:tcBorders>
          <w:insideH w:val="single" w:sz="6" w:space="0" w:color="95A17E" w:themeColor="accent4"/>
          <w:insideV w:val="single" w:sz="6" w:space="0" w:color="95A17E" w:themeColor="accent4"/>
        </w:tcBorders>
        <w:shd w:val="clear" w:color="auto" w:fill="CAD0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FBD7C5" w:themeColor="accent5"/>
        <w:left w:val="single" w:sz="8" w:space="0" w:color="FBD7C5" w:themeColor="accent5"/>
        <w:bottom w:val="single" w:sz="8" w:space="0" w:color="FBD7C5" w:themeColor="accent5"/>
        <w:right w:val="single" w:sz="8" w:space="0" w:color="FBD7C5" w:themeColor="accent5"/>
        <w:insideH w:val="single" w:sz="8" w:space="0" w:color="FBD7C5" w:themeColor="accent5"/>
        <w:insideV w:val="single" w:sz="8" w:space="0" w:color="FBD7C5" w:themeColor="accent5"/>
      </w:tblBorders>
    </w:tblPr>
    <w:tcPr>
      <w:shd w:val="clear" w:color="auto" w:fill="FEF5F0" w:themeFill="accent5" w:themeFillTint="3F"/>
    </w:tcPr>
    <w:tblStylePr w:type="firstRow">
      <w:rPr>
        <w:b/>
        <w:bCs/>
        <w:color w:val="262626" w:themeColor="text1"/>
      </w:rPr>
      <w:tblPr/>
      <w:tcPr>
        <w:shd w:val="clear" w:color="auto" w:fill="FEFAF9" w:themeFill="accent5"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EF6F3" w:themeFill="accent5" w:themeFillTint="33"/>
      </w:tcPr>
    </w:tblStylePr>
    <w:tblStylePr w:type="band1Vert">
      <w:tblPr/>
      <w:tcPr>
        <w:shd w:val="clear" w:color="auto" w:fill="FDEBE2" w:themeFill="accent5" w:themeFillTint="7F"/>
      </w:tcPr>
    </w:tblStylePr>
    <w:tblStylePr w:type="band1Horz">
      <w:tblPr/>
      <w:tcPr>
        <w:tcBorders>
          <w:insideH w:val="single" w:sz="6" w:space="0" w:color="FBD7C5" w:themeColor="accent5"/>
          <w:insideV w:val="single" w:sz="6" w:space="0" w:color="FBD7C5" w:themeColor="accent5"/>
        </w:tcBorders>
        <w:shd w:val="clear" w:color="auto" w:fill="FDEB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262626" w:themeColor="text1"/>
      </w:rPr>
      <w:tblPr/>
      <w:tcPr>
        <w:shd w:val="clear" w:color="auto" w:fill="FFFFFF" w:themeFill="accent6" w:themeFillTint="19"/>
      </w:tcPr>
    </w:tblStylePr>
    <w:tblStylePr w:type="lastRow">
      <w:rPr>
        <w:b/>
        <w:bCs/>
        <w:color w:val="262626" w:themeColor="text1"/>
      </w:rPr>
      <w:tblPr/>
      <w:tcPr>
        <w:tcBorders>
          <w:top w:val="single" w:sz="12" w:space="0" w:color="262626" w:themeColor="text1"/>
          <w:left w:val="nil"/>
          <w:bottom w:val="nil"/>
          <w:right w:val="nil"/>
          <w:insideH w:val="nil"/>
          <w:insideV w:val="nil"/>
        </w:tcBorders>
        <w:shd w:val="clear" w:color="auto" w:fill="FFFFFF" w:themeFill="background1"/>
      </w:tcPr>
    </w:tblStylePr>
    <w:tblStylePr w:type="firstCol">
      <w:rPr>
        <w:b/>
        <w:bCs/>
        <w:color w:val="2626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626"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text1" w:themeFillTint="7F"/>
      </w:tcPr>
    </w:tblStylePr>
  </w:style>
  <w:style w:type="table" w:styleId="MediumGrid3-Accent1">
    <w:name w:val="Medium Grid 3 Accent 1"/>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7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0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0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0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0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AFC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AFC5" w:themeFill="accent1" w:themeFillTint="7F"/>
      </w:tcPr>
    </w:tblStylePr>
  </w:style>
  <w:style w:type="table" w:styleId="MediumGrid3-Accent2">
    <w:name w:val="Medium Grid 3 Accent 2"/>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8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641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641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641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641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1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18D" w:themeFill="accent2" w:themeFillTint="7F"/>
      </w:tcPr>
    </w:tblStylePr>
  </w:style>
  <w:style w:type="table" w:styleId="MediumGrid3-Accent3">
    <w:name w:val="Medium Grid 3 Accent 3"/>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B9B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B9B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B9B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B9B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DC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DCDA" w:themeFill="accent3" w:themeFillTint="7F"/>
      </w:tcPr>
    </w:tblStylePr>
  </w:style>
  <w:style w:type="table" w:styleId="MediumGrid3-Accent4">
    <w:name w:val="Medium Grid 3 Accent 4"/>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A1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A1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A1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A1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0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0BE" w:themeFill="accent4" w:themeFillTint="7F"/>
      </w:tcPr>
    </w:tblStylePr>
  </w:style>
  <w:style w:type="table" w:styleId="MediumGrid3-Accent5">
    <w:name w:val="Medium Grid 3 Accent 5"/>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D7C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D7C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D7C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D7C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B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BE2" w:themeFill="accent5" w:themeFillTint="7F"/>
      </w:tcPr>
    </w:tblStylePr>
  </w:style>
  <w:style w:type="table" w:styleId="MediumGrid3-Accent6">
    <w:name w:val="Medium Grid 3 Accent 6"/>
    <w:basedOn w:val="TableNormal"/>
    <w:uiPriority w:val="69"/>
    <w:semiHidden/>
    <w:unhideWhenUsed/>
    <w:rsid w:val="00163C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262626" w:themeColor="text1"/>
        <w:bottom w:val="single" w:sz="8" w:space="0" w:color="262626" w:themeColor="text1"/>
      </w:tblBorders>
    </w:tblPr>
    <w:tblStylePr w:type="firstRow">
      <w:rPr>
        <w:rFonts w:asciiTheme="majorHAnsi" w:eastAsiaTheme="majorEastAsia" w:hAnsiTheme="majorHAnsi" w:cstheme="majorBidi"/>
      </w:rPr>
      <w:tblPr/>
      <w:tcPr>
        <w:tcBorders>
          <w:top w:val="nil"/>
          <w:bottom w:val="single" w:sz="8" w:space="0" w:color="262626" w:themeColor="text1"/>
        </w:tcBorders>
      </w:tcPr>
    </w:tblStylePr>
    <w:tblStylePr w:type="lastRow">
      <w:rPr>
        <w:b/>
        <w:bCs/>
        <w:color w:val="44546A" w:themeColor="text2"/>
      </w:rPr>
      <w:tblPr/>
      <w:tcPr>
        <w:tcBorders>
          <w:top w:val="single" w:sz="8" w:space="0" w:color="262626" w:themeColor="text1"/>
          <w:bottom w:val="single" w:sz="8" w:space="0" w:color="262626" w:themeColor="text1"/>
        </w:tcBorders>
      </w:tcPr>
    </w:tblStylePr>
    <w:tblStylePr w:type="firstCol">
      <w:rPr>
        <w:b/>
        <w:bCs/>
      </w:rPr>
    </w:tblStylePr>
    <w:tblStylePr w:type="lastCol">
      <w:rPr>
        <w:b/>
        <w:bCs/>
      </w:rPr>
      <w:tblPr/>
      <w:tcPr>
        <w:tcBorders>
          <w:top w:val="single" w:sz="8" w:space="0" w:color="262626" w:themeColor="text1"/>
          <w:bottom w:val="single" w:sz="8" w:space="0" w:color="262626" w:themeColor="text1"/>
        </w:tcBorders>
      </w:tcPr>
    </w:tblStylePr>
    <w:tblStylePr w:type="band1Vert">
      <w:tblPr/>
      <w:tcPr>
        <w:shd w:val="clear" w:color="auto" w:fill="C9C9C9" w:themeFill="text1" w:themeFillTint="3F"/>
      </w:tcPr>
    </w:tblStylePr>
    <w:tblStylePr w:type="band1Horz">
      <w:tblPr/>
      <w:tcPr>
        <w:shd w:val="clear" w:color="auto" w:fill="C9C9C9" w:themeFill="text1" w:themeFillTint="3F"/>
      </w:tcPr>
    </w:tblStylePr>
  </w:style>
  <w:style w:type="table" w:styleId="MediumList1-Accent1">
    <w:name w:val="Medium List 1 Accent 1"/>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2C5060" w:themeColor="accent1"/>
        <w:bottom w:val="single" w:sz="8" w:space="0" w:color="2C5060" w:themeColor="accent1"/>
      </w:tblBorders>
    </w:tblPr>
    <w:tblStylePr w:type="firstRow">
      <w:rPr>
        <w:rFonts w:asciiTheme="majorHAnsi" w:eastAsiaTheme="majorEastAsia" w:hAnsiTheme="majorHAnsi" w:cstheme="majorBidi"/>
      </w:rPr>
      <w:tblPr/>
      <w:tcPr>
        <w:tcBorders>
          <w:top w:val="nil"/>
          <w:bottom w:val="single" w:sz="8" w:space="0" w:color="2C5060" w:themeColor="accent1"/>
        </w:tcBorders>
      </w:tcPr>
    </w:tblStylePr>
    <w:tblStylePr w:type="lastRow">
      <w:rPr>
        <w:b/>
        <w:bCs/>
        <w:color w:val="44546A" w:themeColor="text2"/>
      </w:rPr>
      <w:tblPr/>
      <w:tcPr>
        <w:tcBorders>
          <w:top w:val="single" w:sz="8" w:space="0" w:color="2C5060" w:themeColor="accent1"/>
          <w:bottom w:val="single" w:sz="8" w:space="0" w:color="2C5060" w:themeColor="accent1"/>
        </w:tcBorders>
      </w:tcPr>
    </w:tblStylePr>
    <w:tblStylePr w:type="firstCol">
      <w:rPr>
        <w:b/>
        <w:bCs/>
      </w:rPr>
    </w:tblStylePr>
    <w:tblStylePr w:type="lastCol">
      <w:rPr>
        <w:b/>
        <w:bCs/>
      </w:rPr>
      <w:tblPr/>
      <w:tcPr>
        <w:tcBorders>
          <w:top w:val="single" w:sz="8" w:space="0" w:color="2C5060" w:themeColor="accent1"/>
          <w:bottom w:val="single" w:sz="8" w:space="0" w:color="2C5060" w:themeColor="accent1"/>
        </w:tcBorders>
      </w:tcPr>
    </w:tblStylePr>
    <w:tblStylePr w:type="band1Vert">
      <w:tblPr/>
      <w:tcPr>
        <w:shd w:val="clear" w:color="auto" w:fill="C0D7E2" w:themeFill="accent1" w:themeFillTint="3F"/>
      </w:tcPr>
    </w:tblStylePr>
    <w:tblStylePr w:type="band1Horz">
      <w:tblPr/>
      <w:tcPr>
        <w:shd w:val="clear" w:color="auto" w:fill="C0D7E2" w:themeFill="accent1" w:themeFillTint="3F"/>
      </w:tcPr>
    </w:tblStylePr>
  </w:style>
  <w:style w:type="table" w:styleId="MediumList1-Accent2">
    <w:name w:val="Medium List 1 Accent 2"/>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ED641C" w:themeColor="accent2"/>
        <w:bottom w:val="single" w:sz="8" w:space="0" w:color="ED641C" w:themeColor="accent2"/>
      </w:tblBorders>
    </w:tblPr>
    <w:tblStylePr w:type="firstRow">
      <w:rPr>
        <w:rFonts w:asciiTheme="majorHAnsi" w:eastAsiaTheme="majorEastAsia" w:hAnsiTheme="majorHAnsi" w:cstheme="majorBidi"/>
      </w:rPr>
      <w:tblPr/>
      <w:tcPr>
        <w:tcBorders>
          <w:top w:val="nil"/>
          <w:bottom w:val="single" w:sz="8" w:space="0" w:color="ED641C" w:themeColor="accent2"/>
        </w:tcBorders>
      </w:tcPr>
    </w:tblStylePr>
    <w:tblStylePr w:type="lastRow">
      <w:rPr>
        <w:b/>
        <w:bCs/>
        <w:color w:val="44546A" w:themeColor="text2"/>
      </w:rPr>
      <w:tblPr/>
      <w:tcPr>
        <w:tcBorders>
          <w:top w:val="single" w:sz="8" w:space="0" w:color="ED641C" w:themeColor="accent2"/>
          <w:bottom w:val="single" w:sz="8" w:space="0" w:color="ED641C" w:themeColor="accent2"/>
        </w:tcBorders>
      </w:tcPr>
    </w:tblStylePr>
    <w:tblStylePr w:type="firstCol">
      <w:rPr>
        <w:b/>
        <w:bCs/>
      </w:rPr>
    </w:tblStylePr>
    <w:tblStylePr w:type="lastCol">
      <w:rPr>
        <w:b/>
        <w:bCs/>
      </w:rPr>
      <w:tblPr/>
      <w:tcPr>
        <w:tcBorders>
          <w:top w:val="single" w:sz="8" w:space="0" w:color="ED641C" w:themeColor="accent2"/>
          <w:bottom w:val="single" w:sz="8" w:space="0" w:color="ED641C" w:themeColor="accent2"/>
        </w:tcBorders>
      </w:tcPr>
    </w:tblStylePr>
    <w:tblStylePr w:type="band1Vert">
      <w:tblPr/>
      <w:tcPr>
        <w:shd w:val="clear" w:color="auto" w:fill="FAD8C6" w:themeFill="accent2" w:themeFillTint="3F"/>
      </w:tcPr>
    </w:tblStylePr>
    <w:tblStylePr w:type="band1Horz">
      <w:tblPr/>
      <w:tcPr>
        <w:shd w:val="clear" w:color="auto" w:fill="FAD8C6" w:themeFill="accent2" w:themeFillTint="3F"/>
      </w:tcPr>
    </w:tblStylePr>
  </w:style>
  <w:style w:type="table" w:styleId="MediumList1-Accent3">
    <w:name w:val="Medium List 1 Accent 3"/>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AFB9B6" w:themeColor="accent3"/>
        <w:bottom w:val="single" w:sz="8" w:space="0" w:color="AFB9B6" w:themeColor="accent3"/>
      </w:tblBorders>
    </w:tblPr>
    <w:tblStylePr w:type="firstRow">
      <w:rPr>
        <w:rFonts w:asciiTheme="majorHAnsi" w:eastAsiaTheme="majorEastAsia" w:hAnsiTheme="majorHAnsi" w:cstheme="majorBidi"/>
      </w:rPr>
      <w:tblPr/>
      <w:tcPr>
        <w:tcBorders>
          <w:top w:val="nil"/>
          <w:bottom w:val="single" w:sz="8" w:space="0" w:color="AFB9B6" w:themeColor="accent3"/>
        </w:tcBorders>
      </w:tcPr>
    </w:tblStylePr>
    <w:tblStylePr w:type="lastRow">
      <w:rPr>
        <w:b/>
        <w:bCs/>
        <w:color w:val="44546A" w:themeColor="text2"/>
      </w:rPr>
      <w:tblPr/>
      <w:tcPr>
        <w:tcBorders>
          <w:top w:val="single" w:sz="8" w:space="0" w:color="AFB9B6" w:themeColor="accent3"/>
          <w:bottom w:val="single" w:sz="8" w:space="0" w:color="AFB9B6" w:themeColor="accent3"/>
        </w:tcBorders>
      </w:tcPr>
    </w:tblStylePr>
    <w:tblStylePr w:type="firstCol">
      <w:rPr>
        <w:b/>
        <w:bCs/>
      </w:rPr>
    </w:tblStylePr>
    <w:tblStylePr w:type="lastCol">
      <w:rPr>
        <w:b/>
        <w:bCs/>
      </w:rPr>
      <w:tblPr/>
      <w:tcPr>
        <w:tcBorders>
          <w:top w:val="single" w:sz="8" w:space="0" w:color="AFB9B6" w:themeColor="accent3"/>
          <w:bottom w:val="single" w:sz="8" w:space="0" w:color="AFB9B6" w:themeColor="accent3"/>
        </w:tcBorders>
      </w:tcPr>
    </w:tblStylePr>
    <w:tblStylePr w:type="band1Vert">
      <w:tblPr/>
      <w:tcPr>
        <w:shd w:val="clear" w:color="auto" w:fill="EBEDEC" w:themeFill="accent3" w:themeFillTint="3F"/>
      </w:tcPr>
    </w:tblStylePr>
    <w:tblStylePr w:type="band1Horz">
      <w:tblPr/>
      <w:tcPr>
        <w:shd w:val="clear" w:color="auto" w:fill="EBEDEC" w:themeFill="accent3" w:themeFillTint="3F"/>
      </w:tcPr>
    </w:tblStylePr>
  </w:style>
  <w:style w:type="table" w:styleId="MediumList1-Accent4">
    <w:name w:val="Medium List 1 Accent 4"/>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95A17E" w:themeColor="accent4"/>
        <w:bottom w:val="single" w:sz="8" w:space="0" w:color="95A17E" w:themeColor="accent4"/>
      </w:tblBorders>
    </w:tblPr>
    <w:tblStylePr w:type="firstRow">
      <w:rPr>
        <w:rFonts w:asciiTheme="majorHAnsi" w:eastAsiaTheme="majorEastAsia" w:hAnsiTheme="majorHAnsi" w:cstheme="majorBidi"/>
      </w:rPr>
      <w:tblPr/>
      <w:tcPr>
        <w:tcBorders>
          <w:top w:val="nil"/>
          <w:bottom w:val="single" w:sz="8" w:space="0" w:color="95A17E" w:themeColor="accent4"/>
        </w:tcBorders>
      </w:tcPr>
    </w:tblStylePr>
    <w:tblStylePr w:type="lastRow">
      <w:rPr>
        <w:b/>
        <w:bCs/>
        <w:color w:val="44546A" w:themeColor="text2"/>
      </w:rPr>
      <w:tblPr/>
      <w:tcPr>
        <w:tcBorders>
          <w:top w:val="single" w:sz="8" w:space="0" w:color="95A17E" w:themeColor="accent4"/>
          <w:bottom w:val="single" w:sz="8" w:space="0" w:color="95A17E" w:themeColor="accent4"/>
        </w:tcBorders>
      </w:tcPr>
    </w:tblStylePr>
    <w:tblStylePr w:type="firstCol">
      <w:rPr>
        <w:b/>
        <w:bCs/>
      </w:rPr>
    </w:tblStylePr>
    <w:tblStylePr w:type="lastCol">
      <w:rPr>
        <w:b/>
        <w:bCs/>
      </w:rPr>
      <w:tblPr/>
      <w:tcPr>
        <w:tcBorders>
          <w:top w:val="single" w:sz="8" w:space="0" w:color="95A17E" w:themeColor="accent4"/>
          <w:bottom w:val="single" w:sz="8" w:space="0" w:color="95A17E" w:themeColor="accent4"/>
        </w:tcBorders>
      </w:tcPr>
    </w:tblStylePr>
    <w:tblStylePr w:type="band1Vert">
      <w:tblPr/>
      <w:tcPr>
        <w:shd w:val="clear" w:color="auto" w:fill="E4E7DE" w:themeFill="accent4" w:themeFillTint="3F"/>
      </w:tcPr>
    </w:tblStylePr>
    <w:tblStylePr w:type="band1Horz">
      <w:tblPr/>
      <w:tcPr>
        <w:shd w:val="clear" w:color="auto" w:fill="E4E7DE" w:themeFill="accent4" w:themeFillTint="3F"/>
      </w:tcPr>
    </w:tblStylePr>
  </w:style>
  <w:style w:type="table" w:styleId="MediumList1-Accent5">
    <w:name w:val="Medium List 1 Accent 5"/>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FBD7C5" w:themeColor="accent5"/>
        <w:bottom w:val="single" w:sz="8" w:space="0" w:color="FBD7C5" w:themeColor="accent5"/>
      </w:tblBorders>
    </w:tblPr>
    <w:tblStylePr w:type="firstRow">
      <w:rPr>
        <w:rFonts w:asciiTheme="majorHAnsi" w:eastAsiaTheme="majorEastAsia" w:hAnsiTheme="majorHAnsi" w:cstheme="majorBidi"/>
      </w:rPr>
      <w:tblPr/>
      <w:tcPr>
        <w:tcBorders>
          <w:top w:val="nil"/>
          <w:bottom w:val="single" w:sz="8" w:space="0" w:color="FBD7C5" w:themeColor="accent5"/>
        </w:tcBorders>
      </w:tcPr>
    </w:tblStylePr>
    <w:tblStylePr w:type="lastRow">
      <w:rPr>
        <w:b/>
        <w:bCs/>
        <w:color w:val="44546A" w:themeColor="text2"/>
      </w:rPr>
      <w:tblPr/>
      <w:tcPr>
        <w:tcBorders>
          <w:top w:val="single" w:sz="8" w:space="0" w:color="FBD7C5" w:themeColor="accent5"/>
          <w:bottom w:val="single" w:sz="8" w:space="0" w:color="FBD7C5" w:themeColor="accent5"/>
        </w:tcBorders>
      </w:tcPr>
    </w:tblStylePr>
    <w:tblStylePr w:type="firstCol">
      <w:rPr>
        <w:b/>
        <w:bCs/>
      </w:rPr>
    </w:tblStylePr>
    <w:tblStylePr w:type="lastCol">
      <w:rPr>
        <w:b/>
        <w:bCs/>
      </w:rPr>
      <w:tblPr/>
      <w:tcPr>
        <w:tcBorders>
          <w:top w:val="single" w:sz="8" w:space="0" w:color="FBD7C5" w:themeColor="accent5"/>
          <w:bottom w:val="single" w:sz="8" w:space="0" w:color="FBD7C5" w:themeColor="accent5"/>
        </w:tcBorders>
      </w:tcPr>
    </w:tblStylePr>
    <w:tblStylePr w:type="band1Vert">
      <w:tblPr/>
      <w:tcPr>
        <w:shd w:val="clear" w:color="auto" w:fill="FEF5F0" w:themeFill="accent5" w:themeFillTint="3F"/>
      </w:tcPr>
    </w:tblStylePr>
    <w:tblStylePr w:type="band1Horz">
      <w:tblPr/>
      <w:tcPr>
        <w:shd w:val="clear" w:color="auto" w:fill="FEF5F0" w:themeFill="accent5" w:themeFillTint="3F"/>
      </w:tcPr>
    </w:tblStylePr>
  </w:style>
  <w:style w:type="table" w:styleId="MediumList1-Accent6">
    <w:name w:val="Medium List 1 Accent 6"/>
    <w:basedOn w:val="TableNormal"/>
    <w:uiPriority w:val="65"/>
    <w:semiHidden/>
    <w:unhideWhenUsed/>
    <w:rsid w:val="00163C56"/>
    <w:pPr>
      <w:spacing w:after="0" w:line="240" w:lineRule="auto"/>
    </w:pPr>
    <w:rPr>
      <w:color w:val="262626"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62626" w:themeColor="text1"/>
        <w:left w:val="single" w:sz="8" w:space="0" w:color="262626" w:themeColor="text1"/>
        <w:bottom w:val="single" w:sz="8" w:space="0" w:color="262626" w:themeColor="text1"/>
        <w:right w:val="single" w:sz="8" w:space="0" w:color="262626" w:themeColor="text1"/>
      </w:tblBorders>
    </w:tblPr>
    <w:tblStylePr w:type="firstRow">
      <w:rPr>
        <w:sz w:val="24"/>
        <w:szCs w:val="24"/>
      </w:rPr>
      <w:tblPr/>
      <w:tcPr>
        <w:tcBorders>
          <w:top w:val="nil"/>
          <w:left w:val="nil"/>
          <w:bottom w:val="single" w:sz="24" w:space="0" w:color="262626" w:themeColor="text1"/>
          <w:right w:val="nil"/>
          <w:insideH w:val="nil"/>
          <w:insideV w:val="nil"/>
        </w:tcBorders>
        <w:shd w:val="clear" w:color="auto" w:fill="FFFFFF" w:themeFill="background1"/>
      </w:tcPr>
    </w:tblStylePr>
    <w:tblStylePr w:type="lastRow">
      <w:tblPr/>
      <w:tcPr>
        <w:tcBorders>
          <w:top w:val="single" w:sz="8" w:space="0" w:color="2626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2626" w:themeColor="text1"/>
          <w:insideH w:val="nil"/>
          <w:insideV w:val="nil"/>
        </w:tcBorders>
        <w:shd w:val="clear" w:color="auto" w:fill="FFFFFF" w:themeFill="background1"/>
      </w:tcPr>
    </w:tblStylePr>
    <w:tblStylePr w:type="lastCol">
      <w:tblPr/>
      <w:tcPr>
        <w:tcBorders>
          <w:top w:val="nil"/>
          <w:left w:val="single" w:sz="8" w:space="0" w:color="2626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9C9" w:themeFill="text1" w:themeFillTint="3F"/>
      </w:tcPr>
    </w:tblStylePr>
    <w:tblStylePr w:type="band1Horz">
      <w:tblPr/>
      <w:tcPr>
        <w:tcBorders>
          <w:top w:val="nil"/>
          <w:bottom w:val="nil"/>
          <w:insideH w:val="nil"/>
          <w:insideV w:val="nil"/>
        </w:tcBorders>
        <w:shd w:val="clear" w:color="auto" w:fill="C9C9C9"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2C5060" w:themeColor="accent1"/>
        <w:left w:val="single" w:sz="8" w:space="0" w:color="2C5060" w:themeColor="accent1"/>
        <w:bottom w:val="single" w:sz="8" w:space="0" w:color="2C5060" w:themeColor="accent1"/>
        <w:right w:val="single" w:sz="8" w:space="0" w:color="2C5060" w:themeColor="accent1"/>
      </w:tblBorders>
    </w:tblPr>
    <w:tblStylePr w:type="firstRow">
      <w:rPr>
        <w:sz w:val="24"/>
        <w:szCs w:val="24"/>
      </w:rPr>
      <w:tblPr/>
      <w:tcPr>
        <w:tcBorders>
          <w:top w:val="nil"/>
          <w:left w:val="nil"/>
          <w:bottom w:val="single" w:sz="24" w:space="0" w:color="2C5060" w:themeColor="accent1"/>
          <w:right w:val="nil"/>
          <w:insideH w:val="nil"/>
          <w:insideV w:val="nil"/>
        </w:tcBorders>
        <w:shd w:val="clear" w:color="auto" w:fill="FFFFFF" w:themeFill="background1"/>
      </w:tcPr>
    </w:tblStylePr>
    <w:tblStylePr w:type="lastRow">
      <w:tblPr/>
      <w:tcPr>
        <w:tcBorders>
          <w:top w:val="single" w:sz="8" w:space="0" w:color="2C506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060" w:themeColor="accent1"/>
          <w:insideH w:val="nil"/>
          <w:insideV w:val="nil"/>
        </w:tcBorders>
        <w:shd w:val="clear" w:color="auto" w:fill="FFFFFF" w:themeFill="background1"/>
      </w:tcPr>
    </w:tblStylePr>
    <w:tblStylePr w:type="lastCol">
      <w:tblPr/>
      <w:tcPr>
        <w:tcBorders>
          <w:top w:val="nil"/>
          <w:left w:val="single" w:sz="8" w:space="0" w:color="2C50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7E2" w:themeFill="accent1" w:themeFillTint="3F"/>
      </w:tcPr>
    </w:tblStylePr>
    <w:tblStylePr w:type="band1Horz">
      <w:tblPr/>
      <w:tcPr>
        <w:tcBorders>
          <w:top w:val="nil"/>
          <w:bottom w:val="nil"/>
          <w:insideH w:val="nil"/>
          <w:insideV w:val="nil"/>
        </w:tcBorders>
        <w:shd w:val="clear" w:color="auto" w:fill="C0D7E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ED641C" w:themeColor="accent2"/>
        <w:left w:val="single" w:sz="8" w:space="0" w:color="ED641C" w:themeColor="accent2"/>
        <w:bottom w:val="single" w:sz="8" w:space="0" w:color="ED641C" w:themeColor="accent2"/>
        <w:right w:val="single" w:sz="8" w:space="0" w:color="ED641C" w:themeColor="accent2"/>
      </w:tblBorders>
    </w:tblPr>
    <w:tblStylePr w:type="firstRow">
      <w:rPr>
        <w:sz w:val="24"/>
        <w:szCs w:val="24"/>
      </w:rPr>
      <w:tblPr/>
      <w:tcPr>
        <w:tcBorders>
          <w:top w:val="nil"/>
          <w:left w:val="nil"/>
          <w:bottom w:val="single" w:sz="24" w:space="0" w:color="ED641C" w:themeColor="accent2"/>
          <w:right w:val="nil"/>
          <w:insideH w:val="nil"/>
          <w:insideV w:val="nil"/>
        </w:tcBorders>
        <w:shd w:val="clear" w:color="auto" w:fill="FFFFFF" w:themeFill="background1"/>
      </w:tcPr>
    </w:tblStylePr>
    <w:tblStylePr w:type="lastRow">
      <w:tblPr/>
      <w:tcPr>
        <w:tcBorders>
          <w:top w:val="single" w:sz="8" w:space="0" w:color="ED641C"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641C" w:themeColor="accent2"/>
          <w:insideH w:val="nil"/>
          <w:insideV w:val="nil"/>
        </w:tcBorders>
        <w:shd w:val="clear" w:color="auto" w:fill="FFFFFF" w:themeFill="background1"/>
      </w:tcPr>
    </w:tblStylePr>
    <w:tblStylePr w:type="lastCol">
      <w:tblPr/>
      <w:tcPr>
        <w:tcBorders>
          <w:top w:val="nil"/>
          <w:left w:val="single" w:sz="8" w:space="0" w:color="ED641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8C6" w:themeFill="accent2" w:themeFillTint="3F"/>
      </w:tcPr>
    </w:tblStylePr>
    <w:tblStylePr w:type="band1Horz">
      <w:tblPr/>
      <w:tcPr>
        <w:tcBorders>
          <w:top w:val="nil"/>
          <w:bottom w:val="nil"/>
          <w:insideH w:val="nil"/>
          <w:insideV w:val="nil"/>
        </w:tcBorders>
        <w:shd w:val="clear" w:color="auto" w:fill="FAD8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AFB9B6" w:themeColor="accent3"/>
        <w:left w:val="single" w:sz="8" w:space="0" w:color="AFB9B6" w:themeColor="accent3"/>
        <w:bottom w:val="single" w:sz="8" w:space="0" w:color="AFB9B6" w:themeColor="accent3"/>
        <w:right w:val="single" w:sz="8" w:space="0" w:color="AFB9B6" w:themeColor="accent3"/>
      </w:tblBorders>
    </w:tblPr>
    <w:tblStylePr w:type="firstRow">
      <w:rPr>
        <w:sz w:val="24"/>
        <w:szCs w:val="24"/>
      </w:rPr>
      <w:tblPr/>
      <w:tcPr>
        <w:tcBorders>
          <w:top w:val="nil"/>
          <w:left w:val="nil"/>
          <w:bottom w:val="single" w:sz="24" w:space="0" w:color="AFB9B6" w:themeColor="accent3"/>
          <w:right w:val="nil"/>
          <w:insideH w:val="nil"/>
          <w:insideV w:val="nil"/>
        </w:tcBorders>
        <w:shd w:val="clear" w:color="auto" w:fill="FFFFFF" w:themeFill="background1"/>
      </w:tcPr>
    </w:tblStylePr>
    <w:tblStylePr w:type="lastRow">
      <w:tblPr/>
      <w:tcPr>
        <w:tcBorders>
          <w:top w:val="single" w:sz="8" w:space="0" w:color="AFB9B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9B6" w:themeColor="accent3"/>
          <w:insideH w:val="nil"/>
          <w:insideV w:val="nil"/>
        </w:tcBorders>
        <w:shd w:val="clear" w:color="auto" w:fill="FFFFFF" w:themeFill="background1"/>
      </w:tcPr>
    </w:tblStylePr>
    <w:tblStylePr w:type="lastCol">
      <w:tblPr/>
      <w:tcPr>
        <w:tcBorders>
          <w:top w:val="nil"/>
          <w:left w:val="single" w:sz="8" w:space="0" w:color="AFB9B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C" w:themeFill="accent3" w:themeFillTint="3F"/>
      </w:tcPr>
    </w:tblStylePr>
    <w:tblStylePr w:type="band1Horz">
      <w:tblPr/>
      <w:tcPr>
        <w:tcBorders>
          <w:top w:val="nil"/>
          <w:bottom w:val="nil"/>
          <w:insideH w:val="nil"/>
          <w:insideV w:val="nil"/>
        </w:tcBorders>
        <w:shd w:val="clear" w:color="auto" w:fill="EBED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95A17E" w:themeColor="accent4"/>
        <w:left w:val="single" w:sz="8" w:space="0" w:color="95A17E" w:themeColor="accent4"/>
        <w:bottom w:val="single" w:sz="8" w:space="0" w:color="95A17E" w:themeColor="accent4"/>
        <w:right w:val="single" w:sz="8" w:space="0" w:color="95A17E" w:themeColor="accent4"/>
      </w:tblBorders>
    </w:tblPr>
    <w:tblStylePr w:type="firstRow">
      <w:rPr>
        <w:sz w:val="24"/>
        <w:szCs w:val="24"/>
      </w:rPr>
      <w:tblPr/>
      <w:tcPr>
        <w:tcBorders>
          <w:top w:val="nil"/>
          <w:left w:val="nil"/>
          <w:bottom w:val="single" w:sz="24" w:space="0" w:color="95A17E" w:themeColor="accent4"/>
          <w:right w:val="nil"/>
          <w:insideH w:val="nil"/>
          <w:insideV w:val="nil"/>
        </w:tcBorders>
        <w:shd w:val="clear" w:color="auto" w:fill="FFFFFF" w:themeFill="background1"/>
      </w:tcPr>
    </w:tblStylePr>
    <w:tblStylePr w:type="lastRow">
      <w:tblPr/>
      <w:tcPr>
        <w:tcBorders>
          <w:top w:val="single" w:sz="8" w:space="0" w:color="95A1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A17E" w:themeColor="accent4"/>
          <w:insideH w:val="nil"/>
          <w:insideV w:val="nil"/>
        </w:tcBorders>
        <w:shd w:val="clear" w:color="auto" w:fill="FFFFFF" w:themeFill="background1"/>
      </w:tcPr>
    </w:tblStylePr>
    <w:tblStylePr w:type="lastCol">
      <w:tblPr/>
      <w:tcPr>
        <w:tcBorders>
          <w:top w:val="nil"/>
          <w:left w:val="single" w:sz="8" w:space="0" w:color="95A1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DE" w:themeFill="accent4" w:themeFillTint="3F"/>
      </w:tcPr>
    </w:tblStylePr>
    <w:tblStylePr w:type="band1Horz">
      <w:tblPr/>
      <w:tcPr>
        <w:tcBorders>
          <w:top w:val="nil"/>
          <w:bottom w:val="nil"/>
          <w:insideH w:val="nil"/>
          <w:insideV w:val="nil"/>
        </w:tcBorders>
        <w:shd w:val="clear" w:color="auto" w:fill="E4E7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FBD7C5" w:themeColor="accent5"/>
        <w:left w:val="single" w:sz="8" w:space="0" w:color="FBD7C5" w:themeColor="accent5"/>
        <w:bottom w:val="single" w:sz="8" w:space="0" w:color="FBD7C5" w:themeColor="accent5"/>
        <w:right w:val="single" w:sz="8" w:space="0" w:color="FBD7C5" w:themeColor="accent5"/>
      </w:tblBorders>
    </w:tblPr>
    <w:tblStylePr w:type="firstRow">
      <w:rPr>
        <w:sz w:val="24"/>
        <w:szCs w:val="24"/>
      </w:rPr>
      <w:tblPr/>
      <w:tcPr>
        <w:tcBorders>
          <w:top w:val="nil"/>
          <w:left w:val="nil"/>
          <w:bottom w:val="single" w:sz="24" w:space="0" w:color="FBD7C5" w:themeColor="accent5"/>
          <w:right w:val="nil"/>
          <w:insideH w:val="nil"/>
          <w:insideV w:val="nil"/>
        </w:tcBorders>
        <w:shd w:val="clear" w:color="auto" w:fill="FFFFFF" w:themeFill="background1"/>
      </w:tcPr>
    </w:tblStylePr>
    <w:tblStylePr w:type="lastRow">
      <w:tblPr/>
      <w:tcPr>
        <w:tcBorders>
          <w:top w:val="single" w:sz="8" w:space="0" w:color="FBD7C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D7C5" w:themeColor="accent5"/>
          <w:insideH w:val="nil"/>
          <w:insideV w:val="nil"/>
        </w:tcBorders>
        <w:shd w:val="clear" w:color="auto" w:fill="FFFFFF" w:themeFill="background1"/>
      </w:tcPr>
    </w:tblStylePr>
    <w:tblStylePr w:type="lastCol">
      <w:tblPr/>
      <w:tcPr>
        <w:tcBorders>
          <w:top w:val="nil"/>
          <w:left w:val="single" w:sz="8" w:space="0" w:color="FBD7C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F0" w:themeFill="accent5" w:themeFillTint="3F"/>
      </w:tcPr>
    </w:tblStylePr>
    <w:tblStylePr w:type="band1Horz">
      <w:tblPr/>
      <w:tcPr>
        <w:tcBorders>
          <w:top w:val="nil"/>
          <w:bottom w:val="nil"/>
          <w:insideH w:val="nil"/>
          <w:insideV w:val="nil"/>
        </w:tcBorders>
        <w:shd w:val="clear" w:color="auto" w:fill="FEF5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3C56"/>
    <w:pPr>
      <w:spacing w:after="0" w:line="240" w:lineRule="auto"/>
    </w:pPr>
    <w:rPr>
      <w:rFonts w:asciiTheme="majorHAnsi" w:eastAsiaTheme="majorEastAsia" w:hAnsiTheme="majorHAnsi" w:cstheme="majorBidi"/>
      <w:color w:val="262626"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3C56"/>
    <w:pPr>
      <w:spacing w:after="0" w:line="240" w:lineRule="auto"/>
    </w:pPr>
    <w:tblPr>
      <w:tblStyleRowBandSize w:val="1"/>
      <w:tblStyleColBandSize w:val="1"/>
      <w:tbl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single" w:sz="8" w:space="0" w:color="5C5C5C" w:themeColor="text1" w:themeTint="BF"/>
      </w:tblBorders>
    </w:tblPr>
    <w:tblStylePr w:type="firstRow">
      <w:pPr>
        <w:spacing w:before="0" w:after="0" w:line="240" w:lineRule="auto"/>
      </w:pPr>
      <w:rPr>
        <w:b/>
        <w:bCs/>
        <w:color w:val="FFFFFF" w:themeColor="background1"/>
      </w:rPr>
      <w:tblPr/>
      <w:tcPr>
        <w:tcBorders>
          <w:top w:val="single" w:sz="8"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shd w:val="clear" w:color="auto" w:fill="262626" w:themeFill="text1"/>
      </w:tcPr>
    </w:tblStylePr>
    <w:tblStylePr w:type="lastRow">
      <w:pPr>
        <w:spacing w:before="0" w:after="0" w:line="240" w:lineRule="auto"/>
      </w:pPr>
      <w:rPr>
        <w:b/>
        <w:bCs/>
      </w:rPr>
      <w:tblPr/>
      <w:tcPr>
        <w:tcBorders>
          <w:top w:val="double" w:sz="6" w:space="0" w:color="5C5C5C" w:themeColor="text1" w:themeTint="BF"/>
          <w:left w:val="single" w:sz="8" w:space="0" w:color="5C5C5C" w:themeColor="text1" w:themeTint="BF"/>
          <w:bottom w:val="single" w:sz="8" w:space="0" w:color="5C5C5C" w:themeColor="text1" w:themeTint="BF"/>
          <w:right w:val="single" w:sz="8" w:space="0" w:color="5C5C5C" w:themeColor="text1" w:themeTint="BF"/>
          <w:insideH w:val="nil"/>
          <w:insideV w:val="nil"/>
        </w:tcBorders>
      </w:tcPr>
    </w:tblStylePr>
    <w:tblStylePr w:type="firstCol">
      <w:rPr>
        <w:b/>
        <w:bCs/>
      </w:rPr>
    </w:tblStylePr>
    <w:tblStylePr w:type="lastCol">
      <w:rPr>
        <w:b/>
        <w:bCs/>
      </w:rPr>
    </w:tblStylePr>
    <w:tblStylePr w:type="band1Vert">
      <w:tblPr/>
      <w:tcPr>
        <w:shd w:val="clear" w:color="auto" w:fill="C9C9C9" w:themeFill="text1" w:themeFillTint="3F"/>
      </w:tcPr>
    </w:tblStylePr>
    <w:tblStylePr w:type="band1Horz">
      <w:tblPr/>
      <w:tcPr>
        <w:tcBorders>
          <w:insideH w:val="nil"/>
          <w:insideV w:val="nil"/>
        </w:tcBorders>
        <w:shd w:val="clear" w:color="auto" w:fill="C9C9C9"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3C56"/>
    <w:pPr>
      <w:spacing w:after="0" w:line="240" w:lineRule="auto"/>
    </w:pPr>
    <w:tblPr>
      <w:tblStyleRowBandSize w:val="1"/>
      <w:tblStyleColBandSize w:val="1"/>
      <w:tblBorders>
        <w:top w:val="single" w:sz="8" w:space="0" w:color="49849F" w:themeColor="accent1" w:themeTint="BF"/>
        <w:left w:val="single" w:sz="8" w:space="0" w:color="49849F" w:themeColor="accent1" w:themeTint="BF"/>
        <w:bottom w:val="single" w:sz="8" w:space="0" w:color="49849F" w:themeColor="accent1" w:themeTint="BF"/>
        <w:right w:val="single" w:sz="8" w:space="0" w:color="49849F" w:themeColor="accent1" w:themeTint="BF"/>
        <w:insideH w:val="single" w:sz="8" w:space="0" w:color="49849F" w:themeColor="accent1" w:themeTint="BF"/>
      </w:tblBorders>
    </w:tblPr>
    <w:tblStylePr w:type="firstRow">
      <w:pPr>
        <w:spacing w:before="0" w:after="0" w:line="240" w:lineRule="auto"/>
      </w:pPr>
      <w:rPr>
        <w:b/>
        <w:bCs/>
        <w:color w:val="FFFFFF" w:themeColor="background1"/>
      </w:rPr>
      <w:tblPr/>
      <w:tcPr>
        <w:tcBorders>
          <w:top w:val="single" w:sz="8" w:space="0" w:color="49849F" w:themeColor="accent1" w:themeTint="BF"/>
          <w:left w:val="single" w:sz="8" w:space="0" w:color="49849F" w:themeColor="accent1" w:themeTint="BF"/>
          <w:bottom w:val="single" w:sz="8" w:space="0" w:color="49849F" w:themeColor="accent1" w:themeTint="BF"/>
          <w:right w:val="single" w:sz="8" w:space="0" w:color="49849F" w:themeColor="accent1" w:themeTint="BF"/>
          <w:insideH w:val="nil"/>
          <w:insideV w:val="nil"/>
        </w:tcBorders>
        <w:shd w:val="clear" w:color="auto" w:fill="2C5060" w:themeFill="accent1"/>
      </w:tcPr>
    </w:tblStylePr>
    <w:tblStylePr w:type="lastRow">
      <w:pPr>
        <w:spacing w:before="0" w:after="0" w:line="240" w:lineRule="auto"/>
      </w:pPr>
      <w:rPr>
        <w:b/>
        <w:bCs/>
      </w:rPr>
      <w:tblPr/>
      <w:tcPr>
        <w:tcBorders>
          <w:top w:val="double" w:sz="6" w:space="0" w:color="49849F" w:themeColor="accent1" w:themeTint="BF"/>
          <w:left w:val="single" w:sz="8" w:space="0" w:color="49849F" w:themeColor="accent1" w:themeTint="BF"/>
          <w:bottom w:val="single" w:sz="8" w:space="0" w:color="49849F" w:themeColor="accent1" w:themeTint="BF"/>
          <w:right w:val="single" w:sz="8" w:space="0" w:color="49849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7E2" w:themeFill="accent1" w:themeFillTint="3F"/>
      </w:tcPr>
    </w:tblStylePr>
    <w:tblStylePr w:type="band1Horz">
      <w:tblPr/>
      <w:tcPr>
        <w:tcBorders>
          <w:insideH w:val="nil"/>
          <w:insideV w:val="nil"/>
        </w:tcBorders>
        <w:shd w:val="clear" w:color="auto" w:fill="C0D7E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3C56"/>
    <w:pPr>
      <w:spacing w:after="0" w:line="240" w:lineRule="auto"/>
    </w:pPr>
    <w:tblPr>
      <w:tblStyleRowBandSize w:val="1"/>
      <w:tblStyleColBandSize w:val="1"/>
      <w:tblBorders>
        <w:top w:val="single" w:sz="8" w:space="0" w:color="F18A54" w:themeColor="accent2" w:themeTint="BF"/>
        <w:left w:val="single" w:sz="8" w:space="0" w:color="F18A54" w:themeColor="accent2" w:themeTint="BF"/>
        <w:bottom w:val="single" w:sz="8" w:space="0" w:color="F18A54" w:themeColor="accent2" w:themeTint="BF"/>
        <w:right w:val="single" w:sz="8" w:space="0" w:color="F18A54" w:themeColor="accent2" w:themeTint="BF"/>
        <w:insideH w:val="single" w:sz="8" w:space="0" w:color="F18A54" w:themeColor="accent2" w:themeTint="BF"/>
      </w:tblBorders>
    </w:tblPr>
    <w:tblStylePr w:type="firstRow">
      <w:pPr>
        <w:spacing w:before="0" w:after="0" w:line="240" w:lineRule="auto"/>
      </w:pPr>
      <w:rPr>
        <w:b/>
        <w:bCs/>
        <w:color w:val="FFFFFF" w:themeColor="background1"/>
      </w:rPr>
      <w:tblPr/>
      <w:tcPr>
        <w:tcBorders>
          <w:top w:val="single" w:sz="8" w:space="0" w:color="F18A54" w:themeColor="accent2" w:themeTint="BF"/>
          <w:left w:val="single" w:sz="8" w:space="0" w:color="F18A54" w:themeColor="accent2" w:themeTint="BF"/>
          <w:bottom w:val="single" w:sz="8" w:space="0" w:color="F18A54" w:themeColor="accent2" w:themeTint="BF"/>
          <w:right w:val="single" w:sz="8" w:space="0" w:color="F18A54" w:themeColor="accent2" w:themeTint="BF"/>
          <w:insideH w:val="nil"/>
          <w:insideV w:val="nil"/>
        </w:tcBorders>
        <w:shd w:val="clear" w:color="auto" w:fill="ED641C" w:themeFill="accent2"/>
      </w:tcPr>
    </w:tblStylePr>
    <w:tblStylePr w:type="lastRow">
      <w:pPr>
        <w:spacing w:before="0" w:after="0" w:line="240" w:lineRule="auto"/>
      </w:pPr>
      <w:rPr>
        <w:b/>
        <w:bCs/>
      </w:rPr>
      <w:tblPr/>
      <w:tcPr>
        <w:tcBorders>
          <w:top w:val="double" w:sz="6" w:space="0" w:color="F18A54" w:themeColor="accent2" w:themeTint="BF"/>
          <w:left w:val="single" w:sz="8" w:space="0" w:color="F18A54" w:themeColor="accent2" w:themeTint="BF"/>
          <w:bottom w:val="single" w:sz="8" w:space="0" w:color="F18A54" w:themeColor="accent2" w:themeTint="BF"/>
          <w:right w:val="single" w:sz="8" w:space="0" w:color="F18A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8C6" w:themeFill="accent2" w:themeFillTint="3F"/>
      </w:tcPr>
    </w:tblStylePr>
    <w:tblStylePr w:type="band1Horz">
      <w:tblPr/>
      <w:tcPr>
        <w:tcBorders>
          <w:insideH w:val="nil"/>
          <w:insideV w:val="nil"/>
        </w:tcBorders>
        <w:shd w:val="clear" w:color="auto" w:fill="FAD8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3C56"/>
    <w:pPr>
      <w:spacing w:after="0" w:line="240" w:lineRule="auto"/>
    </w:pPr>
    <w:tblPr>
      <w:tblStyleRowBandSize w:val="1"/>
      <w:tblStyleColBandSize w:val="1"/>
      <w:tblBorders>
        <w:top w:val="single" w:sz="8" w:space="0" w:color="C2CAC8" w:themeColor="accent3" w:themeTint="BF"/>
        <w:left w:val="single" w:sz="8" w:space="0" w:color="C2CAC8" w:themeColor="accent3" w:themeTint="BF"/>
        <w:bottom w:val="single" w:sz="8" w:space="0" w:color="C2CAC8" w:themeColor="accent3" w:themeTint="BF"/>
        <w:right w:val="single" w:sz="8" w:space="0" w:color="C2CAC8" w:themeColor="accent3" w:themeTint="BF"/>
        <w:insideH w:val="single" w:sz="8" w:space="0" w:color="C2CAC8" w:themeColor="accent3" w:themeTint="BF"/>
      </w:tblBorders>
    </w:tblPr>
    <w:tblStylePr w:type="firstRow">
      <w:pPr>
        <w:spacing w:before="0" w:after="0" w:line="240" w:lineRule="auto"/>
      </w:pPr>
      <w:rPr>
        <w:b/>
        <w:bCs/>
        <w:color w:val="FFFFFF" w:themeColor="background1"/>
      </w:rPr>
      <w:tblPr/>
      <w:tcPr>
        <w:tcBorders>
          <w:top w:val="single" w:sz="8" w:space="0" w:color="C2CAC8" w:themeColor="accent3" w:themeTint="BF"/>
          <w:left w:val="single" w:sz="8" w:space="0" w:color="C2CAC8" w:themeColor="accent3" w:themeTint="BF"/>
          <w:bottom w:val="single" w:sz="8" w:space="0" w:color="C2CAC8" w:themeColor="accent3" w:themeTint="BF"/>
          <w:right w:val="single" w:sz="8" w:space="0" w:color="C2CAC8" w:themeColor="accent3" w:themeTint="BF"/>
          <w:insideH w:val="nil"/>
          <w:insideV w:val="nil"/>
        </w:tcBorders>
        <w:shd w:val="clear" w:color="auto" w:fill="AFB9B6" w:themeFill="accent3"/>
      </w:tcPr>
    </w:tblStylePr>
    <w:tblStylePr w:type="lastRow">
      <w:pPr>
        <w:spacing w:before="0" w:after="0" w:line="240" w:lineRule="auto"/>
      </w:pPr>
      <w:rPr>
        <w:b/>
        <w:bCs/>
      </w:rPr>
      <w:tblPr/>
      <w:tcPr>
        <w:tcBorders>
          <w:top w:val="double" w:sz="6" w:space="0" w:color="C2CAC8" w:themeColor="accent3" w:themeTint="BF"/>
          <w:left w:val="single" w:sz="8" w:space="0" w:color="C2CAC8" w:themeColor="accent3" w:themeTint="BF"/>
          <w:bottom w:val="single" w:sz="8" w:space="0" w:color="C2CAC8" w:themeColor="accent3" w:themeTint="BF"/>
          <w:right w:val="single" w:sz="8" w:space="0" w:color="C2CAC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C" w:themeFill="accent3" w:themeFillTint="3F"/>
      </w:tcPr>
    </w:tblStylePr>
    <w:tblStylePr w:type="band1Horz">
      <w:tblPr/>
      <w:tcPr>
        <w:tcBorders>
          <w:insideH w:val="nil"/>
          <w:insideV w:val="nil"/>
        </w:tcBorders>
        <w:shd w:val="clear" w:color="auto" w:fill="EBED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3C56"/>
    <w:pPr>
      <w:spacing w:after="0" w:line="240" w:lineRule="auto"/>
    </w:pPr>
    <w:tblPr>
      <w:tblStyleRowBandSize w:val="1"/>
      <w:tblStyleColBandSize w:val="1"/>
      <w:tblBorders>
        <w:top w:val="single" w:sz="8" w:space="0" w:color="AFB89E" w:themeColor="accent4" w:themeTint="BF"/>
        <w:left w:val="single" w:sz="8" w:space="0" w:color="AFB89E" w:themeColor="accent4" w:themeTint="BF"/>
        <w:bottom w:val="single" w:sz="8" w:space="0" w:color="AFB89E" w:themeColor="accent4" w:themeTint="BF"/>
        <w:right w:val="single" w:sz="8" w:space="0" w:color="AFB89E" w:themeColor="accent4" w:themeTint="BF"/>
        <w:insideH w:val="single" w:sz="8" w:space="0" w:color="AFB89E" w:themeColor="accent4" w:themeTint="BF"/>
      </w:tblBorders>
    </w:tblPr>
    <w:tblStylePr w:type="firstRow">
      <w:pPr>
        <w:spacing w:before="0" w:after="0" w:line="240" w:lineRule="auto"/>
      </w:pPr>
      <w:rPr>
        <w:b/>
        <w:bCs/>
        <w:color w:val="FFFFFF" w:themeColor="background1"/>
      </w:rPr>
      <w:tblPr/>
      <w:tcPr>
        <w:tcBorders>
          <w:top w:val="single" w:sz="8" w:space="0" w:color="AFB89E" w:themeColor="accent4" w:themeTint="BF"/>
          <w:left w:val="single" w:sz="8" w:space="0" w:color="AFB89E" w:themeColor="accent4" w:themeTint="BF"/>
          <w:bottom w:val="single" w:sz="8" w:space="0" w:color="AFB89E" w:themeColor="accent4" w:themeTint="BF"/>
          <w:right w:val="single" w:sz="8" w:space="0" w:color="AFB89E" w:themeColor="accent4" w:themeTint="BF"/>
          <w:insideH w:val="nil"/>
          <w:insideV w:val="nil"/>
        </w:tcBorders>
        <w:shd w:val="clear" w:color="auto" w:fill="95A17E" w:themeFill="accent4"/>
      </w:tcPr>
    </w:tblStylePr>
    <w:tblStylePr w:type="lastRow">
      <w:pPr>
        <w:spacing w:before="0" w:after="0" w:line="240" w:lineRule="auto"/>
      </w:pPr>
      <w:rPr>
        <w:b/>
        <w:bCs/>
      </w:rPr>
      <w:tblPr/>
      <w:tcPr>
        <w:tcBorders>
          <w:top w:val="double" w:sz="6" w:space="0" w:color="AFB89E" w:themeColor="accent4" w:themeTint="BF"/>
          <w:left w:val="single" w:sz="8" w:space="0" w:color="AFB89E" w:themeColor="accent4" w:themeTint="BF"/>
          <w:bottom w:val="single" w:sz="8" w:space="0" w:color="AFB89E" w:themeColor="accent4" w:themeTint="BF"/>
          <w:right w:val="single" w:sz="8" w:space="0" w:color="AFB89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7DE" w:themeFill="accent4" w:themeFillTint="3F"/>
      </w:tcPr>
    </w:tblStylePr>
    <w:tblStylePr w:type="band1Horz">
      <w:tblPr/>
      <w:tcPr>
        <w:tcBorders>
          <w:insideH w:val="nil"/>
          <w:insideV w:val="nil"/>
        </w:tcBorders>
        <w:shd w:val="clear" w:color="auto" w:fill="E4E7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3C56"/>
    <w:pPr>
      <w:spacing w:after="0" w:line="240" w:lineRule="auto"/>
    </w:pPr>
    <w:tblPr>
      <w:tblStyleRowBandSize w:val="1"/>
      <w:tblStyleColBandSize w:val="1"/>
      <w:tblBorders>
        <w:top w:val="single" w:sz="8" w:space="0" w:color="FCE0D3" w:themeColor="accent5" w:themeTint="BF"/>
        <w:left w:val="single" w:sz="8" w:space="0" w:color="FCE0D3" w:themeColor="accent5" w:themeTint="BF"/>
        <w:bottom w:val="single" w:sz="8" w:space="0" w:color="FCE0D3" w:themeColor="accent5" w:themeTint="BF"/>
        <w:right w:val="single" w:sz="8" w:space="0" w:color="FCE0D3" w:themeColor="accent5" w:themeTint="BF"/>
        <w:insideH w:val="single" w:sz="8" w:space="0" w:color="FCE0D3" w:themeColor="accent5" w:themeTint="BF"/>
      </w:tblBorders>
    </w:tblPr>
    <w:tblStylePr w:type="firstRow">
      <w:pPr>
        <w:spacing w:before="0" w:after="0" w:line="240" w:lineRule="auto"/>
      </w:pPr>
      <w:rPr>
        <w:b/>
        <w:bCs/>
        <w:color w:val="FFFFFF" w:themeColor="background1"/>
      </w:rPr>
      <w:tblPr/>
      <w:tcPr>
        <w:tcBorders>
          <w:top w:val="single" w:sz="8" w:space="0" w:color="FCE0D3" w:themeColor="accent5" w:themeTint="BF"/>
          <w:left w:val="single" w:sz="8" w:space="0" w:color="FCE0D3" w:themeColor="accent5" w:themeTint="BF"/>
          <w:bottom w:val="single" w:sz="8" w:space="0" w:color="FCE0D3" w:themeColor="accent5" w:themeTint="BF"/>
          <w:right w:val="single" w:sz="8" w:space="0" w:color="FCE0D3" w:themeColor="accent5" w:themeTint="BF"/>
          <w:insideH w:val="nil"/>
          <w:insideV w:val="nil"/>
        </w:tcBorders>
        <w:shd w:val="clear" w:color="auto" w:fill="FBD7C5" w:themeFill="accent5"/>
      </w:tcPr>
    </w:tblStylePr>
    <w:tblStylePr w:type="lastRow">
      <w:pPr>
        <w:spacing w:before="0" w:after="0" w:line="240" w:lineRule="auto"/>
      </w:pPr>
      <w:rPr>
        <w:b/>
        <w:bCs/>
      </w:rPr>
      <w:tblPr/>
      <w:tcPr>
        <w:tcBorders>
          <w:top w:val="double" w:sz="6" w:space="0" w:color="FCE0D3" w:themeColor="accent5" w:themeTint="BF"/>
          <w:left w:val="single" w:sz="8" w:space="0" w:color="FCE0D3" w:themeColor="accent5" w:themeTint="BF"/>
          <w:bottom w:val="single" w:sz="8" w:space="0" w:color="FCE0D3" w:themeColor="accent5" w:themeTint="BF"/>
          <w:right w:val="single" w:sz="8" w:space="0" w:color="FCE0D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5F0" w:themeFill="accent5" w:themeFillTint="3F"/>
      </w:tcPr>
    </w:tblStylePr>
    <w:tblStylePr w:type="band1Horz">
      <w:tblPr/>
      <w:tcPr>
        <w:tcBorders>
          <w:insideH w:val="nil"/>
          <w:insideV w:val="nil"/>
        </w:tcBorders>
        <w:shd w:val="clear" w:color="auto" w:fill="FEF5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3C56"/>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26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2626" w:themeFill="text1"/>
      </w:tcPr>
    </w:tblStylePr>
    <w:tblStylePr w:type="lastCol">
      <w:rPr>
        <w:b/>
        <w:bCs/>
        <w:color w:val="FFFFFF" w:themeColor="background1"/>
      </w:rPr>
      <w:tblPr/>
      <w:tcPr>
        <w:tcBorders>
          <w:left w:val="nil"/>
          <w:right w:val="nil"/>
          <w:insideH w:val="nil"/>
          <w:insideV w:val="nil"/>
        </w:tcBorders>
        <w:shd w:val="clear" w:color="auto" w:fill="2626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06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5060" w:themeFill="accent1"/>
      </w:tcPr>
    </w:tblStylePr>
    <w:tblStylePr w:type="lastCol">
      <w:rPr>
        <w:b/>
        <w:bCs/>
        <w:color w:val="FFFFFF" w:themeColor="background1"/>
      </w:rPr>
      <w:tblPr/>
      <w:tcPr>
        <w:tcBorders>
          <w:left w:val="nil"/>
          <w:right w:val="nil"/>
          <w:insideH w:val="nil"/>
          <w:insideV w:val="nil"/>
        </w:tcBorders>
        <w:shd w:val="clear" w:color="auto" w:fill="2C506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641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641C" w:themeFill="accent2"/>
      </w:tcPr>
    </w:tblStylePr>
    <w:tblStylePr w:type="lastCol">
      <w:rPr>
        <w:b/>
        <w:bCs/>
        <w:color w:val="FFFFFF" w:themeColor="background1"/>
      </w:rPr>
      <w:tblPr/>
      <w:tcPr>
        <w:tcBorders>
          <w:left w:val="nil"/>
          <w:right w:val="nil"/>
          <w:insideH w:val="nil"/>
          <w:insideV w:val="nil"/>
        </w:tcBorders>
        <w:shd w:val="clear" w:color="auto" w:fill="ED641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B9B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B9B6" w:themeFill="accent3"/>
      </w:tcPr>
    </w:tblStylePr>
    <w:tblStylePr w:type="lastCol">
      <w:rPr>
        <w:b/>
        <w:bCs/>
        <w:color w:val="FFFFFF" w:themeColor="background1"/>
      </w:rPr>
      <w:tblPr/>
      <w:tcPr>
        <w:tcBorders>
          <w:left w:val="nil"/>
          <w:right w:val="nil"/>
          <w:insideH w:val="nil"/>
          <w:insideV w:val="nil"/>
        </w:tcBorders>
        <w:shd w:val="clear" w:color="auto" w:fill="AFB9B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A1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A17E" w:themeFill="accent4"/>
      </w:tcPr>
    </w:tblStylePr>
    <w:tblStylePr w:type="lastCol">
      <w:rPr>
        <w:b/>
        <w:bCs/>
        <w:color w:val="FFFFFF" w:themeColor="background1"/>
      </w:rPr>
      <w:tblPr/>
      <w:tcPr>
        <w:tcBorders>
          <w:left w:val="nil"/>
          <w:right w:val="nil"/>
          <w:insideH w:val="nil"/>
          <w:insideV w:val="nil"/>
        </w:tcBorders>
        <w:shd w:val="clear" w:color="auto" w:fill="95A1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D7C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7C5" w:themeFill="accent5"/>
      </w:tcPr>
    </w:tblStylePr>
    <w:tblStylePr w:type="lastCol">
      <w:rPr>
        <w:b/>
        <w:bCs/>
        <w:color w:val="FFFFFF" w:themeColor="background1"/>
      </w:rPr>
      <w:tblPr/>
      <w:tcPr>
        <w:tcBorders>
          <w:left w:val="nil"/>
          <w:right w:val="nil"/>
          <w:insideH w:val="nil"/>
          <w:insideV w:val="nil"/>
        </w:tcBorders>
        <w:shd w:val="clear" w:color="auto" w:fill="FBD7C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3C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3C5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3C56"/>
    <w:rPr>
      <w:rFonts w:asciiTheme="majorHAnsi" w:eastAsiaTheme="majorEastAsia" w:hAnsiTheme="majorHAnsi" w:cstheme="majorBidi"/>
      <w:color w:val="464646" w:themeColor="text1" w:themeTint="D9"/>
      <w:sz w:val="24"/>
      <w:szCs w:val="24"/>
      <w:shd w:val="pct20" w:color="auto" w:fill="auto"/>
    </w:rPr>
  </w:style>
  <w:style w:type="paragraph" w:styleId="NormalIndent">
    <w:name w:val="Normal Indent"/>
    <w:basedOn w:val="Normal"/>
    <w:uiPriority w:val="99"/>
    <w:semiHidden/>
    <w:unhideWhenUsed/>
    <w:rsid w:val="00163C56"/>
    <w:pPr>
      <w:ind w:left="720"/>
    </w:pPr>
  </w:style>
  <w:style w:type="paragraph" w:styleId="NoteHeading">
    <w:name w:val="Note Heading"/>
    <w:basedOn w:val="Normal"/>
    <w:next w:val="Normal"/>
    <w:link w:val="NoteHeadingChar"/>
    <w:uiPriority w:val="99"/>
    <w:semiHidden/>
    <w:unhideWhenUsed/>
    <w:rsid w:val="00163C56"/>
    <w:pPr>
      <w:spacing w:after="0" w:line="240" w:lineRule="auto"/>
    </w:pPr>
  </w:style>
  <w:style w:type="character" w:customStyle="1" w:styleId="NoteHeadingChar">
    <w:name w:val="Note Heading Char"/>
    <w:basedOn w:val="DefaultParagraphFont"/>
    <w:link w:val="NoteHeading"/>
    <w:uiPriority w:val="99"/>
    <w:semiHidden/>
    <w:rsid w:val="00163C56"/>
    <w:rPr>
      <w:rFonts w:ascii="Arial" w:hAnsi="Arial"/>
      <w:color w:val="464646" w:themeColor="text1" w:themeTint="D9"/>
      <w:sz w:val="24"/>
    </w:rPr>
  </w:style>
  <w:style w:type="table" w:styleId="PlainTable2">
    <w:name w:val="Plain Table 2"/>
    <w:basedOn w:val="TableNormal"/>
    <w:uiPriority w:val="42"/>
    <w:rsid w:val="00163C56"/>
    <w:pPr>
      <w:spacing w:after="0" w:line="240" w:lineRule="auto"/>
    </w:pPr>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table" w:styleId="PlainTable3">
    <w:name w:val="Plain Table 3"/>
    <w:basedOn w:val="TableNormal"/>
    <w:uiPriority w:val="43"/>
    <w:rsid w:val="00163C56"/>
    <w:pPr>
      <w:spacing w:after="0" w:line="240" w:lineRule="auto"/>
    </w:pPr>
    <w:tblPr>
      <w:tblStyleRowBandSize w:val="1"/>
      <w:tblStyleColBandSize w:val="1"/>
    </w:tblPr>
    <w:tblStylePr w:type="firstRow">
      <w:rPr>
        <w:b/>
        <w:bCs/>
        <w:caps/>
      </w:rPr>
      <w:tblPr/>
      <w:tcPr>
        <w:tcBorders>
          <w:bottom w:val="single" w:sz="4" w:space="0" w:color="92929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2929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63C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63C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163C5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3C56"/>
    <w:rPr>
      <w:rFonts w:ascii="Consolas" w:hAnsi="Consolas"/>
      <w:color w:val="464646" w:themeColor="text1" w:themeTint="D9"/>
      <w:sz w:val="21"/>
      <w:szCs w:val="21"/>
    </w:rPr>
  </w:style>
  <w:style w:type="paragraph" w:styleId="Quote">
    <w:name w:val="Quote"/>
    <w:basedOn w:val="Normal"/>
    <w:next w:val="Normal"/>
    <w:link w:val="QuoteChar"/>
    <w:uiPriority w:val="29"/>
    <w:rsid w:val="00163C56"/>
    <w:pPr>
      <w:spacing w:before="200"/>
      <w:ind w:left="864" w:right="864"/>
      <w:jc w:val="center"/>
    </w:pPr>
    <w:rPr>
      <w:i/>
      <w:iCs/>
      <w:color w:val="5C5C5C" w:themeColor="text1" w:themeTint="BF"/>
    </w:rPr>
  </w:style>
  <w:style w:type="character" w:customStyle="1" w:styleId="QuoteChar">
    <w:name w:val="Quote Char"/>
    <w:basedOn w:val="DefaultParagraphFont"/>
    <w:link w:val="Quote"/>
    <w:uiPriority w:val="29"/>
    <w:rsid w:val="00163C56"/>
    <w:rPr>
      <w:rFonts w:ascii="Arial" w:hAnsi="Arial"/>
      <w:i/>
      <w:iCs/>
      <w:color w:val="5C5C5C" w:themeColor="text1" w:themeTint="BF"/>
      <w:sz w:val="24"/>
    </w:rPr>
  </w:style>
  <w:style w:type="paragraph" w:styleId="Salutation">
    <w:name w:val="Salutation"/>
    <w:basedOn w:val="Normal"/>
    <w:next w:val="Normal"/>
    <w:link w:val="SalutationChar"/>
    <w:uiPriority w:val="99"/>
    <w:semiHidden/>
    <w:unhideWhenUsed/>
    <w:rsid w:val="00163C56"/>
  </w:style>
  <w:style w:type="character" w:customStyle="1" w:styleId="SalutationChar">
    <w:name w:val="Salutation Char"/>
    <w:basedOn w:val="DefaultParagraphFont"/>
    <w:link w:val="Salutation"/>
    <w:uiPriority w:val="99"/>
    <w:semiHidden/>
    <w:rsid w:val="00163C56"/>
    <w:rPr>
      <w:rFonts w:ascii="Arial" w:hAnsi="Arial"/>
      <w:color w:val="464646" w:themeColor="text1" w:themeTint="D9"/>
      <w:sz w:val="24"/>
    </w:rPr>
  </w:style>
  <w:style w:type="paragraph" w:styleId="Signature">
    <w:name w:val="Signature"/>
    <w:basedOn w:val="Normal"/>
    <w:link w:val="SignatureChar"/>
    <w:uiPriority w:val="99"/>
    <w:semiHidden/>
    <w:unhideWhenUsed/>
    <w:rsid w:val="00163C56"/>
    <w:pPr>
      <w:spacing w:after="0" w:line="240" w:lineRule="auto"/>
      <w:ind w:left="4252"/>
    </w:pPr>
  </w:style>
  <w:style w:type="character" w:customStyle="1" w:styleId="SignatureChar">
    <w:name w:val="Signature Char"/>
    <w:basedOn w:val="DefaultParagraphFont"/>
    <w:link w:val="Signature"/>
    <w:uiPriority w:val="99"/>
    <w:semiHidden/>
    <w:rsid w:val="00163C56"/>
    <w:rPr>
      <w:rFonts w:ascii="Arial" w:hAnsi="Arial"/>
      <w:color w:val="464646" w:themeColor="text1" w:themeTint="D9"/>
      <w:sz w:val="24"/>
    </w:rPr>
  </w:style>
  <w:style w:type="table" w:styleId="Table3Deffects1">
    <w:name w:val="Table 3D effects 1"/>
    <w:basedOn w:val="TableNormal"/>
    <w:uiPriority w:val="99"/>
    <w:semiHidden/>
    <w:unhideWhenUsed/>
    <w:rsid w:val="00163C56"/>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3C56"/>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3C56"/>
    <w:pPr>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3C56"/>
    <w:pPr>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3C56"/>
    <w:pPr>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3C56"/>
    <w:pPr>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3C56"/>
    <w:pPr>
      <w:spacing w:line="36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3C56"/>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3C56"/>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3C56"/>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3C56"/>
    <w:pPr>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3C56"/>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3C56"/>
    <w:pPr>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3C56"/>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3C56"/>
    <w:pPr>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3C56"/>
    <w:pPr>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3C56"/>
    <w:pPr>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3C5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3C56"/>
    <w:pPr>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3C56"/>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3C56"/>
    <w:pPr>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3C5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3C56"/>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3C56"/>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3C56"/>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63C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63C56"/>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3C56"/>
    <w:pPr>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3C56"/>
    <w:pPr>
      <w:spacing w:line="36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3C5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3C5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3C56"/>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3C56"/>
    <w:pPr>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3C56"/>
    <w:pPr>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3C56"/>
    <w:pPr>
      <w:spacing w:after="0"/>
      <w:ind w:left="240" w:hanging="240"/>
    </w:pPr>
  </w:style>
  <w:style w:type="paragraph" w:styleId="TableofFigures">
    <w:name w:val="table of figures"/>
    <w:basedOn w:val="Normal"/>
    <w:next w:val="Normal"/>
    <w:uiPriority w:val="99"/>
    <w:semiHidden/>
    <w:unhideWhenUsed/>
    <w:rsid w:val="00163C56"/>
    <w:pPr>
      <w:spacing w:after="0"/>
    </w:pPr>
  </w:style>
  <w:style w:type="table" w:styleId="TableProfessional">
    <w:name w:val="Table Professional"/>
    <w:basedOn w:val="TableNormal"/>
    <w:uiPriority w:val="99"/>
    <w:semiHidden/>
    <w:unhideWhenUsed/>
    <w:rsid w:val="00163C5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3C56"/>
    <w:pPr>
      <w:spacing w:line="36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3C56"/>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3C56"/>
    <w:pPr>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3C56"/>
    <w:pPr>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3C56"/>
    <w:pPr>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3C5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3C56"/>
    <w:pPr>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3C56"/>
    <w:pPr>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3C56"/>
    <w:pPr>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63C56"/>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163C56"/>
    <w:pPr>
      <w:spacing w:after="100"/>
      <w:ind w:left="720"/>
    </w:pPr>
  </w:style>
  <w:style w:type="paragraph" w:styleId="TOC5">
    <w:name w:val="toc 5"/>
    <w:basedOn w:val="Normal"/>
    <w:next w:val="Normal"/>
    <w:autoRedefine/>
    <w:uiPriority w:val="39"/>
    <w:semiHidden/>
    <w:unhideWhenUsed/>
    <w:rsid w:val="00163C56"/>
    <w:pPr>
      <w:spacing w:after="100"/>
      <w:ind w:left="960"/>
    </w:pPr>
  </w:style>
  <w:style w:type="paragraph" w:styleId="TOC6">
    <w:name w:val="toc 6"/>
    <w:basedOn w:val="Normal"/>
    <w:next w:val="Normal"/>
    <w:autoRedefine/>
    <w:uiPriority w:val="39"/>
    <w:semiHidden/>
    <w:unhideWhenUsed/>
    <w:rsid w:val="00163C56"/>
    <w:pPr>
      <w:spacing w:after="100"/>
      <w:ind w:left="1200"/>
    </w:pPr>
  </w:style>
  <w:style w:type="paragraph" w:styleId="TOC7">
    <w:name w:val="toc 7"/>
    <w:basedOn w:val="Normal"/>
    <w:next w:val="Normal"/>
    <w:autoRedefine/>
    <w:uiPriority w:val="39"/>
    <w:semiHidden/>
    <w:unhideWhenUsed/>
    <w:rsid w:val="00163C56"/>
    <w:pPr>
      <w:spacing w:after="100"/>
      <w:ind w:left="1440"/>
    </w:pPr>
  </w:style>
  <w:style w:type="paragraph" w:styleId="TOC8">
    <w:name w:val="toc 8"/>
    <w:basedOn w:val="Normal"/>
    <w:next w:val="Normal"/>
    <w:autoRedefine/>
    <w:uiPriority w:val="39"/>
    <w:semiHidden/>
    <w:unhideWhenUsed/>
    <w:rsid w:val="00163C56"/>
    <w:pPr>
      <w:spacing w:after="100"/>
      <w:ind w:left="1680"/>
    </w:pPr>
  </w:style>
  <w:style w:type="paragraph" w:styleId="TOC9">
    <w:name w:val="toc 9"/>
    <w:basedOn w:val="Normal"/>
    <w:next w:val="Normal"/>
    <w:autoRedefine/>
    <w:uiPriority w:val="39"/>
    <w:semiHidden/>
    <w:unhideWhenUsed/>
    <w:rsid w:val="00163C5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5854">
      <w:bodyDiv w:val="1"/>
      <w:marLeft w:val="0"/>
      <w:marRight w:val="0"/>
      <w:marTop w:val="0"/>
      <w:marBottom w:val="0"/>
      <w:divBdr>
        <w:top w:val="none" w:sz="0" w:space="0" w:color="auto"/>
        <w:left w:val="none" w:sz="0" w:space="0" w:color="auto"/>
        <w:bottom w:val="none" w:sz="0" w:space="0" w:color="auto"/>
        <w:right w:val="none" w:sz="0" w:space="0" w:color="auto"/>
      </w:divBdr>
      <w:divsChild>
        <w:div w:id="685063440">
          <w:marLeft w:val="0"/>
          <w:marRight w:val="0"/>
          <w:marTop w:val="0"/>
          <w:marBottom w:val="0"/>
          <w:divBdr>
            <w:top w:val="none" w:sz="0" w:space="0" w:color="auto"/>
            <w:left w:val="none" w:sz="0" w:space="0" w:color="auto"/>
            <w:bottom w:val="none" w:sz="0" w:space="0" w:color="auto"/>
            <w:right w:val="none" w:sz="0" w:space="0" w:color="auto"/>
          </w:divBdr>
          <w:divsChild>
            <w:div w:id="671833205">
              <w:marLeft w:val="0"/>
              <w:marRight w:val="0"/>
              <w:marTop w:val="0"/>
              <w:marBottom w:val="0"/>
              <w:divBdr>
                <w:top w:val="none" w:sz="0" w:space="0" w:color="auto"/>
                <w:left w:val="none" w:sz="0" w:space="0" w:color="auto"/>
                <w:bottom w:val="none" w:sz="0" w:space="0" w:color="auto"/>
                <w:right w:val="none" w:sz="0" w:space="0" w:color="auto"/>
              </w:divBdr>
              <w:divsChild>
                <w:div w:id="1219435651">
                  <w:marLeft w:val="0"/>
                  <w:marRight w:val="0"/>
                  <w:marTop w:val="0"/>
                  <w:marBottom w:val="0"/>
                  <w:divBdr>
                    <w:top w:val="none" w:sz="0" w:space="0" w:color="auto"/>
                    <w:left w:val="none" w:sz="0" w:space="0" w:color="auto"/>
                    <w:bottom w:val="none" w:sz="0" w:space="0" w:color="auto"/>
                    <w:right w:val="single" w:sz="6" w:space="6" w:color="BBBBBB"/>
                  </w:divBdr>
                </w:div>
                <w:div w:id="1224684632">
                  <w:marLeft w:val="0"/>
                  <w:marRight w:val="0"/>
                  <w:marTop w:val="0"/>
                  <w:marBottom w:val="0"/>
                  <w:divBdr>
                    <w:top w:val="none" w:sz="0" w:space="0" w:color="auto"/>
                    <w:left w:val="none" w:sz="0" w:space="0" w:color="auto"/>
                    <w:bottom w:val="single" w:sz="6" w:space="12" w:color="BBBBBB"/>
                    <w:right w:val="none" w:sz="0" w:space="0" w:color="auto"/>
                  </w:divBdr>
                </w:div>
                <w:div w:id="1401557562">
                  <w:marLeft w:val="0"/>
                  <w:marRight w:val="0"/>
                  <w:marTop w:val="0"/>
                  <w:marBottom w:val="0"/>
                  <w:divBdr>
                    <w:top w:val="none" w:sz="0" w:space="0" w:color="auto"/>
                    <w:left w:val="none" w:sz="0" w:space="0" w:color="auto"/>
                    <w:bottom w:val="single" w:sz="6" w:space="12" w:color="BBBBBB"/>
                    <w:right w:val="single" w:sz="6" w:space="6" w:color="BBBBBB"/>
                  </w:divBdr>
                </w:div>
              </w:divsChild>
            </w:div>
            <w:div w:id="1047222112">
              <w:marLeft w:val="0"/>
              <w:marRight w:val="0"/>
              <w:marTop w:val="0"/>
              <w:marBottom w:val="0"/>
              <w:divBdr>
                <w:top w:val="none" w:sz="0" w:space="0" w:color="auto"/>
                <w:left w:val="none" w:sz="0" w:space="0" w:color="auto"/>
                <w:bottom w:val="none" w:sz="0" w:space="0" w:color="auto"/>
                <w:right w:val="none" w:sz="0" w:space="0" w:color="auto"/>
              </w:divBdr>
              <w:divsChild>
                <w:div w:id="242253708">
                  <w:marLeft w:val="0"/>
                  <w:marRight w:val="0"/>
                  <w:marTop w:val="0"/>
                  <w:marBottom w:val="0"/>
                  <w:divBdr>
                    <w:top w:val="none" w:sz="0" w:space="0" w:color="auto"/>
                    <w:left w:val="none" w:sz="0" w:space="0" w:color="auto"/>
                    <w:bottom w:val="single" w:sz="6" w:space="12" w:color="BBBBBB"/>
                    <w:right w:val="none" w:sz="0" w:space="0" w:color="auto"/>
                  </w:divBdr>
                </w:div>
                <w:div w:id="658119589">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 w:id="2069301557">
          <w:marLeft w:val="0"/>
          <w:marRight w:val="0"/>
          <w:marTop w:val="0"/>
          <w:marBottom w:val="0"/>
          <w:divBdr>
            <w:top w:val="none" w:sz="0" w:space="0" w:color="auto"/>
            <w:left w:val="none" w:sz="0" w:space="0" w:color="auto"/>
            <w:bottom w:val="none" w:sz="0" w:space="0" w:color="auto"/>
            <w:right w:val="none" w:sz="0" w:space="0" w:color="auto"/>
          </w:divBdr>
          <w:divsChild>
            <w:div w:id="135490796">
              <w:marLeft w:val="0"/>
              <w:marRight w:val="0"/>
              <w:marTop w:val="0"/>
              <w:marBottom w:val="0"/>
              <w:divBdr>
                <w:top w:val="none" w:sz="0" w:space="0" w:color="auto"/>
                <w:left w:val="none" w:sz="0" w:space="0" w:color="auto"/>
                <w:bottom w:val="none" w:sz="0" w:space="0" w:color="auto"/>
                <w:right w:val="none" w:sz="0" w:space="0" w:color="auto"/>
              </w:divBdr>
              <w:divsChild>
                <w:div w:id="171916476">
                  <w:marLeft w:val="0"/>
                  <w:marRight w:val="0"/>
                  <w:marTop w:val="0"/>
                  <w:marBottom w:val="0"/>
                  <w:divBdr>
                    <w:top w:val="none" w:sz="0" w:space="0" w:color="auto"/>
                    <w:left w:val="none" w:sz="0" w:space="0" w:color="auto"/>
                    <w:bottom w:val="none" w:sz="0" w:space="0" w:color="auto"/>
                    <w:right w:val="single" w:sz="6" w:space="6" w:color="BBBBBB"/>
                  </w:divBdr>
                </w:div>
                <w:div w:id="561065663">
                  <w:marLeft w:val="0"/>
                  <w:marRight w:val="0"/>
                  <w:marTop w:val="0"/>
                  <w:marBottom w:val="0"/>
                  <w:divBdr>
                    <w:top w:val="none" w:sz="0" w:space="0" w:color="auto"/>
                    <w:left w:val="none" w:sz="0" w:space="0" w:color="auto"/>
                    <w:bottom w:val="single" w:sz="6" w:space="12" w:color="BBBBBB"/>
                    <w:right w:val="single" w:sz="6" w:space="6" w:color="BBBBBB"/>
                  </w:divBdr>
                </w:div>
                <w:div w:id="1685664645">
                  <w:marLeft w:val="0"/>
                  <w:marRight w:val="0"/>
                  <w:marTop w:val="0"/>
                  <w:marBottom w:val="0"/>
                  <w:divBdr>
                    <w:top w:val="none" w:sz="0" w:space="0" w:color="auto"/>
                    <w:left w:val="none" w:sz="0" w:space="0" w:color="auto"/>
                    <w:bottom w:val="single" w:sz="6" w:space="12" w:color="BBBBBB"/>
                    <w:right w:val="none" w:sz="0" w:space="0" w:color="auto"/>
                  </w:divBdr>
                </w:div>
              </w:divsChild>
            </w:div>
            <w:div w:id="738211206">
              <w:marLeft w:val="0"/>
              <w:marRight w:val="0"/>
              <w:marTop w:val="0"/>
              <w:marBottom w:val="0"/>
              <w:divBdr>
                <w:top w:val="none" w:sz="0" w:space="0" w:color="auto"/>
                <w:left w:val="none" w:sz="0" w:space="0" w:color="auto"/>
                <w:bottom w:val="none" w:sz="0" w:space="0" w:color="auto"/>
                <w:right w:val="none" w:sz="0" w:space="0" w:color="auto"/>
              </w:divBdr>
              <w:divsChild>
                <w:div w:id="655190208">
                  <w:marLeft w:val="0"/>
                  <w:marRight w:val="0"/>
                  <w:marTop w:val="0"/>
                  <w:marBottom w:val="0"/>
                  <w:divBdr>
                    <w:top w:val="none" w:sz="0" w:space="0" w:color="auto"/>
                    <w:left w:val="none" w:sz="0" w:space="0" w:color="auto"/>
                    <w:bottom w:val="single" w:sz="6" w:space="12" w:color="BBBBBB"/>
                    <w:right w:val="none" w:sz="0" w:space="0" w:color="auto"/>
                  </w:divBdr>
                </w:div>
                <w:div w:id="932470058">
                  <w:marLeft w:val="0"/>
                  <w:marRight w:val="0"/>
                  <w:marTop w:val="0"/>
                  <w:marBottom w:val="0"/>
                  <w:divBdr>
                    <w:top w:val="none" w:sz="0" w:space="0" w:color="auto"/>
                    <w:left w:val="none" w:sz="0" w:space="0" w:color="auto"/>
                    <w:bottom w:val="single" w:sz="6" w:space="12" w:color="BBBBBB"/>
                    <w:right w:val="single" w:sz="6" w:space="6" w:color="BBBBBB"/>
                  </w:divBdr>
                </w:div>
              </w:divsChild>
            </w:div>
            <w:div w:id="1562642791">
              <w:marLeft w:val="0"/>
              <w:marRight w:val="0"/>
              <w:marTop w:val="0"/>
              <w:marBottom w:val="0"/>
              <w:divBdr>
                <w:top w:val="none" w:sz="0" w:space="0" w:color="auto"/>
                <w:left w:val="none" w:sz="0" w:space="0" w:color="auto"/>
                <w:bottom w:val="none" w:sz="0" w:space="0" w:color="auto"/>
                <w:right w:val="none" w:sz="0" w:space="0" w:color="auto"/>
              </w:divBdr>
              <w:divsChild>
                <w:div w:id="421073950">
                  <w:marLeft w:val="0"/>
                  <w:marRight w:val="0"/>
                  <w:marTop w:val="0"/>
                  <w:marBottom w:val="0"/>
                  <w:divBdr>
                    <w:top w:val="none" w:sz="0" w:space="0" w:color="auto"/>
                    <w:left w:val="none" w:sz="0" w:space="0" w:color="auto"/>
                    <w:bottom w:val="single" w:sz="6" w:space="12" w:color="BBBBBB"/>
                    <w:right w:val="none" w:sz="0" w:space="0" w:color="auto"/>
                  </w:divBdr>
                </w:div>
                <w:div w:id="813176891">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 w:id="2098162042">
          <w:marLeft w:val="0"/>
          <w:marRight w:val="0"/>
          <w:marTop w:val="0"/>
          <w:marBottom w:val="0"/>
          <w:divBdr>
            <w:top w:val="none" w:sz="0" w:space="0" w:color="auto"/>
            <w:left w:val="none" w:sz="0" w:space="0" w:color="auto"/>
            <w:bottom w:val="none" w:sz="0" w:space="0" w:color="auto"/>
            <w:right w:val="none" w:sz="0" w:space="0" w:color="auto"/>
          </w:divBdr>
          <w:divsChild>
            <w:div w:id="1882090200">
              <w:marLeft w:val="0"/>
              <w:marRight w:val="0"/>
              <w:marTop w:val="0"/>
              <w:marBottom w:val="0"/>
              <w:divBdr>
                <w:top w:val="none" w:sz="0" w:space="0" w:color="auto"/>
                <w:left w:val="none" w:sz="0" w:space="0" w:color="auto"/>
                <w:bottom w:val="none" w:sz="0" w:space="0" w:color="auto"/>
                <w:right w:val="none" w:sz="0" w:space="0" w:color="auto"/>
              </w:divBdr>
              <w:divsChild>
                <w:div w:id="156304971">
                  <w:marLeft w:val="0"/>
                  <w:marRight w:val="0"/>
                  <w:marTop w:val="0"/>
                  <w:marBottom w:val="0"/>
                  <w:divBdr>
                    <w:top w:val="none" w:sz="0" w:space="0" w:color="auto"/>
                    <w:left w:val="none" w:sz="0" w:space="0" w:color="auto"/>
                    <w:bottom w:val="none" w:sz="0" w:space="0" w:color="auto"/>
                    <w:right w:val="none" w:sz="0" w:space="0" w:color="auto"/>
                  </w:divBdr>
                </w:div>
                <w:div w:id="629553343">
                  <w:marLeft w:val="0"/>
                  <w:marRight w:val="0"/>
                  <w:marTop w:val="0"/>
                  <w:marBottom w:val="0"/>
                  <w:divBdr>
                    <w:top w:val="none" w:sz="0" w:space="0" w:color="auto"/>
                    <w:left w:val="none" w:sz="0" w:space="0" w:color="auto"/>
                    <w:bottom w:val="none" w:sz="0" w:space="0" w:color="auto"/>
                    <w:right w:val="single" w:sz="6" w:space="6" w:color="BBBBBB"/>
                  </w:divBdr>
                </w:div>
                <w:div w:id="2127386116">
                  <w:marLeft w:val="0"/>
                  <w:marRight w:val="0"/>
                  <w:marTop w:val="0"/>
                  <w:marBottom w:val="0"/>
                  <w:divBdr>
                    <w:top w:val="none" w:sz="0" w:space="0" w:color="auto"/>
                    <w:left w:val="none" w:sz="0" w:space="0" w:color="auto"/>
                    <w:bottom w:val="none" w:sz="0" w:space="0" w:color="auto"/>
                    <w:right w:val="single" w:sz="6" w:space="6" w:color="BBBBBB"/>
                  </w:divBdr>
                </w:div>
              </w:divsChild>
            </w:div>
          </w:divsChild>
        </w:div>
        <w:div w:id="2143111420">
          <w:marLeft w:val="0"/>
          <w:marRight w:val="0"/>
          <w:marTop w:val="0"/>
          <w:marBottom w:val="0"/>
          <w:divBdr>
            <w:top w:val="none" w:sz="0" w:space="0" w:color="auto"/>
            <w:left w:val="none" w:sz="0" w:space="0" w:color="auto"/>
            <w:bottom w:val="none" w:sz="0" w:space="0" w:color="auto"/>
            <w:right w:val="none" w:sz="0" w:space="0" w:color="auto"/>
          </w:divBdr>
          <w:divsChild>
            <w:div w:id="2141260610">
              <w:marLeft w:val="0"/>
              <w:marRight w:val="0"/>
              <w:marTop w:val="0"/>
              <w:marBottom w:val="0"/>
              <w:divBdr>
                <w:top w:val="none" w:sz="0" w:space="0" w:color="auto"/>
                <w:left w:val="none" w:sz="0" w:space="0" w:color="auto"/>
                <w:bottom w:val="none" w:sz="0" w:space="0" w:color="auto"/>
                <w:right w:val="none" w:sz="0" w:space="0" w:color="auto"/>
              </w:divBdr>
              <w:divsChild>
                <w:div w:id="96609840">
                  <w:marLeft w:val="0"/>
                  <w:marRight w:val="0"/>
                  <w:marTop w:val="0"/>
                  <w:marBottom w:val="0"/>
                  <w:divBdr>
                    <w:top w:val="none" w:sz="0" w:space="0" w:color="auto"/>
                    <w:left w:val="none" w:sz="0" w:space="0" w:color="auto"/>
                    <w:bottom w:val="single" w:sz="6" w:space="12" w:color="BBBBBB"/>
                    <w:right w:val="none" w:sz="0" w:space="0" w:color="auto"/>
                  </w:divBdr>
                </w:div>
                <w:div w:id="1061563635">
                  <w:marLeft w:val="0"/>
                  <w:marRight w:val="0"/>
                  <w:marTop w:val="0"/>
                  <w:marBottom w:val="0"/>
                  <w:divBdr>
                    <w:top w:val="none" w:sz="0" w:space="0" w:color="auto"/>
                    <w:left w:val="none" w:sz="0" w:space="0" w:color="auto"/>
                    <w:bottom w:val="single" w:sz="6" w:space="12" w:color="BBBBBB"/>
                    <w:right w:val="single" w:sz="6" w:space="6" w:color="BBBBBB"/>
                  </w:divBdr>
                </w:div>
                <w:div w:id="1990745186">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sChild>
    </w:div>
    <w:div w:id="81683006">
      <w:bodyDiv w:val="1"/>
      <w:marLeft w:val="0"/>
      <w:marRight w:val="0"/>
      <w:marTop w:val="0"/>
      <w:marBottom w:val="0"/>
      <w:divBdr>
        <w:top w:val="none" w:sz="0" w:space="0" w:color="auto"/>
        <w:left w:val="none" w:sz="0" w:space="0" w:color="auto"/>
        <w:bottom w:val="none" w:sz="0" w:space="0" w:color="auto"/>
        <w:right w:val="none" w:sz="0" w:space="0" w:color="auto"/>
      </w:divBdr>
    </w:div>
    <w:div w:id="114754977">
      <w:bodyDiv w:val="1"/>
      <w:marLeft w:val="0"/>
      <w:marRight w:val="0"/>
      <w:marTop w:val="0"/>
      <w:marBottom w:val="0"/>
      <w:divBdr>
        <w:top w:val="none" w:sz="0" w:space="0" w:color="auto"/>
        <w:left w:val="none" w:sz="0" w:space="0" w:color="auto"/>
        <w:bottom w:val="none" w:sz="0" w:space="0" w:color="auto"/>
        <w:right w:val="none" w:sz="0" w:space="0" w:color="auto"/>
      </w:divBdr>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162625827">
      <w:bodyDiv w:val="1"/>
      <w:marLeft w:val="0"/>
      <w:marRight w:val="0"/>
      <w:marTop w:val="0"/>
      <w:marBottom w:val="0"/>
      <w:divBdr>
        <w:top w:val="none" w:sz="0" w:space="0" w:color="auto"/>
        <w:left w:val="none" w:sz="0" w:space="0" w:color="auto"/>
        <w:bottom w:val="none" w:sz="0" w:space="0" w:color="auto"/>
        <w:right w:val="none" w:sz="0" w:space="0" w:color="auto"/>
      </w:divBdr>
      <w:divsChild>
        <w:div w:id="211353867">
          <w:marLeft w:val="0"/>
          <w:marRight w:val="0"/>
          <w:marTop w:val="630"/>
          <w:marBottom w:val="630"/>
          <w:divBdr>
            <w:top w:val="none" w:sz="0" w:space="0" w:color="auto"/>
            <w:left w:val="none" w:sz="0" w:space="0" w:color="auto"/>
            <w:bottom w:val="none" w:sz="0" w:space="0" w:color="auto"/>
            <w:right w:val="none" w:sz="0" w:space="0" w:color="auto"/>
          </w:divBdr>
          <w:divsChild>
            <w:div w:id="299190027">
              <w:marLeft w:val="0"/>
              <w:marRight w:val="0"/>
              <w:marTop w:val="150"/>
              <w:marBottom w:val="0"/>
              <w:divBdr>
                <w:top w:val="single" w:sz="6" w:space="1" w:color="BBBBBB"/>
                <w:left w:val="none" w:sz="0" w:space="0" w:color="auto"/>
                <w:bottom w:val="none" w:sz="0" w:space="0" w:color="auto"/>
                <w:right w:val="none" w:sz="0" w:space="0" w:color="auto"/>
              </w:divBdr>
            </w:div>
            <w:div w:id="568463955">
              <w:marLeft w:val="0"/>
              <w:marRight w:val="0"/>
              <w:marTop w:val="0"/>
              <w:marBottom w:val="180"/>
              <w:divBdr>
                <w:top w:val="none" w:sz="0" w:space="0" w:color="auto"/>
                <w:left w:val="none" w:sz="0" w:space="0" w:color="auto"/>
                <w:bottom w:val="none" w:sz="0" w:space="0" w:color="auto"/>
                <w:right w:val="none" w:sz="0" w:space="0" w:color="auto"/>
              </w:divBdr>
              <w:divsChild>
                <w:div w:id="1117791729">
                  <w:marLeft w:val="0"/>
                  <w:marRight w:val="0"/>
                  <w:marTop w:val="0"/>
                  <w:marBottom w:val="0"/>
                  <w:divBdr>
                    <w:top w:val="none" w:sz="0" w:space="0" w:color="auto"/>
                    <w:left w:val="none" w:sz="0" w:space="0" w:color="auto"/>
                    <w:bottom w:val="none" w:sz="0" w:space="0" w:color="auto"/>
                    <w:right w:val="none" w:sz="0" w:space="0" w:color="auto"/>
                  </w:divBdr>
                  <w:divsChild>
                    <w:div w:id="713315742">
                      <w:marLeft w:val="0"/>
                      <w:marRight w:val="0"/>
                      <w:marTop w:val="0"/>
                      <w:marBottom w:val="0"/>
                      <w:divBdr>
                        <w:top w:val="none" w:sz="0" w:space="0" w:color="auto"/>
                        <w:left w:val="none" w:sz="0" w:space="0" w:color="auto"/>
                        <w:bottom w:val="none" w:sz="0" w:space="0" w:color="auto"/>
                        <w:right w:val="none" w:sz="0" w:space="0" w:color="auto"/>
                      </w:divBdr>
                      <w:divsChild>
                        <w:div w:id="17439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5904">
                  <w:marLeft w:val="0"/>
                  <w:marRight w:val="0"/>
                  <w:marTop w:val="0"/>
                  <w:marBottom w:val="0"/>
                  <w:divBdr>
                    <w:top w:val="none" w:sz="0" w:space="0" w:color="auto"/>
                    <w:left w:val="none" w:sz="0" w:space="0" w:color="auto"/>
                    <w:bottom w:val="none" w:sz="0" w:space="0" w:color="auto"/>
                    <w:right w:val="none" w:sz="0" w:space="0" w:color="auto"/>
                  </w:divBdr>
                  <w:divsChild>
                    <w:div w:id="109728923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690914770">
          <w:marLeft w:val="0"/>
          <w:marRight w:val="0"/>
          <w:marTop w:val="630"/>
          <w:marBottom w:val="630"/>
          <w:divBdr>
            <w:top w:val="none" w:sz="0" w:space="0" w:color="auto"/>
            <w:left w:val="none" w:sz="0" w:space="0" w:color="auto"/>
            <w:bottom w:val="none" w:sz="0" w:space="0" w:color="auto"/>
            <w:right w:val="none" w:sz="0" w:space="0" w:color="auto"/>
          </w:divBdr>
          <w:divsChild>
            <w:div w:id="941645807">
              <w:marLeft w:val="0"/>
              <w:marRight w:val="0"/>
              <w:marTop w:val="0"/>
              <w:marBottom w:val="180"/>
              <w:divBdr>
                <w:top w:val="none" w:sz="0" w:space="0" w:color="auto"/>
                <w:left w:val="none" w:sz="0" w:space="0" w:color="auto"/>
                <w:bottom w:val="none" w:sz="0" w:space="0" w:color="auto"/>
                <w:right w:val="none" w:sz="0" w:space="0" w:color="auto"/>
              </w:divBdr>
              <w:divsChild>
                <w:div w:id="913007618">
                  <w:marLeft w:val="0"/>
                  <w:marRight w:val="0"/>
                  <w:marTop w:val="0"/>
                  <w:marBottom w:val="0"/>
                  <w:divBdr>
                    <w:top w:val="none" w:sz="0" w:space="0" w:color="auto"/>
                    <w:left w:val="none" w:sz="0" w:space="0" w:color="auto"/>
                    <w:bottom w:val="none" w:sz="0" w:space="0" w:color="auto"/>
                    <w:right w:val="none" w:sz="0" w:space="0" w:color="auto"/>
                  </w:divBdr>
                  <w:divsChild>
                    <w:div w:id="2041782342">
                      <w:marLeft w:val="0"/>
                      <w:marRight w:val="0"/>
                      <w:marTop w:val="0"/>
                      <w:marBottom w:val="0"/>
                      <w:divBdr>
                        <w:top w:val="none" w:sz="0" w:space="0" w:color="auto"/>
                        <w:left w:val="none" w:sz="0" w:space="0" w:color="auto"/>
                        <w:bottom w:val="none" w:sz="0" w:space="0" w:color="auto"/>
                        <w:right w:val="none" w:sz="0" w:space="0" w:color="auto"/>
                      </w:divBdr>
                      <w:divsChild>
                        <w:div w:id="2975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2397">
                  <w:marLeft w:val="0"/>
                  <w:marRight w:val="0"/>
                  <w:marTop w:val="0"/>
                  <w:marBottom w:val="0"/>
                  <w:divBdr>
                    <w:top w:val="none" w:sz="0" w:space="0" w:color="auto"/>
                    <w:left w:val="none" w:sz="0" w:space="0" w:color="auto"/>
                    <w:bottom w:val="none" w:sz="0" w:space="0" w:color="auto"/>
                    <w:right w:val="none" w:sz="0" w:space="0" w:color="auto"/>
                  </w:divBdr>
                  <w:divsChild>
                    <w:div w:id="2687929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970933066">
              <w:marLeft w:val="0"/>
              <w:marRight w:val="0"/>
              <w:marTop w:val="150"/>
              <w:marBottom w:val="0"/>
              <w:divBdr>
                <w:top w:val="single" w:sz="6" w:space="1" w:color="BBBBBB"/>
                <w:left w:val="none" w:sz="0" w:space="0" w:color="auto"/>
                <w:bottom w:val="none" w:sz="0" w:space="0" w:color="auto"/>
                <w:right w:val="none" w:sz="0" w:space="0" w:color="auto"/>
              </w:divBdr>
            </w:div>
          </w:divsChild>
        </w:div>
        <w:div w:id="1895002747">
          <w:marLeft w:val="0"/>
          <w:marRight w:val="0"/>
          <w:marTop w:val="630"/>
          <w:marBottom w:val="630"/>
          <w:divBdr>
            <w:top w:val="none" w:sz="0" w:space="0" w:color="auto"/>
            <w:left w:val="none" w:sz="0" w:space="0" w:color="auto"/>
            <w:bottom w:val="none" w:sz="0" w:space="0" w:color="auto"/>
            <w:right w:val="none" w:sz="0" w:space="0" w:color="auto"/>
          </w:divBdr>
          <w:divsChild>
            <w:div w:id="2088110967">
              <w:marLeft w:val="0"/>
              <w:marRight w:val="0"/>
              <w:marTop w:val="150"/>
              <w:marBottom w:val="0"/>
              <w:divBdr>
                <w:top w:val="single" w:sz="6" w:space="1" w:color="BBBBBB"/>
                <w:left w:val="none" w:sz="0" w:space="0" w:color="auto"/>
                <w:bottom w:val="none" w:sz="0" w:space="0" w:color="auto"/>
                <w:right w:val="none" w:sz="0" w:space="0" w:color="auto"/>
              </w:divBdr>
            </w:div>
          </w:divsChild>
        </w:div>
      </w:divsChild>
    </w:div>
    <w:div w:id="168756129">
      <w:bodyDiv w:val="1"/>
      <w:marLeft w:val="0"/>
      <w:marRight w:val="0"/>
      <w:marTop w:val="0"/>
      <w:marBottom w:val="0"/>
      <w:divBdr>
        <w:top w:val="none" w:sz="0" w:space="0" w:color="auto"/>
        <w:left w:val="none" w:sz="0" w:space="0" w:color="auto"/>
        <w:bottom w:val="none" w:sz="0" w:space="0" w:color="auto"/>
        <w:right w:val="none" w:sz="0" w:space="0" w:color="auto"/>
      </w:divBdr>
      <w:divsChild>
        <w:div w:id="19203763">
          <w:marLeft w:val="0"/>
          <w:marRight w:val="0"/>
          <w:marTop w:val="0"/>
          <w:marBottom w:val="0"/>
          <w:divBdr>
            <w:top w:val="none" w:sz="0" w:space="0" w:color="auto"/>
            <w:left w:val="none" w:sz="0" w:space="0" w:color="auto"/>
            <w:bottom w:val="none" w:sz="0" w:space="0" w:color="auto"/>
            <w:right w:val="none" w:sz="0" w:space="0" w:color="auto"/>
          </w:divBdr>
        </w:div>
        <w:div w:id="171841655">
          <w:marLeft w:val="0"/>
          <w:marRight w:val="0"/>
          <w:marTop w:val="0"/>
          <w:marBottom w:val="0"/>
          <w:divBdr>
            <w:top w:val="none" w:sz="0" w:space="0" w:color="auto"/>
            <w:left w:val="none" w:sz="0" w:space="0" w:color="auto"/>
            <w:bottom w:val="none" w:sz="0" w:space="0" w:color="auto"/>
            <w:right w:val="none" w:sz="0" w:space="0" w:color="auto"/>
          </w:divBdr>
        </w:div>
        <w:div w:id="218059704">
          <w:marLeft w:val="0"/>
          <w:marRight w:val="0"/>
          <w:marTop w:val="0"/>
          <w:marBottom w:val="0"/>
          <w:divBdr>
            <w:top w:val="none" w:sz="0" w:space="0" w:color="auto"/>
            <w:left w:val="none" w:sz="0" w:space="0" w:color="auto"/>
            <w:bottom w:val="none" w:sz="0" w:space="0" w:color="auto"/>
            <w:right w:val="none" w:sz="0" w:space="0" w:color="auto"/>
          </w:divBdr>
        </w:div>
        <w:div w:id="382482173">
          <w:marLeft w:val="0"/>
          <w:marRight w:val="0"/>
          <w:marTop w:val="0"/>
          <w:marBottom w:val="0"/>
          <w:divBdr>
            <w:top w:val="none" w:sz="0" w:space="0" w:color="auto"/>
            <w:left w:val="none" w:sz="0" w:space="0" w:color="auto"/>
            <w:bottom w:val="none" w:sz="0" w:space="0" w:color="auto"/>
            <w:right w:val="none" w:sz="0" w:space="0" w:color="auto"/>
          </w:divBdr>
        </w:div>
        <w:div w:id="445733865">
          <w:marLeft w:val="0"/>
          <w:marRight w:val="0"/>
          <w:marTop w:val="0"/>
          <w:marBottom w:val="0"/>
          <w:divBdr>
            <w:top w:val="none" w:sz="0" w:space="0" w:color="auto"/>
            <w:left w:val="none" w:sz="0" w:space="0" w:color="auto"/>
            <w:bottom w:val="none" w:sz="0" w:space="0" w:color="auto"/>
            <w:right w:val="none" w:sz="0" w:space="0" w:color="auto"/>
          </w:divBdr>
        </w:div>
        <w:div w:id="455484423">
          <w:marLeft w:val="0"/>
          <w:marRight w:val="0"/>
          <w:marTop w:val="0"/>
          <w:marBottom w:val="0"/>
          <w:divBdr>
            <w:top w:val="none" w:sz="0" w:space="0" w:color="auto"/>
            <w:left w:val="none" w:sz="0" w:space="0" w:color="auto"/>
            <w:bottom w:val="none" w:sz="0" w:space="0" w:color="auto"/>
            <w:right w:val="none" w:sz="0" w:space="0" w:color="auto"/>
          </w:divBdr>
        </w:div>
        <w:div w:id="602499466">
          <w:marLeft w:val="0"/>
          <w:marRight w:val="0"/>
          <w:marTop w:val="0"/>
          <w:marBottom w:val="0"/>
          <w:divBdr>
            <w:top w:val="none" w:sz="0" w:space="0" w:color="auto"/>
            <w:left w:val="none" w:sz="0" w:space="0" w:color="auto"/>
            <w:bottom w:val="none" w:sz="0" w:space="0" w:color="auto"/>
            <w:right w:val="none" w:sz="0" w:space="0" w:color="auto"/>
          </w:divBdr>
        </w:div>
        <w:div w:id="769086702">
          <w:marLeft w:val="0"/>
          <w:marRight w:val="0"/>
          <w:marTop w:val="0"/>
          <w:marBottom w:val="0"/>
          <w:divBdr>
            <w:top w:val="none" w:sz="0" w:space="0" w:color="auto"/>
            <w:left w:val="none" w:sz="0" w:space="0" w:color="auto"/>
            <w:bottom w:val="none" w:sz="0" w:space="0" w:color="auto"/>
            <w:right w:val="none" w:sz="0" w:space="0" w:color="auto"/>
          </w:divBdr>
        </w:div>
        <w:div w:id="814494073">
          <w:marLeft w:val="0"/>
          <w:marRight w:val="0"/>
          <w:marTop w:val="0"/>
          <w:marBottom w:val="0"/>
          <w:divBdr>
            <w:top w:val="none" w:sz="0" w:space="0" w:color="auto"/>
            <w:left w:val="none" w:sz="0" w:space="0" w:color="auto"/>
            <w:bottom w:val="none" w:sz="0" w:space="0" w:color="auto"/>
            <w:right w:val="none" w:sz="0" w:space="0" w:color="auto"/>
          </w:divBdr>
        </w:div>
        <w:div w:id="1030951865">
          <w:marLeft w:val="0"/>
          <w:marRight w:val="0"/>
          <w:marTop w:val="0"/>
          <w:marBottom w:val="0"/>
          <w:divBdr>
            <w:top w:val="none" w:sz="0" w:space="0" w:color="auto"/>
            <w:left w:val="none" w:sz="0" w:space="0" w:color="auto"/>
            <w:bottom w:val="none" w:sz="0" w:space="0" w:color="auto"/>
            <w:right w:val="none" w:sz="0" w:space="0" w:color="auto"/>
          </w:divBdr>
        </w:div>
        <w:div w:id="1089499840">
          <w:marLeft w:val="0"/>
          <w:marRight w:val="0"/>
          <w:marTop w:val="0"/>
          <w:marBottom w:val="0"/>
          <w:divBdr>
            <w:top w:val="none" w:sz="0" w:space="0" w:color="auto"/>
            <w:left w:val="none" w:sz="0" w:space="0" w:color="auto"/>
            <w:bottom w:val="none" w:sz="0" w:space="0" w:color="auto"/>
            <w:right w:val="none" w:sz="0" w:space="0" w:color="auto"/>
          </w:divBdr>
        </w:div>
        <w:div w:id="1111242146">
          <w:marLeft w:val="0"/>
          <w:marRight w:val="0"/>
          <w:marTop w:val="0"/>
          <w:marBottom w:val="0"/>
          <w:divBdr>
            <w:top w:val="none" w:sz="0" w:space="0" w:color="auto"/>
            <w:left w:val="none" w:sz="0" w:space="0" w:color="auto"/>
            <w:bottom w:val="none" w:sz="0" w:space="0" w:color="auto"/>
            <w:right w:val="none" w:sz="0" w:space="0" w:color="auto"/>
          </w:divBdr>
        </w:div>
        <w:div w:id="1239942059">
          <w:marLeft w:val="0"/>
          <w:marRight w:val="0"/>
          <w:marTop w:val="0"/>
          <w:marBottom w:val="0"/>
          <w:divBdr>
            <w:top w:val="none" w:sz="0" w:space="0" w:color="auto"/>
            <w:left w:val="none" w:sz="0" w:space="0" w:color="auto"/>
            <w:bottom w:val="none" w:sz="0" w:space="0" w:color="auto"/>
            <w:right w:val="none" w:sz="0" w:space="0" w:color="auto"/>
          </w:divBdr>
        </w:div>
        <w:div w:id="1642494182">
          <w:marLeft w:val="0"/>
          <w:marRight w:val="0"/>
          <w:marTop w:val="0"/>
          <w:marBottom w:val="0"/>
          <w:divBdr>
            <w:top w:val="none" w:sz="0" w:space="0" w:color="auto"/>
            <w:left w:val="none" w:sz="0" w:space="0" w:color="auto"/>
            <w:bottom w:val="none" w:sz="0" w:space="0" w:color="auto"/>
            <w:right w:val="none" w:sz="0" w:space="0" w:color="auto"/>
          </w:divBdr>
        </w:div>
        <w:div w:id="1686859400">
          <w:marLeft w:val="0"/>
          <w:marRight w:val="0"/>
          <w:marTop w:val="0"/>
          <w:marBottom w:val="0"/>
          <w:divBdr>
            <w:top w:val="none" w:sz="0" w:space="0" w:color="auto"/>
            <w:left w:val="none" w:sz="0" w:space="0" w:color="auto"/>
            <w:bottom w:val="none" w:sz="0" w:space="0" w:color="auto"/>
            <w:right w:val="none" w:sz="0" w:space="0" w:color="auto"/>
          </w:divBdr>
        </w:div>
      </w:divsChild>
    </w:div>
    <w:div w:id="208495012">
      <w:bodyDiv w:val="1"/>
      <w:marLeft w:val="0"/>
      <w:marRight w:val="0"/>
      <w:marTop w:val="0"/>
      <w:marBottom w:val="0"/>
      <w:divBdr>
        <w:top w:val="none" w:sz="0" w:space="0" w:color="auto"/>
        <w:left w:val="none" w:sz="0" w:space="0" w:color="auto"/>
        <w:bottom w:val="none" w:sz="0" w:space="0" w:color="auto"/>
        <w:right w:val="none" w:sz="0" w:space="0" w:color="auto"/>
      </w:divBdr>
    </w:div>
    <w:div w:id="234895597">
      <w:bodyDiv w:val="1"/>
      <w:marLeft w:val="0"/>
      <w:marRight w:val="0"/>
      <w:marTop w:val="0"/>
      <w:marBottom w:val="0"/>
      <w:divBdr>
        <w:top w:val="none" w:sz="0" w:space="0" w:color="auto"/>
        <w:left w:val="none" w:sz="0" w:space="0" w:color="auto"/>
        <w:bottom w:val="none" w:sz="0" w:space="0" w:color="auto"/>
        <w:right w:val="none" w:sz="0" w:space="0" w:color="auto"/>
      </w:divBdr>
    </w:div>
    <w:div w:id="257494075">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311715592">
      <w:bodyDiv w:val="1"/>
      <w:marLeft w:val="0"/>
      <w:marRight w:val="0"/>
      <w:marTop w:val="0"/>
      <w:marBottom w:val="0"/>
      <w:divBdr>
        <w:top w:val="none" w:sz="0" w:space="0" w:color="auto"/>
        <w:left w:val="none" w:sz="0" w:space="0" w:color="auto"/>
        <w:bottom w:val="none" w:sz="0" w:space="0" w:color="auto"/>
        <w:right w:val="none" w:sz="0" w:space="0" w:color="auto"/>
      </w:divBdr>
    </w:div>
    <w:div w:id="327364581">
      <w:bodyDiv w:val="1"/>
      <w:marLeft w:val="0"/>
      <w:marRight w:val="0"/>
      <w:marTop w:val="0"/>
      <w:marBottom w:val="0"/>
      <w:divBdr>
        <w:top w:val="none" w:sz="0" w:space="0" w:color="auto"/>
        <w:left w:val="none" w:sz="0" w:space="0" w:color="auto"/>
        <w:bottom w:val="none" w:sz="0" w:space="0" w:color="auto"/>
        <w:right w:val="none" w:sz="0" w:space="0" w:color="auto"/>
      </w:divBdr>
    </w:div>
    <w:div w:id="401408779">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29667141">
      <w:bodyDiv w:val="1"/>
      <w:marLeft w:val="0"/>
      <w:marRight w:val="0"/>
      <w:marTop w:val="0"/>
      <w:marBottom w:val="0"/>
      <w:divBdr>
        <w:top w:val="none" w:sz="0" w:space="0" w:color="auto"/>
        <w:left w:val="none" w:sz="0" w:space="0" w:color="auto"/>
        <w:bottom w:val="none" w:sz="0" w:space="0" w:color="auto"/>
        <w:right w:val="none" w:sz="0" w:space="0" w:color="auto"/>
      </w:divBdr>
    </w:div>
    <w:div w:id="454832169">
      <w:bodyDiv w:val="1"/>
      <w:marLeft w:val="0"/>
      <w:marRight w:val="0"/>
      <w:marTop w:val="0"/>
      <w:marBottom w:val="0"/>
      <w:divBdr>
        <w:top w:val="none" w:sz="0" w:space="0" w:color="auto"/>
        <w:left w:val="none" w:sz="0" w:space="0" w:color="auto"/>
        <w:bottom w:val="none" w:sz="0" w:space="0" w:color="auto"/>
        <w:right w:val="none" w:sz="0" w:space="0" w:color="auto"/>
      </w:divBdr>
      <w:divsChild>
        <w:div w:id="1541280623">
          <w:marLeft w:val="0"/>
          <w:marRight w:val="0"/>
          <w:marTop w:val="15"/>
          <w:marBottom w:val="0"/>
          <w:divBdr>
            <w:top w:val="single" w:sz="6" w:space="0" w:color="BBBBBB"/>
            <w:left w:val="none" w:sz="0" w:space="0" w:color="auto"/>
            <w:bottom w:val="single" w:sz="6" w:space="0" w:color="BBBBBB"/>
            <w:right w:val="none" w:sz="0" w:space="0" w:color="auto"/>
          </w:divBdr>
          <w:divsChild>
            <w:div w:id="554244692">
              <w:marLeft w:val="0"/>
              <w:marRight w:val="0"/>
              <w:marTop w:val="0"/>
              <w:marBottom w:val="0"/>
              <w:divBdr>
                <w:top w:val="none" w:sz="0" w:space="0" w:color="auto"/>
                <w:left w:val="none" w:sz="0" w:space="0" w:color="auto"/>
                <w:bottom w:val="none" w:sz="0" w:space="0" w:color="auto"/>
                <w:right w:val="none" w:sz="0" w:space="0" w:color="auto"/>
              </w:divBdr>
              <w:divsChild>
                <w:div w:id="2087267515">
                  <w:marLeft w:val="0"/>
                  <w:marRight w:val="0"/>
                  <w:marTop w:val="0"/>
                  <w:marBottom w:val="0"/>
                  <w:divBdr>
                    <w:top w:val="none" w:sz="0" w:space="0" w:color="auto"/>
                    <w:left w:val="none" w:sz="0" w:space="0" w:color="auto"/>
                    <w:bottom w:val="none" w:sz="0" w:space="0" w:color="auto"/>
                    <w:right w:val="none" w:sz="0" w:space="0" w:color="auto"/>
                  </w:divBdr>
                  <w:divsChild>
                    <w:div w:id="157817055">
                      <w:marLeft w:val="0"/>
                      <w:marRight w:val="0"/>
                      <w:marTop w:val="0"/>
                      <w:marBottom w:val="0"/>
                      <w:divBdr>
                        <w:top w:val="none" w:sz="0" w:space="0" w:color="auto"/>
                        <w:left w:val="none" w:sz="0" w:space="0" w:color="auto"/>
                        <w:bottom w:val="single" w:sz="6" w:space="12" w:color="BBBBBB"/>
                        <w:right w:val="single" w:sz="6" w:space="6" w:color="BBBBBB"/>
                      </w:divBdr>
                    </w:div>
                    <w:div w:id="1036933726">
                      <w:marLeft w:val="0"/>
                      <w:marRight w:val="0"/>
                      <w:marTop w:val="0"/>
                      <w:marBottom w:val="0"/>
                      <w:divBdr>
                        <w:top w:val="none" w:sz="0" w:space="0" w:color="auto"/>
                        <w:left w:val="none" w:sz="0" w:space="0" w:color="auto"/>
                        <w:bottom w:val="single" w:sz="6" w:space="12" w:color="BBBBBB"/>
                        <w:right w:val="none" w:sz="0" w:space="0" w:color="auto"/>
                      </w:divBdr>
                    </w:div>
                  </w:divsChild>
                </w:div>
              </w:divsChild>
            </w:div>
            <w:div w:id="1303272517">
              <w:marLeft w:val="0"/>
              <w:marRight w:val="0"/>
              <w:marTop w:val="0"/>
              <w:marBottom w:val="0"/>
              <w:divBdr>
                <w:top w:val="none" w:sz="0" w:space="0" w:color="auto"/>
                <w:left w:val="none" w:sz="0" w:space="0" w:color="auto"/>
                <w:bottom w:val="none" w:sz="0" w:space="0" w:color="auto"/>
                <w:right w:val="none" w:sz="0" w:space="0" w:color="auto"/>
              </w:divBdr>
              <w:divsChild>
                <w:div w:id="1594974574">
                  <w:marLeft w:val="0"/>
                  <w:marRight w:val="0"/>
                  <w:marTop w:val="0"/>
                  <w:marBottom w:val="0"/>
                  <w:divBdr>
                    <w:top w:val="none" w:sz="0" w:space="0" w:color="auto"/>
                    <w:left w:val="none" w:sz="0" w:space="0" w:color="auto"/>
                    <w:bottom w:val="none" w:sz="0" w:space="0" w:color="auto"/>
                    <w:right w:val="none" w:sz="0" w:space="0" w:color="auto"/>
                  </w:divBdr>
                  <w:divsChild>
                    <w:div w:id="608245360">
                      <w:marLeft w:val="0"/>
                      <w:marRight w:val="0"/>
                      <w:marTop w:val="0"/>
                      <w:marBottom w:val="0"/>
                      <w:divBdr>
                        <w:top w:val="none" w:sz="0" w:space="0" w:color="auto"/>
                        <w:left w:val="none" w:sz="0" w:space="0" w:color="auto"/>
                        <w:bottom w:val="single" w:sz="6" w:space="12" w:color="BBBBBB"/>
                        <w:right w:val="none" w:sz="0" w:space="0" w:color="auto"/>
                      </w:divBdr>
                    </w:div>
                    <w:div w:id="1542552395">
                      <w:marLeft w:val="0"/>
                      <w:marRight w:val="0"/>
                      <w:marTop w:val="0"/>
                      <w:marBottom w:val="0"/>
                      <w:divBdr>
                        <w:top w:val="none" w:sz="0" w:space="0" w:color="auto"/>
                        <w:left w:val="none" w:sz="0" w:space="0" w:color="auto"/>
                        <w:bottom w:val="single" w:sz="6" w:space="12" w:color="BBBBBB"/>
                        <w:right w:val="single" w:sz="6" w:space="6" w:color="BBBBBB"/>
                      </w:divBdr>
                    </w:div>
                    <w:div w:id="1785926903">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 w:id="1511986620">
              <w:marLeft w:val="0"/>
              <w:marRight w:val="0"/>
              <w:marTop w:val="0"/>
              <w:marBottom w:val="0"/>
              <w:divBdr>
                <w:top w:val="none" w:sz="0" w:space="0" w:color="auto"/>
                <w:left w:val="none" w:sz="0" w:space="0" w:color="auto"/>
                <w:bottom w:val="none" w:sz="0" w:space="0" w:color="auto"/>
                <w:right w:val="none" w:sz="0" w:space="0" w:color="auto"/>
              </w:divBdr>
              <w:divsChild>
                <w:div w:id="1011952582">
                  <w:marLeft w:val="0"/>
                  <w:marRight w:val="0"/>
                  <w:marTop w:val="0"/>
                  <w:marBottom w:val="0"/>
                  <w:divBdr>
                    <w:top w:val="none" w:sz="0" w:space="0" w:color="auto"/>
                    <w:left w:val="none" w:sz="0" w:space="0" w:color="auto"/>
                    <w:bottom w:val="none" w:sz="0" w:space="0" w:color="auto"/>
                    <w:right w:val="none" w:sz="0" w:space="0" w:color="auto"/>
                  </w:divBdr>
                  <w:divsChild>
                    <w:div w:id="533422025">
                      <w:marLeft w:val="0"/>
                      <w:marRight w:val="0"/>
                      <w:marTop w:val="0"/>
                      <w:marBottom w:val="0"/>
                      <w:divBdr>
                        <w:top w:val="none" w:sz="0" w:space="0" w:color="auto"/>
                        <w:left w:val="none" w:sz="0" w:space="0" w:color="auto"/>
                        <w:bottom w:val="none" w:sz="0" w:space="0" w:color="auto"/>
                        <w:right w:val="single" w:sz="6" w:space="6" w:color="BBBBBB"/>
                      </w:divBdr>
                    </w:div>
                    <w:div w:id="738091817">
                      <w:marLeft w:val="0"/>
                      <w:marRight w:val="0"/>
                      <w:marTop w:val="0"/>
                      <w:marBottom w:val="0"/>
                      <w:divBdr>
                        <w:top w:val="none" w:sz="0" w:space="0" w:color="auto"/>
                        <w:left w:val="none" w:sz="0" w:space="0" w:color="auto"/>
                        <w:bottom w:val="single" w:sz="6" w:space="12" w:color="BBBBBB"/>
                        <w:right w:val="none" w:sz="0" w:space="0" w:color="auto"/>
                      </w:divBdr>
                    </w:div>
                    <w:div w:id="932667740">
                      <w:marLeft w:val="0"/>
                      <w:marRight w:val="0"/>
                      <w:marTop w:val="0"/>
                      <w:marBottom w:val="0"/>
                      <w:divBdr>
                        <w:top w:val="none" w:sz="0" w:space="0" w:color="auto"/>
                        <w:left w:val="none" w:sz="0" w:space="0" w:color="auto"/>
                        <w:bottom w:val="single" w:sz="6" w:space="12" w:color="BBBBBB"/>
                        <w:right w:val="single" w:sz="6" w:space="6" w:color="BBBBBB"/>
                      </w:divBdr>
                    </w:div>
                  </w:divsChild>
                </w:div>
                <w:div w:id="1486705704">
                  <w:marLeft w:val="0"/>
                  <w:marRight w:val="0"/>
                  <w:marTop w:val="0"/>
                  <w:marBottom w:val="0"/>
                  <w:divBdr>
                    <w:top w:val="none" w:sz="0" w:space="0" w:color="auto"/>
                    <w:left w:val="none" w:sz="0" w:space="0" w:color="auto"/>
                    <w:bottom w:val="none" w:sz="0" w:space="0" w:color="auto"/>
                    <w:right w:val="none" w:sz="0" w:space="0" w:color="auto"/>
                  </w:divBdr>
                  <w:divsChild>
                    <w:div w:id="1306280747">
                      <w:marLeft w:val="0"/>
                      <w:marRight w:val="0"/>
                      <w:marTop w:val="0"/>
                      <w:marBottom w:val="0"/>
                      <w:divBdr>
                        <w:top w:val="none" w:sz="0" w:space="0" w:color="auto"/>
                        <w:left w:val="none" w:sz="0" w:space="0" w:color="auto"/>
                        <w:bottom w:val="single" w:sz="6" w:space="12" w:color="BBBBBB"/>
                        <w:right w:val="single" w:sz="6" w:space="6" w:color="BBBBBB"/>
                      </w:divBdr>
                    </w:div>
                    <w:div w:id="1929999410">
                      <w:marLeft w:val="0"/>
                      <w:marRight w:val="0"/>
                      <w:marTop w:val="0"/>
                      <w:marBottom w:val="0"/>
                      <w:divBdr>
                        <w:top w:val="none" w:sz="0" w:space="0" w:color="auto"/>
                        <w:left w:val="none" w:sz="0" w:space="0" w:color="auto"/>
                        <w:bottom w:val="single" w:sz="6" w:space="12" w:color="BBBBBB"/>
                        <w:right w:val="none" w:sz="0" w:space="0" w:color="auto"/>
                      </w:divBdr>
                    </w:div>
                  </w:divsChild>
                </w:div>
                <w:div w:id="2124032055">
                  <w:marLeft w:val="0"/>
                  <w:marRight w:val="0"/>
                  <w:marTop w:val="0"/>
                  <w:marBottom w:val="0"/>
                  <w:divBdr>
                    <w:top w:val="none" w:sz="0" w:space="0" w:color="auto"/>
                    <w:left w:val="none" w:sz="0" w:space="0" w:color="auto"/>
                    <w:bottom w:val="none" w:sz="0" w:space="0" w:color="auto"/>
                    <w:right w:val="none" w:sz="0" w:space="0" w:color="auto"/>
                  </w:divBdr>
                  <w:divsChild>
                    <w:div w:id="733940845">
                      <w:marLeft w:val="0"/>
                      <w:marRight w:val="0"/>
                      <w:marTop w:val="0"/>
                      <w:marBottom w:val="0"/>
                      <w:divBdr>
                        <w:top w:val="none" w:sz="0" w:space="0" w:color="auto"/>
                        <w:left w:val="none" w:sz="0" w:space="0" w:color="auto"/>
                        <w:bottom w:val="single" w:sz="6" w:space="12" w:color="BBBBBB"/>
                        <w:right w:val="single" w:sz="6" w:space="6" w:color="BBBBBB"/>
                      </w:divBdr>
                    </w:div>
                    <w:div w:id="954406797">
                      <w:marLeft w:val="0"/>
                      <w:marRight w:val="0"/>
                      <w:marTop w:val="0"/>
                      <w:marBottom w:val="0"/>
                      <w:divBdr>
                        <w:top w:val="none" w:sz="0" w:space="0" w:color="auto"/>
                        <w:left w:val="none" w:sz="0" w:space="0" w:color="auto"/>
                        <w:bottom w:val="single" w:sz="6" w:space="12" w:color="BBBBBB"/>
                        <w:right w:val="none" w:sz="0" w:space="0" w:color="auto"/>
                      </w:divBdr>
                    </w:div>
                  </w:divsChild>
                </w:div>
              </w:divsChild>
            </w:div>
            <w:div w:id="1674844091">
              <w:marLeft w:val="0"/>
              <w:marRight w:val="0"/>
              <w:marTop w:val="0"/>
              <w:marBottom w:val="0"/>
              <w:divBdr>
                <w:top w:val="none" w:sz="0" w:space="0" w:color="auto"/>
                <w:left w:val="none" w:sz="0" w:space="0" w:color="auto"/>
                <w:bottom w:val="none" w:sz="0" w:space="0" w:color="auto"/>
                <w:right w:val="none" w:sz="0" w:space="0" w:color="auto"/>
              </w:divBdr>
              <w:divsChild>
                <w:div w:id="769276558">
                  <w:marLeft w:val="0"/>
                  <w:marRight w:val="0"/>
                  <w:marTop w:val="0"/>
                  <w:marBottom w:val="0"/>
                  <w:divBdr>
                    <w:top w:val="none" w:sz="0" w:space="0" w:color="auto"/>
                    <w:left w:val="none" w:sz="0" w:space="0" w:color="auto"/>
                    <w:bottom w:val="none" w:sz="0" w:space="0" w:color="auto"/>
                    <w:right w:val="none" w:sz="0" w:space="0" w:color="auto"/>
                  </w:divBdr>
                  <w:divsChild>
                    <w:div w:id="539247204">
                      <w:marLeft w:val="0"/>
                      <w:marRight w:val="0"/>
                      <w:marTop w:val="0"/>
                      <w:marBottom w:val="0"/>
                      <w:divBdr>
                        <w:top w:val="none" w:sz="0" w:space="0" w:color="auto"/>
                        <w:left w:val="none" w:sz="0" w:space="0" w:color="auto"/>
                        <w:bottom w:val="single" w:sz="6" w:space="12" w:color="BBBBBB"/>
                        <w:right w:val="single" w:sz="6" w:space="6" w:color="BBBBBB"/>
                      </w:divBdr>
                    </w:div>
                    <w:div w:id="2109110081">
                      <w:marLeft w:val="0"/>
                      <w:marRight w:val="0"/>
                      <w:marTop w:val="0"/>
                      <w:marBottom w:val="0"/>
                      <w:divBdr>
                        <w:top w:val="none" w:sz="0" w:space="0" w:color="auto"/>
                        <w:left w:val="none" w:sz="0" w:space="0" w:color="auto"/>
                        <w:bottom w:val="single" w:sz="6" w:space="12" w:color="BBBBBB"/>
                        <w:right w:val="none" w:sz="0" w:space="0" w:color="auto"/>
                      </w:divBdr>
                    </w:div>
                    <w:div w:id="2129658603">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 w:id="1933203736">
              <w:marLeft w:val="0"/>
              <w:marRight w:val="0"/>
              <w:marTop w:val="0"/>
              <w:marBottom w:val="0"/>
              <w:divBdr>
                <w:top w:val="none" w:sz="0" w:space="0" w:color="auto"/>
                <w:left w:val="none" w:sz="0" w:space="0" w:color="auto"/>
                <w:bottom w:val="none" w:sz="0" w:space="0" w:color="auto"/>
                <w:right w:val="none" w:sz="0" w:space="0" w:color="auto"/>
              </w:divBdr>
              <w:divsChild>
                <w:div w:id="1427993738">
                  <w:marLeft w:val="0"/>
                  <w:marRight w:val="0"/>
                  <w:marTop w:val="0"/>
                  <w:marBottom w:val="0"/>
                  <w:divBdr>
                    <w:top w:val="none" w:sz="0" w:space="0" w:color="auto"/>
                    <w:left w:val="none" w:sz="0" w:space="0" w:color="auto"/>
                    <w:bottom w:val="none" w:sz="0" w:space="0" w:color="auto"/>
                    <w:right w:val="none" w:sz="0" w:space="0" w:color="auto"/>
                  </w:divBdr>
                  <w:divsChild>
                    <w:div w:id="764614746">
                      <w:marLeft w:val="0"/>
                      <w:marRight w:val="0"/>
                      <w:marTop w:val="0"/>
                      <w:marBottom w:val="0"/>
                      <w:divBdr>
                        <w:top w:val="none" w:sz="0" w:space="0" w:color="auto"/>
                        <w:left w:val="none" w:sz="0" w:space="0" w:color="auto"/>
                        <w:bottom w:val="single" w:sz="6" w:space="12" w:color="BBBBBB"/>
                        <w:right w:val="none" w:sz="0" w:space="0" w:color="auto"/>
                      </w:divBdr>
                    </w:div>
                    <w:div w:id="1789809267">
                      <w:marLeft w:val="0"/>
                      <w:marRight w:val="0"/>
                      <w:marTop w:val="0"/>
                      <w:marBottom w:val="0"/>
                      <w:divBdr>
                        <w:top w:val="none" w:sz="0" w:space="0" w:color="auto"/>
                        <w:left w:val="none" w:sz="0" w:space="0" w:color="auto"/>
                        <w:bottom w:val="single" w:sz="6" w:space="12" w:color="BBBBBB"/>
                        <w:right w:val="single" w:sz="6" w:space="6" w:color="BBBBBB"/>
                      </w:divBdr>
                    </w:div>
                    <w:div w:id="2044747819">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 w:id="2078161500">
              <w:marLeft w:val="0"/>
              <w:marRight w:val="0"/>
              <w:marTop w:val="0"/>
              <w:marBottom w:val="0"/>
              <w:divBdr>
                <w:top w:val="none" w:sz="0" w:space="0" w:color="auto"/>
                <w:left w:val="none" w:sz="0" w:space="0" w:color="auto"/>
                <w:bottom w:val="none" w:sz="0" w:space="0" w:color="auto"/>
                <w:right w:val="none" w:sz="0" w:space="0" w:color="auto"/>
              </w:divBdr>
              <w:divsChild>
                <w:div w:id="1480074716">
                  <w:marLeft w:val="0"/>
                  <w:marRight w:val="0"/>
                  <w:marTop w:val="0"/>
                  <w:marBottom w:val="0"/>
                  <w:divBdr>
                    <w:top w:val="none" w:sz="0" w:space="0" w:color="auto"/>
                    <w:left w:val="none" w:sz="0" w:space="0" w:color="auto"/>
                    <w:bottom w:val="none" w:sz="0" w:space="0" w:color="auto"/>
                    <w:right w:val="none" w:sz="0" w:space="0" w:color="auto"/>
                  </w:divBdr>
                  <w:divsChild>
                    <w:div w:id="637882921">
                      <w:marLeft w:val="0"/>
                      <w:marRight w:val="0"/>
                      <w:marTop w:val="0"/>
                      <w:marBottom w:val="0"/>
                      <w:divBdr>
                        <w:top w:val="none" w:sz="0" w:space="0" w:color="auto"/>
                        <w:left w:val="none" w:sz="0" w:space="0" w:color="auto"/>
                        <w:bottom w:val="single" w:sz="6" w:space="12" w:color="BBBBBB"/>
                        <w:right w:val="single" w:sz="6" w:space="6" w:color="BBBBBB"/>
                      </w:divBdr>
                    </w:div>
                    <w:div w:id="2134980848">
                      <w:marLeft w:val="0"/>
                      <w:marRight w:val="0"/>
                      <w:marTop w:val="0"/>
                      <w:marBottom w:val="0"/>
                      <w:divBdr>
                        <w:top w:val="none" w:sz="0" w:space="0" w:color="auto"/>
                        <w:left w:val="none" w:sz="0" w:space="0" w:color="auto"/>
                        <w:bottom w:val="single" w:sz="6" w:space="12" w:color="BBBBBB"/>
                        <w:right w:val="none" w:sz="0" w:space="0" w:color="auto"/>
                      </w:divBdr>
                    </w:div>
                  </w:divsChild>
                </w:div>
                <w:div w:id="1706952889">
                  <w:marLeft w:val="0"/>
                  <w:marRight w:val="0"/>
                  <w:marTop w:val="0"/>
                  <w:marBottom w:val="0"/>
                  <w:divBdr>
                    <w:top w:val="none" w:sz="0" w:space="0" w:color="auto"/>
                    <w:left w:val="none" w:sz="0" w:space="0" w:color="auto"/>
                    <w:bottom w:val="none" w:sz="0" w:space="0" w:color="auto"/>
                    <w:right w:val="none" w:sz="0" w:space="0" w:color="auto"/>
                  </w:divBdr>
                  <w:divsChild>
                    <w:div w:id="955525652">
                      <w:marLeft w:val="0"/>
                      <w:marRight w:val="0"/>
                      <w:marTop w:val="0"/>
                      <w:marBottom w:val="0"/>
                      <w:divBdr>
                        <w:top w:val="none" w:sz="0" w:space="0" w:color="auto"/>
                        <w:left w:val="none" w:sz="0" w:space="0" w:color="auto"/>
                        <w:bottom w:val="single" w:sz="6" w:space="12" w:color="BBBBBB"/>
                        <w:right w:val="single" w:sz="6" w:space="6" w:color="BBBBBB"/>
                      </w:divBdr>
                    </w:div>
                    <w:div w:id="1514106093">
                      <w:marLeft w:val="0"/>
                      <w:marRight w:val="0"/>
                      <w:marTop w:val="0"/>
                      <w:marBottom w:val="0"/>
                      <w:divBdr>
                        <w:top w:val="none" w:sz="0" w:space="0" w:color="auto"/>
                        <w:left w:val="none" w:sz="0" w:space="0" w:color="auto"/>
                        <w:bottom w:val="single" w:sz="6" w:space="12" w:color="BBBBBB"/>
                        <w:right w:val="none" w:sz="0" w:space="0" w:color="auto"/>
                      </w:divBdr>
                    </w:div>
                  </w:divsChild>
                </w:div>
                <w:div w:id="1899123923">
                  <w:marLeft w:val="0"/>
                  <w:marRight w:val="0"/>
                  <w:marTop w:val="0"/>
                  <w:marBottom w:val="0"/>
                  <w:divBdr>
                    <w:top w:val="none" w:sz="0" w:space="0" w:color="auto"/>
                    <w:left w:val="none" w:sz="0" w:space="0" w:color="auto"/>
                    <w:bottom w:val="none" w:sz="0" w:space="0" w:color="auto"/>
                    <w:right w:val="none" w:sz="0" w:space="0" w:color="auto"/>
                  </w:divBdr>
                  <w:divsChild>
                    <w:div w:id="478041315">
                      <w:marLeft w:val="0"/>
                      <w:marRight w:val="0"/>
                      <w:marTop w:val="0"/>
                      <w:marBottom w:val="0"/>
                      <w:divBdr>
                        <w:top w:val="none" w:sz="0" w:space="0" w:color="auto"/>
                        <w:left w:val="none" w:sz="0" w:space="0" w:color="auto"/>
                        <w:bottom w:val="single" w:sz="6" w:space="12" w:color="BBBBBB"/>
                        <w:right w:val="single" w:sz="6" w:space="6" w:color="BBBBBB"/>
                      </w:divBdr>
                    </w:div>
                    <w:div w:id="604074432">
                      <w:marLeft w:val="0"/>
                      <w:marRight w:val="0"/>
                      <w:marTop w:val="0"/>
                      <w:marBottom w:val="0"/>
                      <w:divBdr>
                        <w:top w:val="none" w:sz="0" w:space="0" w:color="auto"/>
                        <w:left w:val="none" w:sz="0" w:space="0" w:color="auto"/>
                        <w:bottom w:val="single" w:sz="6" w:space="12" w:color="BBBBBB"/>
                        <w:right w:val="none" w:sz="0" w:space="0" w:color="auto"/>
                      </w:divBdr>
                    </w:div>
                    <w:div w:id="2103455928">
                      <w:marLeft w:val="0"/>
                      <w:marRight w:val="0"/>
                      <w:marTop w:val="0"/>
                      <w:marBottom w:val="0"/>
                      <w:divBdr>
                        <w:top w:val="none" w:sz="0" w:space="0" w:color="auto"/>
                        <w:left w:val="none" w:sz="0" w:space="0" w:color="auto"/>
                        <w:bottom w:val="single" w:sz="6" w:space="12" w:color="BBBBBB"/>
                        <w:right w:val="single" w:sz="6" w:space="6" w:color="BBBBBB"/>
                      </w:divBdr>
                    </w:div>
                  </w:divsChild>
                </w:div>
              </w:divsChild>
            </w:div>
          </w:divsChild>
        </w:div>
      </w:divsChild>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00581828">
      <w:bodyDiv w:val="1"/>
      <w:marLeft w:val="0"/>
      <w:marRight w:val="0"/>
      <w:marTop w:val="0"/>
      <w:marBottom w:val="0"/>
      <w:divBdr>
        <w:top w:val="none" w:sz="0" w:space="0" w:color="auto"/>
        <w:left w:val="none" w:sz="0" w:space="0" w:color="auto"/>
        <w:bottom w:val="none" w:sz="0" w:space="0" w:color="auto"/>
        <w:right w:val="none" w:sz="0" w:space="0" w:color="auto"/>
      </w:divBdr>
      <w:divsChild>
        <w:div w:id="1115365265">
          <w:marLeft w:val="0"/>
          <w:marRight w:val="0"/>
          <w:marTop w:val="0"/>
          <w:marBottom w:val="0"/>
          <w:divBdr>
            <w:top w:val="none" w:sz="0" w:space="0" w:color="auto"/>
            <w:left w:val="none" w:sz="0" w:space="0" w:color="auto"/>
            <w:bottom w:val="none" w:sz="0" w:space="0" w:color="auto"/>
            <w:right w:val="none" w:sz="0" w:space="0" w:color="auto"/>
          </w:divBdr>
          <w:divsChild>
            <w:div w:id="1689677987">
              <w:marLeft w:val="0"/>
              <w:marRight w:val="0"/>
              <w:marTop w:val="0"/>
              <w:marBottom w:val="0"/>
              <w:divBdr>
                <w:top w:val="none" w:sz="0" w:space="0" w:color="auto"/>
                <w:left w:val="none" w:sz="0" w:space="0" w:color="auto"/>
                <w:bottom w:val="none" w:sz="0" w:space="0" w:color="auto"/>
                <w:right w:val="none" w:sz="0" w:space="0" w:color="auto"/>
              </w:divBdr>
              <w:divsChild>
                <w:div w:id="1927496274">
                  <w:marLeft w:val="150"/>
                  <w:marRight w:val="150"/>
                  <w:marTop w:val="0"/>
                  <w:marBottom w:val="0"/>
                  <w:divBdr>
                    <w:top w:val="none" w:sz="0" w:space="0" w:color="auto"/>
                    <w:left w:val="none" w:sz="0" w:space="0" w:color="auto"/>
                    <w:bottom w:val="none" w:sz="0" w:space="0" w:color="auto"/>
                    <w:right w:val="none" w:sz="0" w:space="0" w:color="auto"/>
                  </w:divBdr>
                  <w:divsChild>
                    <w:div w:id="517739314">
                      <w:marLeft w:val="0"/>
                      <w:marRight w:val="0"/>
                      <w:marTop w:val="0"/>
                      <w:marBottom w:val="0"/>
                      <w:divBdr>
                        <w:top w:val="none" w:sz="0" w:space="0" w:color="auto"/>
                        <w:left w:val="none" w:sz="0" w:space="0" w:color="auto"/>
                        <w:bottom w:val="none" w:sz="0" w:space="0" w:color="auto"/>
                        <w:right w:val="none" w:sz="0" w:space="0" w:color="auto"/>
                      </w:divBdr>
                      <w:divsChild>
                        <w:div w:id="898904181">
                          <w:marLeft w:val="0"/>
                          <w:marRight w:val="0"/>
                          <w:marTop w:val="0"/>
                          <w:marBottom w:val="0"/>
                          <w:divBdr>
                            <w:top w:val="none" w:sz="0" w:space="0" w:color="auto"/>
                            <w:left w:val="none" w:sz="0" w:space="0" w:color="auto"/>
                            <w:bottom w:val="none" w:sz="0" w:space="0" w:color="auto"/>
                            <w:right w:val="none" w:sz="0" w:space="0" w:color="auto"/>
                          </w:divBdr>
                          <w:divsChild>
                            <w:div w:id="14287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5353">
          <w:marLeft w:val="0"/>
          <w:marRight w:val="0"/>
          <w:marTop w:val="0"/>
          <w:marBottom w:val="0"/>
          <w:divBdr>
            <w:top w:val="none" w:sz="0" w:space="0" w:color="auto"/>
            <w:left w:val="none" w:sz="0" w:space="0" w:color="auto"/>
            <w:bottom w:val="none" w:sz="0" w:space="0" w:color="auto"/>
            <w:right w:val="none" w:sz="0" w:space="0" w:color="auto"/>
          </w:divBdr>
          <w:divsChild>
            <w:div w:id="145125132">
              <w:marLeft w:val="0"/>
              <w:marRight w:val="0"/>
              <w:marTop w:val="0"/>
              <w:marBottom w:val="0"/>
              <w:divBdr>
                <w:top w:val="none" w:sz="0" w:space="0" w:color="auto"/>
                <w:left w:val="none" w:sz="0" w:space="0" w:color="auto"/>
                <w:bottom w:val="none" w:sz="0" w:space="0" w:color="auto"/>
                <w:right w:val="none" w:sz="0" w:space="0" w:color="auto"/>
              </w:divBdr>
              <w:divsChild>
                <w:div w:id="341929625">
                  <w:marLeft w:val="150"/>
                  <w:marRight w:val="150"/>
                  <w:marTop w:val="0"/>
                  <w:marBottom w:val="0"/>
                  <w:divBdr>
                    <w:top w:val="none" w:sz="0" w:space="0" w:color="auto"/>
                    <w:left w:val="none" w:sz="0" w:space="0" w:color="auto"/>
                    <w:bottom w:val="none" w:sz="0" w:space="0" w:color="auto"/>
                    <w:right w:val="none" w:sz="0" w:space="0" w:color="auto"/>
                  </w:divBdr>
                  <w:divsChild>
                    <w:div w:id="1607881748">
                      <w:marLeft w:val="0"/>
                      <w:marRight w:val="0"/>
                      <w:marTop w:val="0"/>
                      <w:marBottom w:val="0"/>
                      <w:divBdr>
                        <w:top w:val="none" w:sz="0" w:space="0" w:color="auto"/>
                        <w:left w:val="none" w:sz="0" w:space="0" w:color="auto"/>
                        <w:bottom w:val="none" w:sz="0" w:space="0" w:color="auto"/>
                        <w:right w:val="none" w:sz="0" w:space="0" w:color="auto"/>
                      </w:divBdr>
                      <w:divsChild>
                        <w:div w:id="86968443">
                          <w:marLeft w:val="0"/>
                          <w:marRight w:val="0"/>
                          <w:marTop w:val="0"/>
                          <w:marBottom w:val="0"/>
                          <w:divBdr>
                            <w:top w:val="none" w:sz="0" w:space="0" w:color="auto"/>
                            <w:left w:val="none" w:sz="0" w:space="0" w:color="auto"/>
                            <w:bottom w:val="none" w:sz="0" w:space="0" w:color="auto"/>
                            <w:right w:val="none" w:sz="0" w:space="0" w:color="auto"/>
                          </w:divBdr>
                          <w:divsChild>
                            <w:div w:id="1066609273">
                              <w:marLeft w:val="0"/>
                              <w:marRight w:val="0"/>
                              <w:marTop w:val="0"/>
                              <w:marBottom w:val="0"/>
                              <w:divBdr>
                                <w:top w:val="none" w:sz="0" w:space="0" w:color="auto"/>
                                <w:left w:val="none" w:sz="0" w:space="0" w:color="auto"/>
                                <w:bottom w:val="none" w:sz="0" w:space="0" w:color="auto"/>
                                <w:right w:val="none" w:sz="0" w:space="0" w:color="auto"/>
                              </w:divBdr>
                              <w:divsChild>
                                <w:div w:id="1275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02018">
      <w:bodyDiv w:val="1"/>
      <w:marLeft w:val="0"/>
      <w:marRight w:val="0"/>
      <w:marTop w:val="0"/>
      <w:marBottom w:val="0"/>
      <w:divBdr>
        <w:top w:val="none" w:sz="0" w:space="0" w:color="auto"/>
        <w:left w:val="none" w:sz="0" w:space="0" w:color="auto"/>
        <w:bottom w:val="none" w:sz="0" w:space="0" w:color="auto"/>
        <w:right w:val="none" w:sz="0" w:space="0" w:color="auto"/>
      </w:divBdr>
    </w:div>
    <w:div w:id="557977092">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3150001">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621612237">
      <w:bodyDiv w:val="1"/>
      <w:marLeft w:val="0"/>
      <w:marRight w:val="0"/>
      <w:marTop w:val="0"/>
      <w:marBottom w:val="0"/>
      <w:divBdr>
        <w:top w:val="none" w:sz="0" w:space="0" w:color="auto"/>
        <w:left w:val="none" w:sz="0" w:space="0" w:color="auto"/>
        <w:bottom w:val="none" w:sz="0" w:space="0" w:color="auto"/>
        <w:right w:val="none" w:sz="0" w:space="0" w:color="auto"/>
      </w:divBdr>
      <w:divsChild>
        <w:div w:id="231157711">
          <w:marLeft w:val="0"/>
          <w:marRight w:val="0"/>
          <w:marTop w:val="0"/>
          <w:marBottom w:val="0"/>
          <w:divBdr>
            <w:top w:val="none" w:sz="0" w:space="0" w:color="auto"/>
            <w:left w:val="none" w:sz="0" w:space="0" w:color="auto"/>
            <w:bottom w:val="none" w:sz="0" w:space="0" w:color="auto"/>
            <w:right w:val="none" w:sz="0" w:space="0" w:color="auto"/>
          </w:divBdr>
          <w:divsChild>
            <w:div w:id="353262919">
              <w:marLeft w:val="0"/>
              <w:marRight w:val="0"/>
              <w:marTop w:val="0"/>
              <w:marBottom w:val="0"/>
              <w:divBdr>
                <w:top w:val="none" w:sz="0" w:space="0" w:color="auto"/>
                <w:left w:val="none" w:sz="0" w:space="0" w:color="auto"/>
                <w:bottom w:val="none" w:sz="0" w:space="0" w:color="auto"/>
                <w:right w:val="none" w:sz="0" w:space="0" w:color="auto"/>
              </w:divBdr>
              <w:divsChild>
                <w:div w:id="4872120">
                  <w:marLeft w:val="0"/>
                  <w:marRight w:val="0"/>
                  <w:marTop w:val="0"/>
                  <w:marBottom w:val="0"/>
                  <w:divBdr>
                    <w:top w:val="none" w:sz="0" w:space="0" w:color="auto"/>
                    <w:left w:val="none" w:sz="0" w:space="0" w:color="auto"/>
                    <w:bottom w:val="none" w:sz="0" w:space="0" w:color="auto"/>
                    <w:right w:val="none" w:sz="0" w:space="0" w:color="auto"/>
                  </w:divBdr>
                  <w:divsChild>
                    <w:div w:id="737634157">
                      <w:marLeft w:val="0"/>
                      <w:marRight w:val="0"/>
                      <w:marTop w:val="0"/>
                      <w:marBottom w:val="0"/>
                      <w:divBdr>
                        <w:top w:val="none" w:sz="0" w:space="0" w:color="auto"/>
                        <w:left w:val="none" w:sz="0" w:space="0" w:color="auto"/>
                        <w:bottom w:val="none" w:sz="0" w:space="0" w:color="auto"/>
                        <w:right w:val="none" w:sz="0" w:space="0" w:color="auto"/>
                      </w:divBdr>
                      <w:divsChild>
                        <w:div w:id="2024429125">
                          <w:marLeft w:val="0"/>
                          <w:marRight w:val="0"/>
                          <w:marTop w:val="0"/>
                          <w:marBottom w:val="0"/>
                          <w:divBdr>
                            <w:top w:val="none" w:sz="0" w:space="0" w:color="auto"/>
                            <w:left w:val="none" w:sz="0" w:space="0" w:color="auto"/>
                            <w:bottom w:val="none" w:sz="0" w:space="0" w:color="auto"/>
                            <w:right w:val="none" w:sz="0" w:space="0" w:color="auto"/>
                          </w:divBdr>
                          <w:divsChild>
                            <w:div w:id="737440734">
                              <w:marLeft w:val="0"/>
                              <w:marRight w:val="0"/>
                              <w:marTop w:val="0"/>
                              <w:marBottom w:val="0"/>
                              <w:divBdr>
                                <w:top w:val="none" w:sz="0" w:space="0" w:color="auto"/>
                                <w:left w:val="none" w:sz="0" w:space="0" w:color="auto"/>
                                <w:bottom w:val="none" w:sz="0" w:space="0" w:color="auto"/>
                                <w:right w:val="none" w:sz="0" w:space="0" w:color="auto"/>
                              </w:divBdr>
                              <w:divsChild>
                                <w:div w:id="332877227">
                                  <w:marLeft w:val="0"/>
                                  <w:marRight w:val="0"/>
                                  <w:marTop w:val="0"/>
                                  <w:marBottom w:val="0"/>
                                  <w:divBdr>
                                    <w:top w:val="none" w:sz="0" w:space="0" w:color="auto"/>
                                    <w:left w:val="none" w:sz="0" w:space="0" w:color="auto"/>
                                    <w:bottom w:val="none" w:sz="0" w:space="0" w:color="auto"/>
                                    <w:right w:val="none" w:sz="0" w:space="0" w:color="auto"/>
                                  </w:divBdr>
                                </w:div>
                              </w:divsChild>
                            </w:div>
                            <w:div w:id="979963948">
                              <w:marLeft w:val="0"/>
                              <w:marRight w:val="0"/>
                              <w:marTop w:val="0"/>
                              <w:marBottom w:val="0"/>
                              <w:divBdr>
                                <w:top w:val="none" w:sz="0" w:space="0" w:color="auto"/>
                                <w:left w:val="none" w:sz="0" w:space="0" w:color="auto"/>
                                <w:bottom w:val="none" w:sz="0" w:space="0" w:color="auto"/>
                                <w:right w:val="none" w:sz="0" w:space="0" w:color="auto"/>
                              </w:divBdr>
                              <w:divsChild>
                                <w:div w:id="2002342325">
                                  <w:marLeft w:val="0"/>
                                  <w:marRight w:val="0"/>
                                  <w:marTop w:val="0"/>
                                  <w:marBottom w:val="0"/>
                                  <w:divBdr>
                                    <w:top w:val="none" w:sz="0" w:space="0" w:color="auto"/>
                                    <w:left w:val="none" w:sz="0" w:space="0" w:color="auto"/>
                                    <w:bottom w:val="none" w:sz="0" w:space="0" w:color="auto"/>
                                    <w:right w:val="none" w:sz="0" w:space="0" w:color="auto"/>
                                  </w:divBdr>
                                </w:div>
                              </w:divsChild>
                            </w:div>
                            <w:div w:id="1603563080">
                              <w:marLeft w:val="0"/>
                              <w:marRight w:val="0"/>
                              <w:marTop w:val="0"/>
                              <w:marBottom w:val="0"/>
                              <w:divBdr>
                                <w:top w:val="none" w:sz="0" w:space="0" w:color="auto"/>
                                <w:left w:val="none" w:sz="0" w:space="0" w:color="auto"/>
                                <w:bottom w:val="none" w:sz="0" w:space="0" w:color="auto"/>
                                <w:right w:val="none" w:sz="0" w:space="0" w:color="auto"/>
                              </w:divBdr>
                              <w:divsChild>
                                <w:div w:id="2857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69378">
                      <w:marLeft w:val="0"/>
                      <w:marRight w:val="0"/>
                      <w:marTop w:val="0"/>
                      <w:marBottom w:val="0"/>
                      <w:divBdr>
                        <w:top w:val="none" w:sz="0" w:space="0" w:color="auto"/>
                        <w:left w:val="none" w:sz="0" w:space="0" w:color="auto"/>
                        <w:bottom w:val="none" w:sz="0" w:space="0" w:color="auto"/>
                        <w:right w:val="none" w:sz="0" w:space="0" w:color="auto"/>
                      </w:divBdr>
                      <w:divsChild>
                        <w:div w:id="96873767">
                          <w:marLeft w:val="0"/>
                          <w:marRight w:val="0"/>
                          <w:marTop w:val="0"/>
                          <w:marBottom w:val="0"/>
                          <w:divBdr>
                            <w:top w:val="none" w:sz="0" w:space="0" w:color="auto"/>
                            <w:left w:val="none" w:sz="0" w:space="0" w:color="auto"/>
                            <w:bottom w:val="none" w:sz="0" w:space="0" w:color="auto"/>
                            <w:right w:val="none" w:sz="0" w:space="0" w:color="auto"/>
                          </w:divBdr>
                          <w:divsChild>
                            <w:div w:id="652294231">
                              <w:marLeft w:val="0"/>
                              <w:marRight w:val="0"/>
                              <w:marTop w:val="0"/>
                              <w:marBottom w:val="0"/>
                              <w:divBdr>
                                <w:top w:val="none" w:sz="0" w:space="0" w:color="auto"/>
                                <w:left w:val="none" w:sz="0" w:space="0" w:color="auto"/>
                                <w:bottom w:val="none" w:sz="0" w:space="0" w:color="auto"/>
                                <w:right w:val="none" w:sz="0" w:space="0" w:color="auto"/>
                              </w:divBdr>
                              <w:divsChild>
                                <w:div w:id="2783386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45843845">
                          <w:marLeft w:val="0"/>
                          <w:marRight w:val="0"/>
                          <w:marTop w:val="0"/>
                          <w:marBottom w:val="0"/>
                          <w:divBdr>
                            <w:top w:val="none" w:sz="0" w:space="0" w:color="auto"/>
                            <w:left w:val="none" w:sz="0" w:space="0" w:color="auto"/>
                            <w:bottom w:val="none" w:sz="0" w:space="0" w:color="auto"/>
                            <w:right w:val="none" w:sz="0" w:space="0" w:color="auto"/>
                          </w:divBdr>
                          <w:divsChild>
                            <w:div w:id="1245261384">
                              <w:marLeft w:val="0"/>
                              <w:marRight w:val="0"/>
                              <w:marTop w:val="0"/>
                              <w:marBottom w:val="0"/>
                              <w:divBdr>
                                <w:top w:val="none" w:sz="0" w:space="0" w:color="auto"/>
                                <w:left w:val="none" w:sz="0" w:space="0" w:color="auto"/>
                                <w:bottom w:val="none" w:sz="0" w:space="0" w:color="auto"/>
                                <w:right w:val="none" w:sz="0" w:space="0" w:color="auto"/>
                              </w:divBdr>
                              <w:divsChild>
                                <w:div w:id="615873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98098400">
                          <w:marLeft w:val="0"/>
                          <w:marRight w:val="0"/>
                          <w:marTop w:val="0"/>
                          <w:marBottom w:val="0"/>
                          <w:divBdr>
                            <w:top w:val="none" w:sz="0" w:space="0" w:color="auto"/>
                            <w:left w:val="none" w:sz="0" w:space="0" w:color="auto"/>
                            <w:bottom w:val="none" w:sz="0" w:space="0" w:color="auto"/>
                            <w:right w:val="none" w:sz="0" w:space="0" w:color="auto"/>
                          </w:divBdr>
                          <w:divsChild>
                            <w:div w:id="1053313804">
                              <w:marLeft w:val="0"/>
                              <w:marRight w:val="0"/>
                              <w:marTop w:val="0"/>
                              <w:marBottom w:val="0"/>
                              <w:divBdr>
                                <w:top w:val="none" w:sz="0" w:space="0" w:color="auto"/>
                                <w:left w:val="none" w:sz="0" w:space="0" w:color="auto"/>
                                <w:bottom w:val="none" w:sz="0" w:space="0" w:color="auto"/>
                                <w:right w:val="none" w:sz="0" w:space="0" w:color="auto"/>
                              </w:divBdr>
                              <w:divsChild>
                                <w:div w:id="21469207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9734640">
                          <w:marLeft w:val="0"/>
                          <w:marRight w:val="0"/>
                          <w:marTop w:val="0"/>
                          <w:marBottom w:val="0"/>
                          <w:divBdr>
                            <w:top w:val="none" w:sz="0" w:space="0" w:color="auto"/>
                            <w:left w:val="none" w:sz="0" w:space="0" w:color="auto"/>
                            <w:bottom w:val="none" w:sz="0" w:space="0" w:color="auto"/>
                            <w:right w:val="none" w:sz="0" w:space="0" w:color="auto"/>
                          </w:divBdr>
                          <w:divsChild>
                            <w:div w:id="820193083">
                              <w:marLeft w:val="0"/>
                              <w:marRight w:val="0"/>
                              <w:marTop w:val="0"/>
                              <w:marBottom w:val="0"/>
                              <w:divBdr>
                                <w:top w:val="none" w:sz="0" w:space="0" w:color="auto"/>
                                <w:left w:val="none" w:sz="0" w:space="0" w:color="auto"/>
                                <w:bottom w:val="none" w:sz="0" w:space="0" w:color="auto"/>
                                <w:right w:val="none" w:sz="0" w:space="0" w:color="auto"/>
                              </w:divBdr>
                              <w:divsChild>
                                <w:div w:id="18891468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51240900">
                          <w:marLeft w:val="0"/>
                          <w:marRight w:val="0"/>
                          <w:marTop w:val="0"/>
                          <w:marBottom w:val="0"/>
                          <w:divBdr>
                            <w:top w:val="none" w:sz="0" w:space="0" w:color="auto"/>
                            <w:left w:val="none" w:sz="0" w:space="0" w:color="auto"/>
                            <w:bottom w:val="none" w:sz="0" w:space="0" w:color="auto"/>
                            <w:right w:val="none" w:sz="0" w:space="0" w:color="auto"/>
                          </w:divBdr>
                          <w:divsChild>
                            <w:div w:id="530647279">
                              <w:marLeft w:val="0"/>
                              <w:marRight w:val="0"/>
                              <w:marTop w:val="0"/>
                              <w:marBottom w:val="0"/>
                              <w:divBdr>
                                <w:top w:val="none" w:sz="0" w:space="0" w:color="auto"/>
                                <w:left w:val="none" w:sz="0" w:space="0" w:color="auto"/>
                                <w:bottom w:val="none" w:sz="0" w:space="0" w:color="auto"/>
                                <w:right w:val="none" w:sz="0" w:space="0" w:color="auto"/>
                              </w:divBdr>
                              <w:divsChild>
                                <w:div w:id="4840564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69890968">
                          <w:marLeft w:val="0"/>
                          <w:marRight w:val="0"/>
                          <w:marTop w:val="0"/>
                          <w:marBottom w:val="0"/>
                          <w:divBdr>
                            <w:top w:val="none" w:sz="0" w:space="0" w:color="auto"/>
                            <w:left w:val="none" w:sz="0" w:space="0" w:color="auto"/>
                            <w:bottom w:val="none" w:sz="0" w:space="0" w:color="auto"/>
                            <w:right w:val="none" w:sz="0" w:space="0" w:color="auto"/>
                          </w:divBdr>
                          <w:divsChild>
                            <w:div w:id="1509639869">
                              <w:marLeft w:val="0"/>
                              <w:marRight w:val="0"/>
                              <w:marTop w:val="0"/>
                              <w:marBottom w:val="0"/>
                              <w:divBdr>
                                <w:top w:val="none" w:sz="0" w:space="0" w:color="auto"/>
                                <w:left w:val="none" w:sz="0" w:space="0" w:color="auto"/>
                                <w:bottom w:val="none" w:sz="0" w:space="0" w:color="auto"/>
                                <w:right w:val="none" w:sz="0" w:space="0" w:color="auto"/>
                              </w:divBdr>
                              <w:divsChild>
                                <w:div w:id="18359521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926037">
                  <w:marLeft w:val="0"/>
                  <w:marRight w:val="0"/>
                  <w:marTop w:val="0"/>
                  <w:marBottom w:val="0"/>
                  <w:divBdr>
                    <w:top w:val="none" w:sz="0" w:space="0" w:color="auto"/>
                    <w:left w:val="none" w:sz="0" w:space="0" w:color="auto"/>
                    <w:bottom w:val="none" w:sz="0" w:space="0" w:color="auto"/>
                    <w:right w:val="none" w:sz="0" w:space="0" w:color="auto"/>
                  </w:divBdr>
                  <w:divsChild>
                    <w:div w:id="1070226610">
                      <w:marLeft w:val="0"/>
                      <w:marRight w:val="0"/>
                      <w:marTop w:val="0"/>
                      <w:marBottom w:val="75"/>
                      <w:divBdr>
                        <w:top w:val="none" w:sz="0" w:space="0" w:color="auto"/>
                        <w:left w:val="none" w:sz="0" w:space="0" w:color="auto"/>
                        <w:bottom w:val="none" w:sz="0" w:space="0" w:color="auto"/>
                        <w:right w:val="none" w:sz="0" w:space="0" w:color="auto"/>
                      </w:divBdr>
                    </w:div>
                  </w:divsChild>
                </w:div>
                <w:div w:id="1526090283">
                  <w:marLeft w:val="0"/>
                  <w:marRight w:val="0"/>
                  <w:marTop w:val="0"/>
                  <w:marBottom w:val="0"/>
                  <w:divBdr>
                    <w:top w:val="none" w:sz="0" w:space="0" w:color="auto"/>
                    <w:left w:val="none" w:sz="0" w:space="0" w:color="auto"/>
                    <w:bottom w:val="none" w:sz="0" w:space="0" w:color="auto"/>
                    <w:right w:val="none" w:sz="0" w:space="0" w:color="auto"/>
                  </w:divBdr>
                  <w:divsChild>
                    <w:div w:id="605575234">
                      <w:marLeft w:val="0"/>
                      <w:marRight w:val="0"/>
                      <w:marTop w:val="0"/>
                      <w:marBottom w:val="0"/>
                      <w:divBdr>
                        <w:top w:val="none" w:sz="0" w:space="0" w:color="auto"/>
                        <w:left w:val="none" w:sz="0" w:space="0" w:color="auto"/>
                        <w:bottom w:val="none" w:sz="0" w:space="0" w:color="auto"/>
                        <w:right w:val="none" w:sz="0" w:space="0" w:color="auto"/>
                      </w:divBdr>
                      <w:divsChild>
                        <w:div w:id="1284268437">
                          <w:marLeft w:val="0"/>
                          <w:marRight w:val="0"/>
                          <w:marTop w:val="0"/>
                          <w:marBottom w:val="0"/>
                          <w:divBdr>
                            <w:top w:val="none" w:sz="0" w:space="0" w:color="auto"/>
                            <w:left w:val="none" w:sz="0" w:space="0" w:color="auto"/>
                            <w:bottom w:val="none" w:sz="0" w:space="0" w:color="auto"/>
                            <w:right w:val="none" w:sz="0" w:space="0" w:color="auto"/>
                          </w:divBdr>
                          <w:divsChild>
                            <w:div w:id="200174972">
                              <w:marLeft w:val="0"/>
                              <w:marRight w:val="0"/>
                              <w:marTop w:val="0"/>
                              <w:marBottom w:val="0"/>
                              <w:divBdr>
                                <w:top w:val="none" w:sz="0" w:space="0" w:color="auto"/>
                                <w:left w:val="none" w:sz="0" w:space="0" w:color="auto"/>
                                <w:bottom w:val="none" w:sz="0" w:space="0" w:color="auto"/>
                                <w:right w:val="none" w:sz="0" w:space="0" w:color="auto"/>
                              </w:divBdr>
                            </w:div>
                            <w:div w:id="1925647384">
                              <w:marLeft w:val="0"/>
                              <w:marRight w:val="0"/>
                              <w:marTop w:val="0"/>
                              <w:marBottom w:val="0"/>
                              <w:divBdr>
                                <w:top w:val="none" w:sz="0" w:space="0" w:color="auto"/>
                                <w:left w:val="none" w:sz="0" w:space="0" w:color="auto"/>
                                <w:bottom w:val="none" w:sz="0" w:space="0" w:color="auto"/>
                                <w:right w:val="none" w:sz="0" w:space="0" w:color="auto"/>
                              </w:divBdr>
                              <w:divsChild>
                                <w:div w:id="17793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9531">
                      <w:marLeft w:val="0"/>
                      <w:marRight w:val="0"/>
                      <w:marTop w:val="0"/>
                      <w:marBottom w:val="0"/>
                      <w:divBdr>
                        <w:top w:val="none" w:sz="0" w:space="0" w:color="auto"/>
                        <w:left w:val="none" w:sz="0" w:space="0" w:color="auto"/>
                        <w:bottom w:val="none" w:sz="0" w:space="0" w:color="auto"/>
                        <w:right w:val="none" w:sz="0" w:space="0" w:color="auto"/>
                      </w:divBdr>
                    </w:div>
                    <w:div w:id="1872263476">
                      <w:marLeft w:val="0"/>
                      <w:marRight w:val="0"/>
                      <w:marTop w:val="0"/>
                      <w:marBottom w:val="0"/>
                      <w:divBdr>
                        <w:top w:val="none" w:sz="0" w:space="0" w:color="auto"/>
                        <w:left w:val="none" w:sz="0" w:space="0" w:color="auto"/>
                        <w:bottom w:val="none" w:sz="0" w:space="0" w:color="auto"/>
                        <w:right w:val="none" w:sz="0" w:space="0" w:color="auto"/>
                      </w:divBdr>
                    </w:div>
                  </w:divsChild>
                </w:div>
                <w:div w:id="1689602000">
                  <w:marLeft w:val="0"/>
                  <w:marRight w:val="0"/>
                  <w:marTop w:val="0"/>
                  <w:marBottom w:val="0"/>
                  <w:divBdr>
                    <w:top w:val="none" w:sz="0" w:space="0" w:color="auto"/>
                    <w:left w:val="none" w:sz="0" w:space="0" w:color="auto"/>
                    <w:bottom w:val="none" w:sz="0" w:space="0" w:color="auto"/>
                    <w:right w:val="none" w:sz="0" w:space="0" w:color="auto"/>
                  </w:divBdr>
                  <w:divsChild>
                    <w:div w:id="315885498">
                      <w:marLeft w:val="0"/>
                      <w:marRight w:val="0"/>
                      <w:marTop w:val="0"/>
                      <w:marBottom w:val="0"/>
                      <w:divBdr>
                        <w:top w:val="none" w:sz="0" w:space="0" w:color="auto"/>
                        <w:left w:val="none" w:sz="0" w:space="0" w:color="auto"/>
                        <w:bottom w:val="none" w:sz="0" w:space="0" w:color="auto"/>
                        <w:right w:val="none" w:sz="0" w:space="0" w:color="auto"/>
                      </w:divBdr>
                      <w:divsChild>
                        <w:div w:id="5981571">
                          <w:marLeft w:val="0"/>
                          <w:marRight w:val="0"/>
                          <w:marTop w:val="0"/>
                          <w:marBottom w:val="0"/>
                          <w:divBdr>
                            <w:top w:val="none" w:sz="0" w:space="0" w:color="auto"/>
                            <w:left w:val="none" w:sz="0" w:space="0" w:color="auto"/>
                            <w:bottom w:val="none" w:sz="0" w:space="0" w:color="auto"/>
                            <w:right w:val="none" w:sz="0" w:space="0" w:color="auto"/>
                          </w:divBdr>
                          <w:divsChild>
                            <w:div w:id="2089379834">
                              <w:marLeft w:val="0"/>
                              <w:marRight w:val="0"/>
                              <w:marTop w:val="0"/>
                              <w:marBottom w:val="0"/>
                              <w:divBdr>
                                <w:top w:val="none" w:sz="0" w:space="0" w:color="auto"/>
                                <w:left w:val="none" w:sz="0" w:space="0" w:color="auto"/>
                                <w:bottom w:val="none" w:sz="0" w:space="0" w:color="auto"/>
                                <w:right w:val="none" w:sz="0" w:space="0" w:color="auto"/>
                              </w:divBdr>
                              <w:divsChild>
                                <w:div w:id="3510330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4707967">
                          <w:marLeft w:val="0"/>
                          <w:marRight w:val="0"/>
                          <w:marTop w:val="0"/>
                          <w:marBottom w:val="0"/>
                          <w:divBdr>
                            <w:top w:val="none" w:sz="0" w:space="0" w:color="auto"/>
                            <w:left w:val="none" w:sz="0" w:space="0" w:color="auto"/>
                            <w:bottom w:val="none" w:sz="0" w:space="0" w:color="auto"/>
                            <w:right w:val="none" w:sz="0" w:space="0" w:color="auto"/>
                          </w:divBdr>
                          <w:divsChild>
                            <w:div w:id="2013339831">
                              <w:marLeft w:val="0"/>
                              <w:marRight w:val="0"/>
                              <w:marTop w:val="0"/>
                              <w:marBottom w:val="0"/>
                              <w:divBdr>
                                <w:top w:val="none" w:sz="0" w:space="0" w:color="auto"/>
                                <w:left w:val="none" w:sz="0" w:space="0" w:color="auto"/>
                                <w:bottom w:val="none" w:sz="0" w:space="0" w:color="auto"/>
                                <w:right w:val="none" w:sz="0" w:space="0" w:color="auto"/>
                              </w:divBdr>
                              <w:divsChild>
                                <w:div w:id="8824437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46870108">
                          <w:marLeft w:val="0"/>
                          <w:marRight w:val="0"/>
                          <w:marTop w:val="0"/>
                          <w:marBottom w:val="0"/>
                          <w:divBdr>
                            <w:top w:val="none" w:sz="0" w:space="0" w:color="auto"/>
                            <w:left w:val="none" w:sz="0" w:space="0" w:color="auto"/>
                            <w:bottom w:val="none" w:sz="0" w:space="0" w:color="auto"/>
                            <w:right w:val="none" w:sz="0" w:space="0" w:color="auto"/>
                          </w:divBdr>
                          <w:divsChild>
                            <w:div w:id="1408383049">
                              <w:marLeft w:val="0"/>
                              <w:marRight w:val="0"/>
                              <w:marTop w:val="0"/>
                              <w:marBottom w:val="0"/>
                              <w:divBdr>
                                <w:top w:val="none" w:sz="0" w:space="0" w:color="auto"/>
                                <w:left w:val="none" w:sz="0" w:space="0" w:color="auto"/>
                                <w:bottom w:val="none" w:sz="0" w:space="0" w:color="auto"/>
                                <w:right w:val="none" w:sz="0" w:space="0" w:color="auto"/>
                              </w:divBdr>
                              <w:divsChild>
                                <w:div w:id="616834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63092844">
                          <w:marLeft w:val="0"/>
                          <w:marRight w:val="0"/>
                          <w:marTop w:val="0"/>
                          <w:marBottom w:val="0"/>
                          <w:divBdr>
                            <w:top w:val="none" w:sz="0" w:space="0" w:color="auto"/>
                            <w:left w:val="none" w:sz="0" w:space="0" w:color="auto"/>
                            <w:bottom w:val="none" w:sz="0" w:space="0" w:color="auto"/>
                            <w:right w:val="none" w:sz="0" w:space="0" w:color="auto"/>
                          </w:divBdr>
                          <w:divsChild>
                            <w:div w:id="1431007887">
                              <w:marLeft w:val="0"/>
                              <w:marRight w:val="0"/>
                              <w:marTop w:val="0"/>
                              <w:marBottom w:val="0"/>
                              <w:divBdr>
                                <w:top w:val="none" w:sz="0" w:space="0" w:color="auto"/>
                                <w:left w:val="none" w:sz="0" w:space="0" w:color="auto"/>
                                <w:bottom w:val="none" w:sz="0" w:space="0" w:color="auto"/>
                                <w:right w:val="none" w:sz="0" w:space="0" w:color="auto"/>
                              </w:divBdr>
                              <w:divsChild>
                                <w:div w:id="7473394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44321052">
                      <w:marLeft w:val="0"/>
                      <w:marRight w:val="0"/>
                      <w:marTop w:val="0"/>
                      <w:marBottom w:val="0"/>
                      <w:divBdr>
                        <w:top w:val="none" w:sz="0" w:space="0" w:color="auto"/>
                        <w:left w:val="none" w:sz="0" w:space="0" w:color="auto"/>
                        <w:bottom w:val="none" w:sz="0" w:space="0" w:color="auto"/>
                        <w:right w:val="none" w:sz="0" w:space="0" w:color="auto"/>
                      </w:divBdr>
                      <w:divsChild>
                        <w:div w:id="1006830642">
                          <w:marLeft w:val="0"/>
                          <w:marRight w:val="0"/>
                          <w:marTop w:val="0"/>
                          <w:marBottom w:val="0"/>
                          <w:divBdr>
                            <w:top w:val="none" w:sz="0" w:space="0" w:color="auto"/>
                            <w:left w:val="none" w:sz="0" w:space="0" w:color="auto"/>
                            <w:bottom w:val="none" w:sz="0" w:space="0" w:color="auto"/>
                            <w:right w:val="none" w:sz="0" w:space="0" w:color="auto"/>
                          </w:divBdr>
                          <w:divsChild>
                            <w:div w:id="90128762">
                              <w:marLeft w:val="0"/>
                              <w:marRight w:val="0"/>
                              <w:marTop w:val="0"/>
                              <w:marBottom w:val="0"/>
                              <w:divBdr>
                                <w:top w:val="none" w:sz="0" w:space="0" w:color="auto"/>
                                <w:left w:val="none" w:sz="0" w:space="0" w:color="auto"/>
                                <w:bottom w:val="none" w:sz="0" w:space="0" w:color="auto"/>
                                <w:right w:val="none" w:sz="0" w:space="0" w:color="auto"/>
                              </w:divBdr>
                              <w:divsChild>
                                <w:div w:id="1823962170">
                                  <w:marLeft w:val="0"/>
                                  <w:marRight w:val="0"/>
                                  <w:marTop w:val="0"/>
                                  <w:marBottom w:val="0"/>
                                  <w:divBdr>
                                    <w:top w:val="none" w:sz="0" w:space="0" w:color="auto"/>
                                    <w:left w:val="none" w:sz="0" w:space="0" w:color="auto"/>
                                    <w:bottom w:val="none" w:sz="0" w:space="0" w:color="auto"/>
                                    <w:right w:val="none" w:sz="0" w:space="0" w:color="auto"/>
                                  </w:divBdr>
                                </w:div>
                              </w:divsChild>
                            </w:div>
                            <w:div w:id="513617789">
                              <w:marLeft w:val="0"/>
                              <w:marRight w:val="0"/>
                              <w:marTop w:val="0"/>
                              <w:marBottom w:val="0"/>
                              <w:divBdr>
                                <w:top w:val="none" w:sz="0" w:space="0" w:color="auto"/>
                                <w:left w:val="none" w:sz="0" w:space="0" w:color="auto"/>
                                <w:bottom w:val="none" w:sz="0" w:space="0" w:color="auto"/>
                                <w:right w:val="none" w:sz="0" w:space="0" w:color="auto"/>
                              </w:divBdr>
                              <w:divsChild>
                                <w:div w:id="980694154">
                                  <w:marLeft w:val="0"/>
                                  <w:marRight w:val="0"/>
                                  <w:marTop w:val="0"/>
                                  <w:marBottom w:val="0"/>
                                  <w:divBdr>
                                    <w:top w:val="none" w:sz="0" w:space="0" w:color="auto"/>
                                    <w:left w:val="none" w:sz="0" w:space="0" w:color="auto"/>
                                    <w:bottom w:val="none" w:sz="0" w:space="0" w:color="auto"/>
                                    <w:right w:val="none" w:sz="0" w:space="0" w:color="auto"/>
                                  </w:divBdr>
                                </w:div>
                              </w:divsChild>
                            </w:div>
                            <w:div w:id="693846721">
                              <w:marLeft w:val="0"/>
                              <w:marRight w:val="0"/>
                              <w:marTop w:val="0"/>
                              <w:marBottom w:val="0"/>
                              <w:divBdr>
                                <w:top w:val="none" w:sz="0" w:space="0" w:color="auto"/>
                                <w:left w:val="none" w:sz="0" w:space="0" w:color="auto"/>
                                <w:bottom w:val="none" w:sz="0" w:space="0" w:color="auto"/>
                                <w:right w:val="none" w:sz="0" w:space="0" w:color="auto"/>
                              </w:divBdr>
                              <w:divsChild>
                                <w:div w:id="1672173992">
                                  <w:marLeft w:val="0"/>
                                  <w:marRight w:val="0"/>
                                  <w:marTop w:val="0"/>
                                  <w:marBottom w:val="0"/>
                                  <w:divBdr>
                                    <w:top w:val="none" w:sz="0" w:space="0" w:color="auto"/>
                                    <w:left w:val="none" w:sz="0" w:space="0" w:color="auto"/>
                                    <w:bottom w:val="none" w:sz="0" w:space="0" w:color="auto"/>
                                    <w:right w:val="none" w:sz="0" w:space="0" w:color="auto"/>
                                  </w:divBdr>
                                </w:div>
                              </w:divsChild>
                            </w:div>
                            <w:div w:id="1548106452">
                              <w:marLeft w:val="0"/>
                              <w:marRight w:val="0"/>
                              <w:marTop w:val="0"/>
                              <w:marBottom w:val="0"/>
                              <w:divBdr>
                                <w:top w:val="none" w:sz="0" w:space="0" w:color="auto"/>
                                <w:left w:val="none" w:sz="0" w:space="0" w:color="auto"/>
                                <w:bottom w:val="none" w:sz="0" w:space="0" w:color="auto"/>
                                <w:right w:val="none" w:sz="0" w:space="0" w:color="auto"/>
                              </w:divBdr>
                              <w:divsChild>
                                <w:div w:id="34081648">
                                  <w:marLeft w:val="0"/>
                                  <w:marRight w:val="0"/>
                                  <w:marTop w:val="0"/>
                                  <w:marBottom w:val="0"/>
                                  <w:divBdr>
                                    <w:top w:val="none" w:sz="0" w:space="0" w:color="auto"/>
                                    <w:left w:val="none" w:sz="0" w:space="0" w:color="auto"/>
                                    <w:bottom w:val="none" w:sz="0" w:space="0" w:color="auto"/>
                                    <w:right w:val="none" w:sz="0" w:space="0" w:color="auto"/>
                                  </w:divBdr>
                                </w:div>
                              </w:divsChild>
                            </w:div>
                            <w:div w:id="1802262445">
                              <w:marLeft w:val="0"/>
                              <w:marRight w:val="0"/>
                              <w:marTop w:val="0"/>
                              <w:marBottom w:val="0"/>
                              <w:divBdr>
                                <w:top w:val="none" w:sz="0" w:space="0" w:color="auto"/>
                                <w:left w:val="none" w:sz="0" w:space="0" w:color="auto"/>
                                <w:bottom w:val="none" w:sz="0" w:space="0" w:color="auto"/>
                                <w:right w:val="none" w:sz="0" w:space="0" w:color="auto"/>
                              </w:divBdr>
                              <w:divsChild>
                                <w:div w:id="1256862509">
                                  <w:marLeft w:val="0"/>
                                  <w:marRight w:val="0"/>
                                  <w:marTop w:val="0"/>
                                  <w:marBottom w:val="0"/>
                                  <w:divBdr>
                                    <w:top w:val="none" w:sz="0" w:space="0" w:color="auto"/>
                                    <w:left w:val="none" w:sz="0" w:space="0" w:color="auto"/>
                                    <w:bottom w:val="none" w:sz="0" w:space="0" w:color="auto"/>
                                    <w:right w:val="none" w:sz="0" w:space="0" w:color="auto"/>
                                  </w:divBdr>
                                </w:div>
                              </w:divsChild>
                            </w:div>
                            <w:div w:id="2114545326">
                              <w:marLeft w:val="0"/>
                              <w:marRight w:val="0"/>
                              <w:marTop w:val="0"/>
                              <w:marBottom w:val="0"/>
                              <w:divBdr>
                                <w:top w:val="none" w:sz="0" w:space="0" w:color="auto"/>
                                <w:left w:val="none" w:sz="0" w:space="0" w:color="auto"/>
                                <w:bottom w:val="none" w:sz="0" w:space="0" w:color="auto"/>
                                <w:right w:val="none" w:sz="0" w:space="0" w:color="auto"/>
                              </w:divBdr>
                              <w:divsChild>
                                <w:div w:id="14467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28390">
          <w:marLeft w:val="0"/>
          <w:marRight w:val="0"/>
          <w:marTop w:val="0"/>
          <w:marBottom w:val="0"/>
          <w:divBdr>
            <w:top w:val="none" w:sz="0" w:space="0" w:color="auto"/>
            <w:left w:val="none" w:sz="0" w:space="0" w:color="auto"/>
            <w:bottom w:val="none" w:sz="0" w:space="0" w:color="auto"/>
            <w:right w:val="none" w:sz="0" w:space="0" w:color="auto"/>
          </w:divBdr>
          <w:divsChild>
            <w:div w:id="1861816706">
              <w:marLeft w:val="0"/>
              <w:marRight w:val="0"/>
              <w:marTop w:val="0"/>
              <w:marBottom w:val="0"/>
              <w:divBdr>
                <w:top w:val="none" w:sz="0" w:space="0" w:color="auto"/>
                <w:left w:val="none" w:sz="0" w:space="0" w:color="auto"/>
                <w:bottom w:val="none" w:sz="0" w:space="0" w:color="auto"/>
                <w:right w:val="none" w:sz="0" w:space="0" w:color="auto"/>
              </w:divBdr>
              <w:divsChild>
                <w:div w:id="1763531668">
                  <w:marLeft w:val="0"/>
                  <w:marRight w:val="0"/>
                  <w:marTop w:val="0"/>
                  <w:marBottom w:val="0"/>
                  <w:divBdr>
                    <w:top w:val="none" w:sz="0" w:space="0" w:color="auto"/>
                    <w:left w:val="none" w:sz="0" w:space="0" w:color="auto"/>
                    <w:bottom w:val="none" w:sz="0" w:space="0" w:color="auto"/>
                    <w:right w:val="none" w:sz="0" w:space="0" w:color="auto"/>
                  </w:divBdr>
                  <w:divsChild>
                    <w:div w:id="917862641">
                      <w:marLeft w:val="0"/>
                      <w:marRight w:val="0"/>
                      <w:marTop w:val="0"/>
                      <w:marBottom w:val="0"/>
                      <w:divBdr>
                        <w:top w:val="none" w:sz="0" w:space="0" w:color="auto"/>
                        <w:left w:val="none" w:sz="0" w:space="0" w:color="auto"/>
                        <w:bottom w:val="none" w:sz="0" w:space="0" w:color="auto"/>
                        <w:right w:val="none" w:sz="0" w:space="0" w:color="auto"/>
                      </w:divBdr>
                      <w:divsChild>
                        <w:div w:id="1128428860">
                          <w:marLeft w:val="0"/>
                          <w:marRight w:val="0"/>
                          <w:marTop w:val="0"/>
                          <w:marBottom w:val="0"/>
                          <w:divBdr>
                            <w:top w:val="none" w:sz="0" w:space="0" w:color="auto"/>
                            <w:left w:val="none" w:sz="0" w:space="0" w:color="auto"/>
                            <w:bottom w:val="none" w:sz="0" w:space="0" w:color="auto"/>
                            <w:right w:val="none" w:sz="0" w:space="0" w:color="auto"/>
                          </w:divBdr>
                          <w:divsChild>
                            <w:div w:id="490290756">
                              <w:marLeft w:val="0"/>
                              <w:marRight w:val="525"/>
                              <w:marTop w:val="100"/>
                              <w:marBottom w:val="100"/>
                              <w:divBdr>
                                <w:top w:val="none" w:sz="0" w:space="0" w:color="auto"/>
                                <w:left w:val="none" w:sz="0" w:space="0" w:color="auto"/>
                                <w:bottom w:val="none" w:sz="0" w:space="0" w:color="auto"/>
                                <w:right w:val="none" w:sz="0" w:space="0" w:color="auto"/>
                              </w:divBdr>
                              <w:divsChild>
                                <w:div w:id="253058540">
                                  <w:marLeft w:val="0"/>
                                  <w:marRight w:val="0"/>
                                  <w:marTop w:val="0"/>
                                  <w:marBottom w:val="0"/>
                                  <w:divBdr>
                                    <w:top w:val="none" w:sz="0" w:space="0" w:color="auto"/>
                                    <w:left w:val="none" w:sz="0" w:space="0" w:color="auto"/>
                                    <w:bottom w:val="none" w:sz="0" w:space="0" w:color="auto"/>
                                    <w:right w:val="none" w:sz="0" w:space="0" w:color="auto"/>
                                  </w:divBdr>
                                  <w:divsChild>
                                    <w:div w:id="7560639">
                                      <w:blockQuote w:val="1"/>
                                      <w:marLeft w:val="720"/>
                                      <w:marRight w:val="720"/>
                                      <w:marTop w:val="100"/>
                                      <w:marBottom w:val="100"/>
                                      <w:divBdr>
                                        <w:top w:val="none" w:sz="0" w:space="0" w:color="auto"/>
                                        <w:left w:val="single" w:sz="18" w:space="0" w:color="A9A9A9"/>
                                        <w:bottom w:val="none" w:sz="0" w:space="0" w:color="auto"/>
                                        <w:right w:val="none" w:sz="0" w:space="0" w:color="auto"/>
                                      </w:divBdr>
                                    </w:div>
                                  </w:divsChild>
                                </w:div>
                                <w:div w:id="1540584323">
                                  <w:marLeft w:val="0"/>
                                  <w:marRight w:val="0"/>
                                  <w:marTop w:val="0"/>
                                  <w:marBottom w:val="0"/>
                                  <w:divBdr>
                                    <w:top w:val="none" w:sz="0" w:space="0" w:color="auto"/>
                                    <w:left w:val="none" w:sz="0" w:space="0" w:color="auto"/>
                                    <w:bottom w:val="none" w:sz="0" w:space="0" w:color="auto"/>
                                    <w:right w:val="none" w:sz="0" w:space="0" w:color="auto"/>
                                  </w:divBdr>
                                  <w:divsChild>
                                    <w:div w:id="64840259">
                                      <w:marLeft w:val="0"/>
                                      <w:marRight w:val="0"/>
                                      <w:marTop w:val="0"/>
                                      <w:marBottom w:val="0"/>
                                      <w:divBdr>
                                        <w:top w:val="none" w:sz="0" w:space="0" w:color="auto"/>
                                        <w:left w:val="none" w:sz="0" w:space="0" w:color="auto"/>
                                        <w:bottom w:val="none" w:sz="0" w:space="0" w:color="auto"/>
                                        <w:right w:val="none" w:sz="0" w:space="0" w:color="auto"/>
                                      </w:divBdr>
                                      <w:divsChild>
                                        <w:div w:id="430321307">
                                          <w:marLeft w:val="0"/>
                                          <w:marRight w:val="0"/>
                                          <w:marTop w:val="0"/>
                                          <w:marBottom w:val="0"/>
                                          <w:divBdr>
                                            <w:top w:val="none" w:sz="0" w:space="0" w:color="auto"/>
                                            <w:left w:val="none" w:sz="0" w:space="0" w:color="auto"/>
                                            <w:bottom w:val="none" w:sz="0" w:space="0" w:color="auto"/>
                                            <w:right w:val="none" w:sz="0" w:space="0" w:color="auto"/>
                                          </w:divBdr>
                                          <w:divsChild>
                                            <w:div w:id="144127656">
                                              <w:marLeft w:val="0"/>
                                              <w:marRight w:val="0"/>
                                              <w:marTop w:val="0"/>
                                              <w:marBottom w:val="0"/>
                                              <w:divBdr>
                                                <w:top w:val="none" w:sz="0" w:space="0" w:color="auto"/>
                                                <w:left w:val="none" w:sz="0" w:space="0" w:color="auto"/>
                                                <w:bottom w:val="none" w:sz="0" w:space="0" w:color="auto"/>
                                                <w:right w:val="none" w:sz="0" w:space="0" w:color="auto"/>
                                              </w:divBdr>
                                              <w:divsChild>
                                                <w:div w:id="1077626915">
                                                  <w:marLeft w:val="0"/>
                                                  <w:marRight w:val="0"/>
                                                  <w:marTop w:val="0"/>
                                                  <w:marBottom w:val="0"/>
                                                  <w:divBdr>
                                                    <w:top w:val="none" w:sz="0" w:space="0" w:color="auto"/>
                                                    <w:left w:val="none" w:sz="0" w:space="0" w:color="auto"/>
                                                    <w:bottom w:val="none" w:sz="0" w:space="0" w:color="auto"/>
                                                    <w:right w:val="none" w:sz="0" w:space="0" w:color="auto"/>
                                                  </w:divBdr>
                                                  <w:divsChild>
                                                    <w:div w:id="1069036957">
                                                      <w:marLeft w:val="0"/>
                                                      <w:marRight w:val="0"/>
                                                      <w:marTop w:val="0"/>
                                                      <w:marBottom w:val="0"/>
                                                      <w:divBdr>
                                                        <w:top w:val="none" w:sz="0" w:space="0" w:color="auto"/>
                                                        <w:left w:val="none" w:sz="0" w:space="0" w:color="auto"/>
                                                        <w:bottom w:val="none" w:sz="0" w:space="0" w:color="auto"/>
                                                        <w:right w:val="none" w:sz="0" w:space="0" w:color="auto"/>
                                                      </w:divBdr>
                                                    </w:div>
                                                    <w:div w:id="15855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1390">
                                              <w:marLeft w:val="0"/>
                                              <w:marRight w:val="0"/>
                                              <w:marTop w:val="0"/>
                                              <w:marBottom w:val="0"/>
                                              <w:divBdr>
                                                <w:top w:val="none" w:sz="0" w:space="0" w:color="auto"/>
                                                <w:left w:val="none" w:sz="0" w:space="0" w:color="auto"/>
                                                <w:bottom w:val="none" w:sz="0" w:space="0" w:color="auto"/>
                                                <w:right w:val="none" w:sz="0" w:space="0" w:color="auto"/>
                                              </w:divBdr>
                                              <w:divsChild>
                                                <w:div w:id="1537279706">
                                                  <w:marLeft w:val="0"/>
                                                  <w:marRight w:val="0"/>
                                                  <w:marTop w:val="0"/>
                                                  <w:marBottom w:val="0"/>
                                                  <w:divBdr>
                                                    <w:top w:val="none" w:sz="0" w:space="0" w:color="auto"/>
                                                    <w:left w:val="none" w:sz="0" w:space="0" w:color="auto"/>
                                                    <w:bottom w:val="none" w:sz="0" w:space="0" w:color="auto"/>
                                                    <w:right w:val="none" w:sz="0" w:space="0" w:color="auto"/>
                                                  </w:divBdr>
                                                  <w:divsChild>
                                                    <w:div w:id="1090396408">
                                                      <w:marLeft w:val="0"/>
                                                      <w:marRight w:val="0"/>
                                                      <w:marTop w:val="0"/>
                                                      <w:marBottom w:val="0"/>
                                                      <w:divBdr>
                                                        <w:top w:val="none" w:sz="0" w:space="0" w:color="auto"/>
                                                        <w:left w:val="none" w:sz="0" w:space="0" w:color="auto"/>
                                                        <w:bottom w:val="none" w:sz="0" w:space="0" w:color="auto"/>
                                                        <w:right w:val="none" w:sz="0" w:space="0" w:color="auto"/>
                                                      </w:divBdr>
                                                    </w:div>
                                                    <w:div w:id="16839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6733">
                                              <w:marLeft w:val="0"/>
                                              <w:marRight w:val="0"/>
                                              <w:marTop w:val="0"/>
                                              <w:marBottom w:val="0"/>
                                              <w:divBdr>
                                                <w:top w:val="none" w:sz="0" w:space="0" w:color="auto"/>
                                                <w:left w:val="none" w:sz="0" w:space="0" w:color="auto"/>
                                                <w:bottom w:val="none" w:sz="0" w:space="0" w:color="auto"/>
                                                <w:right w:val="none" w:sz="0" w:space="0" w:color="auto"/>
                                              </w:divBdr>
                                              <w:divsChild>
                                                <w:div w:id="262766167">
                                                  <w:marLeft w:val="0"/>
                                                  <w:marRight w:val="0"/>
                                                  <w:marTop w:val="0"/>
                                                  <w:marBottom w:val="0"/>
                                                  <w:divBdr>
                                                    <w:top w:val="none" w:sz="0" w:space="0" w:color="auto"/>
                                                    <w:left w:val="none" w:sz="0" w:space="0" w:color="auto"/>
                                                    <w:bottom w:val="none" w:sz="0" w:space="0" w:color="auto"/>
                                                    <w:right w:val="none" w:sz="0" w:space="0" w:color="auto"/>
                                                  </w:divBdr>
                                                  <w:divsChild>
                                                    <w:div w:id="102724159">
                                                      <w:marLeft w:val="0"/>
                                                      <w:marRight w:val="0"/>
                                                      <w:marTop w:val="0"/>
                                                      <w:marBottom w:val="0"/>
                                                      <w:divBdr>
                                                        <w:top w:val="none" w:sz="0" w:space="0" w:color="auto"/>
                                                        <w:left w:val="none" w:sz="0" w:space="0" w:color="auto"/>
                                                        <w:bottom w:val="none" w:sz="0" w:space="0" w:color="auto"/>
                                                        <w:right w:val="none" w:sz="0" w:space="0" w:color="auto"/>
                                                      </w:divBdr>
                                                      <w:divsChild>
                                                        <w:div w:id="970021275">
                                                          <w:marLeft w:val="0"/>
                                                          <w:marRight w:val="0"/>
                                                          <w:marTop w:val="0"/>
                                                          <w:marBottom w:val="0"/>
                                                          <w:divBdr>
                                                            <w:top w:val="none" w:sz="0" w:space="0" w:color="auto"/>
                                                            <w:left w:val="none" w:sz="0" w:space="0" w:color="auto"/>
                                                            <w:bottom w:val="none" w:sz="0" w:space="0" w:color="auto"/>
                                                            <w:right w:val="none" w:sz="0" w:space="0" w:color="auto"/>
                                                          </w:divBdr>
                                                          <w:divsChild>
                                                            <w:div w:id="1824160311">
                                                              <w:marLeft w:val="0"/>
                                                              <w:marRight w:val="0"/>
                                                              <w:marTop w:val="0"/>
                                                              <w:marBottom w:val="0"/>
                                                              <w:divBdr>
                                                                <w:top w:val="none" w:sz="0" w:space="0" w:color="auto"/>
                                                                <w:left w:val="none" w:sz="0" w:space="0" w:color="auto"/>
                                                                <w:bottom w:val="none" w:sz="0" w:space="0" w:color="auto"/>
                                                                <w:right w:val="none" w:sz="0" w:space="0" w:color="auto"/>
                                                              </w:divBdr>
                                                              <w:divsChild>
                                                                <w:div w:id="806699731">
                                                                  <w:marLeft w:val="0"/>
                                                                  <w:marRight w:val="0"/>
                                                                  <w:marTop w:val="0"/>
                                                                  <w:marBottom w:val="0"/>
                                                                  <w:divBdr>
                                                                    <w:top w:val="none" w:sz="0" w:space="0" w:color="auto"/>
                                                                    <w:left w:val="none" w:sz="0" w:space="0" w:color="auto"/>
                                                                    <w:bottom w:val="none" w:sz="0" w:space="0" w:color="auto"/>
                                                                    <w:right w:val="none" w:sz="0" w:space="0" w:color="auto"/>
                                                                  </w:divBdr>
                                                                </w:div>
                                                                <w:div w:id="10920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3772">
                                                          <w:marLeft w:val="0"/>
                                                          <w:marRight w:val="0"/>
                                                          <w:marTop w:val="0"/>
                                                          <w:marBottom w:val="0"/>
                                                          <w:divBdr>
                                                            <w:top w:val="none" w:sz="0" w:space="0" w:color="auto"/>
                                                            <w:left w:val="none" w:sz="0" w:space="0" w:color="auto"/>
                                                            <w:bottom w:val="none" w:sz="0" w:space="0" w:color="auto"/>
                                                            <w:right w:val="none" w:sz="0" w:space="0" w:color="auto"/>
                                                          </w:divBdr>
                                                          <w:divsChild>
                                                            <w:div w:id="2002655563">
                                                              <w:marLeft w:val="0"/>
                                                              <w:marRight w:val="0"/>
                                                              <w:marTop w:val="0"/>
                                                              <w:marBottom w:val="0"/>
                                                              <w:divBdr>
                                                                <w:top w:val="none" w:sz="0" w:space="0" w:color="auto"/>
                                                                <w:left w:val="none" w:sz="0" w:space="0" w:color="auto"/>
                                                                <w:bottom w:val="none" w:sz="0" w:space="0" w:color="auto"/>
                                                                <w:right w:val="none" w:sz="0" w:space="0" w:color="auto"/>
                                                              </w:divBdr>
                                                              <w:divsChild>
                                                                <w:div w:id="1032876963">
                                                                  <w:marLeft w:val="0"/>
                                                                  <w:marRight w:val="0"/>
                                                                  <w:marTop w:val="0"/>
                                                                  <w:marBottom w:val="0"/>
                                                                  <w:divBdr>
                                                                    <w:top w:val="none" w:sz="0" w:space="0" w:color="auto"/>
                                                                    <w:left w:val="none" w:sz="0" w:space="0" w:color="auto"/>
                                                                    <w:bottom w:val="none" w:sz="0" w:space="0" w:color="auto"/>
                                                                    <w:right w:val="none" w:sz="0" w:space="0" w:color="auto"/>
                                                                  </w:divBdr>
                                                                </w:div>
                                                                <w:div w:id="13707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4366">
                                                          <w:marLeft w:val="0"/>
                                                          <w:marRight w:val="0"/>
                                                          <w:marTop w:val="0"/>
                                                          <w:marBottom w:val="0"/>
                                                          <w:divBdr>
                                                            <w:top w:val="none" w:sz="0" w:space="0" w:color="auto"/>
                                                            <w:left w:val="none" w:sz="0" w:space="0" w:color="auto"/>
                                                            <w:bottom w:val="none" w:sz="0" w:space="0" w:color="auto"/>
                                                            <w:right w:val="none" w:sz="0" w:space="0" w:color="auto"/>
                                                          </w:divBdr>
                                                          <w:divsChild>
                                                            <w:div w:id="1286080612">
                                                              <w:marLeft w:val="0"/>
                                                              <w:marRight w:val="0"/>
                                                              <w:marTop w:val="0"/>
                                                              <w:marBottom w:val="0"/>
                                                              <w:divBdr>
                                                                <w:top w:val="none" w:sz="0" w:space="0" w:color="auto"/>
                                                                <w:left w:val="none" w:sz="0" w:space="0" w:color="auto"/>
                                                                <w:bottom w:val="none" w:sz="0" w:space="0" w:color="auto"/>
                                                                <w:right w:val="none" w:sz="0" w:space="0" w:color="auto"/>
                                                              </w:divBdr>
                                                              <w:divsChild>
                                                                <w:div w:id="850992736">
                                                                  <w:marLeft w:val="0"/>
                                                                  <w:marRight w:val="0"/>
                                                                  <w:marTop w:val="0"/>
                                                                  <w:marBottom w:val="0"/>
                                                                  <w:divBdr>
                                                                    <w:top w:val="none" w:sz="0" w:space="0" w:color="auto"/>
                                                                    <w:left w:val="none" w:sz="0" w:space="0" w:color="auto"/>
                                                                    <w:bottom w:val="none" w:sz="0" w:space="0" w:color="auto"/>
                                                                    <w:right w:val="none" w:sz="0" w:space="0" w:color="auto"/>
                                                                  </w:divBdr>
                                                                </w:div>
                                                                <w:div w:id="16358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7495">
                              <w:marLeft w:val="0"/>
                              <w:marRight w:val="0"/>
                              <w:marTop w:val="0"/>
                              <w:marBottom w:val="0"/>
                              <w:divBdr>
                                <w:top w:val="none" w:sz="0" w:space="0" w:color="auto"/>
                                <w:left w:val="none" w:sz="0" w:space="0" w:color="auto"/>
                                <w:bottom w:val="single" w:sz="12" w:space="0" w:color="B9B9B9"/>
                                <w:right w:val="none" w:sz="0" w:space="0" w:color="auto"/>
                              </w:divBdr>
                              <w:divsChild>
                                <w:div w:id="359285736">
                                  <w:marLeft w:val="0"/>
                                  <w:marRight w:val="0"/>
                                  <w:marTop w:val="0"/>
                                  <w:marBottom w:val="0"/>
                                  <w:divBdr>
                                    <w:top w:val="none" w:sz="0" w:space="0" w:color="auto"/>
                                    <w:left w:val="none" w:sz="0" w:space="0" w:color="auto"/>
                                    <w:bottom w:val="none" w:sz="0" w:space="0" w:color="auto"/>
                                    <w:right w:val="none" w:sz="0" w:space="0" w:color="auto"/>
                                  </w:divBdr>
                                </w:div>
                                <w:div w:id="2075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17666">
          <w:marLeft w:val="0"/>
          <w:marRight w:val="0"/>
          <w:marTop w:val="0"/>
          <w:marBottom w:val="0"/>
          <w:divBdr>
            <w:top w:val="none" w:sz="0" w:space="0" w:color="auto"/>
            <w:left w:val="none" w:sz="0" w:space="0" w:color="auto"/>
            <w:bottom w:val="none" w:sz="0" w:space="0" w:color="auto"/>
            <w:right w:val="none" w:sz="0" w:space="0" w:color="auto"/>
          </w:divBdr>
          <w:divsChild>
            <w:div w:id="295568573">
              <w:marLeft w:val="0"/>
              <w:marRight w:val="0"/>
              <w:marTop w:val="0"/>
              <w:marBottom w:val="0"/>
              <w:divBdr>
                <w:top w:val="none" w:sz="0" w:space="0" w:color="auto"/>
                <w:left w:val="none" w:sz="0" w:space="0" w:color="auto"/>
                <w:bottom w:val="none" w:sz="0" w:space="0" w:color="auto"/>
                <w:right w:val="none" w:sz="0" w:space="0" w:color="auto"/>
              </w:divBdr>
              <w:divsChild>
                <w:div w:id="1030692606">
                  <w:marLeft w:val="0"/>
                  <w:marRight w:val="0"/>
                  <w:marTop w:val="0"/>
                  <w:marBottom w:val="0"/>
                  <w:divBdr>
                    <w:top w:val="none" w:sz="0" w:space="0" w:color="auto"/>
                    <w:left w:val="none" w:sz="0" w:space="0" w:color="auto"/>
                    <w:bottom w:val="none" w:sz="0" w:space="0" w:color="auto"/>
                    <w:right w:val="none" w:sz="0" w:space="0" w:color="auto"/>
                  </w:divBdr>
                  <w:divsChild>
                    <w:div w:id="990713779">
                      <w:marLeft w:val="0"/>
                      <w:marRight w:val="0"/>
                      <w:marTop w:val="0"/>
                      <w:marBottom w:val="0"/>
                      <w:divBdr>
                        <w:top w:val="none" w:sz="0" w:space="0" w:color="auto"/>
                        <w:left w:val="none" w:sz="0" w:space="0" w:color="auto"/>
                        <w:bottom w:val="none" w:sz="0" w:space="0" w:color="auto"/>
                        <w:right w:val="none" w:sz="0" w:space="0" w:color="auto"/>
                      </w:divBdr>
                      <w:divsChild>
                        <w:div w:id="1138180734">
                          <w:marLeft w:val="0"/>
                          <w:marRight w:val="0"/>
                          <w:marTop w:val="0"/>
                          <w:marBottom w:val="0"/>
                          <w:divBdr>
                            <w:top w:val="none" w:sz="0" w:space="0" w:color="auto"/>
                            <w:left w:val="none" w:sz="0" w:space="0" w:color="auto"/>
                            <w:bottom w:val="none" w:sz="0" w:space="0" w:color="auto"/>
                            <w:right w:val="none" w:sz="0" w:space="0" w:color="auto"/>
                          </w:divBdr>
                        </w:div>
                        <w:div w:id="1374620164">
                          <w:marLeft w:val="0"/>
                          <w:marRight w:val="0"/>
                          <w:marTop w:val="0"/>
                          <w:marBottom w:val="0"/>
                          <w:divBdr>
                            <w:top w:val="none" w:sz="0" w:space="0" w:color="auto"/>
                            <w:left w:val="none" w:sz="0" w:space="0" w:color="auto"/>
                            <w:bottom w:val="none" w:sz="0" w:space="0" w:color="auto"/>
                            <w:right w:val="none" w:sz="0" w:space="0" w:color="auto"/>
                          </w:divBdr>
                          <w:divsChild>
                            <w:div w:id="620847837">
                              <w:marLeft w:val="0"/>
                              <w:marRight w:val="0"/>
                              <w:marTop w:val="0"/>
                              <w:marBottom w:val="0"/>
                              <w:divBdr>
                                <w:top w:val="none" w:sz="0" w:space="0" w:color="auto"/>
                                <w:left w:val="none" w:sz="0" w:space="0" w:color="auto"/>
                                <w:bottom w:val="none" w:sz="0" w:space="0" w:color="auto"/>
                                <w:right w:val="none" w:sz="0" w:space="0" w:color="auto"/>
                              </w:divBdr>
                              <w:divsChild>
                                <w:div w:id="1870794594">
                                  <w:marLeft w:val="0"/>
                                  <w:marRight w:val="0"/>
                                  <w:marTop w:val="0"/>
                                  <w:marBottom w:val="0"/>
                                  <w:divBdr>
                                    <w:top w:val="none" w:sz="0" w:space="0" w:color="auto"/>
                                    <w:left w:val="none" w:sz="0" w:space="0" w:color="auto"/>
                                    <w:bottom w:val="none" w:sz="0" w:space="0" w:color="auto"/>
                                    <w:right w:val="none" w:sz="0" w:space="0" w:color="auto"/>
                                  </w:divBdr>
                                  <w:divsChild>
                                    <w:div w:id="20396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37953">
      <w:bodyDiv w:val="1"/>
      <w:marLeft w:val="0"/>
      <w:marRight w:val="0"/>
      <w:marTop w:val="0"/>
      <w:marBottom w:val="0"/>
      <w:divBdr>
        <w:top w:val="none" w:sz="0" w:space="0" w:color="auto"/>
        <w:left w:val="none" w:sz="0" w:space="0" w:color="auto"/>
        <w:bottom w:val="none" w:sz="0" w:space="0" w:color="auto"/>
        <w:right w:val="none" w:sz="0" w:space="0" w:color="auto"/>
      </w:divBdr>
      <w:divsChild>
        <w:div w:id="438336365">
          <w:marLeft w:val="0"/>
          <w:marRight w:val="0"/>
          <w:marTop w:val="0"/>
          <w:marBottom w:val="0"/>
          <w:divBdr>
            <w:top w:val="none" w:sz="0" w:space="0" w:color="auto"/>
            <w:left w:val="none" w:sz="0" w:space="0" w:color="auto"/>
            <w:bottom w:val="none" w:sz="0" w:space="0" w:color="auto"/>
            <w:right w:val="none" w:sz="0" w:space="0" w:color="auto"/>
          </w:divBdr>
          <w:divsChild>
            <w:div w:id="743796321">
              <w:marLeft w:val="0"/>
              <w:marRight w:val="0"/>
              <w:marTop w:val="480"/>
              <w:marBottom w:val="480"/>
              <w:divBdr>
                <w:top w:val="none" w:sz="0" w:space="0" w:color="auto"/>
                <w:left w:val="none" w:sz="0" w:space="0" w:color="auto"/>
                <w:bottom w:val="none" w:sz="0" w:space="0" w:color="auto"/>
                <w:right w:val="none" w:sz="0" w:space="0" w:color="auto"/>
              </w:divBdr>
              <w:divsChild>
                <w:div w:id="346058964">
                  <w:marLeft w:val="-180"/>
                  <w:marRight w:val="-180"/>
                  <w:marTop w:val="0"/>
                  <w:marBottom w:val="0"/>
                  <w:divBdr>
                    <w:top w:val="none" w:sz="0" w:space="0" w:color="auto"/>
                    <w:left w:val="none" w:sz="0" w:space="0" w:color="auto"/>
                    <w:bottom w:val="none" w:sz="0" w:space="0" w:color="auto"/>
                    <w:right w:val="none" w:sz="0" w:space="0" w:color="auto"/>
                  </w:divBdr>
                  <w:divsChild>
                    <w:div w:id="1671828232">
                      <w:marLeft w:val="0"/>
                      <w:marRight w:val="0"/>
                      <w:marTop w:val="0"/>
                      <w:marBottom w:val="0"/>
                      <w:divBdr>
                        <w:top w:val="none" w:sz="0" w:space="0" w:color="auto"/>
                        <w:left w:val="none" w:sz="0" w:space="0" w:color="auto"/>
                        <w:bottom w:val="none" w:sz="0" w:space="0" w:color="auto"/>
                        <w:right w:val="none" w:sz="0" w:space="0" w:color="auto"/>
                      </w:divBdr>
                      <w:divsChild>
                        <w:div w:id="87310163">
                          <w:marLeft w:val="0"/>
                          <w:marRight w:val="0"/>
                          <w:marTop w:val="0"/>
                          <w:marBottom w:val="0"/>
                          <w:divBdr>
                            <w:top w:val="none" w:sz="0" w:space="0" w:color="auto"/>
                            <w:left w:val="none" w:sz="0" w:space="0" w:color="auto"/>
                            <w:bottom w:val="none" w:sz="0" w:space="0" w:color="auto"/>
                            <w:right w:val="none" w:sz="0" w:space="0" w:color="auto"/>
                          </w:divBdr>
                          <w:divsChild>
                            <w:div w:id="2123918917">
                              <w:marLeft w:val="0"/>
                              <w:marRight w:val="0"/>
                              <w:marTop w:val="0"/>
                              <w:marBottom w:val="360"/>
                              <w:divBdr>
                                <w:top w:val="none" w:sz="0" w:space="0" w:color="auto"/>
                                <w:left w:val="none" w:sz="0" w:space="0" w:color="auto"/>
                                <w:bottom w:val="none" w:sz="0" w:space="0" w:color="auto"/>
                                <w:right w:val="none" w:sz="0" w:space="0" w:color="auto"/>
                              </w:divBdr>
                              <w:divsChild>
                                <w:div w:id="15319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06325">
                          <w:marLeft w:val="0"/>
                          <w:marRight w:val="0"/>
                          <w:marTop w:val="240"/>
                          <w:marBottom w:val="240"/>
                          <w:divBdr>
                            <w:top w:val="none" w:sz="0" w:space="0" w:color="auto"/>
                            <w:left w:val="none" w:sz="0" w:space="0" w:color="auto"/>
                            <w:bottom w:val="none" w:sz="0" w:space="0" w:color="auto"/>
                            <w:right w:val="none" w:sz="0" w:space="0" w:color="auto"/>
                          </w:divBdr>
                          <w:divsChild>
                            <w:div w:id="76900150">
                              <w:marLeft w:val="0"/>
                              <w:marRight w:val="0"/>
                              <w:marTop w:val="240"/>
                              <w:marBottom w:val="480"/>
                              <w:divBdr>
                                <w:top w:val="none" w:sz="0" w:space="0" w:color="auto"/>
                                <w:left w:val="none" w:sz="0" w:space="0" w:color="auto"/>
                                <w:bottom w:val="none" w:sz="0" w:space="0" w:color="auto"/>
                                <w:right w:val="none" w:sz="0" w:space="0" w:color="auto"/>
                              </w:divBdr>
                              <w:divsChild>
                                <w:div w:id="17127302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034">
              <w:marLeft w:val="0"/>
              <w:marRight w:val="0"/>
              <w:marTop w:val="480"/>
              <w:marBottom w:val="480"/>
              <w:divBdr>
                <w:top w:val="none" w:sz="0" w:space="0" w:color="auto"/>
                <w:left w:val="none" w:sz="0" w:space="0" w:color="auto"/>
                <w:bottom w:val="single" w:sz="6" w:space="0" w:color="BBBBBB"/>
                <w:right w:val="none" w:sz="0" w:space="0" w:color="auto"/>
              </w:divBdr>
              <w:divsChild>
                <w:div w:id="1686596004">
                  <w:marLeft w:val="-180"/>
                  <w:marRight w:val="-180"/>
                  <w:marTop w:val="0"/>
                  <w:marBottom w:val="0"/>
                  <w:divBdr>
                    <w:top w:val="none" w:sz="0" w:space="0" w:color="auto"/>
                    <w:left w:val="none" w:sz="0" w:space="0" w:color="auto"/>
                    <w:bottom w:val="none" w:sz="0" w:space="0" w:color="auto"/>
                    <w:right w:val="none" w:sz="0" w:space="0" w:color="auto"/>
                  </w:divBdr>
                  <w:divsChild>
                    <w:div w:id="636760455">
                      <w:marLeft w:val="0"/>
                      <w:marRight w:val="0"/>
                      <w:marTop w:val="0"/>
                      <w:marBottom w:val="0"/>
                      <w:divBdr>
                        <w:top w:val="none" w:sz="0" w:space="0" w:color="auto"/>
                        <w:left w:val="none" w:sz="0" w:space="0" w:color="auto"/>
                        <w:bottom w:val="none" w:sz="0" w:space="0" w:color="auto"/>
                        <w:right w:val="none" w:sz="0" w:space="0" w:color="auto"/>
                      </w:divBdr>
                      <w:divsChild>
                        <w:div w:id="665018195">
                          <w:marLeft w:val="0"/>
                          <w:marRight w:val="0"/>
                          <w:marTop w:val="0"/>
                          <w:marBottom w:val="0"/>
                          <w:divBdr>
                            <w:top w:val="none" w:sz="0" w:space="0" w:color="auto"/>
                            <w:left w:val="none" w:sz="0" w:space="0" w:color="auto"/>
                            <w:bottom w:val="none" w:sz="0" w:space="0" w:color="auto"/>
                            <w:right w:val="none" w:sz="0" w:space="0" w:color="auto"/>
                          </w:divBdr>
                          <w:divsChild>
                            <w:div w:id="1576864967">
                              <w:marLeft w:val="0"/>
                              <w:marRight w:val="0"/>
                              <w:marTop w:val="0"/>
                              <w:marBottom w:val="360"/>
                              <w:divBdr>
                                <w:top w:val="none" w:sz="0" w:space="0" w:color="auto"/>
                                <w:left w:val="none" w:sz="0" w:space="0" w:color="auto"/>
                                <w:bottom w:val="none" w:sz="0" w:space="0" w:color="auto"/>
                                <w:right w:val="none" w:sz="0" w:space="0" w:color="auto"/>
                              </w:divBdr>
                              <w:divsChild>
                                <w:div w:id="6993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2474">
                          <w:marLeft w:val="0"/>
                          <w:marRight w:val="0"/>
                          <w:marTop w:val="240"/>
                          <w:marBottom w:val="240"/>
                          <w:divBdr>
                            <w:top w:val="none" w:sz="0" w:space="0" w:color="auto"/>
                            <w:left w:val="none" w:sz="0" w:space="0" w:color="auto"/>
                            <w:bottom w:val="none" w:sz="0" w:space="0" w:color="auto"/>
                            <w:right w:val="none" w:sz="0" w:space="0" w:color="auto"/>
                          </w:divBdr>
                          <w:divsChild>
                            <w:div w:id="2000842765">
                              <w:marLeft w:val="0"/>
                              <w:marRight w:val="0"/>
                              <w:marTop w:val="240"/>
                              <w:marBottom w:val="480"/>
                              <w:divBdr>
                                <w:top w:val="none" w:sz="0" w:space="0" w:color="auto"/>
                                <w:left w:val="none" w:sz="0" w:space="0" w:color="auto"/>
                                <w:bottom w:val="none" w:sz="0" w:space="0" w:color="auto"/>
                                <w:right w:val="none" w:sz="0" w:space="0" w:color="auto"/>
                              </w:divBdr>
                              <w:divsChild>
                                <w:div w:id="7514391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58990173">
                      <w:marLeft w:val="0"/>
                      <w:marRight w:val="0"/>
                      <w:marTop w:val="0"/>
                      <w:marBottom w:val="0"/>
                      <w:divBdr>
                        <w:top w:val="none" w:sz="0" w:space="0" w:color="auto"/>
                        <w:left w:val="none" w:sz="0" w:space="0" w:color="auto"/>
                        <w:bottom w:val="none" w:sz="0" w:space="0" w:color="auto"/>
                        <w:right w:val="none" w:sz="0" w:space="0" w:color="auto"/>
                      </w:divBdr>
                      <w:divsChild>
                        <w:div w:id="427196168">
                          <w:marLeft w:val="0"/>
                          <w:marRight w:val="0"/>
                          <w:marTop w:val="360"/>
                          <w:marBottom w:val="360"/>
                          <w:divBdr>
                            <w:top w:val="single" w:sz="6" w:space="11" w:color="D54315"/>
                            <w:left w:val="single" w:sz="6" w:space="11" w:color="D54315"/>
                            <w:bottom w:val="single" w:sz="6" w:space="1" w:color="D54315"/>
                            <w:right w:val="single" w:sz="6" w:space="11" w:color="D54315"/>
                          </w:divBdr>
                        </w:div>
                        <w:div w:id="1167861902">
                          <w:marLeft w:val="0"/>
                          <w:marRight w:val="0"/>
                          <w:marTop w:val="360"/>
                          <w:marBottom w:val="360"/>
                          <w:divBdr>
                            <w:top w:val="single" w:sz="6" w:space="11" w:color="D54315"/>
                            <w:left w:val="single" w:sz="6" w:space="11" w:color="D54315"/>
                            <w:bottom w:val="single" w:sz="6" w:space="1" w:color="D54315"/>
                            <w:right w:val="single" w:sz="6" w:space="11" w:color="D54315"/>
                          </w:divBdr>
                        </w:div>
                        <w:div w:id="2118674638">
                          <w:marLeft w:val="0"/>
                          <w:marRight w:val="0"/>
                          <w:marTop w:val="360"/>
                          <w:marBottom w:val="360"/>
                          <w:divBdr>
                            <w:top w:val="single" w:sz="6" w:space="11" w:color="D54315"/>
                            <w:left w:val="single" w:sz="6" w:space="11" w:color="D54315"/>
                            <w:bottom w:val="single" w:sz="6" w:space="1" w:color="D54315"/>
                            <w:right w:val="single" w:sz="6" w:space="11" w:color="D54315"/>
                          </w:divBdr>
                        </w:div>
                      </w:divsChild>
                    </w:div>
                  </w:divsChild>
                </w:div>
              </w:divsChild>
            </w:div>
            <w:div w:id="1804427250">
              <w:marLeft w:val="0"/>
              <w:marRight w:val="0"/>
              <w:marTop w:val="480"/>
              <w:marBottom w:val="480"/>
              <w:divBdr>
                <w:top w:val="none" w:sz="0" w:space="0" w:color="auto"/>
                <w:left w:val="none" w:sz="0" w:space="0" w:color="auto"/>
                <w:bottom w:val="single" w:sz="6" w:space="0" w:color="BBBBBB"/>
                <w:right w:val="none" w:sz="0" w:space="0" w:color="auto"/>
              </w:divBdr>
              <w:divsChild>
                <w:div w:id="1868061815">
                  <w:marLeft w:val="-180"/>
                  <w:marRight w:val="-180"/>
                  <w:marTop w:val="0"/>
                  <w:marBottom w:val="0"/>
                  <w:divBdr>
                    <w:top w:val="none" w:sz="0" w:space="0" w:color="auto"/>
                    <w:left w:val="none" w:sz="0" w:space="0" w:color="auto"/>
                    <w:bottom w:val="none" w:sz="0" w:space="0" w:color="auto"/>
                    <w:right w:val="none" w:sz="0" w:space="0" w:color="auto"/>
                  </w:divBdr>
                  <w:divsChild>
                    <w:div w:id="760949012">
                      <w:marLeft w:val="0"/>
                      <w:marRight w:val="0"/>
                      <w:marTop w:val="0"/>
                      <w:marBottom w:val="0"/>
                      <w:divBdr>
                        <w:top w:val="none" w:sz="0" w:space="0" w:color="auto"/>
                        <w:left w:val="none" w:sz="0" w:space="0" w:color="auto"/>
                        <w:bottom w:val="none" w:sz="0" w:space="0" w:color="auto"/>
                        <w:right w:val="none" w:sz="0" w:space="0" w:color="auto"/>
                      </w:divBdr>
                      <w:divsChild>
                        <w:div w:id="615333255">
                          <w:marLeft w:val="0"/>
                          <w:marRight w:val="0"/>
                          <w:marTop w:val="360"/>
                          <w:marBottom w:val="360"/>
                          <w:divBdr>
                            <w:top w:val="single" w:sz="6" w:space="11" w:color="D54315"/>
                            <w:left w:val="single" w:sz="6" w:space="11" w:color="D54315"/>
                            <w:bottom w:val="single" w:sz="6" w:space="1" w:color="D54315"/>
                            <w:right w:val="single" w:sz="6" w:space="11" w:color="D54315"/>
                          </w:divBdr>
                        </w:div>
                        <w:div w:id="1298142123">
                          <w:marLeft w:val="0"/>
                          <w:marRight w:val="0"/>
                          <w:marTop w:val="360"/>
                          <w:marBottom w:val="360"/>
                          <w:divBdr>
                            <w:top w:val="single" w:sz="6" w:space="11" w:color="D54315"/>
                            <w:left w:val="single" w:sz="6" w:space="11" w:color="D54315"/>
                            <w:bottom w:val="single" w:sz="6" w:space="1" w:color="D54315"/>
                            <w:right w:val="single" w:sz="6" w:space="11" w:color="D54315"/>
                          </w:divBdr>
                        </w:div>
                        <w:div w:id="1882473358">
                          <w:marLeft w:val="0"/>
                          <w:marRight w:val="0"/>
                          <w:marTop w:val="360"/>
                          <w:marBottom w:val="360"/>
                          <w:divBdr>
                            <w:top w:val="single" w:sz="6" w:space="11" w:color="D54315"/>
                            <w:left w:val="single" w:sz="6" w:space="11" w:color="D54315"/>
                            <w:bottom w:val="single" w:sz="6" w:space="1" w:color="D54315"/>
                            <w:right w:val="single" w:sz="6" w:space="11" w:color="D54315"/>
                          </w:divBdr>
                        </w:div>
                      </w:divsChild>
                    </w:div>
                    <w:div w:id="1239561689">
                      <w:marLeft w:val="0"/>
                      <w:marRight w:val="0"/>
                      <w:marTop w:val="0"/>
                      <w:marBottom w:val="0"/>
                      <w:divBdr>
                        <w:top w:val="none" w:sz="0" w:space="0" w:color="auto"/>
                        <w:left w:val="none" w:sz="0" w:space="0" w:color="auto"/>
                        <w:bottom w:val="none" w:sz="0" w:space="0" w:color="auto"/>
                        <w:right w:val="none" w:sz="0" w:space="0" w:color="auto"/>
                      </w:divBdr>
                      <w:divsChild>
                        <w:div w:id="84889534">
                          <w:marLeft w:val="0"/>
                          <w:marRight w:val="0"/>
                          <w:marTop w:val="0"/>
                          <w:marBottom w:val="0"/>
                          <w:divBdr>
                            <w:top w:val="none" w:sz="0" w:space="0" w:color="auto"/>
                            <w:left w:val="none" w:sz="0" w:space="0" w:color="auto"/>
                            <w:bottom w:val="none" w:sz="0" w:space="0" w:color="auto"/>
                            <w:right w:val="none" w:sz="0" w:space="0" w:color="auto"/>
                          </w:divBdr>
                          <w:divsChild>
                            <w:div w:id="1013259315">
                              <w:marLeft w:val="0"/>
                              <w:marRight w:val="0"/>
                              <w:marTop w:val="0"/>
                              <w:marBottom w:val="0"/>
                              <w:divBdr>
                                <w:top w:val="none" w:sz="0" w:space="0" w:color="auto"/>
                                <w:left w:val="none" w:sz="0" w:space="0" w:color="auto"/>
                                <w:bottom w:val="none" w:sz="0" w:space="0" w:color="auto"/>
                                <w:right w:val="none" w:sz="0" w:space="0" w:color="auto"/>
                              </w:divBdr>
                              <w:divsChild>
                                <w:div w:id="534734086">
                                  <w:marLeft w:val="0"/>
                                  <w:marRight w:val="0"/>
                                  <w:marTop w:val="0"/>
                                  <w:marBottom w:val="0"/>
                                  <w:divBdr>
                                    <w:top w:val="none" w:sz="0" w:space="0" w:color="auto"/>
                                    <w:left w:val="none" w:sz="0" w:space="0" w:color="auto"/>
                                    <w:bottom w:val="none" w:sz="0" w:space="0" w:color="auto"/>
                                    <w:right w:val="none" w:sz="0" w:space="0" w:color="auto"/>
                                  </w:divBdr>
                                  <w:divsChild>
                                    <w:div w:id="360711176">
                                      <w:marLeft w:val="0"/>
                                      <w:marRight w:val="0"/>
                                      <w:marTop w:val="0"/>
                                      <w:marBottom w:val="0"/>
                                      <w:divBdr>
                                        <w:top w:val="none" w:sz="0" w:space="0" w:color="auto"/>
                                        <w:left w:val="none" w:sz="0" w:space="0" w:color="auto"/>
                                        <w:bottom w:val="none" w:sz="0" w:space="0" w:color="auto"/>
                                        <w:right w:val="none" w:sz="0" w:space="0" w:color="auto"/>
                                      </w:divBdr>
                                      <w:divsChild>
                                        <w:div w:id="1479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95645">
                              <w:marLeft w:val="0"/>
                              <w:marRight w:val="0"/>
                              <w:marTop w:val="0"/>
                              <w:marBottom w:val="360"/>
                              <w:divBdr>
                                <w:top w:val="none" w:sz="0" w:space="0" w:color="auto"/>
                                <w:left w:val="none" w:sz="0" w:space="0" w:color="auto"/>
                                <w:bottom w:val="none" w:sz="0" w:space="0" w:color="auto"/>
                                <w:right w:val="none" w:sz="0" w:space="0" w:color="auto"/>
                              </w:divBdr>
                              <w:divsChild>
                                <w:div w:id="1397896972">
                                  <w:marLeft w:val="0"/>
                                  <w:marRight w:val="0"/>
                                  <w:marTop w:val="0"/>
                                  <w:marBottom w:val="0"/>
                                  <w:divBdr>
                                    <w:top w:val="none" w:sz="0" w:space="0" w:color="auto"/>
                                    <w:left w:val="none" w:sz="0" w:space="0" w:color="auto"/>
                                    <w:bottom w:val="none" w:sz="0" w:space="0" w:color="auto"/>
                                    <w:right w:val="none" w:sz="0" w:space="0" w:color="auto"/>
                                  </w:divBdr>
                                </w:div>
                              </w:divsChild>
                            </w:div>
                            <w:div w:id="1548949966">
                              <w:marLeft w:val="0"/>
                              <w:marRight w:val="0"/>
                              <w:marTop w:val="0"/>
                              <w:marBottom w:val="360"/>
                              <w:divBdr>
                                <w:top w:val="none" w:sz="0" w:space="0" w:color="auto"/>
                                <w:left w:val="none" w:sz="0" w:space="0" w:color="auto"/>
                                <w:bottom w:val="none" w:sz="0" w:space="0" w:color="auto"/>
                                <w:right w:val="none" w:sz="0" w:space="0" w:color="auto"/>
                              </w:divBdr>
                              <w:divsChild>
                                <w:div w:id="543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9420">
                          <w:marLeft w:val="0"/>
                          <w:marRight w:val="0"/>
                          <w:marTop w:val="240"/>
                          <w:marBottom w:val="240"/>
                          <w:divBdr>
                            <w:top w:val="none" w:sz="0" w:space="0" w:color="auto"/>
                            <w:left w:val="none" w:sz="0" w:space="0" w:color="auto"/>
                            <w:bottom w:val="none" w:sz="0" w:space="0" w:color="auto"/>
                            <w:right w:val="none" w:sz="0" w:space="0" w:color="auto"/>
                          </w:divBdr>
                          <w:divsChild>
                            <w:div w:id="129591806">
                              <w:marLeft w:val="0"/>
                              <w:marRight w:val="0"/>
                              <w:marTop w:val="240"/>
                              <w:marBottom w:val="480"/>
                              <w:divBdr>
                                <w:top w:val="none" w:sz="0" w:space="0" w:color="auto"/>
                                <w:left w:val="none" w:sz="0" w:space="0" w:color="auto"/>
                                <w:bottom w:val="none" w:sz="0" w:space="0" w:color="auto"/>
                                <w:right w:val="none" w:sz="0" w:space="0" w:color="auto"/>
                              </w:divBdr>
                              <w:divsChild>
                                <w:div w:id="8092042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2711">
              <w:marLeft w:val="0"/>
              <w:marRight w:val="0"/>
              <w:marTop w:val="480"/>
              <w:marBottom w:val="480"/>
              <w:divBdr>
                <w:top w:val="none" w:sz="0" w:space="0" w:color="auto"/>
                <w:left w:val="none" w:sz="0" w:space="0" w:color="auto"/>
                <w:bottom w:val="single" w:sz="6" w:space="0" w:color="BBBBBB"/>
                <w:right w:val="none" w:sz="0" w:space="0" w:color="auto"/>
              </w:divBdr>
              <w:divsChild>
                <w:div w:id="998188211">
                  <w:marLeft w:val="-180"/>
                  <w:marRight w:val="-180"/>
                  <w:marTop w:val="0"/>
                  <w:marBottom w:val="0"/>
                  <w:divBdr>
                    <w:top w:val="none" w:sz="0" w:space="0" w:color="auto"/>
                    <w:left w:val="none" w:sz="0" w:space="0" w:color="auto"/>
                    <w:bottom w:val="none" w:sz="0" w:space="0" w:color="auto"/>
                    <w:right w:val="none" w:sz="0" w:space="0" w:color="auto"/>
                  </w:divBdr>
                  <w:divsChild>
                    <w:div w:id="197280060">
                      <w:marLeft w:val="0"/>
                      <w:marRight w:val="0"/>
                      <w:marTop w:val="0"/>
                      <w:marBottom w:val="0"/>
                      <w:divBdr>
                        <w:top w:val="none" w:sz="0" w:space="0" w:color="auto"/>
                        <w:left w:val="none" w:sz="0" w:space="0" w:color="auto"/>
                        <w:bottom w:val="none" w:sz="0" w:space="0" w:color="auto"/>
                        <w:right w:val="none" w:sz="0" w:space="0" w:color="auto"/>
                      </w:divBdr>
                      <w:divsChild>
                        <w:div w:id="982343870">
                          <w:marLeft w:val="0"/>
                          <w:marRight w:val="0"/>
                          <w:marTop w:val="360"/>
                          <w:marBottom w:val="360"/>
                          <w:divBdr>
                            <w:top w:val="single" w:sz="6" w:space="11" w:color="D54315"/>
                            <w:left w:val="single" w:sz="6" w:space="11" w:color="D54315"/>
                            <w:bottom w:val="single" w:sz="6" w:space="1" w:color="D54315"/>
                            <w:right w:val="single" w:sz="6" w:space="11" w:color="D54315"/>
                          </w:divBdr>
                        </w:div>
                        <w:div w:id="1870071073">
                          <w:marLeft w:val="0"/>
                          <w:marRight w:val="0"/>
                          <w:marTop w:val="360"/>
                          <w:marBottom w:val="360"/>
                          <w:divBdr>
                            <w:top w:val="single" w:sz="6" w:space="11" w:color="D54315"/>
                            <w:left w:val="single" w:sz="6" w:space="11" w:color="D54315"/>
                            <w:bottom w:val="single" w:sz="6" w:space="1" w:color="D54315"/>
                            <w:right w:val="single" w:sz="6" w:space="11" w:color="D54315"/>
                          </w:divBdr>
                        </w:div>
                        <w:div w:id="1914775975">
                          <w:marLeft w:val="0"/>
                          <w:marRight w:val="0"/>
                          <w:marTop w:val="360"/>
                          <w:marBottom w:val="360"/>
                          <w:divBdr>
                            <w:top w:val="single" w:sz="6" w:space="11" w:color="D54315"/>
                            <w:left w:val="single" w:sz="6" w:space="11" w:color="D54315"/>
                            <w:bottom w:val="single" w:sz="6" w:space="1" w:color="D54315"/>
                            <w:right w:val="single" w:sz="6" w:space="11" w:color="D54315"/>
                          </w:divBdr>
                        </w:div>
                      </w:divsChild>
                    </w:div>
                    <w:div w:id="1574779337">
                      <w:marLeft w:val="0"/>
                      <w:marRight w:val="0"/>
                      <w:marTop w:val="0"/>
                      <w:marBottom w:val="0"/>
                      <w:divBdr>
                        <w:top w:val="none" w:sz="0" w:space="0" w:color="auto"/>
                        <w:left w:val="none" w:sz="0" w:space="0" w:color="auto"/>
                        <w:bottom w:val="none" w:sz="0" w:space="0" w:color="auto"/>
                        <w:right w:val="none" w:sz="0" w:space="0" w:color="auto"/>
                      </w:divBdr>
                      <w:divsChild>
                        <w:div w:id="518664582">
                          <w:marLeft w:val="0"/>
                          <w:marRight w:val="0"/>
                          <w:marTop w:val="240"/>
                          <w:marBottom w:val="240"/>
                          <w:divBdr>
                            <w:top w:val="none" w:sz="0" w:space="0" w:color="auto"/>
                            <w:left w:val="none" w:sz="0" w:space="0" w:color="auto"/>
                            <w:bottom w:val="none" w:sz="0" w:space="0" w:color="auto"/>
                            <w:right w:val="none" w:sz="0" w:space="0" w:color="auto"/>
                          </w:divBdr>
                          <w:divsChild>
                            <w:div w:id="2049377615">
                              <w:marLeft w:val="0"/>
                              <w:marRight w:val="0"/>
                              <w:marTop w:val="240"/>
                              <w:marBottom w:val="480"/>
                              <w:divBdr>
                                <w:top w:val="none" w:sz="0" w:space="0" w:color="auto"/>
                                <w:left w:val="none" w:sz="0" w:space="0" w:color="auto"/>
                                <w:bottom w:val="none" w:sz="0" w:space="0" w:color="auto"/>
                                <w:right w:val="none" w:sz="0" w:space="0" w:color="auto"/>
                              </w:divBdr>
                              <w:divsChild>
                                <w:div w:id="9237591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85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1083">
          <w:marLeft w:val="0"/>
          <w:marRight w:val="0"/>
          <w:marTop w:val="0"/>
          <w:marBottom w:val="0"/>
          <w:divBdr>
            <w:top w:val="none" w:sz="0" w:space="0" w:color="auto"/>
            <w:left w:val="none" w:sz="0" w:space="0" w:color="auto"/>
            <w:bottom w:val="none" w:sz="0" w:space="0" w:color="auto"/>
            <w:right w:val="none" w:sz="0" w:space="0" w:color="auto"/>
          </w:divBdr>
          <w:divsChild>
            <w:div w:id="1183205871">
              <w:marLeft w:val="0"/>
              <w:marRight w:val="0"/>
              <w:marTop w:val="630"/>
              <w:marBottom w:val="630"/>
              <w:divBdr>
                <w:top w:val="none" w:sz="0" w:space="0" w:color="auto"/>
                <w:left w:val="none" w:sz="0" w:space="0" w:color="auto"/>
                <w:bottom w:val="none" w:sz="0" w:space="0" w:color="auto"/>
                <w:right w:val="none" w:sz="0" w:space="0" w:color="auto"/>
              </w:divBdr>
              <w:divsChild>
                <w:div w:id="1036811057">
                  <w:marLeft w:val="0"/>
                  <w:marRight w:val="0"/>
                  <w:marTop w:val="150"/>
                  <w:marBottom w:val="0"/>
                  <w:divBdr>
                    <w:top w:val="single" w:sz="6" w:space="1" w:color="BBBBBB"/>
                    <w:left w:val="none" w:sz="0" w:space="0" w:color="auto"/>
                    <w:bottom w:val="none" w:sz="0" w:space="0" w:color="auto"/>
                    <w:right w:val="none" w:sz="0" w:space="0" w:color="auto"/>
                  </w:divBdr>
                </w:div>
              </w:divsChild>
            </w:div>
          </w:divsChild>
        </w:div>
        <w:div w:id="1730806885">
          <w:marLeft w:val="0"/>
          <w:marRight w:val="0"/>
          <w:marTop w:val="0"/>
          <w:marBottom w:val="0"/>
          <w:divBdr>
            <w:top w:val="none" w:sz="0" w:space="0" w:color="auto"/>
            <w:left w:val="none" w:sz="0" w:space="0" w:color="auto"/>
            <w:bottom w:val="none" w:sz="0" w:space="0" w:color="auto"/>
            <w:right w:val="none" w:sz="0" w:space="0" w:color="auto"/>
          </w:divBdr>
        </w:div>
      </w:divsChild>
    </w:div>
    <w:div w:id="663897900">
      <w:bodyDiv w:val="1"/>
      <w:marLeft w:val="0"/>
      <w:marRight w:val="0"/>
      <w:marTop w:val="0"/>
      <w:marBottom w:val="0"/>
      <w:divBdr>
        <w:top w:val="none" w:sz="0" w:space="0" w:color="auto"/>
        <w:left w:val="none" w:sz="0" w:space="0" w:color="auto"/>
        <w:bottom w:val="none" w:sz="0" w:space="0" w:color="auto"/>
        <w:right w:val="none" w:sz="0" w:space="0" w:color="auto"/>
      </w:divBdr>
    </w:div>
    <w:div w:id="674453709">
      <w:bodyDiv w:val="1"/>
      <w:marLeft w:val="0"/>
      <w:marRight w:val="0"/>
      <w:marTop w:val="0"/>
      <w:marBottom w:val="0"/>
      <w:divBdr>
        <w:top w:val="none" w:sz="0" w:space="0" w:color="auto"/>
        <w:left w:val="none" w:sz="0" w:space="0" w:color="auto"/>
        <w:bottom w:val="none" w:sz="0" w:space="0" w:color="auto"/>
        <w:right w:val="none" w:sz="0" w:space="0" w:color="auto"/>
      </w:divBdr>
    </w:div>
    <w:div w:id="701248834">
      <w:bodyDiv w:val="1"/>
      <w:marLeft w:val="0"/>
      <w:marRight w:val="0"/>
      <w:marTop w:val="0"/>
      <w:marBottom w:val="0"/>
      <w:divBdr>
        <w:top w:val="none" w:sz="0" w:space="0" w:color="auto"/>
        <w:left w:val="none" w:sz="0" w:space="0" w:color="auto"/>
        <w:bottom w:val="none" w:sz="0" w:space="0" w:color="auto"/>
        <w:right w:val="none" w:sz="0" w:space="0" w:color="auto"/>
      </w:divBdr>
    </w:div>
    <w:div w:id="711925083">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002195107">
      <w:bodyDiv w:val="1"/>
      <w:marLeft w:val="0"/>
      <w:marRight w:val="0"/>
      <w:marTop w:val="0"/>
      <w:marBottom w:val="0"/>
      <w:divBdr>
        <w:top w:val="none" w:sz="0" w:space="0" w:color="auto"/>
        <w:left w:val="none" w:sz="0" w:space="0" w:color="auto"/>
        <w:bottom w:val="none" w:sz="0" w:space="0" w:color="auto"/>
        <w:right w:val="none" w:sz="0" w:space="0" w:color="auto"/>
      </w:divBdr>
    </w:div>
    <w:div w:id="1005861686">
      <w:bodyDiv w:val="1"/>
      <w:marLeft w:val="0"/>
      <w:marRight w:val="0"/>
      <w:marTop w:val="0"/>
      <w:marBottom w:val="0"/>
      <w:divBdr>
        <w:top w:val="none" w:sz="0" w:space="0" w:color="auto"/>
        <w:left w:val="none" w:sz="0" w:space="0" w:color="auto"/>
        <w:bottom w:val="none" w:sz="0" w:space="0" w:color="auto"/>
        <w:right w:val="none" w:sz="0" w:space="0" w:color="auto"/>
      </w:divBdr>
    </w:div>
    <w:div w:id="1048916919">
      <w:bodyDiv w:val="1"/>
      <w:marLeft w:val="0"/>
      <w:marRight w:val="0"/>
      <w:marTop w:val="0"/>
      <w:marBottom w:val="0"/>
      <w:divBdr>
        <w:top w:val="none" w:sz="0" w:space="0" w:color="auto"/>
        <w:left w:val="none" w:sz="0" w:space="0" w:color="auto"/>
        <w:bottom w:val="none" w:sz="0" w:space="0" w:color="auto"/>
        <w:right w:val="none" w:sz="0" w:space="0" w:color="auto"/>
      </w:divBdr>
    </w:div>
    <w:div w:id="1164469857">
      <w:bodyDiv w:val="1"/>
      <w:marLeft w:val="0"/>
      <w:marRight w:val="0"/>
      <w:marTop w:val="0"/>
      <w:marBottom w:val="0"/>
      <w:divBdr>
        <w:top w:val="none" w:sz="0" w:space="0" w:color="auto"/>
        <w:left w:val="none" w:sz="0" w:space="0" w:color="auto"/>
        <w:bottom w:val="none" w:sz="0" w:space="0" w:color="auto"/>
        <w:right w:val="none" w:sz="0" w:space="0" w:color="auto"/>
      </w:divBdr>
    </w:div>
    <w:div w:id="1197502542">
      <w:bodyDiv w:val="1"/>
      <w:marLeft w:val="0"/>
      <w:marRight w:val="0"/>
      <w:marTop w:val="0"/>
      <w:marBottom w:val="0"/>
      <w:divBdr>
        <w:top w:val="none" w:sz="0" w:space="0" w:color="auto"/>
        <w:left w:val="none" w:sz="0" w:space="0" w:color="auto"/>
        <w:bottom w:val="none" w:sz="0" w:space="0" w:color="auto"/>
        <w:right w:val="none" w:sz="0" w:space="0" w:color="auto"/>
      </w:divBdr>
    </w:div>
    <w:div w:id="1284997010">
      <w:bodyDiv w:val="1"/>
      <w:marLeft w:val="0"/>
      <w:marRight w:val="0"/>
      <w:marTop w:val="0"/>
      <w:marBottom w:val="0"/>
      <w:divBdr>
        <w:top w:val="none" w:sz="0" w:space="0" w:color="auto"/>
        <w:left w:val="none" w:sz="0" w:space="0" w:color="auto"/>
        <w:bottom w:val="none" w:sz="0" w:space="0" w:color="auto"/>
        <w:right w:val="none" w:sz="0" w:space="0" w:color="auto"/>
      </w:divBdr>
    </w:div>
    <w:div w:id="1299383812">
      <w:bodyDiv w:val="1"/>
      <w:marLeft w:val="0"/>
      <w:marRight w:val="0"/>
      <w:marTop w:val="0"/>
      <w:marBottom w:val="0"/>
      <w:divBdr>
        <w:top w:val="none" w:sz="0" w:space="0" w:color="auto"/>
        <w:left w:val="none" w:sz="0" w:space="0" w:color="auto"/>
        <w:bottom w:val="none" w:sz="0" w:space="0" w:color="auto"/>
        <w:right w:val="none" w:sz="0" w:space="0" w:color="auto"/>
      </w:divBdr>
    </w:div>
    <w:div w:id="1314522440">
      <w:bodyDiv w:val="1"/>
      <w:marLeft w:val="0"/>
      <w:marRight w:val="0"/>
      <w:marTop w:val="0"/>
      <w:marBottom w:val="0"/>
      <w:divBdr>
        <w:top w:val="none" w:sz="0" w:space="0" w:color="auto"/>
        <w:left w:val="none" w:sz="0" w:space="0" w:color="auto"/>
        <w:bottom w:val="none" w:sz="0" w:space="0" w:color="auto"/>
        <w:right w:val="none" w:sz="0" w:space="0" w:color="auto"/>
      </w:divBdr>
    </w:div>
    <w:div w:id="1345664363">
      <w:bodyDiv w:val="1"/>
      <w:marLeft w:val="0"/>
      <w:marRight w:val="0"/>
      <w:marTop w:val="0"/>
      <w:marBottom w:val="0"/>
      <w:divBdr>
        <w:top w:val="none" w:sz="0" w:space="0" w:color="auto"/>
        <w:left w:val="none" w:sz="0" w:space="0" w:color="auto"/>
        <w:bottom w:val="none" w:sz="0" w:space="0" w:color="auto"/>
        <w:right w:val="none" w:sz="0" w:space="0" w:color="auto"/>
      </w:divBdr>
      <w:divsChild>
        <w:div w:id="1527989042">
          <w:marLeft w:val="0"/>
          <w:marRight w:val="0"/>
          <w:marTop w:val="0"/>
          <w:marBottom w:val="240"/>
          <w:divBdr>
            <w:top w:val="none" w:sz="0" w:space="0" w:color="auto"/>
            <w:left w:val="none" w:sz="0" w:space="0" w:color="auto"/>
            <w:bottom w:val="none" w:sz="0" w:space="0" w:color="auto"/>
            <w:right w:val="none" w:sz="0" w:space="0" w:color="auto"/>
          </w:divBdr>
        </w:div>
        <w:div w:id="1544446268">
          <w:marLeft w:val="0"/>
          <w:marRight w:val="0"/>
          <w:marTop w:val="0"/>
          <w:marBottom w:val="0"/>
          <w:divBdr>
            <w:top w:val="none" w:sz="0" w:space="0" w:color="auto"/>
            <w:left w:val="none" w:sz="0" w:space="0" w:color="auto"/>
            <w:bottom w:val="none" w:sz="0" w:space="0" w:color="auto"/>
            <w:right w:val="none" w:sz="0" w:space="0" w:color="auto"/>
          </w:divBdr>
          <w:divsChild>
            <w:div w:id="1141534346">
              <w:marLeft w:val="0"/>
              <w:marRight w:val="0"/>
              <w:marTop w:val="0"/>
              <w:marBottom w:val="0"/>
              <w:divBdr>
                <w:top w:val="none" w:sz="0" w:space="0" w:color="auto"/>
                <w:left w:val="none" w:sz="0" w:space="0" w:color="auto"/>
                <w:bottom w:val="none" w:sz="0" w:space="0" w:color="auto"/>
                <w:right w:val="none" w:sz="0" w:space="0" w:color="auto"/>
              </w:divBdr>
              <w:divsChild>
                <w:div w:id="15808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5170">
      <w:bodyDiv w:val="1"/>
      <w:marLeft w:val="0"/>
      <w:marRight w:val="0"/>
      <w:marTop w:val="0"/>
      <w:marBottom w:val="0"/>
      <w:divBdr>
        <w:top w:val="none" w:sz="0" w:space="0" w:color="auto"/>
        <w:left w:val="none" w:sz="0" w:space="0" w:color="auto"/>
        <w:bottom w:val="none" w:sz="0" w:space="0" w:color="auto"/>
        <w:right w:val="none" w:sz="0" w:space="0" w:color="auto"/>
      </w:divBdr>
      <w:divsChild>
        <w:div w:id="322393847">
          <w:marLeft w:val="360"/>
          <w:marRight w:val="0"/>
          <w:marTop w:val="200"/>
          <w:marBottom w:val="0"/>
          <w:divBdr>
            <w:top w:val="none" w:sz="0" w:space="0" w:color="auto"/>
            <w:left w:val="none" w:sz="0" w:space="0" w:color="auto"/>
            <w:bottom w:val="none" w:sz="0" w:space="0" w:color="auto"/>
            <w:right w:val="none" w:sz="0" w:space="0" w:color="auto"/>
          </w:divBdr>
        </w:div>
        <w:div w:id="822238360">
          <w:marLeft w:val="360"/>
          <w:marRight w:val="0"/>
          <w:marTop w:val="200"/>
          <w:marBottom w:val="0"/>
          <w:divBdr>
            <w:top w:val="none" w:sz="0" w:space="0" w:color="auto"/>
            <w:left w:val="none" w:sz="0" w:space="0" w:color="auto"/>
            <w:bottom w:val="none" w:sz="0" w:space="0" w:color="auto"/>
            <w:right w:val="none" w:sz="0" w:space="0" w:color="auto"/>
          </w:divBdr>
        </w:div>
        <w:div w:id="862129764">
          <w:marLeft w:val="1080"/>
          <w:marRight w:val="0"/>
          <w:marTop w:val="100"/>
          <w:marBottom w:val="0"/>
          <w:divBdr>
            <w:top w:val="none" w:sz="0" w:space="0" w:color="auto"/>
            <w:left w:val="none" w:sz="0" w:space="0" w:color="auto"/>
            <w:bottom w:val="none" w:sz="0" w:space="0" w:color="auto"/>
            <w:right w:val="none" w:sz="0" w:space="0" w:color="auto"/>
          </w:divBdr>
        </w:div>
        <w:div w:id="944312280">
          <w:marLeft w:val="1080"/>
          <w:marRight w:val="0"/>
          <w:marTop w:val="100"/>
          <w:marBottom w:val="0"/>
          <w:divBdr>
            <w:top w:val="none" w:sz="0" w:space="0" w:color="auto"/>
            <w:left w:val="none" w:sz="0" w:space="0" w:color="auto"/>
            <w:bottom w:val="none" w:sz="0" w:space="0" w:color="auto"/>
            <w:right w:val="none" w:sz="0" w:space="0" w:color="auto"/>
          </w:divBdr>
        </w:div>
        <w:div w:id="1110704152">
          <w:marLeft w:val="1080"/>
          <w:marRight w:val="0"/>
          <w:marTop w:val="100"/>
          <w:marBottom w:val="0"/>
          <w:divBdr>
            <w:top w:val="none" w:sz="0" w:space="0" w:color="auto"/>
            <w:left w:val="none" w:sz="0" w:space="0" w:color="auto"/>
            <w:bottom w:val="none" w:sz="0" w:space="0" w:color="auto"/>
            <w:right w:val="none" w:sz="0" w:space="0" w:color="auto"/>
          </w:divBdr>
        </w:div>
        <w:div w:id="1936085867">
          <w:marLeft w:val="360"/>
          <w:marRight w:val="0"/>
          <w:marTop w:val="200"/>
          <w:marBottom w:val="0"/>
          <w:divBdr>
            <w:top w:val="none" w:sz="0" w:space="0" w:color="auto"/>
            <w:left w:val="none" w:sz="0" w:space="0" w:color="auto"/>
            <w:bottom w:val="none" w:sz="0" w:space="0" w:color="auto"/>
            <w:right w:val="none" w:sz="0" w:space="0" w:color="auto"/>
          </w:divBdr>
        </w:div>
      </w:divsChild>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486240794">
      <w:bodyDiv w:val="1"/>
      <w:marLeft w:val="0"/>
      <w:marRight w:val="0"/>
      <w:marTop w:val="0"/>
      <w:marBottom w:val="0"/>
      <w:divBdr>
        <w:top w:val="none" w:sz="0" w:space="0" w:color="auto"/>
        <w:left w:val="none" w:sz="0" w:space="0" w:color="auto"/>
        <w:bottom w:val="none" w:sz="0" w:space="0" w:color="auto"/>
        <w:right w:val="none" w:sz="0" w:space="0" w:color="auto"/>
      </w:divBdr>
    </w:div>
    <w:div w:id="1493720780">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1649981">
      <w:bodyDiv w:val="1"/>
      <w:marLeft w:val="0"/>
      <w:marRight w:val="0"/>
      <w:marTop w:val="0"/>
      <w:marBottom w:val="0"/>
      <w:divBdr>
        <w:top w:val="none" w:sz="0" w:space="0" w:color="auto"/>
        <w:left w:val="none" w:sz="0" w:space="0" w:color="auto"/>
        <w:bottom w:val="none" w:sz="0" w:space="0" w:color="auto"/>
        <w:right w:val="none" w:sz="0" w:space="0" w:color="auto"/>
      </w:divBdr>
    </w:div>
    <w:div w:id="1562591317">
      <w:bodyDiv w:val="1"/>
      <w:marLeft w:val="0"/>
      <w:marRight w:val="0"/>
      <w:marTop w:val="0"/>
      <w:marBottom w:val="0"/>
      <w:divBdr>
        <w:top w:val="none" w:sz="0" w:space="0" w:color="auto"/>
        <w:left w:val="none" w:sz="0" w:space="0" w:color="auto"/>
        <w:bottom w:val="none" w:sz="0" w:space="0" w:color="auto"/>
        <w:right w:val="none" w:sz="0" w:space="0" w:color="auto"/>
      </w:divBdr>
    </w:div>
    <w:div w:id="1575580619">
      <w:bodyDiv w:val="1"/>
      <w:marLeft w:val="0"/>
      <w:marRight w:val="0"/>
      <w:marTop w:val="0"/>
      <w:marBottom w:val="0"/>
      <w:divBdr>
        <w:top w:val="none" w:sz="0" w:space="0" w:color="auto"/>
        <w:left w:val="none" w:sz="0" w:space="0" w:color="auto"/>
        <w:bottom w:val="none" w:sz="0" w:space="0" w:color="auto"/>
        <w:right w:val="none" w:sz="0" w:space="0" w:color="auto"/>
      </w:divBdr>
    </w:div>
    <w:div w:id="1577593218">
      <w:bodyDiv w:val="1"/>
      <w:marLeft w:val="0"/>
      <w:marRight w:val="0"/>
      <w:marTop w:val="0"/>
      <w:marBottom w:val="0"/>
      <w:divBdr>
        <w:top w:val="none" w:sz="0" w:space="0" w:color="auto"/>
        <w:left w:val="none" w:sz="0" w:space="0" w:color="auto"/>
        <w:bottom w:val="none" w:sz="0" w:space="0" w:color="auto"/>
        <w:right w:val="none" w:sz="0" w:space="0" w:color="auto"/>
      </w:divBdr>
    </w:div>
    <w:div w:id="1586499939">
      <w:bodyDiv w:val="1"/>
      <w:marLeft w:val="0"/>
      <w:marRight w:val="0"/>
      <w:marTop w:val="0"/>
      <w:marBottom w:val="0"/>
      <w:divBdr>
        <w:top w:val="none" w:sz="0" w:space="0" w:color="auto"/>
        <w:left w:val="none" w:sz="0" w:space="0" w:color="auto"/>
        <w:bottom w:val="none" w:sz="0" w:space="0" w:color="auto"/>
        <w:right w:val="none" w:sz="0" w:space="0" w:color="auto"/>
      </w:divBdr>
      <w:divsChild>
        <w:div w:id="1429542355">
          <w:marLeft w:val="0"/>
          <w:marRight w:val="0"/>
          <w:marTop w:val="0"/>
          <w:marBottom w:val="0"/>
          <w:divBdr>
            <w:top w:val="none" w:sz="0" w:space="0" w:color="auto"/>
            <w:left w:val="none" w:sz="0" w:space="0" w:color="auto"/>
            <w:bottom w:val="none" w:sz="0" w:space="0" w:color="auto"/>
            <w:right w:val="none" w:sz="0" w:space="0" w:color="auto"/>
          </w:divBdr>
        </w:div>
      </w:divsChild>
    </w:div>
    <w:div w:id="1620332518">
      <w:bodyDiv w:val="1"/>
      <w:marLeft w:val="0"/>
      <w:marRight w:val="0"/>
      <w:marTop w:val="0"/>
      <w:marBottom w:val="0"/>
      <w:divBdr>
        <w:top w:val="none" w:sz="0" w:space="0" w:color="auto"/>
        <w:left w:val="none" w:sz="0" w:space="0" w:color="auto"/>
        <w:bottom w:val="none" w:sz="0" w:space="0" w:color="auto"/>
        <w:right w:val="none" w:sz="0" w:space="0" w:color="auto"/>
      </w:divBdr>
      <w:divsChild>
        <w:div w:id="309793772">
          <w:marLeft w:val="0"/>
          <w:marRight w:val="0"/>
          <w:marTop w:val="0"/>
          <w:marBottom w:val="0"/>
          <w:divBdr>
            <w:top w:val="none" w:sz="0" w:space="0" w:color="auto"/>
            <w:left w:val="none" w:sz="0" w:space="0" w:color="auto"/>
            <w:bottom w:val="none" w:sz="0" w:space="0" w:color="auto"/>
            <w:right w:val="none" w:sz="0" w:space="0" w:color="auto"/>
          </w:divBdr>
          <w:divsChild>
            <w:div w:id="1955671547">
              <w:marLeft w:val="0"/>
              <w:marRight w:val="0"/>
              <w:marTop w:val="0"/>
              <w:marBottom w:val="450"/>
              <w:divBdr>
                <w:top w:val="none" w:sz="0" w:space="0" w:color="auto"/>
                <w:left w:val="none" w:sz="0" w:space="0" w:color="auto"/>
                <w:bottom w:val="none" w:sz="0" w:space="0" w:color="auto"/>
                <w:right w:val="none" w:sz="0" w:space="0" w:color="auto"/>
              </w:divBdr>
              <w:divsChild>
                <w:div w:id="384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9174">
          <w:marLeft w:val="0"/>
          <w:marRight w:val="0"/>
          <w:marTop w:val="0"/>
          <w:marBottom w:val="0"/>
          <w:divBdr>
            <w:top w:val="none" w:sz="0" w:space="0" w:color="auto"/>
            <w:left w:val="none" w:sz="0" w:space="0" w:color="auto"/>
            <w:bottom w:val="none" w:sz="0" w:space="0" w:color="auto"/>
            <w:right w:val="none" w:sz="0" w:space="0" w:color="auto"/>
          </w:divBdr>
        </w:div>
        <w:div w:id="2102531657">
          <w:marLeft w:val="0"/>
          <w:marRight w:val="0"/>
          <w:marTop w:val="0"/>
          <w:marBottom w:val="0"/>
          <w:divBdr>
            <w:top w:val="none" w:sz="0" w:space="0" w:color="auto"/>
            <w:left w:val="none" w:sz="0" w:space="0" w:color="auto"/>
            <w:bottom w:val="none" w:sz="0" w:space="0" w:color="auto"/>
            <w:right w:val="none" w:sz="0" w:space="0" w:color="auto"/>
          </w:divBdr>
        </w:div>
      </w:divsChild>
    </w:div>
    <w:div w:id="1652518078">
      <w:bodyDiv w:val="1"/>
      <w:marLeft w:val="0"/>
      <w:marRight w:val="0"/>
      <w:marTop w:val="0"/>
      <w:marBottom w:val="0"/>
      <w:divBdr>
        <w:top w:val="none" w:sz="0" w:space="0" w:color="auto"/>
        <w:left w:val="none" w:sz="0" w:space="0" w:color="auto"/>
        <w:bottom w:val="none" w:sz="0" w:space="0" w:color="auto"/>
        <w:right w:val="none" w:sz="0" w:space="0" w:color="auto"/>
      </w:divBdr>
    </w:div>
    <w:div w:id="1674991305">
      <w:bodyDiv w:val="1"/>
      <w:marLeft w:val="0"/>
      <w:marRight w:val="0"/>
      <w:marTop w:val="0"/>
      <w:marBottom w:val="0"/>
      <w:divBdr>
        <w:top w:val="none" w:sz="0" w:space="0" w:color="auto"/>
        <w:left w:val="none" w:sz="0" w:space="0" w:color="auto"/>
        <w:bottom w:val="none" w:sz="0" w:space="0" w:color="auto"/>
        <w:right w:val="none" w:sz="0" w:space="0" w:color="auto"/>
      </w:divBdr>
    </w:div>
    <w:div w:id="1689404884">
      <w:bodyDiv w:val="1"/>
      <w:marLeft w:val="0"/>
      <w:marRight w:val="0"/>
      <w:marTop w:val="0"/>
      <w:marBottom w:val="0"/>
      <w:divBdr>
        <w:top w:val="none" w:sz="0" w:space="0" w:color="auto"/>
        <w:left w:val="none" w:sz="0" w:space="0" w:color="auto"/>
        <w:bottom w:val="none" w:sz="0" w:space="0" w:color="auto"/>
        <w:right w:val="none" w:sz="0" w:space="0" w:color="auto"/>
      </w:divBdr>
    </w:div>
    <w:div w:id="1742367503">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854298082">
      <w:bodyDiv w:val="1"/>
      <w:marLeft w:val="0"/>
      <w:marRight w:val="0"/>
      <w:marTop w:val="0"/>
      <w:marBottom w:val="0"/>
      <w:divBdr>
        <w:top w:val="none" w:sz="0" w:space="0" w:color="auto"/>
        <w:left w:val="none" w:sz="0" w:space="0" w:color="auto"/>
        <w:bottom w:val="none" w:sz="0" w:space="0" w:color="auto"/>
        <w:right w:val="none" w:sz="0" w:space="0" w:color="auto"/>
      </w:divBdr>
      <w:divsChild>
        <w:div w:id="589968859">
          <w:marLeft w:val="1166"/>
          <w:marRight w:val="0"/>
          <w:marTop w:val="0"/>
          <w:marBottom w:val="0"/>
          <w:divBdr>
            <w:top w:val="none" w:sz="0" w:space="0" w:color="auto"/>
            <w:left w:val="none" w:sz="0" w:space="0" w:color="auto"/>
            <w:bottom w:val="none" w:sz="0" w:space="0" w:color="auto"/>
            <w:right w:val="none" w:sz="0" w:space="0" w:color="auto"/>
          </w:divBdr>
        </w:div>
        <w:div w:id="641276545">
          <w:marLeft w:val="1166"/>
          <w:marRight w:val="0"/>
          <w:marTop w:val="0"/>
          <w:marBottom w:val="0"/>
          <w:divBdr>
            <w:top w:val="none" w:sz="0" w:space="0" w:color="auto"/>
            <w:left w:val="none" w:sz="0" w:space="0" w:color="auto"/>
            <w:bottom w:val="none" w:sz="0" w:space="0" w:color="auto"/>
            <w:right w:val="none" w:sz="0" w:space="0" w:color="auto"/>
          </w:divBdr>
        </w:div>
        <w:div w:id="756485455">
          <w:marLeft w:val="446"/>
          <w:marRight w:val="0"/>
          <w:marTop w:val="0"/>
          <w:marBottom w:val="0"/>
          <w:divBdr>
            <w:top w:val="none" w:sz="0" w:space="0" w:color="auto"/>
            <w:left w:val="none" w:sz="0" w:space="0" w:color="auto"/>
            <w:bottom w:val="none" w:sz="0" w:space="0" w:color="auto"/>
            <w:right w:val="none" w:sz="0" w:space="0" w:color="auto"/>
          </w:divBdr>
        </w:div>
        <w:div w:id="1199390354">
          <w:marLeft w:val="1166"/>
          <w:marRight w:val="0"/>
          <w:marTop w:val="0"/>
          <w:marBottom w:val="0"/>
          <w:divBdr>
            <w:top w:val="none" w:sz="0" w:space="0" w:color="auto"/>
            <w:left w:val="none" w:sz="0" w:space="0" w:color="auto"/>
            <w:bottom w:val="none" w:sz="0" w:space="0" w:color="auto"/>
            <w:right w:val="none" w:sz="0" w:space="0" w:color="auto"/>
          </w:divBdr>
        </w:div>
        <w:div w:id="2136672888">
          <w:marLeft w:val="1166"/>
          <w:marRight w:val="0"/>
          <w:marTop w:val="0"/>
          <w:marBottom w:val="0"/>
          <w:divBdr>
            <w:top w:val="none" w:sz="0" w:space="0" w:color="auto"/>
            <w:left w:val="none" w:sz="0" w:space="0" w:color="auto"/>
            <w:bottom w:val="none" w:sz="0" w:space="0" w:color="auto"/>
            <w:right w:val="none" w:sz="0" w:space="0" w:color="auto"/>
          </w:divBdr>
        </w:div>
      </w:divsChild>
    </w:div>
    <w:div w:id="1869484789">
      <w:bodyDiv w:val="1"/>
      <w:marLeft w:val="0"/>
      <w:marRight w:val="0"/>
      <w:marTop w:val="0"/>
      <w:marBottom w:val="0"/>
      <w:divBdr>
        <w:top w:val="none" w:sz="0" w:space="0" w:color="auto"/>
        <w:left w:val="none" w:sz="0" w:space="0" w:color="auto"/>
        <w:bottom w:val="none" w:sz="0" w:space="0" w:color="auto"/>
        <w:right w:val="none" w:sz="0" w:space="0" w:color="auto"/>
      </w:divBdr>
    </w:div>
    <w:div w:id="1900631312">
      <w:bodyDiv w:val="1"/>
      <w:marLeft w:val="0"/>
      <w:marRight w:val="0"/>
      <w:marTop w:val="0"/>
      <w:marBottom w:val="0"/>
      <w:divBdr>
        <w:top w:val="none" w:sz="0" w:space="0" w:color="auto"/>
        <w:left w:val="none" w:sz="0" w:space="0" w:color="auto"/>
        <w:bottom w:val="none" w:sz="0" w:space="0" w:color="auto"/>
        <w:right w:val="none" w:sz="0" w:space="0" w:color="auto"/>
      </w:divBdr>
      <w:divsChild>
        <w:div w:id="1005283725">
          <w:marLeft w:val="0"/>
          <w:marRight w:val="0"/>
          <w:marTop w:val="0"/>
          <w:marBottom w:val="0"/>
          <w:divBdr>
            <w:top w:val="none" w:sz="0" w:space="0" w:color="auto"/>
            <w:left w:val="none" w:sz="0" w:space="0" w:color="auto"/>
            <w:bottom w:val="none" w:sz="0" w:space="0" w:color="auto"/>
            <w:right w:val="none" w:sz="0" w:space="0" w:color="auto"/>
          </w:divBdr>
        </w:div>
        <w:div w:id="1315991440">
          <w:marLeft w:val="0"/>
          <w:marRight w:val="0"/>
          <w:marTop w:val="0"/>
          <w:marBottom w:val="0"/>
          <w:divBdr>
            <w:top w:val="none" w:sz="0" w:space="0" w:color="auto"/>
            <w:left w:val="none" w:sz="0" w:space="0" w:color="auto"/>
            <w:bottom w:val="none" w:sz="0" w:space="0" w:color="auto"/>
            <w:right w:val="none" w:sz="0" w:space="0" w:color="auto"/>
          </w:divBdr>
        </w:div>
        <w:div w:id="1414400247">
          <w:marLeft w:val="0"/>
          <w:marRight w:val="0"/>
          <w:marTop w:val="0"/>
          <w:marBottom w:val="0"/>
          <w:divBdr>
            <w:top w:val="none" w:sz="0" w:space="0" w:color="auto"/>
            <w:left w:val="none" w:sz="0" w:space="0" w:color="auto"/>
            <w:bottom w:val="none" w:sz="0" w:space="0" w:color="auto"/>
            <w:right w:val="none" w:sz="0" w:space="0" w:color="auto"/>
          </w:divBdr>
        </w:div>
      </w:divsChild>
    </w:div>
    <w:div w:id="1930697947">
      <w:bodyDiv w:val="1"/>
      <w:marLeft w:val="0"/>
      <w:marRight w:val="0"/>
      <w:marTop w:val="0"/>
      <w:marBottom w:val="0"/>
      <w:divBdr>
        <w:top w:val="none" w:sz="0" w:space="0" w:color="auto"/>
        <w:left w:val="none" w:sz="0" w:space="0" w:color="auto"/>
        <w:bottom w:val="none" w:sz="0" w:space="0" w:color="auto"/>
        <w:right w:val="none" w:sz="0" w:space="0" w:color="auto"/>
      </w:divBdr>
      <w:divsChild>
        <w:div w:id="140078631">
          <w:marLeft w:val="0"/>
          <w:marRight w:val="0"/>
          <w:marTop w:val="0"/>
          <w:marBottom w:val="0"/>
          <w:divBdr>
            <w:top w:val="none" w:sz="0" w:space="0" w:color="auto"/>
            <w:left w:val="none" w:sz="0" w:space="0" w:color="auto"/>
            <w:bottom w:val="none" w:sz="0" w:space="0" w:color="auto"/>
            <w:right w:val="none" w:sz="0" w:space="0" w:color="auto"/>
          </w:divBdr>
          <w:divsChild>
            <w:div w:id="1035083181">
              <w:marLeft w:val="0"/>
              <w:marRight w:val="0"/>
              <w:marTop w:val="0"/>
              <w:marBottom w:val="0"/>
              <w:divBdr>
                <w:top w:val="none" w:sz="0" w:space="0" w:color="auto"/>
                <w:left w:val="none" w:sz="0" w:space="0" w:color="auto"/>
                <w:bottom w:val="none" w:sz="0" w:space="0" w:color="auto"/>
                <w:right w:val="none" w:sz="0" w:space="0" w:color="auto"/>
              </w:divBdr>
            </w:div>
          </w:divsChild>
        </w:div>
        <w:div w:id="869874997">
          <w:marLeft w:val="0"/>
          <w:marRight w:val="0"/>
          <w:marTop w:val="0"/>
          <w:marBottom w:val="0"/>
          <w:divBdr>
            <w:top w:val="none" w:sz="0" w:space="0" w:color="auto"/>
            <w:left w:val="none" w:sz="0" w:space="0" w:color="auto"/>
            <w:bottom w:val="none" w:sz="0" w:space="0" w:color="auto"/>
            <w:right w:val="none" w:sz="0" w:space="0" w:color="auto"/>
          </w:divBdr>
          <w:divsChild>
            <w:div w:id="20399696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44801878">
      <w:bodyDiv w:val="1"/>
      <w:marLeft w:val="0"/>
      <w:marRight w:val="0"/>
      <w:marTop w:val="0"/>
      <w:marBottom w:val="0"/>
      <w:divBdr>
        <w:top w:val="none" w:sz="0" w:space="0" w:color="auto"/>
        <w:left w:val="none" w:sz="0" w:space="0" w:color="auto"/>
        <w:bottom w:val="none" w:sz="0" w:space="0" w:color="auto"/>
        <w:right w:val="none" w:sz="0" w:space="0" w:color="auto"/>
      </w:divBdr>
    </w:div>
    <w:div w:id="2012827311">
      <w:bodyDiv w:val="1"/>
      <w:marLeft w:val="0"/>
      <w:marRight w:val="0"/>
      <w:marTop w:val="0"/>
      <w:marBottom w:val="0"/>
      <w:divBdr>
        <w:top w:val="none" w:sz="0" w:space="0" w:color="auto"/>
        <w:left w:val="none" w:sz="0" w:space="0" w:color="auto"/>
        <w:bottom w:val="none" w:sz="0" w:space="0" w:color="auto"/>
        <w:right w:val="none" w:sz="0" w:space="0" w:color="auto"/>
      </w:divBdr>
    </w:div>
    <w:div w:id="2055886320">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128696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diagramData" Target="diagrams/data8.xm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Layout" Target="diagrams/layout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footer" Target="footer2.xml"/><Relationship Id="rId10" Type="http://schemas.openxmlformats.org/officeDocument/2006/relationships/hyperlink" Target="mailto:philip.pennill@greatermanchester-ca.gov.uk" TargetMode="Externa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s>
</file>

<file path=word/_rels/footnotes.xml.rels><?xml version="1.0" encoding="UTF-8" standalone="yes"?>
<Relationships xmlns="http://schemas.openxmlformats.org/package/2006/relationships"><Relationship Id="rId13" Type="http://schemas.openxmlformats.org/officeDocument/2006/relationships/hyperlink" Target="https://www.statista.com/statistics/298637/united-kingdom-uk-public-sector-expenditure-police-services/" TargetMode="External"/><Relationship Id="rId18" Type="http://schemas.openxmlformats.org/officeDocument/2006/relationships/hyperlink" Target="https://www.gov.uk/government/statistics/police-workforce-england-and-wales-31-march-2022/police-workforce-england-and-wales-31-march-2022" TargetMode="External"/><Relationship Id="rId26" Type="http://schemas.openxmlformats.org/officeDocument/2006/relationships/hyperlink" Target="https://inews.co.uk/news/uk/more-than-three-quarters-police-officers-struggled-with-mental-health-last-year-report-finds-1119989" TargetMode="External"/><Relationship Id="rId3" Type="http://schemas.openxmlformats.org/officeDocument/2006/relationships/hyperlink" Target="https://www.gmp.police.uk/news/greater-manchester/news/news/2022/october/greater-manchester-police-most-improved-force-in-the-country-as-chief-constable-and-mayor-confirm-hmicfrs-has-removed-force-from-special-measures/" TargetMode="External"/><Relationship Id="rId21" Type="http://schemas.openxmlformats.org/officeDocument/2006/relationships/hyperlink" Target="https://www.gov.uk/government/collections/fire-and-rescue-workforce-and-pensions-statistics" TargetMode="External"/><Relationship Id="rId34" Type="http://schemas.openxmlformats.org/officeDocument/2006/relationships/hyperlink" Target="https://www.gmp.police.uk/police-forces/greater-manchester-police/areas/greater-manchester-force-content/careers/careers/police-staff/fcc/" TargetMode="External"/><Relationship Id="rId7" Type="http://schemas.openxmlformats.org/officeDocument/2006/relationships/hyperlink" Target="https://manchesterfire.gov.uk/join-us/equality-diversity-and-inclusion/" TargetMode="External"/><Relationship Id="rId12" Type="http://schemas.openxmlformats.org/officeDocument/2006/relationships/hyperlink" Target="https://www.statista.com/statistics/298637/united-kingdom-uk-public-sector-expenditure-police-services/" TargetMode="External"/><Relationship Id="rId17" Type="http://schemas.openxmlformats.org/officeDocument/2006/relationships/hyperlink" Target="https://www.justiceinspectorates.gov.uk/hmicfrs/peel-assessments/peel-assessments-2021-22/greater-manchester/" TargetMode="External"/><Relationship Id="rId25" Type="http://schemas.openxmlformats.org/officeDocument/2006/relationships/hyperlink" Target="https://inews.co.uk/news/uk/more-than-three-quarters-police-officers-struggled-with-mental-health-last-year-report-finds-1119989" TargetMode="External"/><Relationship Id="rId33" Type="http://schemas.openxmlformats.org/officeDocument/2006/relationships/hyperlink" Target="https://www.nwas.nhs.uk/news/ofsted-inspection-rates-the-north-west-ambulance-service-as-good/" TargetMode="External"/><Relationship Id="rId2" Type="http://schemas.openxmlformats.org/officeDocument/2006/relationships/hyperlink" Target="https://www.justiceinspectorates.gov.uk/hmicfrs/publications/peel-assessment-2021-22-greater-manchester/" TargetMode="External"/><Relationship Id="rId16" Type="http://schemas.openxmlformats.org/officeDocument/2006/relationships/hyperlink" Target="https://www.justiceinspectorates.gov.uk/hmicfrs/peel-assessments/peel-assessments-2021-22/greater-manchester/" TargetMode="External"/><Relationship Id="rId20" Type="http://schemas.openxmlformats.org/officeDocument/2006/relationships/hyperlink" Target="https://www.gov.uk/government/collections/fire-and-rescue-workforce-and-pensions-statistics" TargetMode="External"/><Relationship Id="rId29" Type="http://schemas.openxmlformats.org/officeDocument/2006/relationships/hyperlink" Target="https://digital.nhs.uk/data-and-information/data-collections-and-data-sets/data-collections/nhs111first" TargetMode="External"/><Relationship Id="rId1" Type="http://schemas.openxmlformats.org/officeDocument/2006/relationships/hyperlink" Target="https://newsroom.bt.com/more-than-2-million-adults-dont-know-when-to-call-999/" TargetMode="External"/><Relationship Id="rId6" Type="http://schemas.openxmlformats.org/officeDocument/2006/relationships/hyperlink" Target="https://www.justiceinspectorates.gov.uk/hmicfrs/" TargetMode="External"/><Relationship Id="rId11" Type="http://schemas.openxmlformats.org/officeDocument/2006/relationships/hyperlink" Target="https://www.ons.gov.uk/peoplepopulationandcommunity/crimeandjustice/articles/domesticabuseduringthecoronaviruscovid19pandemicenglandandwales/november2020" TargetMode="External"/><Relationship Id="rId24" Type="http://schemas.openxmlformats.org/officeDocument/2006/relationships/hyperlink" Target="https://www.nhsstaffsurveys.com/" TargetMode="External"/><Relationship Id="rId32" Type="http://schemas.openxmlformats.org/officeDocument/2006/relationships/hyperlink" Target="https://www.hfma.org.uk/online-learning/bitesize-courses/detail/summary-of-the-interim-nhs-people-plan" TargetMode="External"/><Relationship Id="rId5" Type="http://schemas.openxmlformats.org/officeDocument/2006/relationships/hyperlink" Target="https://www.manchesterfire.gov.uk/fire-plan/fire-plan/" TargetMode="External"/><Relationship Id="rId15" Type="http://schemas.openxmlformats.org/officeDocument/2006/relationships/hyperlink" Target="https://inews.co.uk/nhs/nhs-england-scrap-four-hour-ae-target-replace-with-average-waiting-time-1020912" TargetMode="External"/><Relationship Id="rId23" Type="http://schemas.openxmlformats.org/officeDocument/2006/relationships/hyperlink" Target="https://www.nwas.nhs.uk/publications/workforce-race-equality-standard-wres-2021-22-data/" TargetMode="External"/><Relationship Id="rId28" Type="http://schemas.openxmlformats.org/officeDocument/2006/relationships/hyperlink" Target="https://www.nwas.nhs.uk/news/bespoke-staff-digital-wellbeing-programme/" TargetMode="External"/><Relationship Id="rId10" Type="http://schemas.openxmlformats.org/officeDocument/2006/relationships/hyperlink" Target="https://www.england.nhs.uk/ourwork/demand-and-capacity/demand-and-capacity-modelling-what-everyone-needs-to-know/" TargetMode="External"/><Relationship Id="rId19" Type="http://schemas.openxmlformats.org/officeDocument/2006/relationships/hyperlink" Target="https://www.gov.uk/government/statistics/police-workforce-england-and-wales-31-march-2022/police-workforce-england-and-wales-31-march-2022" TargetMode="External"/><Relationship Id="rId31" Type="http://schemas.openxmlformats.org/officeDocument/2006/relationships/hyperlink" Target="https://www.npcc.police.uk/NPCCBusinessAreas/ReformandTransformation/Digitalpolicing.aspx" TargetMode="External"/><Relationship Id="rId4" Type="http://schemas.openxmlformats.org/officeDocument/2006/relationships/hyperlink" Target="https://www.legislation.gov.uk/ukpga/2004/21/contents" TargetMode="External"/><Relationship Id="rId9" Type="http://schemas.openxmlformats.org/officeDocument/2006/relationships/hyperlink" Target="https://www.cqc.org.uk/" TargetMode="External"/><Relationship Id="rId14" Type="http://schemas.openxmlformats.org/officeDocument/2006/relationships/hyperlink" Target="https://www.gov.uk/government/statistics/fire-and-rescue-workforce-and-pensions-statistics-england-april-2020-to-march-2021/fire-and-rescue-workforce-and-pensions-statistics-england-april-2020-to-march-2021" TargetMode="External"/><Relationship Id="rId22" Type="http://schemas.openxmlformats.org/officeDocument/2006/relationships/hyperlink" Target="https://www.nwas.nhs.uk/careers/vacancies/" TargetMode="External"/><Relationship Id="rId27" Type="http://schemas.openxmlformats.org/officeDocument/2006/relationships/hyperlink" Target="https://www.manchesterfire.gov.uk/about-us/publication-scheme/" TargetMode="External"/><Relationship Id="rId30" Type="http://schemas.openxmlformats.org/officeDocument/2006/relationships/hyperlink" Target="https://transform.england.nhs.uk/key-tools-and-info/independent-evaluation-of-the-global-digital-exemplar-programme/" TargetMode="External"/><Relationship Id="rId8" Type="http://schemas.openxmlformats.org/officeDocument/2006/relationships/hyperlink" Target="https://www.cqc.org.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376998-1C3B-4F47-AF27-BB75B709AF10}" type="doc">
      <dgm:prSet loTypeId="urn:microsoft.com/office/officeart/2005/8/layout/hProcess9" loCatId="process" qsTypeId="urn:microsoft.com/office/officeart/2005/8/quickstyle/simple1" qsCatId="simple" csTypeId="urn:microsoft.com/office/officeart/2005/8/colors/accent1_2" csCatId="accent1" phldr="1"/>
      <dgm:spPr/>
    </dgm:pt>
    <dgm:pt modelId="{04D71519-C5D3-4A46-8A40-152BED5F5517}">
      <dgm:prSet phldrT="[Text]" custT="1"/>
      <dgm:spPr>
        <a:xfrm>
          <a:off x="0" y="495300"/>
          <a:ext cx="1558290"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solidFill>
                <a:srgbClr val="FFFFFF"/>
              </a:solidFill>
              <a:latin typeface="Arial" panose="020B0604020202020204" pitchFamily="34" charset="0"/>
              <a:ea typeface="+mn-ea"/>
              <a:cs typeface="Arial" panose="020B0604020202020204" pitchFamily="34" charset="0"/>
            </a:rPr>
            <a:t>Operational Firefighter L3</a:t>
          </a:r>
        </a:p>
      </dgm:t>
      <dgm:extLst>
        <a:ext uri="{E40237B7-FDA0-4F09-8148-C483321AD2D9}">
          <dgm14:cNvPr xmlns:dgm14="http://schemas.microsoft.com/office/drawing/2010/diagram" id="0" name="" descr="Apprenticeship pathway from Operational Firefighter to Fire Safety Engineer"/>
        </a:ext>
      </dgm:extLst>
    </dgm:pt>
    <dgm:pt modelId="{0039E849-7EB3-40D7-BB8C-8BF77733C616}" type="parTrans" cxnId="{2519AF75-EF0C-40A5-AB4B-4BC2AFE7B11E}">
      <dgm:prSet/>
      <dgm:spPr/>
      <dgm:t>
        <a:bodyPr/>
        <a:lstStyle/>
        <a:p>
          <a:endParaRPr lang="en-GB">
            <a:latin typeface="Arial" panose="020B0604020202020204" pitchFamily="34" charset="0"/>
            <a:cs typeface="Arial" panose="020B0604020202020204" pitchFamily="34" charset="0"/>
          </a:endParaRPr>
        </a:p>
      </dgm:t>
    </dgm:pt>
    <dgm:pt modelId="{FDAD9DB2-E040-4570-88A8-8654A7A11E3E}" type="sibTrans" cxnId="{2519AF75-EF0C-40A5-AB4B-4BC2AFE7B11E}">
      <dgm:prSet/>
      <dgm:spPr/>
      <dgm:t>
        <a:bodyPr/>
        <a:lstStyle/>
        <a:p>
          <a:endParaRPr lang="en-GB">
            <a:latin typeface="Arial" panose="020B0604020202020204" pitchFamily="34" charset="0"/>
            <a:cs typeface="Arial" panose="020B0604020202020204" pitchFamily="34" charset="0"/>
          </a:endParaRPr>
        </a:p>
      </dgm:t>
    </dgm:pt>
    <dgm:pt modelId="{F942F636-CB87-4400-B729-5D72180C9573}">
      <dgm:prSet phldrT="[Text]" custT="1"/>
      <dgm:spPr>
        <a:xfrm>
          <a:off x="1818004" y="495300"/>
          <a:ext cx="1558290"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solidFill>
                <a:srgbClr val="FFFFFF"/>
              </a:solidFill>
              <a:latin typeface="Arial" panose="020B0604020202020204" pitchFamily="34" charset="0"/>
              <a:ea typeface="+mn-ea"/>
              <a:cs typeface="Arial" panose="020B0604020202020204" pitchFamily="34" charset="0"/>
            </a:rPr>
            <a:t>Fire Safety Inspector L4</a:t>
          </a:r>
        </a:p>
      </dgm:t>
      <dgm:extLst>
        <a:ext uri="{E40237B7-FDA0-4F09-8148-C483321AD2D9}">
          <dgm14:cNvPr xmlns:dgm14="http://schemas.microsoft.com/office/drawing/2010/diagram" id="0" name="" descr="Apprenticeship pathway from Operational Firefighter to Fire Safety Engineer"/>
        </a:ext>
      </dgm:extLst>
    </dgm:pt>
    <dgm:pt modelId="{9DE96100-3FB1-4301-8726-11D70C69E7B8}" type="parTrans" cxnId="{039D5AE8-11A5-4814-8995-3CD48BD9C14A}">
      <dgm:prSet/>
      <dgm:spPr/>
      <dgm:t>
        <a:bodyPr/>
        <a:lstStyle/>
        <a:p>
          <a:endParaRPr lang="en-GB">
            <a:latin typeface="Arial" panose="020B0604020202020204" pitchFamily="34" charset="0"/>
            <a:cs typeface="Arial" panose="020B0604020202020204" pitchFamily="34" charset="0"/>
          </a:endParaRPr>
        </a:p>
      </dgm:t>
    </dgm:pt>
    <dgm:pt modelId="{41EF510A-8001-48FC-B7D3-34F223056A61}" type="sibTrans" cxnId="{039D5AE8-11A5-4814-8995-3CD48BD9C14A}">
      <dgm:prSet/>
      <dgm:spPr/>
      <dgm:t>
        <a:bodyPr/>
        <a:lstStyle/>
        <a:p>
          <a:endParaRPr lang="en-GB">
            <a:latin typeface="Arial" panose="020B0604020202020204" pitchFamily="34" charset="0"/>
            <a:cs typeface="Arial" panose="020B0604020202020204" pitchFamily="34" charset="0"/>
          </a:endParaRPr>
        </a:p>
      </dgm:t>
    </dgm:pt>
    <dgm:pt modelId="{30F00945-21AB-4FE8-8B2C-BCFBA3260F5E}">
      <dgm:prSet phldrT="[Text]" custT="1"/>
      <dgm:spPr>
        <a:xfrm>
          <a:off x="3636010" y="495300"/>
          <a:ext cx="1558290"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i="0">
              <a:solidFill>
                <a:srgbClr val="FFFFFF"/>
              </a:solidFill>
              <a:latin typeface="Arial" panose="020B0604020202020204" pitchFamily="34" charset="0"/>
              <a:ea typeface="+mn-ea"/>
              <a:cs typeface="Arial" panose="020B0604020202020204" pitchFamily="34" charset="0"/>
            </a:rPr>
            <a:t>Fire Safety Engineer L6</a:t>
          </a:r>
        </a:p>
      </dgm:t>
      <dgm:extLst>
        <a:ext uri="{E40237B7-FDA0-4F09-8148-C483321AD2D9}">
          <dgm14:cNvPr xmlns:dgm14="http://schemas.microsoft.com/office/drawing/2010/diagram" id="0" name="" descr="Apprenticeship pathway from Operational Firefighter to Fire Safety Engineer"/>
        </a:ext>
      </dgm:extLst>
    </dgm:pt>
    <dgm:pt modelId="{1C5EC367-0B4D-413E-9A98-AF0F7299EBD0}" type="parTrans" cxnId="{729F939F-FD24-4664-A578-BFCD50174D7B}">
      <dgm:prSet/>
      <dgm:spPr/>
      <dgm:t>
        <a:bodyPr/>
        <a:lstStyle/>
        <a:p>
          <a:endParaRPr lang="en-GB">
            <a:latin typeface="Arial" panose="020B0604020202020204" pitchFamily="34" charset="0"/>
            <a:cs typeface="Arial" panose="020B0604020202020204" pitchFamily="34" charset="0"/>
          </a:endParaRPr>
        </a:p>
      </dgm:t>
    </dgm:pt>
    <dgm:pt modelId="{3BA19FF1-00EF-4988-98A3-CF40D76C4CFE}" type="sibTrans" cxnId="{729F939F-FD24-4664-A578-BFCD50174D7B}">
      <dgm:prSet/>
      <dgm:spPr/>
      <dgm:t>
        <a:bodyPr/>
        <a:lstStyle/>
        <a:p>
          <a:endParaRPr lang="en-GB">
            <a:latin typeface="Arial" panose="020B0604020202020204" pitchFamily="34" charset="0"/>
            <a:cs typeface="Arial" panose="020B0604020202020204" pitchFamily="34" charset="0"/>
          </a:endParaRPr>
        </a:p>
      </dgm:t>
    </dgm:pt>
    <dgm:pt modelId="{D65003C5-D10E-4078-8F69-3F5773A9653C}" type="pres">
      <dgm:prSet presAssocID="{42376998-1C3B-4F47-AF27-BB75B709AF10}" presName="CompostProcess" presStyleCnt="0">
        <dgm:presLayoutVars>
          <dgm:dir/>
          <dgm:resizeHandles val="exact"/>
        </dgm:presLayoutVars>
      </dgm:prSet>
      <dgm:spPr/>
    </dgm:pt>
    <dgm:pt modelId="{279CA741-E037-4B2E-8714-F230413105A9}" type="pres">
      <dgm:prSet presAssocID="{42376998-1C3B-4F47-AF27-BB75B709AF10}" presName="arrow" presStyleLbl="bgShp" presStyleIdx="0" presStyleCnt="1"/>
      <dgm:spPr>
        <a:xfrm>
          <a:off x="389572" y="0"/>
          <a:ext cx="4415155" cy="1651000"/>
        </a:xfrm>
        <a:prstGeom prst="rightArrow">
          <a:avLst/>
        </a:prstGeom>
        <a:solidFill>
          <a:srgbClr val="2C5060">
            <a:tint val="40000"/>
            <a:hueOff val="0"/>
            <a:satOff val="0"/>
            <a:lumOff val="0"/>
            <a:alphaOff val="0"/>
          </a:srgbClr>
        </a:solidFill>
        <a:ln>
          <a:solidFill>
            <a:schemeClr val="tx1"/>
          </a:solidFill>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B51E399-D5AA-401E-A47A-B59F7F29F14D}" type="pres">
      <dgm:prSet presAssocID="{42376998-1C3B-4F47-AF27-BB75B709AF10}" presName="linearProcess" presStyleCnt="0"/>
      <dgm:spPr/>
    </dgm:pt>
    <dgm:pt modelId="{01575448-C833-4614-ADF0-934FEC828430}" type="pres">
      <dgm:prSet presAssocID="{04D71519-C5D3-4A46-8A40-152BED5F5517}" presName="textNode" presStyleLbl="node1" presStyleIdx="0" presStyleCnt="3">
        <dgm:presLayoutVars>
          <dgm:bulletEnabled val="1"/>
        </dgm:presLayoutVars>
      </dgm:prSet>
      <dgm:spPr/>
    </dgm:pt>
    <dgm:pt modelId="{2E3F3699-B001-40D9-9F71-2246121DF671}" type="pres">
      <dgm:prSet presAssocID="{FDAD9DB2-E040-4570-88A8-8654A7A11E3E}" presName="sibTrans" presStyleCnt="0"/>
      <dgm:spPr/>
    </dgm:pt>
    <dgm:pt modelId="{DA7E106C-D511-4692-9809-A8B8D4B2EA37}" type="pres">
      <dgm:prSet presAssocID="{F942F636-CB87-4400-B729-5D72180C9573}" presName="textNode" presStyleLbl="node1" presStyleIdx="1" presStyleCnt="3">
        <dgm:presLayoutVars>
          <dgm:bulletEnabled val="1"/>
        </dgm:presLayoutVars>
      </dgm:prSet>
      <dgm:spPr/>
    </dgm:pt>
    <dgm:pt modelId="{1B2FD1A1-AA5B-407C-A81F-17AC49485EF8}" type="pres">
      <dgm:prSet presAssocID="{41EF510A-8001-48FC-B7D3-34F223056A61}" presName="sibTrans" presStyleCnt="0"/>
      <dgm:spPr/>
    </dgm:pt>
    <dgm:pt modelId="{B8117921-6E9B-486F-9F7A-D9C97F3257ED}" type="pres">
      <dgm:prSet presAssocID="{30F00945-21AB-4FE8-8B2C-BCFBA3260F5E}" presName="textNode" presStyleLbl="node1" presStyleIdx="2" presStyleCnt="3">
        <dgm:presLayoutVars>
          <dgm:bulletEnabled val="1"/>
        </dgm:presLayoutVars>
      </dgm:prSet>
      <dgm:spPr/>
    </dgm:pt>
  </dgm:ptLst>
  <dgm:cxnLst>
    <dgm:cxn modelId="{8B552E15-8877-42BB-B521-E47CF4449F5B}" type="presOf" srcId="{42376998-1C3B-4F47-AF27-BB75B709AF10}" destId="{D65003C5-D10E-4078-8F69-3F5773A9653C}" srcOrd="0" destOrd="0" presId="urn:microsoft.com/office/officeart/2005/8/layout/hProcess9"/>
    <dgm:cxn modelId="{2519AF75-EF0C-40A5-AB4B-4BC2AFE7B11E}" srcId="{42376998-1C3B-4F47-AF27-BB75B709AF10}" destId="{04D71519-C5D3-4A46-8A40-152BED5F5517}" srcOrd="0" destOrd="0" parTransId="{0039E849-7EB3-40D7-BB8C-8BF77733C616}" sibTransId="{FDAD9DB2-E040-4570-88A8-8654A7A11E3E}"/>
    <dgm:cxn modelId="{58F9257F-8AA9-4F47-959C-D7BC65020599}" type="presOf" srcId="{30F00945-21AB-4FE8-8B2C-BCFBA3260F5E}" destId="{B8117921-6E9B-486F-9F7A-D9C97F3257ED}" srcOrd="0" destOrd="0" presId="urn:microsoft.com/office/officeart/2005/8/layout/hProcess9"/>
    <dgm:cxn modelId="{729F939F-FD24-4664-A578-BFCD50174D7B}" srcId="{42376998-1C3B-4F47-AF27-BB75B709AF10}" destId="{30F00945-21AB-4FE8-8B2C-BCFBA3260F5E}" srcOrd="2" destOrd="0" parTransId="{1C5EC367-0B4D-413E-9A98-AF0F7299EBD0}" sibTransId="{3BA19FF1-00EF-4988-98A3-CF40D76C4CFE}"/>
    <dgm:cxn modelId="{228640BF-0470-4737-86B9-815B96AFD1FA}" type="presOf" srcId="{04D71519-C5D3-4A46-8A40-152BED5F5517}" destId="{01575448-C833-4614-ADF0-934FEC828430}" srcOrd="0" destOrd="0" presId="urn:microsoft.com/office/officeart/2005/8/layout/hProcess9"/>
    <dgm:cxn modelId="{039D5AE8-11A5-4814-8995-3CD48BD9C14A}" srcId="{42376998-1C3B-4F47-AF27-BB75B709AF10}" destId="{F942F636-CB87-4400-B729-5D72180C9573}" srcOrd="1" destOrd="0" parTransId="{9DE96100-3FB1-4301-8726-11D70C69E7B8}" sibTransId="{41EF510A-8001-48FC-B7D3-34F223056A61}"/>
    <dgm:cxn modelId="{6801A0EB-977C-41A1-A55A-2995F443ACCF}" type="presOf" srcId="{F942F636-CB87-4400-B729-5D72180C9573}" destId="{DA7E106C-D511-4692-9809-A8B8D4B2EA37}" srcOrd="0" destOrd="0" presId="urn:microsoft.com/office/officeart/2005/8/layout/hProcess9"/>
    <dgm:cxn modelId="{426CC02A-5976-43FF-901C-2BA5293D81C3}" type="presParOf" srcId="{D65003C5-D10E-4078-8F69-3F5773A9653C}" destId="{279CA741-E037-4B2E-8714-F230413105A9}" srcOrd="0" destOrd="0" presId="urn:microsoft.com/office/officeart/2005/8/layout/hProcess9"/>
    <dgm:cxn modelId="{6C28F4AA-00FB-42D2-A317-E83B567A4710}" type="presParOf" srcId="{D65003C5-D10E-4078-8F69-3F5773A9653C}" destId="{EB51E399-D5AA-401E-A47A-B59F7F29F14D}" srcOrd="1" destOrd="0" presId="urn:microsoft.com/office/officeart/2005/8/layout/hProcess9"/>
    <dgm:cxn modelId="{F3A718E2-251A-440D-BDEA-A6BF31C5F125}" type="presParOf" srcId="{EB51E399-D5AA-401E-A47A-B59F7F29F14D}" destId="{01575448-C833-4614-ADF0-934FEC828430}" srcOrd="0" destOrd="0" presId="urn:microsoft.com/office/officeart/2005/8/layout/hProcess9"/>
    <dgm:cxn modelId="{E8111E76-D952-48E5-88A2-2C63AFE0FE0A}" type="presParOf" srcId="{EB51E399-D5AA-401E-A47A-B59F7F29F14D}" destId="{2E3F3699-B001-40D9-9F71-2246121DF671}" srcOrd="1" destOrd="0" presId="urn:microsoft.com/office/officeart/2005/8/layout/hProcess9"/>
    <dgm:cxn modelId="{7152A1B8-409F-46F9-8FE0-444F301F90B8}" type="presParOf" srcId="{EB51E399-D5AA-401E-A47A-B59F7F29F14D}" destId="{DA7E106C-D511-4692-9809-A8B8D4B2EA37}" srcOrd="2" destOrd="0" presId="urn:microsoft.com/office/officeart/2005/8/layout/hProcess9"/>
    <dgm:cxn modelId="{112E4D34-475C-4ECE-807A-21FD3EFD6EB4}" type="presParOf" srcId="{EB51E399-D5AA-401E-A47A-B59F7F29F14D}" destId="{1B2FD1A1-AA5B-407C-A81F-17AC49485EF8}" srcOrd="3" destOrd="0" presId="urn:microsoft.com/office/officeart/2005/8/layout/hProcess9"/>
    <dgm:cxn modelId="{A4670EEB-4239-4067-B7D3-47D99E585942}" type="presParOf" srcId="{EB51E399-D5AA-401E-A47A-B59F7F29F14D}" destId="{B8117921-6E9B-486F-9F7A-D9C97F3257ED}"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376998-1C3B-4F47-AF27-BB75B709AF10}" type="doc">
      <dgm:prSet loTypeId="urn:microsoft.com/office/officeart/2005/8/layout/hProcess9" loCatId="process" qsTypeId="urn:microsoft.com/office/officeart/2005/8/quickstyle/simple1" qsCatId="simple" csTypeId="urn:microsoft.com/office/officeart/2005/8/colors/accent1_2" csCatId="accent1" phldr="1"/>
      <dgm:spPr/>
    </dgm:pt>
    <dgm:pt modelId="{04D71519-C5D3-4A46-8A40-152BED5F5517}">
      <dgm:prSet phldrT="[Text]" custT="1"/>
      <dgm:spPr>
        <a:xfrm>
          <a:off x="39" y="525779"/>
          <a:ext cx="1612785"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ln>
                <a:noFill/>
              </a:ln>
              <a:solidFill>
                <a:srgbClr val="FFFFFF"/>
              </a:solidFill>
              <a:latin typeface="Arial" panose="020B0604020202020204" pitchFamily="34" charset="0"/>
              <a:ea typeface="+mn-ea"/>
              <a:cs typeface="Arial" panose="020B0604020202020204" pitchFamily="34" charset="0"/>
            </a:rPr>
            <a:t>Ambulance Support Worker (Emergency, Urgent and Non-Emergency) L3 </a:t>
          </a:r>
        </a:p>
      </dgm:t>
      <dgm:extLst>
        <a:ext uri="{E40237B7-FDA0-4F09-8148-C483321AD2D9}">
          <dgm14:cNvPr xmlns:dgm14="http://schemas.microsoft.com/office/drawing/2010/diagram" id="0" name="" descr="Apprenticeship pathway from Ambulance worker to Paramedic"/>
        </a:ext>
      </dgm:extLst>
    </dgm:pt>
    <dgm:pt modelId="{0039E849-7EB3-40D7-BB8C-8BF77733C616}" type="parTrans" cxnId="{2519AF75-EF0C-40A5-AB4B-4BC2AFE7B11E}">
      <dgm:prSet/>
      <dgm:spPr/>
      <dgm:t>
        <a:bodyPr/>
        <a:lstStyle/>
        <a:p>
          <a:endParaRPr lang="en-GB">
            <a:ln>
              <a:noFill/>
            </a:ln>
            <a:latin typeface="Arial" panose="020B0604020202020204" pitchFamily="34" charset="0"/>
            <a:cs typeface="Arial" panose="020B0604020202020204" pitchFamily="34" charset="0"/>
          </a:endParaRPr>
        </a:p>
      </dgm:t>
    </dgm:pt>
    <dgm:pt modelId="{FDAD9DB2-E040-4570-88A8-8654A7A11E3E}" type="sibTrans" cxnId="{2519AF75-EF0C-40A5-AB4B-4BC2AFE7B11E}">
      <dgm:prSet/>
      <dgm:spPr/>
      <dgm:t>
        <a:bodyPr/>
        <a:lstStyle/>
        <a:p>
          <a:endParaRPr lang="en-GB">
            <a:ln>
              <a:noFill/>
            </a:ln>
            <a:latin typeface="Arial" panose="020B0604020202020204" pitchFamily="34" charset="0"/>
            <a:cs typeface="Arial" panose="020B0604020202020204" pitchFamily="34" charset="0"/>
          </a:endParaRPr>
        </a:p>
      </dgm:t>
    </dgm:pt>
    <dgm:pt modelId="{F942F636-CB87-4400-B729-5D72180C9573}">
      <dgm:prSet phldrT="[Text]" custT="1"/>
      <dgm:spPr>
        <a:xfrm>
          <a:off x="1809807" y="525779"/>
          <a:ext cx="1612785"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ln>
                <a:noFill/>
              </a:ln>
              <a:solidFill>
                <a:srgbClr val="FFFFFF"/>
              </a:solidFill>
              <a:latin typeface="Arial" panose="020B0604020202020204" pitchFamily="34" charset="0"/>
              <a:ea typeface="+mn-ea"/>
              <a:cs typeface="Arial" panose="020B0604020202020204" pitchFamily="34" charset="0"/>
            </a:rPr>
            <a:t>Associate Ambulance Practitioner (L4)</a:t>
          </a:r>
        </a:p>
      </dgm:t>
      <dgm:extLst>
        <a:ext uri="{E40237B7-FDA0-4F09-8148-C483321AD2D9}">
          <dgm14:cNvPr xmlns:dgm14="http://schemas.microsoft.com/office/drawing/2010/diagram" id="0" name="" descr="Apprenticeship pathway from Ambulance worker to Paramedic"/>
        </a:ext>
      </dgm:extLst>
    </dgm:pt>
    <dgm:pt modelId="{9DE96100-3FB1-4301-8726-11D70C69E7B8}" type="parTrans" cxnId="{039D5AE8-11A5-4814-8995-3CD48BD9C14A}">
      <dgm:prSet/>
      <dgm:spPr/>
      <dgm:t>
        <a:bodyPr/>
        <a:lstStyle/>
        <a:p>
          <a:endParaRPr lang="en-GB">
            <a:ln>
              <a:noFill/>
            </a:ln>
            <a:latin typeface="Arial" panose="020B0604020202020204" pitchFamily="34" charset="0"/>
            <a:cs typeface="Arial" panose="020B0604020202020204" pitchFamily="34" charset="0"/>
          </a:endParaRPr>
        </a:p>
      </dgm:t>
    </dgm:pt>
    <dgm:pt modelId="{41EF510A-8001-48FC-B7D3-34F223056A61}" type="sibTrans" cxnId="{039D5AE8-11A5-4814-8995-3CD48BD9C14A}">
      <dgm:prSet/>
      <dgm:spPr/>
      <dgm:t>
        <a:bodyPr/>
        <a:lstStyle/>
        <a:p>
          <a:endParaRPr lang="en-GB">
            <a:ln>
              <a:noFill/>
            </a:ln>
            <a:latin typeface="Arial" panose="020B0604020202020204" pitchFamily="34" charset="0"/>
            <a:cs typeface="Arial" panose="020B0604020202020204" pitchFamily="34" charset="0"/>
          </a:endParaRPr>
        </a:p>
      </dgm:t>
    </dgm:pt>
    <dgm:pt modelId="{30F00945-21AB-4FE8-8B2C-BCFBA3260F5E}">
      <dgm:prSet phldrT="[Text]" custT="1"/>
      <dgm:spPr>
        <a:xfrm>
          <a:off x="3619574" y="525779"/>
          <a:ext cx="1612785"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i="0">
              <a:ln>
                <a:noFill/>
              </a:ln>
              <a:solidFill>
                <a:srgbClr val="FFFFFF"/>
              </a:solidFill>
              <a:latin typeface="Arial" panose="020B0604020202020204" pitchFamily="34" charset="0"/>
              <a:ea typeface="+mn-ea"/>
              <a:cs typeface="Arial" panose="020B0604020202020204" pitchFamily="34" charset="0"/>
            </a:rPr>
            <a:t>Paramedic (L6 Degree)</a:t>
          </a:r>
        </a:p>
      </dgm:t>
      <dgm:extLst>
        <a:ext uri="{E40237B7-FDA0-4F09-8148-C483321AD2D9}">
          <dgm14:cNvPr xmlns:dgm14="http://schemas.microsoft.com/office/drawing/2010/diagram" id="0" name="" descr="Apprenticeship pathway from Ambulance worker to Paramedic"/>
        </a:ext>
      </dgm:extLst>
    </dgm:pt>
    <dgm:pt modelId="{1C5EC367-0B4D-413E-9A98-AF0F7299EBD0}" type="parTrans" cxnId="{729F939F-FD24-4664-A578-BFCD50174D7B}">
      <dgm:prSet/>
      <dgm:spPr/>
      <dgm:t>
        <a:bodyPr/>
        <a:lstStyle/>
        <a:p>
          <a:endParaRPr lang="en-GB">
            <a:ln>
              <a:noFill/>
            </a:ln>
            <a:latin typeface="Arial" panose="020B0604020202020204" pitchFamily="34" charset="0"/>
            <a:cs typeface="Arial" panose="020B0604020202020204" pitchFamily="34" charset="0"/>
          </a:endParaRPr>
        </a:p>
      </dgm:t>
    </dgm:pt>
    <dgm:pt modelId="{3BA19FF1-00EF-4988-98A3-CF40D76C4CFE}" type="sibTrans" cxnId="{729F939F-FD24-4664-A578-BFCD50174D7B}">
      <dgm:prSet/>
      <dgm:spPr/>
      <dgm:t>
        <a:bodyPr/>
        <a:lstStyle/>
        <a:p>
          <a:endParaRPr lang="en-GB">
            <a:ln>
              <a:noFill/>
            </a:ln>
            <a:latin typeface="Arial" panose="020B0604020202020204" pitchFamily="34" charset="0"/>
            <a:cs typeface="Arial" panose="020B0604020202020204" pitchFamily="34" charset="0"/>
          </a:endParaRPr>
        </a:p>
      </dgm:t>
    </dgm:pt>
    <dgm:pt modelId="{D65003C5-D10E-4078-8F69-3F5773A9653C}" type="pres">
      <dgm:prSet presAssocID="{42376998-1C3B-4F47-AF27-BB75B709AF10}" presName="CompostProcess" presStyleCnt="0">
        <dgm:presLayoutVars>
          <dgm:dir/>
          <dgm:resizeHandles val="exact"/>
        </dgm:presLayoutVars>
      </dgm:prSet>
      <dgm:spPr/>
    </dgm:pt>
    <dgm:pt modelId="{279CA741-E037-4B2E-8714-F230413105A9}" type="pres">
      <dgm:prSet presAssocID="{42376998-1C3B-4F47-AF27-BB75B709AF10}" presName="arrow" presStyleLbl="bgShp" presStyleIdx="0" presStyleCnt="1"/>
      <dgm:spPr>
        <a:xfrm>
          <a:off x="392429" y="0"/>
          <a:ext cx="4447540" cy="1752600"/>
        </a:xfrm>
        <a:prstGeom prst="rightArrow">
          <a:avLst/>
        </a:prstGeom>
        <a:solidFill>
          <a:srgbClr val="2C5060">
            <a:tint val="40000"/>
            <a:hueOff val="0"/>
            <a:satOff val="0"/>
            <a:lumOff val="0"/>
            <a:alphaOff val="0"/>
          </a:srgbClr>
        </a:solidFill>
        <a:ln>
          <a:solidFill>
            <a:schemeClr val="tx1"/>
          </a:solidFill>
        </a:ln>
        <a:effectLst/>
      </dgm:spPr>
      <dgm:extLst>
        <a:ext uri="{E40237B7-FDA0-4F09-8148-C483321AD2D9}">
          <dgm14:cNvPr xmlns:dgm14="http://schemas.microsoft.com/office/drawing/2010/diagram" id="0" name="" descr="Apprenticeship pathway from Ambulance worker to Paramedic"/>
        </a:ext>
      </dgm:extLst>
    </dgm:pt>
    <dgm:pt modelId="{EB51E399-D5AA-401E-A47A-B59F7F29F14D}" type="pres">
      <dgm:prSet presAssocID="{42376998-1C3B-4F47-AF27-BB75B709AF10}" presName="linearProcess" presStyleCnt="0"/>
      <dgm:spPr/>
    </dgm:pt>
    <dgm:pt modelId="{01575448-C833-4614-ADF0-934FEC828430}" type="pres">
      <dgm:prSet presAssocID="{04D71519-C5D3-4A46-8A40-152BED5F5517}" presName="textNode" presStyleLbl="node1" presStyleIdx="0" presStyleCnt="3">
        <dgm:presLayoutVars>
          <dgm:bulletEnabled val="1"/>
        </dgm:presLayoutVars>
      </dgm:prSet>
      <dgm:spPr/>
    </dgm:pt>
    <dgm:pt modelId="{2E3F3699-B001-40D9-9F71-2246121DF671}" type="pres">
      <dgm:prSet presAssocID="{FDAD9DB2-E040-4570-88A8-8654A7A11E3E}" presName="sibTrans" presStyleCnt="0"/>
      <dgm:spPr/>
    </dgm:pt>
    <dgm:pt modelId="{DA7E106C-D511-4692-9809-A8B8D4B2EA37}" type="pres">
      <dgm:prSet presAssocID="{F942F636-CB87-4400-B729-5D72180C9573}" presName="textNode" presStyleLbl="node1" presStyleIdx="1" presStyleCnt="3">
        <dgm:presLayoutVars>
          <dgm:bulletEnabled val="1"/>
        </dgm:presLayoutVars>
      </dgm:prSet>
      <dgm:spPr/>
    </dgm:pt>
    <dgm:pt modelId="{1B2FD1A1-AA5B-407C-A81F-17AC49485EF8}" type="pres">
      <dgm:prSet presAssocID="{41EF510A-8001-48FC-B7D3-34F223056A61}" presName="sibTrans" presStyleCnt="0"/>
      <dgm:spPr/>
    </dgm:pt>
    <dgm:pt modelId="{B8117921-6E9B-486F-9F7A-D9C97F3257ED}" type="pres">
      <dgm:prSet presAssocID="{30F00945-21AB-4FE8-8B2C-BCFBA3260F5E}" presName="textNode" presStyleLbl="node1" presStyleIdx="2" presStyleCnt="3">
        <dgm:presLayoutVars>
          <dgm:bulletEnabled val="1"/>
        </dgm:presLayoutVars>
      </dgm:prSet>
      <dgm:spPr/>
    </dgm:pt>
  </dgm:ptLst>
  <dgm:cxnLst>
    <dgm:cxn modelId="{8B552E15-8877-42BB-B521-E47CF4449F5B}" type="presOf" srcId="{42376998-1C3B-4F47-AF27-BB75B709AF10}" destId="{D65003C5-D10E-4078-8F69-3F5773A9653C}" srcOrd="0" destOrd="0" presId="urn:microsoft.com/office/officeart/2005/8/layout/hProcess9"/>
    <dgm:cxn modelId="{2519AF75-EF0C-40A5-AB4B-4BC2AFE7B11E}" srcId="{42376998-1C3B-4F47-AF27-BB75B709AF10}" destId="{04D71519-C5D3-4A46-8A40-152BED5F5517}" srcOrd="0" destOrd="0" parTransId="{0039E849-7EB3-40D7-BB8C-8BF77733C616}" sibTransId="{FDAD9DB2-E040-4570-88A8-8654A7A11E3E}"/>
    <dgm:cxn modelId="{58F9257F-8AA9-4F47-959C-D7BC65020599}" type="presOf" srcId="{30F00945-21AB-4FE8-8B2C-BCFBA3260F5E}" destId="{B8117921-6E9B-486F-9F7A-D9C97F3257ED}" srcOrd="0" destOrd="0" presId="urn:microsoft.com/office/officeart/2005/8/layout/hProcess9"/>
    <dgm:cxn modelId="{729F939F-FD24-4664-A578-BFCD50174D7B}" srcId="{42376998-1C3B-4F47-AF27-BB75B709AF10}" destId="{30F00945-21AB-4FE8-8B2C-BCFBA3260F5E}" srcOrd="2" destOrd="0" parTransId="{1C5EC367-0B4D-413E-9A98-AF0F7299EBD0}" sibTransId="{3BA19FF1-00EF-4988-98A3-CF40D76C4CFE}"/>
    <dgm:cxn modelId="{228640BF-0470-4737-86B9-815B96AFD1FA}" type="presOf" srcId="{04D71519-C5D3-4A46-8A40-152BED5F5517}" destId="{01575448-C833-4614-ADF0-934FEC828430}" srcOrd="0" destOrd="0" presId="urn:microsoft.com/office/officeart/2005/8/layout/hProcess9"/>
    <dgm:cxn modelId="{039D5AE8-11A5-4814-8995-3CD48BD9C14A}" srcId="{42376998-1C3B-4F47-AF27-BB75B709AF10}" destId="{F942F636-CB87-4400-B729-5D72180C9573}" srcOrd="1" destOrd="0" parTransId="{9DE96100-3FB1-4301-8726-11D70C69E7B8}" sibTransId="{41EF510A-8001-48FC-B7D3-34F223056A61}"/>
    <dgm:cxn modelId="{6801A0EB-977C-41A1-A55A-2995F443ACCF}" type="presOf" srcId="{F942F636-CB87-4400-B729-5D72180C9573}" destId="{DA7E106C-D511-4692-9809-A8B8D4B2EA37}" srcOrd="0" destOrd="0" presId="urn:microsoft.com/office/officeart/2005/8/layout/hProcess9"/>
    <dgm:cxn modelId="{426CC02A-5976-43FF-901C-2BA5293D81C3}" type="presParOf" srcId="{D65003C5-D10E-4078-8F69-3F5773A9653C}" destId="{279CA741-E037-4B2E-8714-F230413105A9}" srcOrd="0" destOrd="0" presId="urn:microsoft.com/office/officeart/2005/8/layout/hProcess9"/>
    <dgm:cxn modelId="{6C28F4AA-00FB-42D2-A317-E83B567A4710}" type="presParOf" srcId="{D65003C5-D10E-4078-8F69-3F5773A9653C}" destId="{EB51E399-D5AA-401E-A47A-B59F7F29F14D}" srcOrd="1" destOrd="0" presId="urn:microsoft.com/office/officeart/2005/8/layout/hProcess9"/>
    <dgm:cxn modelId="{F3A718E2-251A-440D-BDEA-A6BF31C5F125}" type="presParOf" srcId="{EB51E399-D5AA-401E-A47A-B59F7F29F14D}" destId="{01575448-C833-4614-ADF0-934FEC828430}" srcOrd="0" destOrd="0" presId="urn:microsoft.com/office/officeart/2005/8/layout/hProcess9"/>
    <dgm:cxn modelId="{E8111E76-D952-48E5-88A2-2C63AFE0FE0A}" type="presParOf" srcId="{EB51E399-D5AA-401E-A47A-B59F7F29F14D}" destId="{2E3F3699-B001-40D9-9F71-2246121DF671}" srcOrd="1" destOrd="0" presId="urn:microsoft.com/office/officeart/2005/8/layout/hProcess9"/>
    <dgm:cxn modelId="{7152A1B8-409F-46F9-8FE0-444F301F90B8}" type="presParOf" srcId="{EB51E399-D5AA-401E-A47A-B59F7F29F14D}" destId="{DA7E106C-D511-4692-9809-A8B8D4B2EA37}" srcOrd="2" destOrd="0" presId="urn:microsoft.com/office/officeart/2005/8/layout/hProcess9"/>
    <dgm:cxn modelId="{112E4D34-475C-4ECE-807A-21FD3EFD6EB4}" type="presParOf" srcId="{EB51E399-D5AA-401E-A47A-B59F7F29F14D}" destId="{1B2FD1A1-AA5B-407C-A81F-17AC49485EF8}" srcOrd="3" destOrd="0" presId="urn:microsoft.com/office/officeart/2005/8/layout/hProcess9"/>
    <dgm:cxn modelId="{A4670EEB-4239-4067-B7D3-47D99E585942}" type="presParOf" srcId="{EB51E399-D5AA-401E-A47A-B59F7F29F14D}" destId="{B8117921-6E9B-486F-9F7A-D9C97F3257ED}"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376998-1C3B-4F47-AF27-BB75B709AF10}" type="doc">
      <dgm:prSet loTypeId="urn:microsoft.com/office/officeart/2005/8/layout/hProcess9" loCatId="process" qsTypeId="urn:microsoft.com/office/officeart/2005/8/quickstyle/simple1" qsCatId="simple" csTypeId="urn:microsoft.com/office/officeart/2005/8/colors/accent1_2" csCatId="accent1" phldr="1"/>
      <dgm:spPr/>
    </dgm:pt>
    <dgm:pt modelId="{04D71519-C5D3-4A46-8A40-152BED5F5517}">
      <dgm:prSet phldrT="[Text]" custT="1"/>
      <dgm:spPr>
        <a:xfrm>
          <a:off x="0" y="546734"/>
          <a:ext cx="1554480"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solidFill>
                <a:srgbClr val="FFFFFF"/>
              </a:solidFill>
              <a:latin typeface="Arial" panose="020B0604020202020204" pitchFamily="34" charset="0"/>
              <a:ea typeface="+mn-ea"/>
              <a:cs typeface="Arial" panose="020B0604020202020204" pitchFamily="34" charset="0"/>
            </a:rPr>
            <a:t>Custody and Detention Officer (L3</a:t>
          </a:r>
          <a:r>
            <a:rPr lang="en-GB" sz="1500">
              <a:solidFill>
                <a:srgbClr val="FFFFFF"/>
              </a:solidFill>
              <a:latin typeface="Arial" panose="020B0604020202020204" pitchFamily="34" charset="0"/>
              <a:ea typeface="+mn-ea"/>
              <a:cs typeface="Arial" panose="020B0604020202020204" pitchFamily="34" charset="0"/>
            </a:rPr>
            <a:t>) </a:t>
          </a:r>
        </a:p>
      </dgm:t>
      <dgm:extLst>
        <a:ext uri="{E40237B7-FDA0-4F09-8148-C483321AD2D9}">
          <dgm14:cNvPr xmlns:dgm14="http://schemas.microsoft.com/office/drawing/2010/diagram" id="0" name="" descr="Apprenticeship pathway from Custody and Detention Officer to Police Constable&#10;"/>
        </a:ext>
      </dgm:extLst>
    </dgm:pt>
    <dgm:pt modelId="{0039E849-7EB3-40D7-BB8C-8BF77733C616}" type="parTrans" cxnId="{2519AF75-EF0C-40A5-AB4B-4BC2AFE7B11E}">
      <dgm:prSet/>
      <dgm:spPr/>
      <dgm:t>
        <a:bodyPr/>
        <a:lstStyle/>
        <a:p>
          <a:endParaRPr lang="en-GB">
            <a:latin typeface="Arial" panose="020B0604020202020204" pitchFamily="34" charset="0"/>
            <a:cs typeface="Arial" panose="020B0604020202020204" pitchFamily="34" charset="0"/>
          </a:endParaRPr>
        </a:p>
      </dgm:t>
    </dgm:pt>
    <dgm:pt modelId="{FDAD9DB2-E040-4570-88A8-8654A7A11E3E}" type="sibTrans" cxnId="{2519AF75-EF0C-40A5-AB4B-4BC2AFE7B11E}">
      <dgm:prSet/>
      <dgm:spPr/>
      <dgm:t>
        <a:bodyPr/>
        <a:lstStyle/>
        <a:p>
          <a:endParaRPr lang="en-GB">
            <a:latin typeface="Arial" panose="020B0604020202020204" pitchFamily="34" charset="0"/>
            <a:cs typeface="Arial" panose="020B0604020202020204" pitchFamily="34" charset="0"/>
          </a:endParaRPr>
        </a:p>
      </dgm:t>
    </dgm:pt>
    <dgm:pt modelId="{F942F636-CB87-4400-B729-5D72180C9573}">
      <dgm:prSet phldrT="[Text]" custT="1"/>
      <dgm:spPr>
        <a:xfrm>
          <a:off x="1813560" y="546734"/>
          <a:ext cx="1554480"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a:solidFill>
                <a:srgbClr val="FFFFFF"/>
              </a:solidFill>
              <a:latin typeface="Arial" panose="020B0604020202020204" pitchFamily="34" charset="0"/>
              <a:ea typeface="+mn-ea"/>
              <a:cs typeface="Arial" panose="020B0604020202020204" pitchFamily="34" charset="0"/>
            </a:rPr>
            <a:t>Police Community Support Officer (L4)</a:t>
          </a:r>
        </a:p>
      </dgm:t>
      <dgm:extLst>
        <a:ext uri="{E40237B7-FDA0-4F09-8148-C483321AD2D9}">
          <dgm14:cNvPr xmlns:dgm14="http://schemas.microsoft.com/office/drawing/2010/diagram" id="0" name="" descr="Apprenticeship pathway from Custody and Detention Officer to Police Constable&#10;"/>
        </a:ext>
      </dgm:extLst>
    </dgm:pt>
    <dgm:pt modelId="{9DE96100-3FB1-4301-8726-11D70C69E7B8}" type="parTrans" cxnId="{039D5AE8-11A5-4814-8995-3CD48BD9C14A}">
      <dgm:prSet/>
      <dgm:spPr/>
      <dgm:t>
        <a:bodyPr/>
        <a:lstStyle/>
        <a:p>
          <a:endParaRPr lang="en-GB">
            <a:latin typeface="Arial" panose="020B0604020202020204" pitchFamily="34" charset="0"/>
            <a:cs typeface="Arial" panose="020B0604020202020204" pitchFamily="34" charset="0"/>
          </a:endParaRPr>
        </a:p>
      </dgm:t>
    </dgm:pt>
    <dgm:pt modelId="{41EF510A-8001-48FC-B7D3-34F223056A61}" type="sibTrans" cxnId="{039D5AE8-11A5-4814-8995-3CD48BD9C14A}">
      <dgm:prSet/>
      <dgm:spPr/>
      <dgm:t>
        <a:bodyPr/>
        <a:lstStyle/>
        <a:p>
          <a:endParaRPr lang="en-GB">
            <a:latin typeface="Arial" panose="020B0604020202020204" pitchFamily="34" charset="0"/>
            <a:cs typeface="Arial" panose="020B0604020202020204" pitchFamily="34" charset="0"/>
          </a:endParaRPr>
        </a:p>
      </dgm:t>
    </dgm:pt>
    <dgm:pt modelId="{30F00945-21AB-4FE8-8B2C-BCFBA3260F5E}">
      <dgm:prSet phldrT="[Text]" custT="1"/>
      <dgm:spPr>
        <a:xfrm>
          <a:off x="3627120" y="546734"/>
          <a:ext cx="1554480"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gm:spPr>
      <dgm:t>
        <a:bodyPr/>
        <a:lstStyle/>
        <a:p>
          <a:pPr>
            <a:buNone/>
          </a:pPr>
          <a:r>
            <a:rPr lang="en-GB" sz="1200" i="0">
              <a:solidFill>
                <a:srgbClr val="FFFFFF"/>
              </a:solidFill>
              <a:latin typeface="Arial" panose="020B0604020202020204" pitchFamily="34" charset="0"/>
              <a:ea typeface="+mn-ea"/>
              <a:cs typeface="Arial" panose="020B0604020202020204" pitchFamily="34" charset="0"/>
            </a:rPr>
            <a:t>Police Constable (integrated degree) L6</a:t>
          </a:r>
        </a:p>
      </dgm:t>
      <dgm:extLst>
        <a:ext uri="{E40237B7-FDA0-4F09-8148-C483321AD2D9}">
          <dgm14:cNvPr xmlns:dgm14="http://schemas.microsoft.com/office/drawing/2010/diagram" id="0" name="" descr="Apprenticeship pathway from Custody and Detention Officer to Police Constable&#10;"/>
        </a:ext>
      </dgm:extLst>
    </dgm:pt>
    <dgm:pt modelId="{1C5EC367-0B4D-413E-9A98-AF0F7299EBD0}" type="parTrans" cxnId="{729F939F-FD24-4664-A578-BFCD50174D7B}">
      <dgm:prSet/>
      <dgm:spPr/>
      <dgm:t>
        <a:bodyPr/>
        <a:lstStyle/>
        <a:p>
          <a:endParaRPr lang="en-GB">
            <a:latin typeface="Arial" panose="020B0604020202020204" pitchFamily="34" charset="0"/>
            <a:cs typeface="Arial" panose="020B0604020202020204" pitchFamily="34" charset="0"/>
          </a:endParaRPr>
        </a:p>
      </dgm:t>
    </dgm:pt>
    <dgm:pt modelId="{3BA19FF1-00EF-4988-98A3-CF40D76C4CFE}" type="sibTrans" cxnId="{729F939F-FD24-4664-A578-BFCD50174D7B}">
      <dgm:prSet/>
      <dgm:spPr/>
      <dgm:t>
        <a:bodyPr/>
        <a:lstStyle/>
        <a:p>
          <a:endParaRPr lang="en-GB">
            <a:latin typeface="Arial" panose="020B0604020202020204" pitchFamily="34" charset="0"/>
            <a:cs typeface="Arial" panose="020B0604020202020204" pitchFamily="34" charset="0"/>
          </a:endParaRPr>
        </a:p>
      </dgm:t>
    </dgm:pt>
    <dgm:pt modelId="{D65003C5-D10E-4078-8F69-3F5773A9653C}" type="pres">
      <dgm:prSet presAssocID="{42376998-1C3B-4F47-AF27-BB75B709AF10}" presName="CompostProcess" presStyleCnt="0">
        <dgm:presLayoutVars>
          <dgm:dir/>
          <dgm:resizeHandles val="exact"/>
        </dgm:presLayoutVars>
      </dgm:prSet>
      <dgm:spPr/>
    </dgm:pt>
    <dgm:pt modelId="{279CA741-E037-4B2E-8714-F230413105A9}" type="pres">
      <dgm:prSet presAssocID="{42376998-1C3B-4F47-AF27-BB75B709AF10}" presName="arrow" presStyleLbl="bgShp" presStyleIdx="0" presStyleCnt="1"/>
      <dgm:spPr>
        <a:xfrm>
          <a:off x="388619" y="0"/>
          <a:ext cx="4404360" cy="1822450"/>
        </a:xfrm>
        <a:prstGeom prst="rightArrow">
          <a:avLst/>
        </a:prstGeom>
        <a:solidFill>
          <a:srgbClr val="2C5060">
            <a:tint val="40000"/>
            <a:hueOff val="0"/>
            <a:satOff val="0"/>
            <a:lumOff val="0"/>
            <a:alphaOff val="0"/>
          </a:srgbClr>
        </a:solidFill>
        <a:ln>
          <a:solidFill>
            <a:schemeClr val="tx1"/>
          </a:solidFill>
        </a:ln>
        <a:effectLst/>
      </dgm:spPr>
      <dgm:extLst>
        <a:ext uri="{E40237B7-FDA0-4F09-8148-C483321AD2D9}">
          <dgm14:cNvPr xmlns:dgm14="http://schemas.microsoft.com/office/drawing/2010/diagram" id="0" name="" descr="Apprenticeship pathway from Custody and Detention Officer to Police Constable&#10;"/>
        </a:ext>
      </dgm:extLst>
    </dgm:pt>
    <dgm:pt modelId="{EB51E399-D5AA-401E-A47A-B59F7F29F14D}" type="pres">
      <dgm:prSet presAssocID="{42376998-1C3B-4F47-AF27-BB75B709AF10}" presName="linearProcess" presStyleCnt="0"/>
      <dgm:spPr/>
    </dgm:pt>
    <dgm:pt modelId="{01575448-C833-4614-ADF0-934FEC828430}" type="pres">
      <dgm:prSet presAssocID="{04D71519-C5D3-4A46-8A40-152BED5F5517}" presName="textNode" presStyleLbl="node1" presStyleIdx="0" presStyleCnt="3">
        <dgm:presLayoutVars>
          <dgm:bulletEnabled val="1"/>
        </dgm:presLayoutVars>
      </dgm:prSet>
      <dgm:spPr/>
    </dgm:pt>
    <dgm:pt modelId="{2E3F3699-B001-40D9-9F71-2246121DF671}" type="pres">
      <dgm:prSet presAssocID="{FDAD9DB2-E040-4570-88A8-8654A7A11E3E}" presName="sibTrans" presStyleCnt="0"/>
      <dgm:spPr/>
    </dgm:pt>
    <dgm:pt modelId="{DA7E106C-D511-4692-9809-A8B8D4B2EA37}" type="pres">
      <dgm:prSet presAssocID="{F942F636-CB87-4400-B729-5D72180C9573}" presName="textNode" presStyleLbl="node1" presStyleIdx="1" presStyleCnt="3">
        <dgm:presLayoutVars>
          <dgm:bulletEnabled val="1"/>
        </dgm:presLayoutVars>
      </dgm:prSet>
      <dgm:spPr/>
    </dgm:pt>
    <dgm:pt modelId="{1B2FD1A1-AA5B-407C-A81F-17AC49485EF8}" type="pres">
      <dgm:prSet presAssocID="{41EF510A-8001-48FC-B7D3-34F223056A61}" presName="sibTrans" presStyleCnt="0"/>
      <dgm:spPr/>
    </dgm:pt>
    <dgm:pt modelId="{B8117921-6E9B-486F-9F7A-D9C97F3257ED}" type="pres">
      <dgm:prSet presAssocID="{30F00945-21AB-4FE8-8B2C-BCFBA3260F5E}" presName="textNode" presStyleLbl="node1" presStyleIdx="2" presStyleCnt="3">
        <dgm:presLayoutVars>
          <dgm:bulletEnabled val="1"/>
        </dgm:presLayoutVars>
      </dgm:prSet>
      <dgm:spPr/>
    </dgm:pt>
  </dgm:ptLst>
  <dgm:cxnLst>
    <dgm:cxn modelId="{8B552E15-8877-42BB-B521-E47CF4449F5B}" type="presOf" srcId="{42376998-1C3B-4F47-AF27-BB75B709AF10}" destId="{D65003C5-D10E-4078-8F69-3F5773A9653C}" srcOrd="0" destOrd="0" presId="urn:microsoft.com/office/officeart/2005/8/layout/hProcess9"/>
    <dgm:cxn modelId="{2519AF75-EF0C-40A5-AB4B-4BC2AFE7B11E}" srcId="{42376998-1C3B-4F47-AF27-BB75B709AF10}" destId="{04D71519-C5D3-4A46-8A40-152BED5F5517}" srcOrd="0" destOrd="0" parTransId="{0039E849-7EB3-40D7-BB8C-8BF77733C616}" sibTransId="{FDAD9DB2-E040-4570-88A8-8654A7A11E3E}"/>
    <dgm:cxn modelId="{58F9257F-8AA9-4F47-959C-D7BC65020599}" type="presOf" srcId="{30F00945-21AB-4FE8-8B2C-BCFBA3260F5E}" destId="{B8117921-6E9B-486F-9F7A-D9C97F3257ED}" srcOrd="0" destOrd="0" presId="urn:microsoft.com/office/officeart/2005/8/layout/hProcess9"/>
    <dgm:cxn modelId="{729F939F-FD24-4664-A578-BFCD50174D7B}" srcId="{42376998-1C3B-4F47-AF27-BB75B709AF10}" destId="{30F00945-21AB-4FE8-8B2C-BCFBA3260F5E}" srcOrd="2" destOrd="0" parTransId="{1C5EC367-0B4D-413E-9A98-AF0F7299EBD0}" sibTransId="{3BA19FF1-00EF-4988-98A3-CF40D76C4CFE}"/>
    <dgm:cxn modelId="{228640BF-0470-4737-86B9-815B96AFD1FA}" type="presOf" srcId="{04D71519-C5D3-4A46-8A40-152BED5F5517}" destId="{01575448-C833-4614-ADF0-934FEC828430}" srcOrd="0" destOrd="0" presId="urn:microsoft.com/office/officeart/2005/8/layout/hProcess9"/>
    <dgm:cxn modelId="{039D5AE8-11A5-4814-8995-3CD48BD9C14A}" srcId="{42376998-1C3B-4F47-AF27-BB75B709AF10}" destId="{F942F636-CB87-4400-B729-5D72180C9573}" srcOrd="1" destOrd="0" parTransId="{9DE96100-3FB1-4301-8726-11D70C69E7B8}" sibTransId="{41EF510A-8001-48FC-B7D3-34F223056A61}"/>
    <dgm:cxn modelId="{6801A0EB-977C-41A1-A55A-2995F443ACCF}" type="presOf" srcId="{F942F636-CB87-4400-B729-5D72180C9573}" destId="{DA7E106C-D511-4692-9809-A8B8D4B2EA37}" srcOrd="0" destOrd="0" presId="urn:microsoft.com/office/officeart/2005/8/layout/hProcess9"/>
    <dgm:cxn modelId="{426CC02A-5976-43FF-901C-2BA5293D81C3}" type="presParOf" srcId="{D65003C5-D10E-4078-8F69-3F5773A9653C}" destId="{279CA741-E037-4B2E-8714-F230413105A9}" srcOrd="0" destOrd="0" presId="urn:microsoft.com/office/officeart/2005/8/layout/hProcess9"/>
    <dgm:cxn modelId="{6C28F4AA-00FB-42D2-A317-E83B567A4710}" type="presParOf" srcId="{D65003C5-D10E-4078-8F69-3F5773A9653C}" destId="{EB51E399-D5AA-401E-A47A-B59F7F29F14D}" srcOrd="1" destOrd="0" presId="urn:microsoft.com/office/officeart/2005/8/layout/hProcess9"/>
    <dgm:cxn modelId="{F3A718E2-251A-440D-BDEA-A6BF31C5F125}" type="presParOf" srcId="{EB51E399-D5AA-401E-A47A-B59F7F29F14D}" destId="{01575448-C833-4614-ADF0-934FEC828430}" srcOrd="0" destOrd="0" presId="urn:microsoft.com/office/officeart/2005/8/layout/hProcess9"/>
    <dgm:cxn modelId="{E8111E76-D952-48E5-88A2-2C63AFE0FE0A}" type="presParOf" srcId="{EB51E399-D5AA-401E-A47A-B59F7F29F14D}" destId="{2E3F3699-B001-40D9-9F71-2246121DF671}" srcOrd="1" destOrd="0" presId="urn:microsoft.com/office/officeart/2005/8/layout/hProcess9"/>
    <dgm:cxn modelId="{7152A1B8-409F-46F9-8FE0-444F301F90B8}" type="presParOf" srcId="{EB51E399-D5AA-401E-A47A-B59F7F29F14D}" destId="{DA7E106C-D511-4692-9809-A8B8D4B2EA37}" srcOrd="2" destOrd="0" presId="urn:microsoft.com/office/officeart/2005/8/layout/hProcess9"/>
    <dgm:cxn modelId="{112E4D34-475C-4ECE-807A-21FD3EFD6EB4}" type="presParOf" srcId="{EB51E399-D5AA-401E-A47A-B59F7F29F14D}" destId="{1B2FD1A1-AA5B-407C-A81F-17AC49485EF8}" srcOrd="3" destOrd="0" presId="urn:microsoft.com/office/officeart/2005/8/layout/hProcess9"/>
    <dgm:cxn modelId="{A4670EEB-4239-4067-B7D3-47D99E585942}" type="presParOf" srcId="{EB51E399-D5AA-401E-A47A-B59F7F29F14D}" destId="{B8117921-6E9B-486F-9F7A-D9C97F3257ED}"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BEDAC7-DE12-4543-B5E7-6C97E4DBE5ED}" type="doc">
      <dgm:prSet loTypeId="urn:microsoft.com/office/officeart/2005/8/layout/process1" loCatId="process" qsTypeId="urn:microsoft.com/office/officeart/2005/8/quickstyle/simple1" qsCatId="simple" csTypeId="urn:microsoft.com/office/officeart/2005/8/colors/accent1_2" csCatId="accent1" phldr="1"/>
      <dgm:spPr/>
    </dgm:pt>
    <dgm:pt modelId="{0EEEA9AE-ADEE-44B8-B174-A3B4EDFD24BE}">
      <dgm:prSet phldrT="[Text]" custT="1"/>
      <dgm:spPr>
        <a:xfrm>
          <a:off x="2798" y="388620"/>
          <a:ext cx="867562" cy="7645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1. Deciding on a career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506DC325-26DD-4779-A4DB-B65239B3BD9A}" type="parTrans" cxnId="{19522563-6A9C-4C7C-8D65-9BAE842FC784}">
      <dgm:prSet/>
      <dgm:spPr/>
      <dgm:t>
        <a:bodyPr/>
        <a:lstStyle/>
        <a:p>
          <a:endParaRPr lang="en-GB" sz="1200" b="1">
            <a:latin typeface="Arial" panose="020B0604020202020204" pitchFamily="34" charset="0"/>
            <a:cs typeface="Arial" panose="020B0604020202020204" pitchFamily="34" charset="0"/>
          </a:endParaRPr>
        </a:p>
      </dgm:t>
    </dgm:pt>
    <dgm:pt modelId="{C9A84AE0-9A9A-45ED-ACC7-FA542796F448}" type="sibTrans" cxnId="{19522563-6A9C-4C7C-8D65-9BAE842FC784}">
      <dgm:prSet custT="1"/>
      <dgm: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53FF19E-87E9-43FB-818E-421F9DD0C6EE}">
      <dgm:prSet phldrT="[Text]" custT="1"/>
      <dgm:spPr>
        <a:xfrm>
          <a:off x="1217386"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2. Seeking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588488-C88A-40E0-9788-474CA6EB59F0}" type="parTrans" cxnId="{F02A5040-5F6A-48D6-BF87-140771AEED71}">
      <dgm:prSet/>
      <dgm:spPr/>
      <dgm:t>
        <a:bodyPr/>
        <a:lstStyle/>
        <a:p>
          <a:endParaRPr lang="en-GB" sz="1200" b="1">
            <a:latin typeface="Arial" panose="020B0604020202020204" pitchFamily="34" charset="0"/>
            <a:cs typeface="Arial" panose="020B0604020202020204" pitchFamily="34" charset="0"/>
          </a:endParaRPr>
        </a:p>
      </dgm:t>
    </dgm:pt>
    <dgm:pt modelId="{A115F4D5-7B82-45B2-9869-C086D02EA916}" type="sibTrans" cxnId="{F02A5040-5F6A-48D6-BF87-140771AEED71}">
      <dgm:prSet custT="1"/>
      <dgm: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78F3E6-3D6F-4BF2-A583-5CA4C5B3E6D7}">
      <dgm:prSet phldrT="[Text]" custT="1"/>
      <dgm:spPr>
        <a:xfrm>
          <a:off x="2431973"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3. Effective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43B21F6-E672-40BF-985B-97E1BE255619}" type="parTrans" cxnId="{6A8D6919-60E9-4959-A166-658C988DD50C}">
      <dgm:prSet/>
      <dgm:spPr/>
      <dgm:t>
        <a:bodyPr/>
        <a:lstStyle/>
        <a:p>
          <a:endParaRPr lang="en-GB" sz="1200" b="1">
            <a:latin typeface="Arial" panose="020B0604020202020204" pitchFamily="34" charset="0"/>
            <a:cs typeface="Arial" panose="020B0604020202020204" pitchFamily="34" charset="0"/>
          </a:endParaRPr>
        </a:p>
      </dgm:t>
    </dgm:pt>
    <dgm:pt modelId="{A9F7EB8C-1D83-4171-9144-A04C6022E2D7}" type="sibTrans" cxnId="{6A8D6919-60E9-4959-A166-658C988DD50C}">
      <dgm:prSet custT="1"/>
      <dgm: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B61F93A-392E-4E97-A656-E781794CF031}">
      <dgm:prSet custT="1"/>
      <dgm:spPr>
        <a:xfrm>
          <a:off x="4861148"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5. Remaining with employer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FE462C6-AF12-4F92-AAD9-8A8E37C1EBFE}" type="par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E9681B53-0650-4400-BA97-5A6CDDB76974}" type="sib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2C42B51A-FA11-4F0C-8141-34709974213A}">
      <dgm:prSet custT="1"/>
      <dgm:spPr>
        <a:xfrm>
          <a:off x="3646561"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4. Seeking a job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251A89-0734-4C76-BF10-5670AC930ED0}" type="sibTrans" cxnId="{22D55BC2-B832-4CC0-9768-EF2B8E979900}">
      <dgm:prSet custT="1"/>
      <dgm: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11CA212-86CA-45F2-AC1E-BF63571BF859}" type="parTrans" cxnId="{22D55BC2-B832-4CC0-9768-EF2B8E979900}">
      <dgm:prSet/>
      <dgm:spPr/>
      <dgm:t>
        <a:bodyPr/>
        <a:lstStyle/>
        <a:p>
          <a:endParaRPr lang="en-GB" sz="1200" b="1">
            <a:latin typeface="Arial" panose="020B0604020202020204" pitchFamily="34" charset="0"/>
            <a:cs typeface="Arial" panose="020B0604020202020204" pitchFamily="34" charset="0"/>
          </a:endParaRPr>
        </a:p>
      </dgm:t>
    </dgm:pt>
    <dgm:pt modelId="{E5FFAD8B-1F17-4F16-9A99-80DEB065CF3F}" type="pres">
      <dgm:prSet presAssocID="{0EBEDAC7-DE12-4543-B5E7-6C97E4DBE5ED}" presName="Name0" presStyleCnt="0">
        <dgm:presLayoutVars>
          <dgm:dir/>
          <dgm:resizeHandles val="exact"/>
        </dgm:presLayoutVars>
      </dgm:prSet>
      <dgm:spPr/>
    </dgm:pt>
    <dgm:pt modelId="{7F3CCC29-0130-448B-83C7-0BEA1646811B}" type="pres">
      <dgm:prSet presAssocID="{0EEEA9AE-ADEE-44B8-B174-A3B4EDFD24BE}" presName="node" presStyleLbl="node1" presStyleIdx="0" presStyleCnt="5">
        <dgm:presLayoutVars>
          <dgm:bulletEnabled val="1"/>
        </dgm:presLayoutVars>
      </dgm:prSet>
      <dgm:spPr/>
    </dgm:pt>
    <dgm:pt modelId="{89C4B076-C35F-4589-AB58-8248EED29C44}" type="pres">
      <dgm:prSet presAssocID="{C9A84AE0-9A9A-45ED-ACC7-FA542796F448}" presName="sibTrans" presStyleLbl="sibTrans2D1" presStyleIdx="0" presStyleCnt="4"/>
      <dgm:spPr/>
    </dgm:pt>
    <dgm:pt modelId="{87C7ED8D-E82A-4045-9E3F-17F426A94B3E}" type="pres">
      <dgm:prSet presAssocID="{C9A84AE0-9A9A-45ED-ACC7-FA542796F448}" presName="connectorText" presStyleLbl="sibTrans2D1" presStyleIdx="0" presStyleCnt="4"/>
      <dgm:spPr/>
    </dgm:pt>
    <dgm:pt modelId="{BBE6446A-A2EC-409F-BAF7-02AFAEE14D02}" type="pres">
      <dgm:prSet presAssocID="{C53FF19E-87E9-43FB-818E-421F9DD0C6EE}" presName="node" presStyleLbl="node1" presStyleIdx="1" presStyleCnt="5">
        <dgm:presLayoutVars>
          <dgm:bulletEnabled val="1"/>
        </dgm:presLayoutVars>
      </dgm:prSet>
      <dgm:spPr/>
    </dgm:pt>
    <dgm:pt modelId="{BD7AEFBD-87AA-4702-9175-9D6AD205F67F}" type="pres">
      <dgm:prSet presAssocID="{A115F4D5-7B82-45B2-9869-C086D02EA916}" presName="sibTrans" presStyleLbl="sibTrans2D1" presStyleIdx="1" presStyleCnt="4"/>
      <dgm:spPr/>
    </dgm:pt>
    <dgm:pt modelId="{FF7B7351-7630-4F1F-98F4-88FD25F687D9}" type="pres">
      <dgm:prSet presAssocID="{A115F4D5-7B82-45B2-9869-C086D02EA916}" presName="connectorText" presStyleLbl="sibTrans2D1" presStyleIdx="1" presStyleCnt="4"/>
      <dgm:spPr/>
    </dgm:pt>
    <dgm:pt modelId="{0A1C6427-6537-4C76-88AE-211062EA5097}" type="pres">
      <dgm:prSet presAssocID="{AC78F3E6-3D6F-4BF2-A583-5CA4C5B3E6D7}" presName="node" presStyleLbl="node1" presStyleIdx="2" presStyleCnt="5">
        <dgm:presLayoutVars>
          <dgm:bulletEnabled val="1"/>
        </dgm:presLayoutVars>
      </dgm:prSet>
      <dgm:spPr/>
    </dgm:pt>
    <dgm:pt modelId="{69FFAF8F-8C3B-475F-9ED2-12BA85875B4A}" type="pres">
      <dgm:prSet presAssocID="{A9F7EB8C-1D83-4171-9144-A04C6022E2D7}" presName="sibTrans" presStyleLbl="sibTrans2D1" presStyleIdx="2" presStyleCnt="4"/>
      <dgm:spPr/>
    </dgm:pt>
    <dgm:pt modelId="{6C37C2D6-A7A9-4ACB-A630-709CE4C04C59}" type="pres">
      <dgm:prSet presAssocID="{A9F7EB8C-1D83-4171-9144-A04C6022E2D7}" presName="connectorText" presStyleLbl="sibTrans2D1" presStyleIdx="2" presStyleCnt="4"/>
      <dgm:spPr/>
    </dgm:pt>
    <dgm:pt modelId="{49D6C15F-A2C0-4097-AE20-38D82F76B08C}" type="pres">
      <dgm:prSet presAssocID="{2C42B51A-FA11-4F0C-8141-34709974213A}" presName="node" presStyleLbl="node1" presStyleIdx="3" presStyleCnt="5">
        <dgm:presLayoutVars>
          <dgm:bulletEnabled val="1"/>
        </dgm:presLayoutVars>
      </dgm:prSet>
      <dgm:spPr/>
    </dgm:pt>
    <dgm:pt modelId="{50591237-A0F1-46FB-BD99-D37CB38F2FA6}" type="pres">
      <dgm:prSet presAssocID="{0B251A89-0734-4C76-BF10-5670AC930ED0}" presName="sibTrans" presStyleLbl="sibTrans2D1" presStyleIdx="3" presStyleCnt="4"/>
      <dgm:spPr/>
    </dgm:pt>
    <dgm:pt modelId="{830A7502-4653-42EE-908C-2FBB5D9E1174}" type="pres">
      <dgm:prSet presAssocID="{0B251A89-0734-4C76-BF10-5670AC930ED0}" presName="connectorText" presStyleLbl="sibTrans2D1" presStyleIdx="3" presStyleCnt="4"/>
      <dgm:spPr/>
    </dgm:pt>
    <dgm:pt modelId="{1268FF5B-B038-49FD-9687-C14E7FED10AE}" type="pres">
      <dgm:prSet presAssocID="{8B61F93A-392E-4E97-A656-E781794CF031}" presName="node" presStyleLbl="node1" presStyleIdx="4" presStyleCnt="5">
        <dgm:presLayoutVars>
          <dgm:bulletEnabled val="1"/>
        </dgm:presLayoutVars>
      </dgm:prSet>
      <dgm:spPr/>
    </dgm:pt>
  </dgm:ptLst>
  <dgm:cxnLst>
    <dgm:cxn modelId="{7F786D02-1202-40DD-A12A-E6B8B036BC97}" type="presOf" srcId="{A115F4D5-7B82-45B2-9869-C086D02EA916}" destId="{BD7AEFBD-87AA-4702-9175-9D6AD205F67F}" srcOrd="0" destOrd="0" presId="urn:microsoft.com/office/officeart/2005/8/layout/process1"/>
    <dgm:cxn modelId="{6A8D6919-60E9-4959-A166-658C988DD50C}" srcId="{0EBEDAC7-DE12-4543-B5E7-6C97E4DBE5ED}" destId="{AC78F3E6-3D6F-4BF2-A583-5CA4C5B3E6D7}" srcOrd="2" destOrd="0" parTransId="{243B21F6-E672-40BF-985B-97E1BE255619}" sibTransId="{A9F7EB8C-1D83-4171-9144-A04C6022E2D7}"/>
    <dgm:cxn modelId="{28EF2C30-9E39-4C97-808C-7CD2C388F559}" type="presOf" srcId="{C9A84AE0-9A9A-45ED-ACC7-FA542796F448}" destId="{89C4B076-C35F-4589-AB58-8248EED29C44}" srcOrd="0" destOrd="0" presId="urn:microsoft.com/office/officeart/2005/8/layout/process1"/>
    <dgm:cxn modelId="{F02A5040-5F6A-48D6-BF87-140771AEED71}" srcId="{0EBEDAC7-DE12-4543-B5E7-6C97E4DBE5ED}" destId="{C53FF19E-87E9-43FB-818E-421F9DD0C6EE}" srcOrd="1" destOrd="0" parTransId="{AC588488-C88A-40E0-9788-474CA6EB59F0}" sibTransId="{A115F4D5-7B82-45B2-9869-C086D02EA916}"/>
    <dgm:cxn modelId="{E8413F62-9EC9-40A3-BD5F-A962232BAE7A}" type="presOf" srcId="{C53FF19E-87E9-43FB-818E-421F9DD0C6EE}" destId="{BBE6446A-A2EC-409F-BAF7-02AFAEE14D02}" srcOrd="0" destOrd="0" presId="urn:microsoft.com/office/officeart/2005/8/layout/process1"/>
    <dgm:cxn modelId="{19522563-6A9C-4C7C-8D65-9BAE842FC784}" srcId="{0EBEDAC7-DE12-4543-B5E7-6C97E4DBE5ED}" destId="{0EEEA9AE-ADEE-44B8-B174-A3B4EDFD24BE}" srcOrd="0" destOrd="0" parTransId="{506DC325-26DD-4779-A4DB-B65239B3BD9A}" sibTransId="{C9A84AE0-9A9A-45ED-ACC7-FA542796F448}"/>
    <dgm:cxn modelId="{7C678949-93A1-4323-B0E1-A085295692A5}" type="presOf" srcId="{0EEEA9AE-ADEE-44B8-B174-A3B4EDFD24BE}" destId="{7F3CCC29-0130-448B-83C7-0BEA1646811B}" srcOrd="0" destOrd="0" presId="urn:microsoft.com/office/officeart/2005/8/layout/process1"/>
    <dgm:cxn modelId="{F7A9776B-37BE-4E74-86E1-0542EAC2159E}" type="presOf" srcId="{0EBEDAC7-DE12-4543-B5E7-6C97E4DBE5ED}" destId="{E5FFAD8B-1F17-4F16-9A99-80DEB065CF3F}" srcOrd="0" destOrd="0" presId="urn:microsoft.com/office/officeart/2005/8/layout/process1"/>
    <dgm:cxn modelId="{6647986D-7231-4E00-9F1C-856FE476B0E2}" type="presOf" srcId="{C9A84AE0-9A9A-45ED-ACC7-FA542796F448}" destId="{87C7ED8D-E82A-4045-9E3F-17F426A94B3E}" srcOrd="1" destOrd="0" presId="urn:microsoft.com/office/officeart/2005/8/layout/process1"/>
    <dgm:cxn modelId="{F6626652-598D-427A-A1CE-C193BEBBD4EC}" type="presOf" srcId="{2C42B51A-FA11-4F0C-8141-34709974213A}" destId="{49D6C15F-A2C0-4097-AE20-38D82F76B08C}" srcOrd="0" destOrd="0" presId="urn:microsoft.com/office/officeart/2005/8/layout/process1"/>
    <dgm:cxn modelId="{6D39AC52-E226-4A11-930A-BCDA7B5DC05E}" type="presOf" srcId="{0B251A89-0734-4C76-BF10-5670AC930ED0}" destId="{830A7502-4653-42EE-908C-2FBB5D9E1174}" srcOrd="1" destOrd="0" presId="urn:microsoft.com/office/officeart/2005/8/layout/process1"/>
    <dgm:cxn modelId="{96F7E8AF-4326-4E74-9A59-F1A1A07F094F}" srcId="{0EBEDAC7-DE12-4543-B5E7-6C97E4DBE5ED}" destId="{8B61F93A-392E-4E97-A656-E781794CF031}" srcOrd="4" destOrd="0" parTransId="{0FE462C6-AF12-4F92-AAD9-8A8E37C1EBFE}" sibTransId="{E9681B53-0650-4400-BA97-5A6CDDB76974}"/>
    <dgm:cxn modelId="{81FB95BE-30AF-4522-8C2E-3A03A3971FE8}" type="presOf" srcId="{0B251A89-0734-4C76-BF10-5670AC930ED0}" destId="{50591237-A0F1-46FB-BD99-D37CB38F2FA6}" srcOrd="0" destOrd="0" presId="urn:microsoft.com/office/officeart/2005/8/layout/process1"/>
    <dgm:cxn modelId="{22D55BC2-B832-4CC0-9768-EF2B8E979900}" srcId="{0EBEDAC7-DE12-4543-B5E7-6C97E4DBE5ED}" destId="{2C42B51A-FA11-4F0C-8141-34709974213A}" srcOrd="3" destOrd="0" parTransId="{611CA212-86CA-45F2-AC1E-BF63571BF859}" sibTransId="{0B251A89-0734-4C76-BF10-5670AC930ED0}"/>
    <dgm:cxn modelId="{2F3394C5-C9E0-4734-9B9B-5B4566775DD1}" type="presOf" srcId="{A9F7EB8C-1D83-4171-9144-A04C6022E2D7}" destId="{6C37C2D6-A7A9-4ACB-A630-709CE4C04C59}" srcOrd="1" destOrd="0" presId="urn:microsoft.com/office/officeart/2005/8/layout/process1"/>
    <dgm:cxn modelId="{F13DD7EF-62C4-4955-B9ED-8920B86ECCC6}" type="presOf" srcId="{A9F7EB8C-1D83-4171-9144-A04C6022E2D7}" destId="{69FFAF8F-8C3B-475F-9ED2-12BA85875B4A}" srcOrd="0" destOrd="0" presId="urn:microsoft.com/office/officeart/2005/8/layout/process1"/>
    <dgm:cxn modelId="{B07E8DF0-E99D-4B08-BA26-5C4CD4279BC6}" type="presOf" srcId="{A115F4D5-7B82-45B2-9869-C086D02EA916}" destId="{FF7B7351-7630-4F1F-98F4-88FD25F687D9}" srcOrd="1" destOrd="0" presId="urn:microsoft.com/office/officeart/2005/8/layout/process1"/>
    <dgm:cxn modelId="{64A0F3F1-E536-41C5-8E26-F6745DB9820A}" type="presOf" srcId="{8B61F93A-392E-4E97-A656-E781794CF031}" destId="{1268FF5B-B038-49FD-9687-C14E7FED10AE}" srcOrd="0" destOrd="0" presId="urn:microsoft.com/office/officeart/2005/8/layout/process1"/>
    <dgm:cxn modelId="{8A7F8AF9-8036-4BB8-B385-BBE02C9B37E2}" type="presOf" srcId="{AC78F3E6-3D6F-4BF2-A583-5CA4C5B3E6D7}" destId="{0A1C6427-6537-4C76-88AE-211062EA5097}" srcOrd="0" destOrd="0" presId="urn:microsoft.com/office/officeart/2005/8/layout/process1"/>
    <dgm:cxn modelId="{DE735D59-292C-4BB4-B5C8-4F1E8C4651B9}" type="presParOf" srcId="{E5FFAD8B-1F17-4F16-9A99-80DEB065CF3F}" destId="{7F3CCC29-0130-448B-83C7-0BEA1646811B}" srcOrd="0" destOrd="0" presId="urn:microsoft.com/office/officeart/2005/8/layout/process1"/>
    <dgm:cxn modelId="{B31E9CE5-2D11-4526-971B-1FDEFA374D65}" type="presParOf" srcId="{E5FFAD8B-1F17-4F16-9A99-80DEB065CF3F}" destId="{89C4B076-C35F-4589-AB58-8248EED29C44}" srcOrd="1" destOrd="0" presId="urn:microsoft.com/office/officeart/2005/8/layout/process1"/>
    <dgm:cxn modelId="{B3DD1BF1-A1E7-4F77-8F40-3D1C3D9747B6}" type="presParOf" srcId="{89C4B076-C35F-4589-AB58-8248EED29C44}" destId="{87C7ED8D-E82A-4045-9E3F-17F426A94B3E}" srcOrd="0" destOrd="0" presId="urn:microsoft.com/office/officeart/2005/8/layout/process1"/>
    <dgm:cxn modelId="{B6AE562D-383C-4346-B75E-0C81ECE54C7F}" type="presParOf" srcId="{E5FFAD8B-1F17-4F16-9A99-80DEB065CF3F}" destId="{BBE6446A-A2EC-409F-BAF7-02AFAEE14D02}" srcOrd="2" destOrd="0" presId="urn:microsoft.com/office/officeart/2005/8/layout/process1"/>
    <dgm:cxn modelId="{75A7A26B-EEA4-467A-8747-85A74A80A681}" type="presParOf" srcId="{E5FFAD8B-1F17-4F16-9A99-80DEB065CF3F}" destId="{BD7AEFBD-87AA-4702-9175-9D6AD205F67F}" srcOrd="3" destOrd="0" presId="urn:microsoft.com/office/officeart/2005/8/layout/process1"/>
    <dgm:cxn modelId="{98438D7D-AE66-4F69-AB75-E6DE44B5CA6F}" type="presParOf" srcId="{BD7AEFBD-87AA-4702-9175-9D6AD205F67F}" destId="{FF7B7351-7630-4F1F-98F4-88FD25F687D9}" srcOrd="0" destOrd="0" presId="urn:microsoft.com/office/officeart/2005/8/layout/process1"/>
    <dgm:cxn modelId="{6DFA9046-D88E-4318-B800-3CD12B42F930}" type="presParOf" srcId="{E5FFAD8B-1F17-4F16-9A99-80DEB065CF3F}" destId="{0A1C6427-6537-4C76-88AE-211062EA5097}" srcOrd="4" destOrd="0" presId="urn:microsoft.com/office/officeart/2005/8/layout/process1"/>
    <dgm:cxn modelId="{9EB34C91-EB9B-462A-9D6A-6C2DED3E08C5}" type="presParOf" srcId="{E5FFAD8B-1F17-4F16-9A99-80DEB065CF3F}" destId="{69FFAF8F-8C3B-475F-9ED2-12BA85875B4A}" srcOrd="5" destOrd="0" presId="urn:microsoft.com/office/officeart/2005/8/layout/process1"/>
    <dgm:cxn modelId="{D0053A08-2D16-4114-8C7E-8817B8FC6B56}" type="presParOf" srcId="{69FFAF8F-8C3B-475F-9ED2-12BA85875B4A}" destId="{6C37C2D6-A7A9-4ACB-A630-709CE4C04C59}" srcOrd="0" destOrd="0" presId="urn:microsoft.com/office/officeart/2005/8/layout/process1"/>
    <dgm:cxn modelId="{8997F4D7-2724-4CEB-A5D0-627542B5388C}" type="presParOf" srcId="{E5FFAD8B-1F17-4F16-9A99-80DEB065CF3F}" destId="{49D6C15F-A2C0-4097-AE20-38D82F76B08C}" srcOrd="6" destOrd="0" presId="urn:microsoft.com/office/officeart/2005/8/layout/process1"/>
    <dgm:cxn modelId="{20C55062-9FA9-44FA-B477-26F0FAD5FDDA}" type="presParOf" srcId="{E5FFAD8B-1F17-4F16-9A99-80DEB065CF3F}" destId="{50591237-A0F1-46FB-BD99-D37CB38F2FA6}" srcOrd="7" destOrd="0" presId="urn:microsoft.com/office/officeart/2005/8/layout/process1"/>
    <dgm:cxn modelId="{61F84287-A8DA-4BBD-A1EF-18CE7A5ABDAB}" type="presParOf" srcId="{50591237-A0F1-46FB-BD99-D37CB38F2FA6}" destId="{830A7502-4653-42EE-908C-2FBB5D9E1174}" srcOrd="0" destOrd="0" presId="urn:microsoft.com/office/officeart/2005/8/layout/process1"/>
    <dgm:cxn modelId="{E0A479F7-8937-4D9A-A549-47B2E3DA3D36}" type="presParOf" srcId="{E5FFAD8B-1F17-4F16-9A99-80DEB065CF3F}" destId="{1268FF5B-B038-49FD-9687-C14E7FED10AE}" srcOrd="8"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EBEDAC7-DE12-4543-B5E7-6C97E4DBE5ED}" type="doc">
      <dgm:prSet loTypeId="urn:microsoft.com/office/officeart/2005/8/layout/process1" loCatId="process" qsTypeId="urn:microsoft.com/office/officeart/2005/8/quickstyle/simple1" qsCatId="simple" csTypeId="urn:microsoft.com/office/officeart/2005/8/colors/accent1_2" csCatId="accent1" phldr="1"/>
      <dgm:spPr/>
    </dgm:pt>
    <dgm:pt modelId="{0EEEA9AE-ADEE-44B8-B174-A3B4EDFD24BE}">
      <dgm:prSet phldrT="[Text]" custT="1"/>
      <dgm:spPr>
        <a:xfrm>
          <a:off x="2798"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1. Deciding on a career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506DC325-26DD-4779-A4DB-B65239B3BD9A}" type="parTrans" cxnId="{19522563-6A9C-4C7C-8D65-9BAE842FC784}">
      <dgm:prSet/>
      <dgm:spPr/>
      <dgm:t>
        <a:bodyPr/>
        <a:lstStyle/>
        <a:p>
          <a:endParaRPr lang="en-GB" sz="1200" b="1">
            <a:latin typeface="Arial" panose="020B0604020202020204" pitchFamily="34" charset="0"/>
            <a:cs typeface="Arial" panose="020B0604020202020204" pitchFamily="34" charset="0"/>
          </a:endParaRPr>
        </a:p>
      </dgm:t>
    </dgm:pt>
    <dgm:pt modelId="{C9A84AE0-9A9A-45ED-ACC7-FA542796F448}" type="sibTrans" cxnId="{19522563-6A9C-4C7C-8D65-9BAE842FC784}">
      <dgm:prSet custT="1"/>
      <dgm: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53FF19E-87E9-43FB-818E-421F9DD0C6EE}">
      <dgm:prSet phldrT="[Text]" custT="1"/>
      <dgm:spPr>
        <a:xfrm>
          <a:off x="1217386" y="388620"/>
          <a:ext cx="867562" cy="7645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2. Seeking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588488-C88A-40E0-9788-474CA6EB59F0}" type="parTrans" cxnId="{F02A5040-5F6A-48D6-BF87-140771AEED71}">
      <dgm:prSet/>
      <dgm:spPr/>
      <dgm:t>
        <a:bodyPr/>
        <a:lstStyle/>
        <a:p>
          <a:endParaRPr lang="en-GB" sz="1200" b="1">
            <a:latin typeface="Arial" panose="020B0604020202020204" pitchFamily="34" charset="0"/>
            <a:cs typeface="Arial" panose="020B0604020202020204" pitchFamily="34" charset="0"/>
          </a:endParaRPr>
        </a:p>
      </dgm:t>
    </dgm:pt>
    <dgm:pt modelId="{A115F4D5-7B82-45B2-9869-C086D02EA916}" type="sibTrans" cxnId="{F02A5040-5F6A-48D6-BF87-140771AEED71}">
      <dgm:prSet custT="1"/>
      <dgm: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78F3E6-3D6F-4BF2-A583-5CA4C5B3E6D7}">
      <dgm:prSet phldrT="[Text]" custT="1"/>
      <dgm:spPr>
        <a:xfrm>
          <a:off x="2431973"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3. Effective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43B21F6-E672-40BF-985B-97E1BE255619}" type="parTrans" cxnId="{6A8D6919-60E9-4959-A166-658C988DD50C}">
      <dgm:prSet/>
      <dgm:spPr/>
      <dgm:t>
        <a:bodyPr/>
        <a:lstStyle/>
        <a:p>
          <a:endParaRPr lang="en-GB" sz="1200" b="1">
            <a:latin typeface="Arial" panose="020B0604020202020204" pitchFamily="34" charset="0"/>
            <a:cs typeface="Arial" panose="020B0604020202020204" pitchFamily="34" charset="0"/>
          </a:endParaRPr>
        </a:p>
      </dgm:t>
    </dgm:pt>
    <dgm:pt modelId="{A9F7EB8C-1D83-4171-9144-A04C6022E2D7}" type="sibTrans" cxnId="{6A8D6919-60E9-4959-A166-658C988DD50C}">
      <dgm:prSet custT="1"/>
      <dgm: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B61F93A-392E-4E97-A656-E781794CF031}">
      <dgm:prSet custT="1"/>
      <dgm:spPr>
        <a:xfrm>
          <a:off x="4861148"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5. Remaining with employer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FE462C6-AF12-4F92-AAD9-8A8E37C1EBFE}" type="par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E9681B53-0650-4400-BA97-5A6CDDB76974}" type="sib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2C42B51A-FA11-4F0C-8141-34709974213A}">
      <dgm:prSet custT="1"/>
      <dgm:spPr>
        <a:xfrm>
          <a:off x="3646561"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4. Seeking a job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251A89-0734-4C76-BF10-5670AC930ED0}" type="sibTrans" cxnId="{22D55BC2-B832-4CC0-9768-EF2B8E979900}">
      <dgm:prSet custT="1"/>
      <dgm: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11CA212-86CA-45F2-AC1E-BF63571BF859}" type="parTrans" cxnId="{22D55BC2-B832-4CC0-9768-EF2B8E979900}">
      <dgm:prSet/>
      <dgm:spPr/>
      <dgm:t>
        <a:bodyPr/>
        <a:lstStyle/>
        <a:p>
          <a:endParaRPr lang="en-GB" sz="1200" b="1">
            <a:latin typeface="Arial" panose="020B0604020202020204" pitchFamily="34" charset="0"/>
            <a:cs typeface="Arial" panose="020B0604020202020204" pitchFamily="34" charset="0"/>
          </a:endParaRPr>
        </a:p>
      </dgm:t>
    </dgm:pt>
    <dgm:pt modelId="{E5FFAD8B-1F17-4F16-9A99-80DEB065CF3F}" type="pres">
      <dgm:prSet presAssocID="{0EBEDAC7-DE12-4543-B5E7-6C97E4DBE5ED}" presName="Name0" presStyleCnt="0">
        <dgm:presLayoutVars>
          <dgm:dir/>
          <dgm:resizeHandles val="exact"/>
        </dgm:presLayoutVars>
      </dgm:prSet>
      <dgm:spPr/>
    </dgm:pt>
    <dgm:pt modelId="{7F3CCC29-0130-448B-83C7-0BEA1646811B}" type="pres">
      <dgm:prSet presAssocID="{0EEEA9AE-ADEE-44B8-B174-A3B4EDFD24BE}" presName="node" presStyleLbl="node1" presStyleIdx="0" presStyleCnt="5">
        <dgm:presLayoutVars>
          <dgm:bulletEnabled val="1"/>
        </dgm:presLayoutVars>
      </dgm:prSet>
      <dgm:spPr/>
    </dgm:pt>
    <dgm:pt modelId="{89C4B076-C35F-4589-AB58-8248EED29C44}" type="pres">
      <dgm:prSet presAssocID="{C9A84AE0-9A9A-45ED-ACC7-FA542796F448}" presName="sibTrans" presStyleLbl="sibTrans2D1" presStyleIdx="0" presStyleCnt="4"/>
      <dgm:spPr/>
    </dgm:pt>
    <dgm:pt modelId="{87C7ED8D-E82A-4045-9E3F-17F426A94B3E}" type="pres">
      <dgm:prSet presAssocID="{C9A84AE0-9A9A-45ED-ACC7-FA542796F448}" presName="connectorText" presStyleLbl="sibTrans2D1" presStyleIdx="0" presStyleCnt="4"/>
      <dgm:spPr/>
    </dgm:pt>
    <dgm:pt modelId="{BBE6446A-A2EC-409F-BAF7-02AFAEE14D02}" type="pres">
      <dgm:prSet presAssocID="{C53FF19E-87E9-43FB-818E-421F9DD0C6EE}" presName="node" presStyleLbl="node1" presStyleIdx="1" presStyleCnt="5">
        <dgm:presLayoutVars>
          <dgm:bulletEnabled val="1"/>
        </dgm:presLayoutVars>
      </dgm:prSet>
      <dgm:spPr/>
    </dgm:pt>
    <dgm:pt modelId="{BD7AEFBD-87AA-4702-9175-9D6AD205F67F}" type="pres">
      <dgm:prSet presAssocID="{A115F4D5-7B82-45B2-9869-C086D02EA916}" presName="sibTrans" presStyleLbl="sibTrans2D1" presStyleIdx="1" presStyleCnt="4"/>
      <dgm:spPr/>
    </dgm:pt>
    <dgm:pt modelId="{FF7B7351-7630-4F1F-98F4-88FD25F687D9}" type="pres">
      <dgm:prSet presAssocID="{A115F4D5-7B82-45B2-9869-C086D02EA916}" presName="connectorText" presStyleLbl="sibTrans2D1" presStyleIdx="1" presStyleCnt="4"/>
      <dgm:spPr/>
    </dgm:pt>
    <dgm:pt modelId="{0A1C6427-6537-4C76-88AE-211062EA5097}" type="pres">
      <dgm:prSet presAssocID="{AC78F3E6-3D6F-4BF2-A583-5CA4C5B3E6D7}" presName="node" presStyleLbl="node1" presStyleIdx="2" presStyleCnt="5">
        <dgm:presLayoutVars>
          <dgm:bulletEnabled val="1"/>
        </dgm:presLayoutVars>
      </dgm:prSet>
      <dgm:spPr/>
    </dgm:pt>
    <dgm:pt modelId="{69FFAF8F-8C3B-475F-9ED2-12BA85875B4A}" type="pres">
      <dgm:prSet presAssocID="{A9F7EB8C-1D83-4171-9144-A04C6022E2D7}" presName="sibTrans" presStyleLbl="sibTrans2D1" presStyleIdx="2" presStyleCnt="4"/>
      <dgm:spPr/>
    </dgm:pt>
    <dgm:pt modelId="{6C37C2D6-A7A9-4ACB-A630-709CE4C04C59}" type="pres">
      <dgm:prSet presAssocID="{A9F7EB8C-1D83-4171-9144-A04C6022E2D7}" presName="connectorText" presStyleLbl="sibTrans2D1" presStyleIdx="2" presStyleCnt="4"/>
      <dgm:spPr/>
    </dgm:pt>
    <dgm:pt modelId="{49D6C15F-A2C0-4097-AE20-38D82F76B08C}" type="pres">
      <dgm:prSet presAssocID="{2C42B51A-FA11-4F0C-8141-34709974213A}" presName="node" presStyleLbl="node1" presStyleIdx="3" presStyleCnt="5">
        <dgm:presLayoutVars>
          <dgm:bulletEnabled val="1"/>
        </dgm:presLayoutVars>
      </dgm:prSet>
      <dgm:spPr/>
    </dgm:pt>
    <dgm:pt modelId="{50591237-A0F1-46FB-BD99-D37CB38F2FA6}" type="pres">
      <dgm:prSet presAssocID="{0B251A89-0734-4C76-BF10-5670AC930ED0}" presName="sibTrans" presStyleLbl="sibTrans2D1" presStyleIdx="3" presStyleCnt="4"/>
      <dgm:spPr/>
    </dgm:pt>
    <dgm:pt modelId="{830A7502-4653-42EE-908C-2FBB5D9E1174}" type="pres">
      <dgm:prSet presAssocID="{0B251A89-0734-4C76-BF10-5670AC930ED0}" presName="connectorText" presStyleLbl="sibTrans2D1" presStyleIdx="3" presStyleCnt="4"/>
      <dgm:spPr/>
    </dgm:pt>
    <dgm:pt modelId="{1268FF5B-B038-49FD-9687-C14E7FED10AE}" type="pres">
      <dgm:prSet presAssocID="{8B61F93A-392E-4E97-A656-E781794CF031}" presName="node" presStyleLbl="node1" presStyleIdx="4" presStyleCnt="5">
        <dgm:presLayoutVars>
          <dgm:bulletEnabled val="1"/>
        </dgm:presLayoutVars>
      </dgm:prSet>
      <dgm:spPr/>
    </dgm:pt>
  </dgm:ptLst>
  <dgm:cxnLst>
    <dgm:cxn modelId="{7F786D02-1202-40DD-A12A-E6B8B036BC97}" type="presOf" srcId="{A115F4D5-7B82-45B2-9869-C086D02EA916}" destId="{BD7AEFBD-87AA-4702-9175-9D6AD205F67F}" srcOrd="0" destOrd="0" presId="urn:microsoft.com/office/officeart/2005/8/layout/process1"/>
    <dgm:cxn modelId="{6A8D6919-60E9-4959-A166-658C988DD50C}" srcId="{0EBEDAC7-DE12-4543-B5E7-6C97E4DBE5ED}" destId="{AC78F3E6-3D6F-4BF2-A583-5CA4C5B3E6D7}" srcOrd="2" destOrd="0" parTransId="{243B21F6-E672-40BF-985B-97E1BE255619}" sibTransId="{A9F7EB8C-1D83-4171-9144-A04C6022E2D7}"/>
    <dgm:cxn modelId="{28EF2C30-9E39-4C97-808C-7CD2C388F559}" type="presOf" srcId="{C9A84AE0-9A9A-45ED-ACC7-FA542796F448}" destId="{89C4B076-C35F-4589-AB58-8248EED29C44}" srcOrd="0" destOrd="0" presId="urn:microsoft.com/office/officeart/2005/8/layout/process1"/>
    <dgm:cxn modelId="{F02A5040-5F6A-48D6-BF87-140771AEED71}" srcId="{0EBEDAC7-DE12-4543-B5E7-6C97E4DBE5ED}" destId="{C53FF19E-87E9-43FB-818E-421F9DD0C6EE}" srcOrd="1" destOrd="0" parTransId="{AC588488-C88A-40E0-9788-474CA6EB59F0}" sibTransId="{A115F4D5-7B82-45B2-9869-C086D02EA916}"/>
    <dgm:cxn modelId="{E8413F62-9EC9-40A3-BD5F-A962232BAE7A}" type="presOf" srcId="{C53FF19E-87E9-43FB-818E-421F9DD0C6EE}" destId="{BBE6446A-A2EC-409F-BAF7-02AFAEE14D02}" srcOrd="0" destOrd="0" presId="urn:microsoft.com/office/officeart/2005/8/layout/process1"/>
    <dgm:cxn modelId="{19522563-6A9C-4C7C-8D65-9BAE842FC784}" srcId="{0EBEDAC7-DE12-4543-B5E7-6C97E4DBE5ED}" destId="{0EEEA9AE-ADEE-44B8-B174-A3B4EDFD24BE}" srcOrd="0" destOrd="0" parTransId="{506DC325-26DD-4779-A4DB-B65239B3BD9A}" sibTransId="{C9A84AE0-9A9A-45ED-ACC7-FA542796F448}"/>
    <dgm:cxn modelId="{7C678949-93A1-4323-B0E1-A085295692A5}" type="presOf" srcId="{0EEEA9AE-ADEE-44B8-B174-A3B4EDFD24BE}" destId="{7F3CCC29-0130-448B-83C7-0BEA1646811B}" srcOrd="0" destOrd="0" presId="urn:microsoft.com/office/officeart/2005/8/layout/process1"/>
    <dgm:cxn modelId="{F7A9776B-37BE-4E74-86E1-0542EAC2159E}" type="presOf" srcId="{0EBEDAC7-DE12-4543-B5E7-6C97E4DBE5ED}" destId="{E5FFAD8B-1F17-4F16-9A99-80DEB065CF3F}" srcOrd="0" destOrd="0" presId="urn:microsoft.com/office/officeart/2005/8/layout/process1"/>
    <dgm:cxn modelId="{6647986D-7231-4E00-9F1C-856FE476B0E2}" type="presOf" srcId="{C9A84AE0-9A9A-45ED-ACC7-FA542796F448}" destId="{87C7ED8D-E82A-4045-9E3F-17F426A94B3E}" srcOrd="1" destOrd="0" presId="urn:microsoft.com/office/officeart/2005/8/layout/process1"/>
    <dgm:cxn modelId="{F6626652-598D-427A-A1CE-C193BEBBD4EC}" type="presOf" srcId="{2C42B51A-FA11-4F0C-8141-34709974213A}" destId="{49D6C15F-A2C0-4097-AE20-38D82F76B08C}" srcOrd="0" destOrd="0" presId="urn:microsoft.com/office/officeart/2005/8/layout/process1"/>
    <dgm:cxn modelId="{6D39AC52-E226-4A11-930A-BCDA7B5DC05E}" type="presOf" srcId="{0B251A89-0734-4C76-BF10-5670AC930ED0}" destId="{830A7502-4653-42EE-908C-2FBB5D9E1174}" srcOrd="1" destOrd="0" presId="urn:microsoft.com/office/officeart/2005/8/layout/process1"/>
    <dgm:cxn modelId="{96F7E8AF-4326-4E74-9A59-F1A1A07F094F}" srcId="{0EBEDAC7-DE12-4543-B5E7-6C97E4DBE5ED}" destId="{8B61F93A-392E-4E97-A656-E781794CF031}" srcOrd="4" destOrd="0" parTransId="{0FE462C6-AF12-4F92-AAD9-8A8E37C1EBFE}" sibTransId="{E9681B53-0650-4400-BA97-5A6CDDB76974}"/>
    <dgm:cxn modelId="{81FB95BE-30AF-4522-8C2E-3A03A3971FE8}" type="presOf" srcId="{0B251A89-0734-4C76-BF10-5670AC930ED0}" destId="{50591237-A0F1-46FB-BD99-D37CB38F2FA6}" srcOrd="0" destOrd="0" presId="urn:microsoft.com/office/officeart/2005/8/layout/process1"/>
    <dgm:cxn modelId="{22D55BC2-B832-4CC0-9768-EF2B8E979900}" srcId="{0EBEDAC7-DE12-4543-B5E7-6C97E4DBE5ED}" destId="{2C42B51A-FA11-4F0C-8141-34709974213A}" srcOrd="3" destOrd="0" parTransId="{611CA212-86CA-45F2-AC1E-BF63571BF859}" sibTransId="{0B251A89-0734-4C76-BF10-5670AC930ED0}"/>
    <dgm:cxn modelId="{2F3394C5-C9E0-4734-9B9B-5B4566775DD1}" type="presOf" srcId="{A9F7EB8C-1D83-4171-9144-A04C6022E2D7}" destId="{6C37C2D6-A7A9-4ACB-A630-709CE4C04C59}" srcOrd="1" destOrd="0" presId="urn:microsoft.com/office/officeart/2005/8/layout/process1"/>
    <dgm:cxn modelId="{F13DD7EF-62C4-4955-B9ED-8920B86ECCC6}" type="presOf" srcId="{A9F7EB8C-1D83-4171-9144-A04C6022E2D7}" destId="{69FFAF8F-8C3B-475F-9ED2-12BA85875B4A}" srcOrd="0" destOrd="0" presId="urn:microsoft.com/office/officeart/2005/8/layout/process1"/>
    <dgm:cxn modelId="{B07E8DF0-E99D-4B08-BA26-5C4CD4279BC6}" type="presOf" srcId="{A115F4D5-7B82-45B2-9869-C086D02EA916}" destId="{FF7B7351-7630-4F1F-98F4-88FD25F687D9}" srcOrd="1" destOrd="0" presId="urn:microsoft.com/office/officeart/2005/8/layout/process1"/>
    <dgm:cxn modelId="{64A0F3F1-E536-41C5-8E26-F6745DB9820A}" type="presOf" srcId="{8B61F93A-392E-4E97-A656-E781794CF031}" destId="{1268FF5B-B038-49FD-9687-C14E7FED10AE}" srcOrd="0" destOrd="0" presId="urn:microsoft.com/office/officeart/2005/8/layout/process1"/>
    <dgm:cxn modelId="{8A7F8AF9-8036-4BB8-B385-BBE02C9B37E2}" type="presOf" srcId="{AC78F3E6-3D6F-4BF2-A583-5CA4C5B3E6D7}" destId="{0A1C6427-6537-4C76-88AE-211062EA5097}" srcOrd="0" destOrd="0" presId="urn:microsoft.com/office/officeart/2005/8/layout/process1"/>
    <dgm:cxn modelId="{DE735D59-292C-4BB4-B5C8-4F1E8C4651B9}" type="presParOf" srcId="{E5FFAD8B-1F17-4F16-9A99-80DEB065CF3F}" destId="{7F3CCC29-0130-448B-83C7-0BEA1646811B}" srcOrd="0" destOrd="0" presId="urn:microsoft.com/office/officeart/2005/8/layout/process1"/>
    <dgm:cxn modelId="{B31E9CE5-2D11-4526-971B-1FDEFA374D65}" type="presParOf" srcId="{E5FFAD8B-1F17-4F16-9A99-80DEB065CF3F}" destId="{89C4B076-C35F-4589-AB58-8248EED29C44}" srcOrd="1" destOrd="0" presId="urn:microsoft.com/office/officeart/2005/8/layout/process1"/>
    <dgm:cxn modelId="{B3DD1BF1-A1E7-4F77-8F40-3D1C3D9747B6}" type="presParOf" srcId="{89C4B076-C35F-4589-AB58-8248EED29C44}" destId="{87C7ED8D-E82A-4045-9E3F-17F426A94B3E}" srcOrd="0" destOrd="0" presId="urn:microsoft.com/office/officeart/2005/8/layout/process1"/>
    <dgm:cxn modelId="{B6AE562D-383C-4346-B75E-0C81ECE54C7F}" type="presParOf" srcId="{E5FFAD8B-1F17-4F16-9A99-80DEB065CF3F}" destId="{BBE6446A-A2EC-409F-BAF7-02AFAEE14D02}" srcOrd="2" destOrd="0" presId="urn:microsoft.com/office/officeart/2005/8/layout/process1"/>
    <dgm:cxn modelId="{75A7A26B-EEA4-467A-8747-85A74A80A681}" type="presParOf" srcId="{E5FFAD8B-1F17-4F16-9A99-80DEB065CF3F}" destId="{BD7AEFBD-87AA-4702-9175-9D6AD205F67F}" srcOrd="3" destOrd="0" presId="urn:microsoft.com/office/officeart/2005/8/layout/process1"/>
    <dgm:cxn modelId="{98438D7D-AE66-4F69-AB75-E6DE44B5CA6F}" type="presParOf" srcId="{BD7AEFBD-87AA-4702-9175-9D6AD205F67F}" destId="{FF7B7351-7630-4F1F-98F4-88FD25F687D9}" srcOrd="0" destOrd="0" presId="urn:microsoft.com/office/officeart/2005/8/layout/process1"/>
    <dgm:cxn modelId="{6DFA9046-D88E-4318-B800-3CD12B42F930}" type="presParOf" srcId="{E5FFAD8B-1F17-4F16-9A99-80DEB065CF3F}" destId="{0A1C6427-6537-4C76-88AE-211062EA5097}" srcOrd="4" destOrd="0" presId="urn:microsoft.com/office/officeart/2005/8/layout/process1"/>
    <dgm:cxn modelId="{9EB34C91-EB9B-462A-9D6A-6C2DED3E08C5}" type="presParOf" srcId="{E5FFAD8B-1F17-4F16-9A99-80DEB065CF3F}" destId="{69FFAF8F-8C3B-475F-9ED2-12BA85875B4A}" srcOrd="5" destOrd="0" presId="urn:microsoft.com/office/officeart/2005/8/layout/process1"/>
    <dgm:cxn modelId="{D0053A08-2D16-4114-8C7E-8817B8FC6B56}" type="presParOf" srcId="{69FFAF8F-8C3B-475F-9ED2-12BA85875B4A}" destId="{6C37C2D6-A7A9-4ACB-A630-709CE4C04C59}" srcOrd="0" destOrd="0" presId="urn:microsoft.com/office/officeart/2005/8/layout/process1"/>
    <dgm:cxn modelId="{8997F4D7-2724-4CEB-A5D0-627542B5388C}" type="presParOf" srcId="{E5FFAD8B-1F17-4F16-9A99-80DEB065CF3F}" destId="{49D6C15F-A2C0-4097-AE20-38D82F76B08C}" srcOrd="6" destOrd="0" presId="urn:microsoft.com/office/officeart/2005/8/layout/process1"/>
    <dgm:cxn modelId="{20C55062-9FA9-44FA-B477-26F0FAD5FDDA}" type="presParOf" srcId="{E5FFAD8B-1F17-4F16-9A99-80DEB065CF3F}" destId="{50591237-A0F1-46FB-BD99-D37CB38F2FA6}" srcOrd="7" destOrd="0" presId="urn:microsoft.com/office/officeart/2005/8/layout/process1"/>
    <dgm:cxn modelId="{61F84287-A8DA-4BBD-A1EF-18CE7A5ABDAB}" type="presParOf" srcId="{50591237-A0F1-46FB-BD99-D37CB38F2FA6}" destId="{830A7502-4653-42EE-908C-2FBB5D9E1174}" srcOrd="0" destOrd="0" presId="urn:microsoft.com/office/officeart/2005/8/layout/process1"/>
    <dgm:cxn modelId="{E0A479F7-8937-4D9A-A549-47B2E3DA3D36}" type="presParOf" srcId="{E5FFAD8B-1F17-4F16-9A99-80DEB065CF3F}" destId="{1268FF5B-B038-49FD-9687-C14E7FED10AE}" srcOrd="8"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EBEDAC7-DE12-4543-B5E7-6C97E4DBE5ED}" type="doc">
      <dgm:prSet loTypeId="urn:microsoft.com/office/officeart/2005/8/layout/process1" loCatId="process" qsTypeId="urn:microsoft.com/office/officeart/2005/8/quickstyle/simple1" qsCatId="simple" csTypeId="urn:microsoft.com/office/officeart/2005/8/colors/accent1_2" csCatId="accent1" phldr="1"/>
      <dgm:spPr/>
    </dgm:pt>
    <dgm:pt modelId="{0EEEA9AE-ADEE-44B8-B174-A3B4EDFD24BE}">
      <dgm:prSet phldrT="[Text]" custT="1"/>
      <dgm:spPr>
        <a:xfrm>
          <a:off x="2798"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1. Deciding on a career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506DC325-26DD-4779-A4DB-B65239B3BD9A}" type="parTrans" cxnId="{19522563-6A9C-4C7C-8D65-9BAE842FC784}">
      <dgm:prSet/>
      <dgm:spPr/>
      <dgm:t>
        <a:bodyPr/>
        <a:lstStyle/>
        <a:p>
          <a:endParaRPr lang="en-GB" sz="1200" b="1">
            <a:latin typeface="Arial" panose="020B0604020202020204" pitchFamily="34" charset="0"/>
            <a:cs typeface="Arial" panose="020B0604020202020204" pitchFamily="34" charset="0"/>
          </a:endParaRPr>
        </a:p>
      </dgm:t>
    </dgm:pt>
    <dgm:pt modelId="{C9A84AE0-9A9A-45ED-ACC7-FA542796F448}" type="sibTrans" cxnId="{19522563-6A9C-4C7C-8D65-9BAE842FC784}">
      <dgm:prSet custT="1"/>
      <dgm: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53FF19E-87E9-43FB-818E-421F9DD0C6EE}">
      <dgm:prSet phldrT="[Text]" custT="1"/>
      <dgm:spPr>
        <a:xfrm>
          <a:off x="1217386"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2. Seeking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588488-C88A-40E0-9788-474CA6EB59F0}" type="parTrans" cxnId="{F02A5040-5F6A-48D6-BF87-140771AEED71}">
      <dgm:prSet/>
      <dgm:spPr/>
      <dgm:t>
        <a:bodyPr/>
        <a:lstStyle/>
        <a:p>
          <a:endParaRPr lang="en-GB" sz="1200" b="1">
            <a:latin typeface="Arial" panose="020B0604020202020204" pitchFamily="34" charset="0"/>
            <a:cs typeface="Arial" panose="020B0604020202020204" pitchFamily="34" charset="0"/>
          </a:endParaRPr>
        </a:p>
      </dgm:t>
    </dgm:pt>
    <dgm:pt modelId="{A115F4D5-7B82-45B2-9869-C086D02EA916}" type="sibTrans" cxnId="{F02A5040-5F6A-48D6-BF87-140771AEED71}">
      <dgm:prSet custT="1"/>
      <dgm: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78F3E6-3D6F-4BF2-A583-5CA4C5B3E6D7}">
      <dgm:prSet phldrT="[Text]" custT="1"/>
      <dgm:spPr>
        <a:xfrm>
          <a:off x="2431973" y="388620"/>
          <a:ext cx="867562" cy="7645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3. Effective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43B21F6-E672-40BF-985B-97E1BE255619}" type="parTrans" cxnId="{6A8D6919-60E9-4959-A166-658C988DD50C}">
      <dgm:prSet/>
      <dgm:spPr/>
      <dgm:t>
        <a:bodyPr/>
        <a:lstStyle/>
        <a:p>
          <a:endParaRPr lang="en-GB" sz="1200" b="1">
            <a:latin typeface="Arial" panose="020B0604020202020204" pitchFamily="34" charset="0"/>
            <a:cs typeface="Arial" panose="020B0604020202020204" pitchFamily="34" charset="0"/>
          </a:endParaRPr>
        </a:p>
      </dgm:t>
    </dgm:pt>
    <dgm:pt modelId="{A9F7EB8C-1D83-4171-9144-A04C6022E2D7}" type="sibTrans" cxnId="{6A8D6919-60E9-4959-A166-658C988DD50C}">
      <dgm:prSet custT="1"/>
      <dgm: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B61F93A-392E-4E97-A656-E781794CF031}">
      <dgm:prSet custT="1"/>
      <dgm:spPr>
        <a:xfrm>
          <a:off x="4861148"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5. Remaining with employer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FE462C6-AF12-4F92-AAD9-8A8E37C1EBFE}" type="par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E9681B53-0650-4400-BA97-5A6CDDB76974}" type="sib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2C42B51A-FA11-4F0C-8141-34709974213A}">
      <dgm:prSet custT="1"/>
      <dgm:spPr>
        <a:xfrm>
          <a:off x="3646561"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4. Seeking a job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251A89-0734-4C76-BF10-5670AC930ED0}" type="sibTrans" cxnId="{22D55BC2-B832-4CC0-9768-EF2B8E979900}">
      <dgm:prSet custT="1"/>
      <dgm: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11CA212-86CA-45F2-AC1E-BF63571BF859}" type="parTrans" cxnId="{22D55BC2-B832-4CC0-9768-EF2B8E979900}">
      <dgm:prSet/>
      <dgm:spPr/>
      <dgm:t>
        <a:bodyPr/>
        <a:lstStyle/>
        <a:p>
          <a:endParaRPr lang="en-GB" sz="1200" b="1">
            <a:latin typeface="Arial" panose="020B0604020202020204" pitchFamily="34" charset="0"/>
            <a:cs typeface="Arial" panose="020B0604020202020204" pitchFamily="34" charset="0"/>
          </a:endParaRPr>
        </a:p>
      </dgm:t>
    </dgm:pt>
    <dgm:pt modelId="{E5FFAD8B-1F17-4F16-9A99-80DEB065CF3F}" type="pres">
      <dgm:prSet presAssocID="{0EBEDAC7-DE12-4543-B5E7-6C97E4DBE5ED}" presName="Name0" presStyleCnt="0">
        <dgm:presLayoutVars>
          <dgm:dir/>
          <dgm:resizeHandles val="exact"/>
        </dgm:presLayoutVars>
      </dgm:prSet>
      <dgm:spPr/>
    </dgm:pt>
    <dgm:pt modelId="{7F3CCC29-0130-448B-83C7-0BEA1646811B}" type="pres">
      <dgm:prSet presAssocID="{0EEEA9AE-ADEE-44B8-B174-A3B4EDFD24BE}" presName="node" presStyleLbl="node1" presStyleIdx="0" presStyleCnt="5">
        <dgm:presLayoutVars>
          <dgm:bulletEnabled val="1"/>
        </dgm:presLayoutVars>
      </dgm:prSet>
      <dgm:spPr/>
    </dgm:pt>
    <dgm:pt modelId="{89C4B076-C35F-4589-AB58-8248EED29C44}" type="pres">
      <dgm:prSet presAssocID="{C9A84AE0-9A9A-45ED-ACC7-FA542796F448}" presName="sibTrans" presStyleLbl="sibTrans2D1" presStyleIdx="0" presStyleCnt="4"/>
      <dgm:spPr/>
    </dgm:pt>
    <dgm:pt modelId="{87C7ED8D-E82A-4045-9E3F-17F426A94B3E}" type="pres">
      <dgm:prSet presAssocID="{C9A84AE0-9A9A-45ED-ACC7-FA542796F448}" presName="connectorText" presStyleLbl="sibTrans2D1" presStyleIdx="0" presStyleCnt="4"/>
      <dgm:spPr/>
    </dgm:pt>
    <dgm:pt modelId="{BBE6446A-A2EC-409F-BAF7-02AFAEE14D02}" type="pres">
      <dgm:prSet presAssocID="{C53FF19E-87E9-43FB-818E-421F9DD0C6EE}" presName="node" presStyleLbl="node1" presStyleIdx="1" presStyleCnt="5">
        <dgm:presLayoutVars>
          <dgm:bulletEnabled val="1"/>
        </dgm:presLayoutVars>
      </dgm:prSet>
      <dgm:spPr/>
    </dgm:pt>
    <dgm:pt modelId="{BD7AEFBD-87AA-4702-9175-9D6AD205F67F}" type="pres">
      <dgm:prSet presAssocID="{A115F4D5-7B82-45B2-9869-C086D02EA916}" presName="sibTrans" presStyleLbl="sibTrans2D1" presStyleIdx="1" presStyleCnt="4"/>
      <dgm:spPr/>
    </dgm:pt>
    <dgm:pt modelId="{FF7B7351-7630-4F1F-98F4-88FD25F687D9}" type="pres">
      <dgm:prSet presAssocID="{A115F4D5-7B82-45B2-9869-C086D02EA916}" presName="connectorText" presStyleLbl="sibTrans2D1" presStyleIdx="1" presStyleCnt="4"/>
      <dgm:spPr/>
    </dgm:pt>
    <dgm:pt modelId="{0A1C6427-6537-4C76-88AE-211062EA5097}" type="pres">
      <dgm:prSet presAssocID="{AC78F3E6-3D6F-4BF2-A583-5CA4C5B3E6D7}" presName="node" presStyleLbl="node1" presStyleIdx="2" presStyleCnt="5">
        <dgm:presLayoutVars>
          <dgm:bulletEnabled val="1"/>
        </dgm:presLayoutVars>
      </dgm:prSet>
      <dgm:spPr/>
    </dgm:pt>
    <dgm:pt modelId="{69FFAF8F-8C3B-475F-9ED2-12BA85875B4A}" type="pres">
      <dgm:prSet presAssocID="{A9F7EB8C-1D83-4171-9144-A04C6022E2D7}" presName="sibTrans" presStyleLbl="sibTrans2D1" presStyleIdx="2" presStyleCnt="4"/>
      <dgm:spPr/>
    </dgm:pt>
    <dgm:pt modelId="{6C37C2D6-A7A9-4ACB-A630-709CE4C04C59}" type="pres">
      <dgm:prSet presAssocID="{A9F7EB8C-1D83-4171-9144-A04C6022E2D7}" presName="connectorText" presStyleLbl="sibTrans2D1" presStyleIdx="2" presStyleCnt="4"/>
      <dgm:spPr/>
    </dgm:pt>
    <dgm:pt modelId="{49D6C15F-A2C0-4097-AE20-38D82F76B08C}" type="pres">
      <dgm:prSet presAssocID="{2C42B51A-FA11-4F0C-8141-34709974213A}" presName="node" presStyleLbl="node1" presStyleIdx="3" presStyleCnt="5">
        <dgm:presLayoutVars>
          <dgm:bulletEnabled val="1"/>
        </dgm:presLayoutVars>
      </dgm:prSet>
      <dgm:spPr/>
    </dgm:pt>
    <dgm:pt modelId="{50591237-A0F1-46FB-BD99-D37CB38F2FA6}" type="pres">
      <dgm:prSet presAssocID="{0B251A89-0734-4C76-BF10-5670AC930ED0}" presName="sibTrans" presStyleLbl="sibTrans2D1" presStyleIdx="3" presStyleCnt="4"/>
      <dgm:spPr/>
    </dgm:pt>
    <dgm:pt modelId="{830A7502-4653-42EE-908C-2FBB5D9E1174}" type="pres">
      <dgm:prSet presAssocID="{0B251A89-0734-4C76-BF10-5670AC930ED0}" presName="connectorText" presStyleLbl="sibTrans2D1" presStyleIdx="3" presStyleCnt="4"/>
      <dgm:spPr/>
    </dgm:pt>
    <dgm:pt modelId="{1268FF5B-B038-49FD-9687-C14E7FED10AE}" type="pres">
      <dgm:prSet presAssocID="{8B61F93A-392E-4E97-A656-E781794CF031}" presName="node" presStyleLbl="node1" presStyleIdx="4" presStyleCnt="5">
        <dgm:presLayoutVars>
          <dgm:bulletEnabled val="1"/>
        </dgm:presLayoutVars>
      </dgm:prSet>
      <dgm:spPr/>
    </dgm:pt>
  </dgm:ptLst>
  <dgm:cxnLst>
    <dgm:cxn modelId="{7F786D02-1202-40DD-A12A-E6B8B036BC97}" type="presOf" srcId="{A115F4D5-7B82-45B2-9869-C086D02EA916}" destId="{BD7AEFBD-87AA-4702-9175-9D6AD205F67F}" srcOrd="0" destOrd="0" presId="urn:microsoft.com/office/officeart/2005/8/layout/process1"/>
    <dgm:cxn modelId="{6A8D6919-60E9-4959-A166-658C988DD50C}" srcId="{0EBEDAC7-DE12-4543-B5E7-6C97E4DBE5ED}" destId="{AC78F3E6-3D6F-4BF2-A583-5CA4C5B3E6D7}" srcOrd="2" destOrd="0" parTransId="{243B21F6-E672-40BF-985B-97E1BE255619}" sibTransId="{A9F7EB8C-1D83-4171-9144-A04C6022E2D7}"/>
    <dgm:cxn modelId="{28EF2C30-9E39-4C97-808C-7CD2C388F559}" type="presOf" srcId="{C9A84AE0-9A9A-45ED-ACC7-FA542796F448}" destId="{89C4B076-C35F-4589-AB58-8248EED29C44}" srcOrd="0" destOrd="0" presId="urn:microsoft.com/office/officeart/2005/8/layout/process1"/>
    <dgm:cxn modelId="{F02A5040-5F6A-48D6-BF87-140771AEED71}" srcId="{0EBEDAC7-DE12-4543-B5E7-6C97E4DBE5ED}" destId="{C53FF19E-87E9-43FB-818E-421F9DD0C6EE}" srcOrd="1" destOrd="0" parTransId="{AC588488-C88A-40E0-9788-474CA6EB59F0}" sibTransId="{A115F4D5-7B82-45B2-9869-C086D02EA916}"/>
    <dgm:cxn modelId="{E8413F62-9EC9-40A3-BD5F-A962232BAE7A}" type="presOf" srcId="{C53FF19E-87E9-43FB-818E-421F9DD0C6EE}" destId="{BBE6446A-A2EC-409F-BAF7-02AFAEE14D02}" srcOrd="0" destOrd="0" presId="urn:microsoft.com/office/officeart/2005/8/layout/process1"/>
    <dgm:cxn modelId="{19522563-6A9C-4C7C-8D65-9BAE842FC784}" srcId="{0EBEDAC7-DE12-4543-B5E7-6C97E4DBE5ED}" destId="{0EEEA9AE-ADEE-44B8-B174-A3B4EDFD24BE}" srcOrd="0" destOrd="0" parTransId="{506DC325-26DD-4779-A4DB-B65239B3BD9A}" sibTransId="{C9A84AE0-9A9A-45ED-ACC7-FA542796F448}"/>
    <dgm:cxn modelId="{7C678949-93A1-4323-B0E1-A085295692A5}" type="presOf" srcId="{0EEEA9AE-ADEE-44B8-B174-A3B4EDFD24BE}" destId="{7F3CCC29-0130-448B-83C7-0BEA1646811B}" srcOrd="0" destOrd="0" presId="urn:microsoft.com/office/officeart/2005/8/layout/process1"/>
    <dgm:cxn modelId="{F7A9776B-37BE-4E74-86E1-0542EAC2159E}" type="presOf" srcId="{0EBEDAC7-DE12-4543-B5E7-6C97E4DBE5ED}" destId="{E5FFAD8B-1F17-4F16-9A99-80DEB065CF3F}" srcOrd="0" destOrd="0" presId="urn:microsoft.com/office/officeart/2005/8/layout/process1"/>
    <dgm:cxn modelId="{6647986D-7231-4E00-9F1C-856FE476B0E2}" type="presOf" srcId="{C9A84AE0-9A9A-45ED-ACC7-FA542796F448}" destId="{87C7ED8D-E82A-4045-9E3F-17F426A94B3E}" srcOrd="1" destOrd="0" presId="urn:microsoft.com/office/officeart/2005/8/layout/process1"/>
    <dgm:cxn modelId="{F6626652-598D-427A-A1CE-C193BEBBD4EC}" type="presOf" srcId="{2C42B51A-FA11-4F0C-8141-34709974213A}" destId="{49D6C15F-A2C0-4097-AE20-38D82F76B08C}" srcOrd="0" destOrd="0" presId="urn:microsoft.com/office/officeart/2005/8/layout/process1"/>
    <dgm:cxn modelId="{6D39AC52-E226-4A11-930A-BCDA7B5DC05E}" type="presOf" srcId="{0B251A89-0734-4C76-BF10-5670AC930ED0}" destId="{830A7502-4653-42EE-908C-2FBB5D9E1174}" srcOrd="1" destOrd="0" presId="urn:microsoft.com/office/officeart/2005/8/layout/process1"/>
    <dgm:cxn modelId="{96F7E8AF-4326-4E74-9A59-F1A1A07F094F}" srcId="{0EBEDAC7-DE12-4543-B5E7-6C97E4DBE5ED}" destId="{8B61F93A-392E-4E97-A656-E781794CF031}" srcOrd="4" destOrd="0" parTransId="{0FE462C6-AF12-4F92-AAD9-8A8E37C1EBFE}" sibTransId="{E9681B53-0650-4400-BA97-5A6CDDB76974}"/>
    <dgm:cxn modelId="{81FB95BE-30AF-4522-8C2E-3A03A3971FE8}" type="presOf" srcId="{0B251A89-0734-4C76-BF10-5670AC930ED0}" destId="{50591237-A0F1-46FB-BD99-D37CB38F2FA6}" srcOrd="0" destOrd="0" presId="urn:microsoft.com/office/officeart/2005/8/layout/process1"/>
    <dgm:cxn modelId="{22D55BC2-B832-4CC0-9768-EF2B8E979900}" srcId="{0EBEDAC7-DE12-4543-B5E7-6C97E4DBE5ED}" destId="{2C42B51A-FA11-4F0C-8141-34709974213A}" srcOrd="3" destOrd="0" parTransId="{611CA212-86CA-45F2-AC1E-BF63571BF859}" sibTransId="{0B251A89-0734-4C76-BF10-5670AC930ED0}"/>
    <dgm:cxn modelId="{2F3394C5-C9E0-4734-9B9B-5B4566775DD1}" type="presOf" srcId="{A9F7EB8C-1D83-4171-9144-A04C6022E2D7}" destId="{6C37C2D6-A7A9-4ACB-A630-709CE4C04C59}" srcOrd="1" destOrd="0" presId="urn:microsoft.com/office/officeart/2005/8/layout/process1"/>
    <dgm:cxn modelId="{F13DD7EF-62C4-4955-B9ED-8920B86ECCC6}" type="presOf" srcId="{A9F7EB8C-1D83-4171-9144-A04C6022E2D7}" destId="{69FFAF8F-8C3B-475F-9ED2-12BA85875B4A}" srcOrd="0" destOrd="0" presId="urn:microsoft.com/office/officeart/2005/8/layout/process1"/>
    <dgm:cxn modelId="{B07E8DF0-E99D-4B08-BA26-5C4CD4279BC6}" type="presOf" srcId="{A115F4D5-7B82-45B2-9869-C086D02EA916}" destId="{FF7B7351-7630-4F1F-98F4-88FD25F687D9}" srcOrd="1" destOrd="0" presId="urn:microsoft.com/office/officeart/2005/8/layout/process1"/>
    <dgm:cxn modelId="{64A0F3F1-E536-41C5-8E26-F6745DB9820A}" type="presOf" srcId="{8B61F93A-392E-4E97-A656-E781794CF031}" destId="{1268FF5B-B038-49FD-9687-C14E7FED10AE}" srcOrd="0" destOrd="0" presId="urn:microsoft.com/office/officeart/2005/8/layout/process1"/>
    <dgm:cxn modelId="{8A7F8AF9-8036-4BB8-B385-BBE02C9B37E2}" type="presOf" srcId="{AC78F3E6-3D6F-4BF2-A583-5CA4C5B3E6D7}" destId="{0A1C6427-6537-4C76-88AE-211062EA5097}" srcOrd="0" destOrd="0" presId="urn:microsoft.com/office/officeart/2005/8/layout/process1"/>
    <dgm:cxn modelId="{DE735D59-292C-4BB4-B5C8-4F1E8C4651B9}" type="presParOf" srcId="{E5FFAD8B-1F17-4F16-9A99-80DEB065CF3F}" destId="{7F3CCC29-0130-448B-83C7-0BEA1646811B}" srcOrd="0" destOrd="0" presId="urn:microsoft.com/office/officeart/2005/8/layout/process1"/>
    <dgm:cxn modelId="{B31E9CE5-2D11-4526-971B-1FDEFA374D65}" type="presParOf" srcId="{E5FFAD8B-1F17-4F16-9A99-80DEB065CF3F}" destId="{89C4B076-C35F-4589-AB58-8248EED29C44}" srcOrd="1" destOrd="0" presId="urn:microsoft.com/office/officeart/2005/8/layout/process1"/>
    <dgm:cxn modelId="{B3DD1BF1-A1E7-4F77-8F40-3D1C3D9747B6}" type="presParOf" srcId="{89C4B076-C35F-4589-AB58-8248EED29C44}" destId="{87C7ED8D-E82A-4045-9E3F-17F426A94B3E}" srcOrd="0" destOrd="0" presId="urn:microsoft.com/office/officeart/2005/8/layout/process1"/>
    <dgm:cxn modelId="{B6AE562D-383C-4346-B75E-0C81ECE54C7F}" type="presParOf" srcId="{E5FFAD8B-1F17-4F16-9A99-80DEB065CF3F}" destId="{BBE6446A-A2EC-409F-BAF7-02AFAEE14D02}" srcOrd="2" destOrd="0" presId="urn:microsoft.com/office/officeart/2005/8/layout/process1"/>
    <dgm:cxn modelId="{75A7A26B-EEA4-467A-8747-85A74A80A681}" type="presParOf" srcId="{E5FFAD8B-1F17-4F16-9A99-80DEB065CF3F}" destId="{BD7AEFBD-87AA-4702-9175-9D6AD205F67F}" srcOrd="3" destOrd="0" presId="urn:microsoft.com/office/officeart/2005/8/layout/process1"/>
    <dgm:cxn modelId="{98438D7D-AE66-4F69-AB75-E6DE44B5CA6F}" type="presParOf" srcId="{BD7AEFBD-87AA-4702-9175-9D6AD205F67F}" destId="{FF7B7351-7630-4F1F-98F4-88FD25F687D9}" srcOrd="0" destOrd="0" presId="urn:microsoft.com/office/officeart/2005/8/layout/process1"/>
    <dgm:cxn modelId="{6DFA9046-D88E-4318-B800-3CD12B42F930}" type="presParOf" srcId="{E5FFAD8B-1F17-4F16-9A99-80DEB065CF3F}" destId="{0A1C6427-6537-4C76-88AE-211062EA5097}" srcOrd="4" destOrd="0" presId="urn:microsoft.com/office/officeart/2005/8/layout/process1"/>
    <dgm:cxn modelId="{9EB34C91-EB9B-462A-9D6A-6C2DED3E08C5}" type="presParOf" srcId="{E5FFAD8B-1F17-4F16-9A99-80DEB065CF3F}" destId="{69FFAF8F-8C3B-475F-9ED2-12BA85875B4A}" srcOrd="5" destOrd="0" presId="urn:microsoft.com/office/officeart/2005/8/layout/process1"/>
    <dgm:cxn modelId="{D0053A08-2D16-4114-8C7E-8817B8FC6B56}" type="presParOf" srcId="{69FFAF8F-8C3B-475F-9ED2-12BA85875B4A}" destId="{6C37C2D6-A7A9-4ACB-A630-709CE4C04C59}" srcOrd="0" destOrd="0" presId="urn:microsoft.com/office/officeart/2005/8/layout/process1"/>
    <dgm:cxn modelId="{8997F4D7-2724-4CEB-A5D0-627542B5388C}" type="presParOf" srcId="{E5FFAD8B-1F17-4F16-9A99-80DEB065CF3F}" destId="{49D6C15F-A2C0-4097-AE20-38D82F76B08C}" srcOrd="6" destOrd="0" presId="urn:microsoft.com/office/officeart/2005/8/layout/process1"/>
    <dgm:cxn modelId="{20C55062-9FA9-44FA-B477-26F0FAD5FDDA}" type="presParOf" srcId="{E5FFAD8B-1F17-4F16-9A99-80DEB065CF3F}" destId="{50591237-A0F1-46FB-BD99-D37CB38F2FA6}" srcOrd="7" destOrd="0" presId="urn:microsoft.com/office/officeart/2005/8/layout/process1"/>
    <dgm:cxn modelId="{61F84287-A8DA-4BBD-A1EF-18CE7A5ABDAB}" type="presParOf" srcId="{50591237-A0F1-46FB-BD99-D37CB38F2FA6}" destId="{830A7502-4653-42EE-908C-2FBB5D9E1174}" srcOrd="0" destOrd="0" presId="urn:microsoft.com/office/officeart/2005/8/layout/process1"/>
    <dgm:cxn modelId="{E0A479F7-8937-4D9A-A549-47B2E3DA3D36}" type="presParOf" srcId="{E5FFAD8B-1F17-4F16-9A99-80DEB065CF3F}" destId="{1268FF5B-B038-49FD-9687-C14E7FED10AE}" srcOrd="8"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EBEDAC7-DE12-4543-B5E7-6C97E4DBE5ED}" type="doc">
      <dgm:prSet loTypeId="urn:microsoft.com/office/officeart/2005/8/layout/process1" loCatId="process" qsTypeId="urn:microsoft.com/office/officeart/2005/8/quickstyle/simple1" qsCatId="simple" csTypeId="urn:microsoft.com/office/officeart/2005/8/colors/accent1_2" csCatId="accent1" phldr="1"/>
      <dgm:spPr/>
    </dgm:pt>
    <dgm:pt modelId="{0EEEA9AE-ADEE-44B8-B174-A3B4EDFD24BE}">
      <dgm:prSet phldrT="[Text]" custT="1"/>
      <dgm:spPr>
        <a:xfrm>
          <a:off x="2798"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1. Deciding on a career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506DC325-26DD-4779-A4DB-B65239B3BD9A}" type="parTrans" cxnId="{19522563-6A9C-4C7C-8D65-9BAE842FC784}">
      <dgm:prSet/>
      <dgm:spPr/>
      <dgm:t>
        <a:bodyPr/>
        <a:lstStyle/>
        <a:p>
          <a:endParaRPr lang="en-GB" sz="1200" b="1">
            <a:latin typeface="Arial" panose="020B0604020202020204" pitchFamily="34" charset="0"/>
            <a:cs typeface="Arial" panose="020B0604020202020204" pitchFamily="34" charset="0"/>
          </a:endParaRPr>
        </a:p>
      </dgm:t>
    </dgm:pt>
    <dgm:pt modelId="{C9A84AE0-9A9A-45ED-ACC7-FA542796F448}" type="sibTrans" cxnId="{19522563-6A9C-4C7C-8D65-9BAE842FC784}">
      <dgm:prSet custT="1"/>
      <dgm: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53FF19E-87E9-43FB-818E-421F9DD0C6EE}">
      <dgm:prSet phldrT="[Text]" custT="1"/>
      <dgm:spPr>
        <a:xfrm>
          <a:off x="1217386"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2. Seeking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588488-C88A-40E0-9788-474CA6EB59F0}" type="parTrans" cxnId="{F02A5040-5F6A-48D6-BF87-140771AEED71}">
      <dgm:prSet/>
      <dgm:spPr/>
      <dgm:t>
        <a:bodyPr/>
        <a:lstStyle/>
        <a:p>
          <a:endParaRPr lang="en-GB" sz="1200" b="1">
            <a:latin typeface="Arial" panose="020B0604020202020204" pitchFamily="34" charset="0"/>
            <a:cs typeface="Arial" panose="020B0604020202020204" pitchFamily="34" charset="0"/>
          </a:endParaRPr>
        </a:p>
      </dgm:t>
    </dgm:pt>
    <dgm:pt modelId="{A115F4D5-7B82-45B2-9869-C086D02EA916}" type="sibTrans" cxnId="{F02A5040-5F6A-48D6-BF87-140771AEED71}">
      <dgm:prSet custT="1"/>
      <dgm: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78F3E6-3D6F-4BF2-A583-5CA4C5B3E6D7}">
      <dgm:prSet phldrT="[Text]" custT="1"/>
      <dgm:spPr>
        <a:xfrm>
          <a:off x="2431973"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3. Effective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43B21F6-E672-40BF-985B-97E1BE255619}" type="parTrans" cxnId="{6A8D6919-60E9-4959-A166-658C988DD50C}">
      <dgm:prSet/>
      <dgm:spPr/>
      <dgm:t>
        <a:bodyPr/>
        <a:lstStyle/>
        <a:p>
          <a:endParaRPr lang="en-GB" sz="1200" b="1">
            <a:latin typeface="Arial" panose="020B0604020202020204" pitchFamily="34" charset="0"/>
            <a:cs typeface="Arial" panose="020B0604020202020204" pitchFamily="34" charset="0"/>
          </a:endParaRPr>
        </a:p>
      </dgm:t>
    </dgm:pt>
    <dgm:pt modelId="{A9F7EB8C-1D83-4171-9144-A04C6022E2D7}" type="sibTrans" cxnId="{6A8D6919-60E9-4959-A166-658C988DD50C}">
      <dgm:prSet custT="1"/>
      <dgm: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B61F93A-392E-4E97-A656-E781794CF031}">
      <dgm:prSet custT="1"/>
      <dgm:spPr>
        <a:xfrm>
          <a:off x="4861148"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5. Remaining with employer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FE462C6-AF12-4F92-AAD9-8A8E37C1EBFE}" type="par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E9681B53-0650-4400-BA97-5A6CDDB76974}" type="sib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2C42B51A-FA11-4F0C-8141-34709974213A}">
      <dgm:prSet custT="1"/>
      <dgm:spPr>
        <a:xfrm>
          <a:off x="3646561" y="388620"/>
          <a:ext cx="867562" cy="7645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4. Seeking a job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251A89-0734-4C76-BF10-5670AC930ED0}" type="sibTrans" cxnId="{22D55BC2-B832-4CC0-9768-EF2B8E979900}">
      <dgm:prSet custT="1"/>
      <dgm: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11CA212-86CA-45F2-AC1E-BF63571BF859}" type="parTrans" cxnId="{22D55BC2-B832-4CC0-9768-EF2B8E979900}">
      <dgm:prSet/>
      <dgm:spPr/>
      <dgm:t>
        <a:bodyPr/>
        <a:lstStyle/>
        <a:p>
          <a:endParaRPr lang="en-GB" sz="1200" b="1">
            <a:latin typeface="Arial" panose="020B0604020202020204" pitchFamily="34" charset="0"/>
            <a:cs typeface="Arial" panose="020B0604020202020204" pitchFamily="34" charset="0"/>
          </a:endParaRPr>
        </a:p>
      </dgm:t>
    </dgm:pt>
    <dgm:pt modelId="{E5FFAD8B-1F17-4F16-9A99-80DEB065CF3F}" type="pres">
      <dgm:prSet presAssocID="{0EBEDAC7-DE12-4543-B5E7-6C97E4DBE5ED}" presName="Name0" presStyleCnt="0">
        <dgm:presLayoutVars>
          <dgm:dir/>
          <dgm:resizeHandles val="exact"/>
        </dgm:presLayoutVars>
      </dgm:prSet>
      <dgm:spPr/>
    </dgm:pt>
    <dgm:pt modelId="{7F3CCC29-0130-448B-83C7-0BEA1646811B}" type="pres">
      <dgm:prSet presAssocID="{0EEEA9AE-ADEE-44B8-B174-A3B4EDFD24BE}" presName="node" presStyleLbl="node1" presStyleIdx="0" presStyleCnt="5">
        <dgm:presLayoutVars>
          <dgm:bulletEnabled val="1"/>
        </dgm:presLayoutVars>
      </dgm:prSet>
      <dgm:spPr/>
    </dgm:pt>
    <dgm:pt modelId="{89C4B076-C35F-4589-AB58-8248EED29C44}" type="pres">
      <dgm:prSet presAssocID="{C9A84AE0-9A9A-45ED-ACC7-FA542796F448}" presName="sibTrans" presStyleLbl="sibTrans2D1" presStyleIdx="0" presStyleCnt="4"/>
      <dgm:spPr/>
    </dgm:pt>
    <dgm:pt modelId="{87C7ED8D-E82A-4045-9E3F-17F426A94B3E}" type="pres">
      <dgm:prSet presAssocID="{C9A84AE0-9A9A-45ED-ACC7-FA542796F448}" presName="connectorText" presStyleLbl="sibTrans2D1" presStyleIdx="0" presStyleCnt="4"/>
      <dgm:spPr/>
    </dgm:pt>
    <dgm:pt modelId="{BBE6446A-A2EC-409F-BAF7-02AFAEE14D02}" type="pres">
      <dgm:prSet presAssocID="{C53FF19E-87E9-43FB-818E-421F9DD0C6EE}" presName="node" presStyleLbl="node1" presStyleIdx="1" presStyleCnt="5">
        <dgm:presLayoutVars>
          <dgm:bulletEnabled val="1"/>
        </dgm:presLayoutVars>
      </dgm:prSet>
      <dgm:spPr/>
    </dgm:pt>
    <dgm:pt modelId="{BD7AEFBD-87AA-4702-9175-9D6AD205F67F}" type="pres">
      <dgm:prSet presAssocID="{A115F4D5-7B82-45B2-9869-C086D02EA916}" presName="sibTrans" presStyleLbl="sibTrans2D1" presStyleIdx="1" presStyleCnt="4"/>
      <dgm:spPr/>
    </dgm:pt>
    <dgm:pt modelId="{FF7B7351-7630-4F1F-98F4-88FD25F687D9}" type="pres">
      <dgm:prSet presAssocID="{A115F4D5-7B82-45B2-9869-C086D02EA916}" presName="connectorText" presStyleLbl="sibTrans2D1" presStyleIdx="1" presStyleCnt="4"/>
      <dgm:spPr/>
    </dgm:pt>
    <dgm:pt modelId="{0A1C6427-6537-4C76-88AE-211062EA5097}" type="pres">
      <dgm:prSet presAssocID="{AC78F3E6-3D6F-4BF2-A583-5CA4C5B3E6D7}" presName="node" presStyleLbl="node1" presStyleIdx="2" presStyleCnt="5">
        <dgm:presLayoutVars>
          <dgm:bulletEnabled val="1"/>
        </dgm:presLayoutVars>
      </dgm:prSet>
      <dgm:spPr/>
    </dgm:pt>
    <dgm:pt modelId="{69FFAF8F-8C3B-475F-9ED2-12BA85875B4A}" type="pres">
      <dgm:prSet presAssocID="{A9F7EB8C-1D83-4171-9144-A04C6022E2D7}" presName="sibTrans" presStyleLbl="sibTrans2D1" presStyleIdx="2" presStyleCnt="4"/>
      <dgm:spPr/>
    </dgm:pt>
    <dgm:pt modelId="{6C37C2D6-A7A9-4ACB-A630-709CE4C04C59}" type="pres">
      <dgm:prSet presAssocID="{A9F7EB8C-1D83-4171-9144-A04C6022E2D7}" presName="connectorText" presStyleLbl="sibTrans2D1" presStyleIdx="2" presStyleCnt="4"/>
      <dgm:spPr/>
    </dgm:pt>
    <dgm:pt modelId="{49D6C15F-A2C0-4097-AE20-38D82F76B08C}" type="pres">
      <dgm:prSet presAssocID="{2C42B51A-FA11-4F0C-8141-34709974213A}" presName="node" presStyleLbl="node1" presStyleIdx="3" presStyleCnt="5">
        <dgm:presLayoutVars>
          <dgm:bulletEnabled val="1"/>
        </dgm:presLayoutVars>
      </dgm:prSet>
      <dgm:spPr/>
    </dgm:pt>
    <dgm:pt modelId="{50591237-A0F1-46FB-BD99-D37CB38F2FA6}" type="pres">
      <dgm:prSet presAssocID="{0B251A89-0734-4C76-BF10-5670AC930ED0}" presName="sibTrans" presStyleLbl="sibTrans2D1" presStyleIdx="3" presStyleCnt="4"/>
      <dgm:spPr/>
    </dgm:pt>
    <dgm:pt modelId="{830A7502-4653-42EE-908C-2FBB5D9E1174}" type="pres">
      <dgm:prSet presAssocID="{0B251A89-0734-4C76-BF10-5670AC930ED0}" presName="connectorText" presStyleLbl="sibTrans2D1" presStyleIdx="3" presStyleCnt="4"/>
      <dgm:spPr/>
    </dgm:pt>
    <dgm:pt modelId="{1268FF5B-B038-49FD-9687-C14E7FED10AE}" type="pres">
      <dgm:prSet presAssocID="{8B61F93A-392E-4E97-A656-E781794CF031}" presName="node" presStyleLbl="node1" presStyleIdx="4" presStyleCnt="5">
        <dgm:presLayoutVars>
          <dgm:bulletEnabled val="1"/>
        </dgm:presLayoutVars>
      </dgm:prSet>
      <dgm:spPr/>
    </dgm:pt>
  </dgm:ptLst>
  <dgm:cxnLst>
    <dgm:cxn modelId="{7F786D02-1202-40DD-A12A-E6B8B036BC97}" type="presOf" srcId="{A115F4D5-7B82-45B2-9869-C086D02EA916}" destId="{BD7AEFBD-87AA-4702-9175-9D6AD205F67F}" srcOrd="0" destOrd="0" presId="urn:microsoft.com/office/officeart/2005/8/layout/process1"/>
    <dgm:cxn modelId="{6A8D6919-60E9-4959-A166-658C988DD50C}" srcId="{0EBEDAC7-DE12-4543-B5E7-6C97E4DBE5ED}" destId="{AC78F3E6-3D6F-4BF2-A583-5CA4C5B3E6D7}" srcOrd="2" destOrd="0" parTransId="{243B21F6-E672-40BF-985B-97E1BE255619}" sibTransId="{A9F7EB8C-1D83-4171-9144-A04C6022E2D7}"/>
    <dgm:cxn modelId="{28EF2C30-9E39-4C97-808C-7CD2C388F559}" type="presOf" srcId="{C9A84AE0-9A9A-45ED-ACC7-FA542796F448}" destId="{89C4B076-C35F-4589-AB58-8248EED29C44}" srcOrd="0" destOrd="0" presId="urn:microsoft.com/office/officeart/2005/8/layout/process1"/>
    <dgm:cxn modelId="{F02A5040-5F6A-48D6-BF87-140771AEED71}" srcId="{0EBEDAC7-DE12-4543-B5E7-6C97E4DBE5ED}" destId="{C53FF19E-87E9-43FB-818E-421F9DD0C6EE}" srcOrd="1" destOrd="0" parTransId="{AC588488-C88A-40E0-9788-474CA6EB59F0}" sibTransId="{A115F4D5-7B82-45B2-9869-C086D02EA916}"/>
    <dgm:cxn modelId="{E8413F62-9EC9-40A3-BD5F-A962232BAE7A}" type="presOf" srcId="{C53FF19E-87E9-43FB-818E-421F9DD0C6EE}" destId="{BBE6446A-A2EC-409F-BAF7-02AFAEE14D02}" srcOrd="0" destOrd="0" presId="urn:microsoft.com/office/officeart/2005/8/layout/process1"/>
    <dgm:cxn modelId="{19522563-6A9C-4C7C-8D65-9BAE842FC784}" srcId="{0EBEDAC7-DE12-4543-B5E7-6C97E4DBE5ED}" destId="{0EEEA9AE-ADEE-44B8-B174-A3B4EDFD24BE}" srcOrd="0" destOrd="0" parTransId="{506DC325-26DD-4779-A4DB-B65239B3BD9A}" sibTransId="{C9A84AE0-9A9A-45ED-ACC7-FA542796F448}"/>
    <dgm:cxn modelId="{7C678949-93A1-4323-B0E1-A085295692A5}" type="presOf" srcId="{0EEEA9AE-ADEE-44B8-B174-A3B4EDFD24BE}" destId="{7F3CCC29-0130-448B-83C7-0BEA1646811B}" srcOrd="0" destOrd="0" presId="urn:microsoft.com/office/officeart/2005/8/layout/process1"/>
    <dgm:cxn modelId="{F7A9776B-37BE-4E74-86E1-0542EAC2159E}" type="presOf" srcId="{0EBEDAC7-DE12-4543-B5E7-6C97E4DBE5ED}" destId="{E5FFAD8B-1F17-4F16-9A99-80DEB065CF3F}" srcOrd="0" destOrd="0" presId="urn:microsoft.com/office/officeart/2005/8/layout/process1"/>
    <dgm:cxn modelId="{6647986D-7231-4E00-9F1C-856FE476B0E2}" type="presOf" srcId="{C9A84AE0-9A9A-45ED-ACC7-FA542796F448}" destId="{87C7ED8D-E82A-4045-9E3F-17F426A94B3E}" srcOrd="1" destOrd="0" presId="urn:microsoft.com/office/officeart/2005/8/layout/process1"/>
    <dgm:cxn modelId="{F6626652-598D-427A-A1CE-C193BEBBD4EC}" type="presOf" srcId="{2C42B51A-FA11-4F0C-8141-34709974213A}" destId="{49D6C15F-A2C0-4097-AE20-38D82F76B08C}" srcOrd="0" destOrd="0" presId="urn:microsoft.com/office/officeart/2005/8/layout/process1"/>
    <dgm:cxn modelId="{6D39AC52-E226-4A11-930A-BCDA7B5DC05E}" type="presOf" srcId="{0B251A89-0734-4C76-BF10-5670AC930ED0}" destId="{830A7502-4653-42EE-908C-2FBB5D9E1174}" srcOrd="1" destOrd="0" presId="urn:microsoft.com/office/officeart/2005/8/layout/process1"/>
    <dgm:cxn modelId="{96F7E8AF-4326-4E74-9A59-F1A1A07F094F}" srcId="{0EBEDAC7-DE12-4543-B5E7-6C97E4DBE5ED}" destId="{8B61F93A-392E-4E97-A656-E781794CF031}" srcOrd="4" destOrd="0" parTransId="{0FE462C6-AF12-4F92-AAD9-8A8E37C1EBFE}" sibTransId="{E9681B53-0650-4400-BA97-5A6CDDB76974}"/>
    <dgm:cxn modelId="{81FB95BE-30AF-4522-8C2E-3A03A3971FE8}" type="presOf" srcId="{0B251A89-0734-4C76-BF10-5670AC930ED0}" destId="{50591237-A0F1-46FB-BD99-D37CB38F2FA6}" srcOrd="0" destOrd="0" presId="urn:microsoft.com/office/officeart/2005/8/layout/process1"/>
    <dgm:cxn modelId="{22D55BC2-B832-4CC0-9768-EF2B8E979900}" srcId="{0EBEDAC7-DE12-4543-B5E7-6C97E4DBE5ED}" destId="{2C42B51A-FA11-4F0C-8141-34709974213A}" srcOrd="3" destOrd="0" parTransId="{611CA212-86CA-45F2-AC1E-BF63571BF859}" sibTransId="{0B251A89-0734-4C76-BF10-5670AC930ED0}"/>
    <dgm:cxn modelId="{2F3394C5-C9E0-4734-9B9B-5B4566775DD1}" type="presOf" srcId="{A9F7EB8C-1D83-4171-9144-A04C6022E2D7}" destId="{6C37C2D6-A7A9-4ACB-A630-709CE4C04C59}" srcOrd="1" destOrd="0" presId="urn:microsoft.com/office/officeart/2005/8/layout/process1"/>
    <dgm:cxn modelId="{F13DD7EF-62C4-4955-B9ED-8920B86ECCC6}" type="presOf" srcId="{A9F7EB8C-1D83-4171-9144-A04C6022E2D7}" destId="{69FFAF8F-8C3B-475F-9ED2-12BA85875B4A}" srcOrd="0" destOrd="0" presId="urn:microsoft.com/office/officeart/2005/8/layout/process1"/>
    <dgm:cxn modelId="{B07E8DF0-E99D-4B08-BA26-5C4CD4279BC6}" type="presOf" srcId="{A115F4D5-7B82-45B2-9869-C086D02EA916}" destId="{FF7B7351-7630-4F1F-98F4-88FD25F687D9}" srcOrd="1" destOrd="0" presId="urn:microsoft.com/office/officeart/2005/8/layout/process1"/>
    <dgm:cxn modelId="{64A0F3F1-E536-41C5-8E26-F6745DB9820A}" type="presOf" srcId="{8B61F93A-392E-4E97-A656-E781794CF031}" destId="{1268FF5B-B038-49FD-9687-C14E7FED10AE}" srcOrd="0" destOrd="0" presId="urn:microsoft.com/office/officeart/2005/8/layout/process1"/>
    <dgm:cxn modelId="{8A7F8AF9-8036-4BB8-B385-BBE02C9B37E2}" type="presOf" srcId="{AC78F3E6-3D6F-4BF2-A583-5CA4C5B3E6D7}" destId="{0A1C6427-6537-4C76-88AE-211062EA5097}" srcOrd="0" destOrd="0" presId="urn:microsoft.com/office/officeart/2005/8/layout/process1"/>
    <dgm:cxn modelId="{DE735D59-292C-4BB4-B5C8-4F1E8C4651B9}" type="presParOf" srcId="{E5FFAD8B-1F17-4F16-9A99-80DEB065CF3F}" destId="{7F3CCC29-0130-448B-83C7-0BEA1646811B}" srcOrd="0" destOrd="0" presId="urn:microsoft.com/office/officeart/2005/8/layout/process1"/>
    <dgm:cxn modelId="{B31E9CE5-2D11-4526-971B-1FDEFA374D65}" type="presParOf" srcId="{E5FFAD8B-1F17-4F16-9A99-80DEB065CF3F}" destId="{89C4B076-C35F-4589-AB58-8248EED29C44}" srcOrd="1" destOrd="0" presId="urn:microsoft.com/office/officeart/2005/8/layout/process1"/>
    <dgm:cxn modelId="{B3DD1BF1-A1E7-4F77-8F40-3D1C3D9747B6}" type="presParOf" srcId="{89C4B076-C35F-4589-AB58-8248EED29C44}" destId="{87C7ED8D-E82A-4045-9E3F-17F426A94B3E}" srcOrd="0" destOrd="0" presId="urn:microsoft.com/office/officeart/2005/8/layout/process1"/>
    <dgm:cxn modelId="{B6AE562D-383C-4346-B75E-0C81ECE54C7F}" type="presParOf" srcId="{E5FFAD8B-1F17-4F16-9A99-80DEB065CF3F}" destId="{BBE6446A-A2EC-409F-BAF7-02AFAEE14D02}" srcOrd="2" destOrd="0" presId="urn:microsoft.com/office/officeart/2005/8/layout/process1"/>
    <dgm:cxn modelId="{75A7A26B-EEA4-467A-8747-85A74A80A681}" type="presParOf" srcId="{E5FFAD8B-1F17-4F16-9A99-80DEB065CF3F}" destId="{BD7AEFBD-87AA-4702-9175-9D6AD205F67F}" srcOrd="3" destOrd="0" presId="urn:microsoft.com/office/officeart/2005/8/layout/process1"/>
    <dgm:cxn modelId="{98438D7D-AE66-4F69-AB75-E6DE44B5CA6F}" type="presParOf" srcId="{BD7AEFBD-87AA-4702-9175-9D6AD205F67F}" destId="{FF7B7351-7630-4F1F-98F4-88FD25F687D9}" srcOrd="0" destOrd="0" presId="urn:microsoft.com/office/officeart/2005/8/layout/process1"/>
    <dgm:cxn modelId="{6DFA9046-D88E-4318-B800-3CD12B42F930}" type="presParOf" srcId="{E5FFAD8B-1F17-4F16-9A99-80DEB065CF3F}" destId="{0A1C6427-6537-4C76-88AE-211062EA5097}" srcOrd="4" destOrd="0" presId="urn:microsoft.com/office/officeart/2005/8/layout/process1"/>
    <dgm:cxn modelId="{9EB34C91-EB9B-462A-9D6A-6C2DED3E08C5}" type="presParOf" srcId="{E5FFAD8B-1F17-4F16-9A99-80DEB065CF3F}" destId="{69FFAF8F-8C3B-475F-9ED2-12BA85875B4A}" srcOrd="5" destOrd="0" presId="urn:microsoft.com/office/officeart/2005/8/layout/process1"/>
    <dgm:cxn modelId="{D0053A08-2D16-4114-8C7E-8817B8FC6B56}" type="presParOf" srcId="{69FFAF8F-8C3B-475F-9ED2-12BA85875B4A}" destId="{6C37C2D6-A7A9-4ACB-A630-709CE4C04C59}" srcOrd="0" destOrd="0" presId="urn:microsoft.com/office/officeart/2005/8/layout/process1"/>
    <dgm:cxn modelId="{8997F4D7-2724-4CEB-A5D0-627542B5388C}" type="presParOf" srcId="{E5FFAD8B-1F17-4F16-9A99-80DEB065CF3F}" destId="{49D6C15F-A2C0-4097-AE20-38D82F76B08C}" srcOrd="6" destOrd="0" presId="urn:microsoft.com/office/officeart/2005/8/layout/process1"/>
    <dgm:cxn modelId="{20C55062-9FA9-44FA-B477-26F0FAD5FDDA}" type="presParOf" srcId="{E5FFAD8B-1F17-4F16-9A99-80DEB065CF3F}" destId="{50591237-A0F1-46FB-BD99-D37CB38F2FA6}" srcOrd="7" destOrd="0" presId="urn:microsoft.com/office/officeart/2005/8/layout/process1"/>
    <dgm:cxn modelId="{61F84287-A8DA-4BBD-A1EF-18CE7A5ABDAB}" type="presParOf" srcId="{50591237-A0F1-46FB-BD99-D37CB38F2FA6}" destId="{830A7502-4653-42EE-908C-2FBB5D9E1174}" srcOrd="0" destOrd="0" presId="urn:microsoft.com/office/officeart/2005/8/layout/process1"/>
    <dgm:cxn modelId="{E0A479F7-8937-4D9A-A549-47B2E3DA3D36}" type="presParOf" srcId="{E5FFAD8B-1F17-4F16-9A99-80DEB065CF3F}" destId="{1268FF5B-B038-49FD-9687-C14E7FED10AE}" srcOrd="8"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EBEDAC7-DE12-4543-B5E7-6C97E4DBE5ED}" type="doc">
      <dgm:prSet loTypeId="urn:microsoft.com/office/officeart/2005/8/layout/process1" loCatId="process" qsTypeId="urn:microsoft.com/office/officeart/2005/8/quickstyle/simple1" qsCatId="simple" csTypeId="urn:microsoft.com/office/officeart/2005/8/colors/accent1_2" csCatId="accent1" phldr="1"/>
      <dgm:spPr/>
    </dgm:pt>
    <dgm:pt modelId="{0EEEA9AE-ADEE-44B8-B174-A3B4EDFD24BE}">
      <dgm:prSet phldrT="[Text]" custT="1"/>
      <dgm:spPr>
        <a:xfrm>
          <a:off x="2798"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1. Deciding on a career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506DC325-26DD-4779-A4DB-B65239B3BD9A}" type="parTrans" cxnId="{19522563-6A9C-4C7C-8D65-9BAE842FC784}">
      <dgm:prSet/>
      <dgm:spPr/>
      <dgm:t>
        <a:bodyPr/>
        <a:lstStyle/>
        <a:p>
          <a:endParaRPr lang="en-GB" sz="1200" b="1">
            <a:latin typeface="Arial" panose="020B0604020202020204" pitchFamily="34" charset="0"/>
            <a:cs typeface="Arial" panose="020B0604020202020204" pitchFamily="34" charset="0"/>
          </a:endParaRPr>
        </a:p>
      </dgm:t>
    </dgm:pt>
    <dgm:pt modelId="{C9A84AE0-9A9A-45ED-ACC7-FA542796F448}" type="sibTrans" cxnId="{19522563-6A9C-4C7C-8D65-9BAE842FC784}">
      <dgm:prSet custT="1"/>
      <dgm: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53FF19E-87E9-43FB-818E-421F9DD0C6EE}">
      <dgm:prSet phldrT="[Text]" custT="1"/>
      <dgm:spPr>
        <a:xfrm>
          <a:off x="1217386" y="388620"/>
          <a:ext cx="867562" cy="7645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2. Seeking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588488-C88A-40E0-9788-474CA6EB59F0}" type="parTrans" cxnId="{F02A5040-5F6A-48D6-BF87-140771AEED71}">
      <dgm:prSet/>
      <dgm:spPr/>
      <dgm:t>
        <a:bodyPr/>
        <a:lstStyle/>
        <a:p>
          <a:endParaRPr lang="en-GB" sz="1200" b="1">
            <a:latin typeface="Arial" panose="020B0604020202020204" pitchFamily="34" charset="0"/>
            <a:cs typeface="Arial" panose="020B0604020202020204" pitchFamily="34" charset="0"/>
          </a:endParaRPr>
        </a:p>
      </dgm:t>
    </dgm:pt>
    <dgm:pt modelId="{A115F4D5-7B82-45B2-9869-C086D02EA916}" type="sibTrans" cxnId="{F02A5040-5F6A-48D6-BF87-140771AEED71}">
      <dgm:prSet custT="1"/>
      <dgm: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78F3E6-3D6F-4BF2-A583-5CA4C5B3E6D7}">
      <dgm:prSet phldrT="[Text]" custT="1"/>
      <dgm:spPr>
        <a:xfrm>
          <a:off x="2431973"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3. Effective training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43B21F6-E672-40BF-985B-97E1BE255619}" type="parTrans" cxnId="{6A8D6919-60E9-4959-A166-658C988DD50C}">
      <dgm:prSet/>
      <dgm:spPr/>
      <dgm:t>
        <a:bodyPr/>
        <a:lstStyle/>
        <a:p>
          <a:endParaRPr lang="en-GB" sz="1200" b="1">
            <a:latin typeface="Arial" panose="020B0604020202020204" pitchFamily="34" charset="0"/>
            <a:cs typeface="Arial" panose="020B0604020202020204" pitchFamily="34" charset="0"/>
          </a:endParaRPr>
        </a:p>
      </dgm:t>
    </dgm:pt>
    <dgm:pt modelId="{A9F7EB8C-1D83-4171-9144-A04C6022E2D7}" type="sibTrans" cxnId="{6A8D6919-60E9-4959-A166-658C988DD50C}">
      <dgm:prSet custT="1"/>
      <dgm: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B61F93A-392E-4E97-A656-E781794CF031}">
      <dgm:prSet custT="1"/>
      <dgm:spPr>
        <a:xfrm>
          <a:off x="4861148" y="388620"/>
          <a:ext cx="867562" cy="7645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5. Remaining with employer</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FE462C6-AF12-4F92-AAD9-8A8E37C1EBFE}" type="par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E9681B53-0650-4400-BA97-5A6CDDB76974}" type="sibTrans" cxnId="{96F7E8AF-4326-4E74-9A59-F1A1A07F094F}">
      <dgm:prSet/>
      <dgm:spPr/>
      <dgm:t>
        <a:bodyPr/>
        <a:lstStyle/>
        <a:p>
          <a:endParaRPr lang="en-GB" sz="1200" b="1">
            <a:latin typeface="Arial" panose="020B0604020202020204" pitchFamily="34" charset="0"/>
            <a:cs typeface="Arial" panose="020B0604020202020204" pitchFamily="34" charset="0"/>
          </a:endParaRPr>
        </a:p>
      </dgm:t>
    </dgm:pt>
    <dgm:pt modelId="{2C42B51A-FA11-4F0C-8141-34709974213A}">
      <dgm:prSet custT="1"/>
      <dgm:spPr>
        <a:xfrm>
          <a:off x="3646561" y="388620"/>
          <a:ext cx="867562" cy="7645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gm:spPr>
      <dgm:t>
        <a:bodyPr/>
        <a:lstStyle/>
        <a:p>
          <a:pPr>
            <a:buNone/>
          </a:pPr>
          <a:r>
            <a:rPr lang="en-GB" sz="1100" b="1">
              <a:solidFill>
                <a:srgbClr val="FFFFFF"/>
              </a:solidFill>
              <a:latin typeface="Arial" panose="020B0604020202020204" pitchFamily="34" charset="0"/>
              <a:ea typeface="+mn-ea"/>
              <a:cs typeface="Arial" panose="020B0604020202020204" pitchFamily="34" charset="0"/>
            </a:rPr>
            <a:t>4. Seeking a job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251A89-0734-4C76-BF10-5670AC930ED0}" type="sibTrans" cxnId="{22D55BC2-B832-4CC0-9768-EF2B8E979900}">
      <dgm:prSet custT="1"/>
      <dgm: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gm:spPr>
      <dgm:t>
        <a:bodyPr/>
        <a:lstStyle/>
        <a:p>
          <a:pPr>
            <a:buNone/>
          </a:pPr>
          <a:endParaRPr lang="en-GB" sz="1200" b="1">
            <a:solidFill>
              <a:srgbClr val="FFFFFF"/>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11CA212-86CA-45F2-AC1E-BF63571BF859}" type="parTrans" cxnId="{22D55BC2-B832-4CC0-9768-EF2B8E979900}">
      <dgm:prSet/>
      <dgm:spPr/>
      <dgm:t>
        <a:bodyPr/>
        <a:lstStyle/>
        <a:p>
          <a:endParaRPr lang="en-GB" sz="1200" b="1">
            <a:latin typeface="Arial" panose="020B0604020202020204" pitchFamily="34" charset="0"/>
            <a:cs typeface="Arial" panose="020B0604020202020204" pitchFamily="34" charset="0"/>
          </a:endParaRPr>
        </a:p>
      </dgm:t>
    </dgm:pt>
    <dgm:pt modelId="{E5FFAD8B-1F17-4F16-9A99-80DEB065CF3F}" type="pres">
      <dgm:prSet presAssocID="{0EBEDAC7-DE12-4543-B5E7-6C97E4DBE5ED}" presName="Name0" presStyleCnt="0">
        <dgm:presLayoutVars>
          <dgm:dir/>
          <dgm:resizeHandles val="exact"/>
        </dgm:presLayoutVars>
      </dgm:prSet>
      <dgm:spPr/>
    </dgm:pt>
    <dgm:pt modelId="{7F3CCC29-0130-448B-83C7-0BEA1646811B}" type="pres">
      <dgm:prSet presAssocID="{0EEEA9AE-ADEE-44B8-B174-A3B4EDFD24BE}" presName="node" presStyleLbl="node1" presStyleIdx="0" presStyleCnt="5">
        <dgm:presLayoutVars>
          <dgm:bulletEnabled val="1"/>
        </dgm:presLayoutVars>
      </dgm:prSet>
      <dgm:spPr/>
    </dgm:pt>
    <dgm:pt modelId="{89C4B076-C35F-4589-AB58-8248EED29C44}" type="pres">
      <dgm:prSet presAssocID="{C9A84AE0-9A9A-45ED-ACC7-FA542796F448}" presName="sibTrans" presStyleLbl="sibTrans2D1" presStyleIdx="0" presStyleCnt="4"/>
      <dgm:spPr/>
    </dgm:pt>
    <dgm:pt modelId="{87C7ED8D-E82A-4045-9E3F-17F426A94B3E}" type="pres">
      <dgm:prSet presAssocID="{C9A84AE0-9A9A-45ED-ACC7-FA542796F448}" presName="connectorText" presStyleLbl="sibTrans2D1" presStyleIdx="0" presStyleCnt="4"/>
      <dgm:spPr/>
    </dgm:pt>
    <dgm:pt modelId="{BBE6446A-A2EC-409F-BAF7-02AFAEE14D02}" type="pres">
      <dgm:prSet presAssocID="{C53FF19E-87E9-43FB-818E-421F9DD0C6EE}" presName="node" presStyleLbl="node1" presStyleIdx="1" presStyleCnt="5">
        <dgm:presLayoutVars>
          <dgm:bulletEnabled val="1"/>
        </dgm:presLayoutVars>
      </dgm:prSet>
      <dgm:spPr/>
    </dgm:pt>
    <dgm:pt modelId="{BD7AEFBD-87AA-4702-9175-9D6AD205F67F}" type="pres">
      <dgm:prSet presAssocID="{A115F4D5-7B82-45B2-9869-C086D02EA916}" presName="sibTrans" presStyleLbl="sibTrans2D1" presStyleIdx="1" presStyleCnt="4"/>
      <dgm:spPr/>
    </dgm:pt>
    <dgm:pt modelId="{FF7B7351-7630-4F1F-98F4-88FD25F687D9}" type="pres">
      <dgm:prSet presAssocID="{A115F4D5-7B82-45B2-9869-C086D02EA916}" presName="connectorText" presStyleLbl="sibTrans2D1" presStyleIdx="1" presStyleCnt="4"/>
      <dgm:spPr/>
    </dgm:pt>
    <dgm:pt modelId="{0A1C6427-6537-4C76-88AE-211062EA5097}" type="pres">
      <dgm:prSet presAssocID="{AC78F3E6-3D6F-4BF2-A583-5CA4C5B3E6D7}" presName="node" presStyleLbl="node1" presStyleIdx="2" presStyleCnt="5">
        <dgm:presLayoutVars>
          <dgm:bulletEnabled val="1"/>
        </dgm:presLayoutVars>
      </dgm:prSet>
      <dgm:spPr/>
    </dgm:pt>
    <dgm:pt modelId="{69FFAF8F-8C3B-475F-9ED2-12BA85875B4A}" type="pres">
      <dgm:prSet presAssocID="{A9F7EB8C-1D83-4171-9144-A04C6022E2D7}" presName="sibTrans" presStyleLbl="sibTrans2D1" presStyleIdx="2" presStyleCnt="4"/>
      <dgm:spPr/>
    </dgm:pt>
    <dgm:pt modelId="{6C37C2D6-A7A9-4ACB-A630-709CE4C04C59}" type="pres">
      <dgm:prSet presAssocID="{A9F7EB8C-1D83-4171-9144-A04C6022E2D7}" presName="connectorText" presStyleLbl="sibTrans2D1" presStyleIdx="2" presStyleCnt="4"/>
      <dgm:spPr/>
    </dgm:pt>
    <dgm:pt modelId="{49D6C15F-A2C0-4097-AE20-38D82F76B08C}" type="pres">
      <dgm:prSet presAssocID="{2C42B51A-FA11-4F0C-8141-34709974213A}" presName="node" presStyleLbl="node1" presStyleIdx="3" presStyleCnt="5">
        <dgm:presLayoutVars>
          <dgm:bulletEnabled val="1"/>
        </dgm:presLayoutVars>
      </dgm:prSet>
      <dgm:spPr/>
    </dgm:pt>
    <dgm:pt modelId="{50591237-A0F1-46FB-BD99-D37CB38F2FA6}" type="pres">
      <dgm:prSet presAssocID="{0B251A89-0734-4C76-BF10-5670AC930ED0}" presName="sibTrans" presStyleLbl="sibTrans2D1" presStyleIdx="3" presStyleCnt="4"/>
      <dgm:spPr/>
    </dgm:pt>
    <dgm:pt modelId="{830A7502-4653-42EE-908C-2FBB5D9E1174}" type="pres">
      <dgm:prSet presAssocID="{0B251A89-0734-4C76-BF10-5670AC930ED0}" presName="connectorText" presStyleLbl="sibTrans2D1" presStyleIdx="3" presStyleCnt="4"/>
      <dgm:spPr/>
    </dgm:pt>
    <dgm:pt modelId="{1268FF5B-B038-49FD-9687-C14E7FED10AE}" type="pres">
      <dgm:prSet presAssocID="{8B61F93A-392E-4E97-A656-E781794CF031}" presName="node" presStyleLbl="node1" presStyleIdx="4" presStyleCnt="5">
        <dgm:presLayoutVars>
          <dgm:bulletEnabled val="1"/>
        </dgm:presLayoutVars>
      </dgm:prSet>
      <dgm:spPr/>
    </dgm:pt>
  </dgm:ptLst>
  <dgm:cxnLst>
    <dgm:cxn modelId="{7F786D02-1202-40DD-A12A-E6B8B036BC97}" type="presOf" srcId="{A115F4D5-7B82-45B2-9869-C086D02EA916}" destId="{BD7AEFBD-87AA-4702-9175-9D6AD205F67F}" srcOrd="0" destOrd="0" presId="urn:microsoft.com/office/officeart/2005/8/layout/process1"/>
    <dgm:cxn modelId="{6A8D6919-60E9-4959-A166-658C988DD50C}" srcId="{0EBEDAC7-DE12-4543-B5E7-6C97E4DBE5ED}" destId="{AC78F3E6-3D6F-4BF2-A583-5CA4C5B3E6D7}" srcOrd="2" destOrd="0" parTransId="{243B21F6-E672-40BF-985B-97E1BE255619}" sibTransId="{A9F7EB8C-1D83-4171-9144-A04C6022E2D7}"/>
    <dgm:cxn modelId="{28EF2C30-9E39-4C97-808C-7CD2C388F559}" type="presOf" srcId="{C9A84AE0-9A9A-45ED-ACC7-FA542796F448}" destId="{89C4B076-C35F-4589-AB58-8248EED29C44}" srcOrd="0" destOrd="0" presId="urn:microsoft.com/office/officeart/2005/8/layout/process1"/>
    <dgm:cxn modelId="{F02A5040-5F6A-48D6-BF87-140771AEED71}" srcId="{0EBEDAC7-DE12-4543-B5E7-6C97E4DBE5ED}" destId="{C53FF19E-87E9-43FB-818E-421F9DD0C6EE}" srcOrd="1" destOrd="0" parTransId="{AC588488-C88A-40E0-9788-474CA6EB59F0}" sibTransId="{A115F4D5-7B82-45B2-9869-C086D02EA916}"/>
    <dgm:cxn modelId="{E8413F62-9EC9-40A3-BD5F-A962232BAE7A}" type="presOf" srcId="{C53FF19E-87E9-43FB-818E-421F9DD0C6EE}" destId="{BBE6446A-A2EC-409F-BAF7-02AFAEE14D02}" srcOrd="0" destOrd="0" presId="urn:microsoft.com/office/officeart/2005/8/layout/process1"/>
    <dgm:cxn modelId="{19522563-6A9C-4C7C-8D65-9BAE842FC784}" srcId="{0EBEDAC7-DE12-4543-B5E7-6C97E4DBE5ED}" destId="{0EEEA9AE-ADEE-44B8-B174-A3B4EDFD24BE}" srcOrd="0" destOrd="0" parTransId="{506DC325-26DD-4779-A4DB-B65239B3BD9A}" sibTransId="{C9A84AE0-9A9A-45ED-ACC7-FA542796F448}"/>
    <dgm:cxn modelId="{7C678949-93A1-4323-B0E1-A085295692A5}" type="presOf" srcId="{0EEEA9AE-ADEE-44B8-B174-A3B4EDFD24BE}" destId="{7F3CCC29-0130-448B-83C7-0BEA1646811B}" srcOrd="0" destOrd="0" presId="urn:microsoft.com/office/officeart/2005/8/layout/process1"/>
    <dgm:cxn modelId="{F7A9776B-37BE-4E74-86E1-0542EAC2159E}" type="presOf" srcId="{0EBEDAC7-DE12-4543-B5E7-6C97E4DBE5ED}" destId="{E5FFAD8B-1F17-4F16-9A99-80DEB065CF3F}" srcOrd="0" destOrd="0" presId="urn:microsoft.com/office/officeart/2005/8/layout/process1"/>
    <dgm:cxn modelId="{6647986D-7231-4E00-9F1C-856FE476B0E2}" type="presOf" srcId="{C9A84AE0-9A9A-45ED-ACC7-FA542796F448}" destId="{87C7ED8D-E82A-4045-9E3F-17F426A94B3E}" srcOrd="1" destOrd="0" presId="urn:microsoft.com/office/officeart/2005/8/layout/process1"/>
    <dgm:cxn modelId="{F6626652-598D-427A-A1CE-C193BEBBD4EC}" type="presOf" srcId="{2C42B51A-FA11-4F0C-8141-34709974213A}" destId="{49D6C15F-A2C0-4097-AE20-38D82F76B08C}" srcOrd="0" destOrd="0" presId="urn:microsoft.com/office/officeart/2005/8/layout/process1"/>
    <dgm:cxn modelId="{6D39AC52-E226-4A11-930A-BCDA7B5DC05E}" type="presOf" srcId="{0B251A89-0734-4C76-BF10-5670AC930ED0}" destId="{830A7502-4653-42EE-908C-2FBB5D9E1174}" srcOrd="1" destOrd="0" presId="urn:microsoft.com/office/officeart/2005/8/layout/process1"/>
    <dgm:cxn modelId="{96F7E8AF-4326-4E74-9A59-F1A1A07F094F}" srcId="{0EBEDAC7-DE12-4543-B5E7-6C97E4DBE5ED}" destId="{8B61F93A-392E-4E97-A656-E781794CF031}" srcOrd="4" destOrd="0" parTransId="{0FE462C6-AF12-4F92-AAD9-8A8E37C1EBFE}" sibTransId="{E9681B53-0650-4400-BA97-5A6CDDB76974}"/>
    <dgm:cxn modelId="{81FB95BE-30AF-4522-8C2E-3A03A3971FE8}" type="presOf" srcId="{0B251A89-0734-4C76-BF10-5670AC930ED0}" destId="{50591237-A0F1-46FB-BD99-D37CB38F2FA6}" srcOrd="0" destOrd="0" presId="urn:microsoft.com/office/officeart/2005/8/layout/process1"/>
    <dgm:cxn modelId="{22D55BC2-B832-4CC0-9768-EF2B8E979900}" srcId="{0EBEDAC7-DE12-4543-B5E7-6C97E4DBE5ED}" destId="{2C42B51A-FA11-4F0C-8141-34709974213A}" srcOrd="3" destOrd="0" parTransId="{611CA212-86CA-45F2-AC1E-BF63571BF859}" sibTransId="{0B251A89-0734-4C76-BF10-5670AC930ED0}"/>
    <dgm:cxn modelId="{2F3394C5-C9E0-4734-9B9B-5B4566775DD1}" type="presOf" srcId="{A9F7EB8C-1D83-4171-9144-A04C6022E2D7}" destId="{6C37C2D6-A7A9-4ACB-A630-709CE4C04C59}" srcOrd="1" destOrd="0" presId="urn:microsoft.com/office/officeart/2005/8/layout/process1"/>
    <dgm:cxn modelId="{F13DD7EF-62C4-4955-B9ED-8920B86ECCC6}" type="presOf" srcId="{A9F7EB8C-1D83-4171-9144-A04C6022E2D7}" destId="{69FFAF8F-8C3B-475F-9ED2-12BA85875B4A}" srcOrd="0" destOrd="0" presId="urn:microsoft.com/office/officeart/2005/8/layout/process1"/>
    <dgm:cxn modelId="{B07E8DF0-E99D-4B08-BA26-5C4CD4279BC6}" type="presOf" srcId="{A115F4D5-7B82-45B2-9869-C086D02EA916}" destId="{FF7B7351-7630-4F1F-98F4-88FD25F687D9}" srcOrd="1" destOrd="0" presId="urn:microsoft.com/office/officeart/2005/8/layout/process1"/>
    <dgm:cxn modelId="{64A0F3F1-E536-41C5-8E26-F6745DB9820A}" type="presOf" srcId="{8B61F93A-392E-4E97-A656-E781794CF031}" destId="{1268FF5B-B038-49FD-9687-C14E7FED10AE}" srcOrd="0" destOrd="0" presId="urn:microsoft.com/office/officeart/2005/8/layout/process1"/>
    <dgm:cxn modelId="{8A7F8AF9-8036-4BB8-B385-BBE02C9B37E2}" type="presOf" srcId="{AC78F3E6-3D6F-4BF2-A583-5CA4C5B3E6D7}" destId="{0A1C6427-6537-4C76-88AE-211062EA5097}" srcOrd="0" destOrd="0" presId="urn:microsoft.com/office/officeart/2005/8/layout/process1"/>
    <dgm:cxn modelId="{DE735D59-292C-4BB4-B5C8-4F1E8C4651B9}" type="presParOf" srcId="{E5FFAD8B-1F17-4F16-9A99-80DEB065CF3F}" destId="{7F3CCC29-0130-448B-83C7-0BEA1646811B}" srcOrd="0" destOrd="0" presId="urn:microsoft.com/office/officeart/2005/8/layout/process1"/>
    <dgm:cxn modelId="{B31E9CE5-2D11-4526-971B-1FDEFA374D65}" type="presParOf" srcId="{E5FFAD8B-1F17-4F16-9A99-80DEB065CF3F}" destId="{89C4B076-C35F-4589-AB58-8248EED29C44}" srcOrd="1" destOrd="0" presId="urn:microsoft.com/office/officeart/2005/8/layout/process1"/>
    <dgm:cxn modelId="{B3DD1BF1-A1E7-4F77-8F40-3D1C3D9747B6}" type="presParOf" srcId="{89C4B076-C35F-4589-AB58-8248EED29C44}" destId="{87C7ED8D-E82A-4045-9E3F-17F426A94B3E}" srcOrd="0" destOrd="0" presId="urn:microsoft.com/office/officeart/2005/8/layout/process1"/>
    <dgm:cxn modelId="{B6AE562D-383C-4346-B75E-0C81ECE54C7F}" type="presParOf" srcId="{E5FFAD8B-1F17-4F16-9A99-80DEB065CF3F}" destId="{BBE6446A-A2EC-409F-BAF7-02AFAEE14D02}" srcOrd="2" destOrd="0" presId="urn:microsoft.com/office/officeart/2005/8/layout/process1"/>
    <dgm:cxn modelId="{75A7A26B-EEA4-467A-8747-85A74A80A681}" type="presParOf" srcId="{E5FFAD8B-1F17-4F16-9A99-80DEB065CF3F}" destId="{BD7AEFBD-87AA-4702-9175-9D6AD205F67F}" srcOrd="3" destOrd="0" presId="urn:microsoft.com/office/officeart/2005/8/layout/process1"/>
    <dgm:cxn modelId="{98438D7D-AE66-4F69-AB75-E6DE44B5CA6F}" type="presParOf" srcId="{BD7AEFBD-87AA-4702-9175-9D6AD205F67F}" destId="{FF7B7351-7630-4F1F-98F4-88FD25F687D9}" srcOrd="0" destOrd="0" presId="urn:microsoft.com/office/officeart/2005/8/layout/process1"/>
    <dgm:cxn modelId="{6DFA9046-D88E-4318-B800-3CD12B42F930}" type="presParOf" srcId="{E5FFAD8B-1F17-4F16-9A99-80DEB065CF3F}" destId="{0A1C6427-6537-4C76-88AE-211062EA5097}" srcOrd="4" destOrd="0" presId="urn:microsoft.com/office/officeart/2005/8/layout/process1"/>
    <dgm:cxn modelId="{9EB34C91-EB9B-462A-9D6A-6C2DED3E08C5}" type="presParOf" srcId="{E5FFAD8B-1F17-4F16-9A99-80DEB065CF3F}" destId="{69FFAF8F-8C3B-475F-9ED2-12BA85875B4A}" srcOrd="5" destOrd="0" presId="urn:microsoft.com/office/officeart/2005/8/layout/process1"/>
    <dgm:cxn modelId="{D0053A08-2D16-4114-8C7E-8817B8FC6B56}" type="presParOf" srcId="{69FFAF8F-8C3B-475F-9ED2-12BA85875B4A}" destId="{6C37C2D6-A7A9-4ACB-A630-709CE4C04C59}" srcOrd="0" destOrd="0" presId="urn:microsoft.com/office/officeart/2005/8/layout/process1"/>
    <dgm:cxn modelId="{8997F4D7-2724-4CEB-A5D0-627542B5388C}" type="presParOf" srcId="{E5FFAD8B-1F17-4F16-9A99-80DEB065CF3F}" destId="{49D6C15F-A2C0-4097-AE20-38D82F76B08C}" srcOrd="6" destOrd="0" presId="urn:microsoft.com/office/officeart/2005/8/layout/process1"/>
    <dgm:cxn modelId="{20C55062-9FA9-44FA-B477-26F0FAD5FDDA}" type="presParOf" srcId="{E5FFAD8B-1F17-4F16-9A99-80DEB065CF3F}" destId="{50591237-A0F1-46FB-BD99-D37CB38F2FA6}" srcOrd="7" destOrd="0" presId="urn:microsoft.com/office/officeart/2005/8/layout/process1"/>
    <dgm:cxn modelId="{61F84287-A8DA-4BBD-A1EF-18CE7A5ABDAB}" type="presParOf" srcId="{50591237-A0F1-46FB-BD99-D37CB38F2FA6}" destId="{830A7502-4653-42EE-908C-2FBB5D9E1174}" srcOrd="0" destOrd="0" presId="urn:microsoft.com/office/officeart/2005/8/layout/process1"/>
    <dgm:cxn modelId="{E0A479F7-8937-4D9A-A549-47B2E3DA3D36}" type="presParOf" srcId="{E5FFAD8B-1F17-4F16-9A99-80DEB065CF3F}" destId="{1268FF5B-B038-49FD-9687-C14E7FED10AE}" srcOrd="8"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A741-E037-4B2E-8714-F230413105A9}">
      <dsp:nvSpPr>
        <dsp:cNvPr id="0" name=""/>
        <dsp:cNvSpPr/>
      </dsp:nvSpPr>
      <dsp:spPr>
        <a:xfrm>
          <a:off x="425036" y="0"/>
          <a:ext cx="4817080" cy="1651000"/>
        </a:xfrm>
        <a:prstGeom prst="rightArrow">
          <a:avLst/>
        </a:prstGeom>
        <a:solidFill>
          <a:srgbClr val="2C5060">
            <a:tint val="40000"/>
            <a:hueOff val="0"/>
            <a:satOff val="0"/>
            <a:lumOff val="0"/>
            <a:alphaOff val="0"/>
          </a:srgbClr>
        </a:solidFill>
        <a:ln>
          <a:solidFill>
            <a:schemeClr val="tx1"/>
          </a:solidFill>
        </a:ln>
        <a:effectLst/>
      </dsp:spPr>
      <dsp:style>
        <a:lnRef idx="0">
          <a:scrgbClr r="0" g="0" b="0"/>
        </a:lnRef>
        <a:fillRef idx="1">
          <a:scrgbClr r="0" g="0" b="0"/>
        </a:fillRef>
        <a:effectRef idx="0">
          <a:scrgbClr r="0" g="0" b="0"/>
        </a:effectRef>
        <a:fontRef idx="minor"/>
      </dsp:style>
    </dsp:sp>
    <dsp:sp modelId="{01575448-C833-4614-ADF0-934FEC828430}">
      <dsp:nvSpPr>
        <dsp:cNvPr id="0" name=""/>
        <dsp:cNvSpPr/>
      </dsp:nvSpPr>
      <dsp:spPr>
        <a:xfrm>
          <a:off x="0" y="495300"/>
          <a:ext cx="1700145"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panose="020B0604020202020204" pitchFamily="34" charset="0"/>
              <a:ea typeface="+mn-ea"/>
              <a:cs typeface="Arial" panose="020B0604020202020204" pitchFamily="34" charset="0"/>
            </a:rPr>
            <a:t>Operational Firefighter L3</a:t>
          </a:r>
        </a:p>
      </dsp:txBody>
      <dsp:txXfrm>
        <a:off x="32238" y="527538"/>
        <a:ext cx="1635669" cy="595924"/>
      </dsp:txXfrm>
    </dsp:sp>
    <dsp:sp modelId="{DA7E106C-D511-4692-9809-A8B8D4B2EA37}">
      <dsp:nvSpPr>
        <dsp:cNvPr id="0" name=""/>
        <dsp:cNvSpPr/>
      </dsp:nvSpPr>
      <dsp:spPr>
        <a:xfrm>
          <a:off x="1983503" y="495300"/>
          <a:ext cx="1700145"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panose="020B0604020202020204" pitchFamily="34" charset="0"/>
              <a:ea typeface="+mn-ea"/>
              <a:cs typeface="Arial" panose="020B0604020202020204" pitchFamily="34" charset="0"/>
            </a:rPr>
            <a:t>Fire Safety Inspector L4</a:t>
          </a:r>
        </a:p>
      </dsp:txBody>
      <dsp:txXfrm>
        <a:off x="2015741" y="527538"/>
        <a:ext cx="1635669" cy="595924"/>
      </dsp:txXfrm>
    </dsp:sp>
    <dsp:sp modelId="{B8117921-6E9B-486F-9F7A-D9C97F3257ED}">
      <dsp:nvSpPr>
        <dsp:cNvPr id="0" name=""/>
        <dsp:cNvSpPr/>
      </dsp:nvSpPr>
      <dsp:spPr>
        <a:xfrm>
          <a:off x="3967007" y="495300"/>
          <a:ext cx="1700145" cy="66040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0" kern="1200">
              <a:solidFill>
                <a:srgbClr val="FFFFFF"/>
              </a:solidFill>
              <a:latin typeface="Arial" panose="020B0604020202020204" pitchFamily="34" charset="0"/>
              <a:ea typeface="+mn-ea"/>
              <a:cs typeface="Arial" panose="020B0604020202020204" pitchFamily="34" charset="0"/>
            </a:rPr>
            <a:t>Fire Safety Engineer L6</a:t>
          </a:r>
        </a:p>
      </dsp:txBody>
      <dsp:txXfrm>
        <a:off x="3999245" y="527538"/>
        <a:ext cx="1635669" cy="595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A741-E037-4B2E-8714-F230413105A9}">
      <dsp:nvSpPr>
        <dsp:cNvPr id="0" name=""/>
        <dsp:cNvSpPr/>
      </dsp:nvSpPr>
      <dsp:spPr>
        <a:xfrm>
          <a:off x="436200" y="0"/>
          <a:ext cx="4943607" cy="1752600"/>
        </a:xfrm>
        <a:prstGeom prst="rightArrow">
          <a:avLst/>
        </a:prstGeom>
        <a:solidFill>
          <a:srgbClr val="2C5060">
            <a:tint val="40000"/>
            <a:hueOff val="0"/>
            <a:satOff val="0"/>
            <a:lumOff val="0"/>
            <a:alphaOff val="0"/>
          </a:srgbClr>
        </a:solidFill>
        <a:ln>
          <a:solidFill>
            <a:schemeClr val="tx1"/>
          </a:solidFill>
        </a:ln>
        <a:effectLst/>
      </dsp:spPr>
      <dsp:style>
        <a:lnRef idx="0">
          <a:scrgbClr r="0" g="0" b="0"/>
        </a:lnRef>
        <a:fillRef idx="1">
          <a:scrgbClr r="0" g="0" b="0"/>
        </a:fillRef>
        <a:effectRef idx="0">
          <a:scrgbClr r="0" g="0" b="0"/>
        </a:effectRef>
        <a:fontRef idx="minor"/>
      </dsp:style>
    </dsp:sp>
    <dsp:sp modelId="{01575448-C833-4614-ADF0-934FEC828430}">
      <dsp:nvSpPr>
        <dsp:cNvPr id="0" name=""/>
        <dsp:cNvSpPr/>
      </dsp:nvSpPr>
      <dsp:spPr>
        <a:xfrm>
          <a:off x="1908" y="525779"/>
          <a:ext cx="1775526"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n>
                <a:noFill/>
              </a:ln>
              <a:solidFill>
                <a:srgbClr val="FFFFFF"/>
              </a:solidFill>
              <a:latin typeface="Arial" panose="020B0604020202020204" pitchFamily="34" charset="0"/>
              <a:ea typeface="+mn-ea"/>
              <a:cs typeface="Arial" panose="020B0604020202020204" pitchFamily="34" charset="0"/>
            </a:rPr>
            <a:t>Ambulance Support Worker (Emergency, Urgent and Non-Emergency) L3 </a:t>
          </a:r>
        </a:p>
      </dsp:txBody>
      <dsp:txXfrm>
        <a:off x="36130" y="560001"/>
        <a:ext cx="1707082" cy="632596"/>
      </dsp:txXfrm>
    </dsp:sp>
    <dsp:sp modelId="{DA7E106C-D511-4692-9809-A8B8D4B2EA37}">
      <dsp:nvSpPr>
        <dsp:cNvPr id="0" name=""/>
        <dsp:cNvSpPr/>
      </dsp:nvSpPr>
      <dsp:spPr>
        <a:xfrm>
          <a:off x="2020241" y="525779"/>
          <a:ext cx="1775526"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n>
                <a:noFill/>
              </a:ln>
              <a:solidFill>
                <a:srgbClr val="FFFFFF"/>
              </a:solidFill>
              <a:latin typeface="Arial" panose="020B0604020202020204" pitchFamily="34" charset="0"/>
              <a:ea typeface="+mn-ea"/>
              <a:cs typeface="Arial" panose="020B0604020202020204" pitchFamily="34" charset="0"/>
            </a:rPr>
            <a:t>Associate Ambulance Practitioner (L4)</a:t>
          </a:r>
        </a:p>
      </dsp:txBody>
      <dsp:txXfrm>
        <a:off x="2054463" y="560001"/>
        <a:ext cx="1707082" cy="632596"/>
      </dsp:txXfrm>
    </dsp:sp>
    <dsp:sp modelId="{B8117921-6E9B-486F-9F7A-D9C97F3257ED}">
      <dsp:nvSpPr>
        <dsp:cNvPr id="0" name=""/>
        <dsp:cNvSpPr/>
      </dsp:nvSpPr>
      <dsp:spPr>
        <a:xfrm>
          <a:off x="4038574" y="525779"/>
          <a:ext cx="1775526" cy="70104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0" kern="1200">
              <a:ln>
                <a:noFill/>
              </a:ln>
              <a:solidFill>
                <a:srgbClr val="FFFFFF"/>
              </a:solidFill>
              <a:latin typeface="Arial" panose="020B0604020202020204" pitchFamily="34" charset="0"/>
              <a:ea typeface="+mn-ea"/>
              <a:cs typeface="Arial" panose="020B0604020202020204" pitchFamily="34" charset="0"/>
            </a:rPr>
            <a:t>Paramedic (L6 Degree)</a:t>
          </a:r>
        </a:p>
      </dsp:txBody>
      <dsp:txXfrm>
        <a:off x="4072796" y="560001"/>
        <a:ext cx="1707082" cy="632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A741-E037-4B2E-8714-F230413105A9}">
      <dsp:nvSpPr>
        <dsp:cNvPr id="0" name=""/>
        <dsp:cNvSpPr/>
      </dsp:nvSpPr>
      <dsp:spPr>
        <a:xfrm>
          <a:off x="425833" y="0"/>
          <a:ext cx="4826118" cy="1822450"/>
        </a:xfrm>
        <a:prstGeom prst="rightArrow">
          <a:avLst/>
        </a:prstGeom>
        <a:solidFill>
          <a:srgbClr val="2C5060">
            <a:tint val="40000"/>
            <a:hueOff val="0"/>
            <a:satOff val="0"/>
            <a:lumOff val="0"/>
            <a:alphaOff val="0"/>
          </a:srgbClr>
        </a:solidFill>
        <a:ln>
          <a:solidFill>
            <a:schemeClr val="tx1"/>
          </a:solidFill>
        </a:ln>
        <a:effectLst/>
      </dsp:spPr>
      <dsp:style>
        <a:lnRef idx="0">
          <a:scrgbClr r="0" g="0" b="0"/>
        </a:lnRef>
        <a:fillRef idx="1">
          <a:scrgbClr r="0" g="0" b="0"/>
        </a:fillRef>
        <a:effectRef idx="0">
          <a:scrgbClr r="0" g="0" b="0"/>
        </a:effectRef>
        <a:fontRef idx="minor"/>
      </dsp:style>
    </dsp:sp>
    <dsp:sp modelId="{01575448-C833-4614-ADF0-934FEC828430}">
      <dsp:nvSpPr>
        <dsp:cNvPr id="0" name=""/>
        <dsp:cNvSpPr/>
      </dsp:nvSpPr>
      <dsp:spPr>
        <a:xfrm>
          <a:off x="0" y="546734"/>
          <a:ext cx="1703335"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panose="020B0604020202020204" pitchFamily="34" charset="0"/>
              <a:ea typeface="+mn-ea"/>
              <a:cs typeface="Arial" panose="020B0604020202020204" pitchFamily="34" charset="0"/>
            </a:rPr>
            <a:t>Custody and Detention Officer (L3</a:t>
          </a:r>
          <a:r>
            <a:rPr lang="en-GB" sz="1500" kern="1200">
              <a:solidFill>
                <a:srgbClr val="FFFFFF"/>
              </a:solidFill>
              <a:latin typeface="Arial" panose="020B0604020202020204" pitchFamily="34" charset="0"/>
              <a:ea typeface="+mn-ea"/>
              <a:cs typeface="Arial" panose="020B0604020202020204" pitchFamily="34" charset="0"/>
            </a:rPr>
            <a:t>) </a:t>
          </a:r>
        </a:p>
      </dsp:txBody>
      <dsp:txXfrm>
        <a:off x="35586" y="582320"/>
        <a:ext cx="1632163" cy="657808"/>
      </dsp:txXfrm>
    </dsp:sp>
    <dsp:sp modelId="{DA7E106C-D511-4692-9809-A8B8D4B2EA37}">
      <dsp:nvSpPr>
        <dsp:cNvPr id="0" name=""/>
        <dsp:cNvSpPr/>
      </dsp:nvSpPr>
      <dsp:spPr>
        <a:xfrm>
          <a:off x="1987225" y="546734"/>
          <a:ext cx="1703335"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panose="020B0604020202020204" pitchFamily="34" charset="0"/>
              <a:ea typeface="+mn-ea"/>
              <a:cs typeface="Arial" panose="020B0604020202020204" pitchFamily="34" charset="0"/>
            </a:rPr>
            <a:t>Police Community Support Officer (L4)</a:t>
          </a:r>
        </a:p>
      </dsp:txBody>
      <dsp:txXfrm>
        <a:off x="2022811" y="582320"/>
        <a:ext cx="1632163" cy="657808"/>
      </dsp:txXfrm>
    </dsp:sp>
    <dsp:sp modelId="{B8117921-6E9B-486F-9F7A-D9C97F3257ED}">
      <dsp:nvSpPr>
        <dsp:cNvPr id="0" name=""/>
        <dsp:cNvSpPr/>
      </dsp:nvSpPr>
      <dsp:spPr>
        <a:xfrm>
          <a:off x="3974450" y="546734"/>
          <a:ext cx="1703335" cy="728980"/>
        </a:xfrm>
        <a:prstGeom prst="roundRect">
          <a:avLst/>
        </a:prstGeom>
        <a:solidFill>
          <a:srgbClr val="2C5060">
            <a:hueOff val="0"/>
            <a:satOff val="0"/>
            <a:lumOff val="0"/>
            <a:alphaOff val="0"/>
          </a:srgb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0" kern="1200">
              <a:solidFill>
                <a:srgbClr val="FFFFFF"/>
              </a:solidFill>
              <a:latin typeface="Arial" panose="020B0604020202020204" pitchFamily="34" charset="0"/>
              <a:ea typeface="+mn-ea"/>
              <a:cs typeface="Arial" panose="020B0604020202020204" pitchFamily="34" charset="0"/>
            </a:rPr>
            <a:t>Police Constable (integrated degree) L6</a:t>
          </a:r>
        </a:p>
      </dsp:txBody>
      <dsp:txXfrm>
        <a:off x="4010036" y="582320"/>
        <a:ext cx="1632163" cy="6578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CCC29-0130-448B-83C7-0BEA1646811B}">
      <dsp:nvSpPr>
        <dsp:cNvPr id="0" name=""/>
        <dsp:cNvSpPr/>
      </dsp:nvSpPr>
      <dsp:spPr>
        <a:xfrm>
          <a:off x="2798" y="413020"/>
          <a:ext cx="867562" cy="7157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1. Deciding on a career</a:t>
          </a:r>
        </a:p>
      </dsp:txBody>
      <dsp:txXfrm>
        <a:off x="23761" y="433983"/>
        <a:ext cx="825636" cy="673813"/>
      </dsp:txXfrm>
    </dsp:sp>
    <dsp:sp modelId="{89C4B076-C35F-4589-AB58-8248EED29C44}">
      <dsp:nvSpPr>
        <dsp:cNvPr id="0" name=""/>
        <dsp:cNvSpPr/>
      </dsp:nvSpPr>
      <dsp: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957117" y="706343"/>
        <a:ext cx="128746" cy="129093"/>
      </dsp:txXfrm>
    </dsp:sp>
    <dsp:sp modelId="{BBE6446A-A2EC-409F-BAF7-02AFAEE14D02}">
      <dsp:nvSpPr>
        <dsp:cNvPr id="0" name=""/>
        <dsp:cNvSpPr/>
      </dsp:nvSpPr>
      <dsp:spPr>
        <a:xfrm>
          <a:off x="1217386"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2. Seeking training</a:t>
          </a:r>
        </a:p>
      </dsp:txBody>
      <dsp:txXfrm>
        <a:off x="1238349" y="433983"/>
        <a:ext cx="825636" cy="673813"/>
      </dsp:txXfrm>
    </dsp:sp>
    <dsp:sp modelId="{BD7AEFBD-87AA-4702-9175-9D6AD205F67F}">
      <dsp:nvSpPr>
        <dsp:cNvPr id="0" name=""/>
        <dsp:cNvSpPr/>
      </dsp:nvSpPr>
      <dsp: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2171704" y="706343"/>
        <a:ext cx="128746" cy="129093"/>
      </dsp:txXfrm>
    </dsp:sp>
    <dsp:sp modelId="{0A1C6427-6537-4C76-88AE-211062EA5097}">
      <dsp:nvSpPr>
        <dsp:cNvPr id="0" name=""/>
        <dsp:cNvSpPr/>
      </dsp:nvSpPr>
      <dsp:spPr>
        <a:xfrm>
          <a:off x="2431973"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3. Effective training</a:t>
          </a:r>
        </a:p>
      </dsp:txBody>
      <dsp:txXfrm>
        <a:off x="2452936" y="433983"/>
        <a:ext cx="825636" cy="673813"/>
      </dsp:txXfrm>
    </dsp:sp>
    <dsp:sp modelId="{69FFAF8F-8C3B-475F-9ED2-12BA85875B4A}">
      <dsp:nvSpPr>
        <dsp:cNvPr id="0" name=""/>
        <dsp:cNvSpPr/>
      </dsp:nvSpPr>
      <dsp: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3386292" y="706343"/>
        <a:ext cx="128746" cy="129093"/>
      </dsp:txXfrm>
    </dsp:sp>
    <dsp:sp modelId="{49D6C15F-A2C0-4097-AE20-38D82F76B08C}">
      <dsp:nvSpPr>
        <dsp:cNvPr id="0" name=""/>
        <dsp:cNvSpPr/>
      </dsp:nvSpPr>
      <dsp:spPr>
        <a:xfrm>
          <a:off x="3646561"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4. Seeking a job</a:t>
          </a:r>
        </a:p>
      </dsp:txBody>
      <dsp:txXfrm>
        <a:off x="3667524" y="433983"/>
        <a:ext cx="825636" cy="673813"/>
      </dsp:txXfrm>
    </dsp:sp>
    <dsp:sp modelId="{50591237-A0F1-46FB-BD99-D37CB38F2FA6}">
      <dsp:nvSpPr>
        <dsp:cNvPr id="0" name=""/>
        <dsp:cNvSpPr/>
      </dsp:nvSpPr>
      <dsp: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4600880" y="706343"/>
        <a:ext cx="128746" cy="129093"/>
      </dsp:txXfrm>
    </dsp:sp>
    <dsp:sp modelId="{1268FF5B-B038-49FD-9687-C14E7FED10AE}">
      <dsp:nvSpPr>
        <dsp:cNvPr id="0" name=""/>
        <dsp:cNvSpPr/>
      </dsp:nvSpPr>
      <dsp:spPr>
        <a:xfrm>
          <a:off x="4861148"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5. Remaining with employer</a:t>
          </a:r>
        </a:p>
      </dsp:txBody>
      <dsp:txXfrm>
        <a:off x="4882111" y="433983"/>
        <a:ext cx="825636" cy="6738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CCC29-0130-448B-83C7-0BEA1646811B}">
      <dsp:nvSpPr>
        <dsp:cNvPr id="0" name=""/>
        <dsp:cNvSpPr/>
      </dsp:nvSpPr>
      <dsp:spPr>
        <a:xfrm>
          <a:off x="2798"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1. Deciding on a career</a:t>
          </a:r>
        </a:p>
      </dsp:txBody>
      <dsp:txXfrm>
        <a:off x="23761" y="433983"/>
        <a:ext cx="825636" cy="673813"/>
      </dsp:txXfrm>
    </dsp:sp>
    <dsp:sp modelId="{89C4B076-C35F-4589-AB58-8248EED29C44}">
      <dsp:nvSpPr>
        <dsp:cNvPr id="0" name=""/>
        <dsp:cNvSpPr/>
      </dsp:nvSpPr>
      <dsp: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957117" y="706343"/>
        <a:ext cx="128746" cy="129093"/>
      </dsp:txXfrm>
    </dsp:sp>
    <dsp:sp modelId="{BBE6446A-A2EC-409F-BAF7-02AFAEE14D02}">
      <dsp:nvSpPr>
        <dsp:cNvPr id="0" name=""/>
        <dsp:cNvSpPr/>
      </dsp:nvSpPr>
      <dsp:spPr>
        <a:xfrm>
          <a:off x="1217386" y="413020"/>
          <a:ext cx="867562" cy="7157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2. Seeking training</a:t>
          </a:r>
        </a:p>
      </dsp:txBody>
      <dsp:txXfrm>
        <a:off x="1238349" y="433983"/>
        <a:ext cx="825636" cy="673813"/>
      </dsp:txXfrm>
    </dsp:sp>
    <dsp:sp modelId="{BD7AEFBD-87AA-4702-9175-9D6AD205F67F}">
      <dsp:nvSpPr>
        <dsp:cNvPr id="0" name=""/>
        <dsp:cNvSpPr/>
      </dsp:nvSpPr>
      <dsp: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2171704" y="706343"/>
        <a:ext cx="128746" cy="129093"/>
      </dsp:txXfrm>
    </dsp:sp>
    <dsp:sp modelId="{0A1C6427-6537-4C76-88AE-211062EA5097}">
      <dsp:nvSpPr>
        <dsp:cNvPr id="0" name=""/>
        <dsp:cNvSpPr/>
      </dsp:nvSpPr>
      <dsp:spPr>
        <a:xfrm>
          <a:off x="2431973"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3. Effective training</a:t>
          </a:r>
        </a:p>
      </dsp:txBody>
      <dsp:txXfrm>
        <a:off x="2452936" y="433983"/>
        <a:ext cx="825636" cy="673813"/>
      </dsp:txXfrm>
    </dsp:sp>
    <dsp:sp modelId="{69FFAF8F-8C3B-475F-9ED2-12BA85875B4A}">
      <dsp:nvSpPr>
        <dsp:cNvPr id="0" name=""/>
        <dsp:cNvSpPr/>
      </dsp:nvSpPr>
      <dsp: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3386292" y="706343"/>
        <a:ext cx="128746" cy="129093"/>
      </dsp:txXfrm>
    </dsp:sp>
    <dsp:sp modelId="{49D6C15F-A2C0-4097-AE20-38D82F76B08C}">
      <dsp:nvSpPr>
        <dsp:cNvPr id="0" name=""/>
        <dsp:cNvSpPr/>
      </dsp:nvSpPr>
      <dsp:spPr>
        <a:xfrm>
          <a:off x="3646561"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4. Seeking a job</a:t>
          </a:r>
        </a:p>
      </dsp:txBody>
      <dsp:txXfrm>
        <a:off x="3667524" y="433983"/>
        <a:ext cx="825636" cy="673813"/>
      </dsp:txXfrm>
    </dsp:sp>
    <dsp:sp modelId="{50591237-A0F1-46FB-BD99-D37CB38F2FA6}">
      <dsp:nvSpPr>
        <dsp:cNvPr id="0" name=""/>
        <dsp:cNvSpPr/>
      </dsp:nvSpPr>
      <dsp: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4600880" y="706343"/>
        <a:ext cx="128746" cy="129093"/>
      </dsp:txXfrm>
    </dsp:sp>
    <dsp:sp modelId="{1268FF5B-B038-49FD-9687-C14E7FED10AE}">
      <dsp:nvSpPr>
        <dsp:cNvPr id="0" name=""/>
        <dsp:cNvSpPr/>
      </dsp:nvSpPr>
      <dsp:spPr>
        <a:xfrm>
          <a:off x="4861148"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5. Remaining with employer</a:t>
          </a:r>
        </a:p>
      </dsp:txBody>
      <dsp:txXfrm>
        <a:off x="4882111" y="433983"/>
        <a:ext cx="825636" cy="6738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CCC29-0130-448B-83C7-0BEA1646811B}">
      <dsp:nvSpPr>
        <dsp:cNvPr id="0" name=""/>
        <dsp:cNvSpPr/>
      </dsp:nvSpPr>
      <dsp:spPr>
        <a:xfrm>
          <a:off x="2798"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1. Deciding on a career</a:t>
          </a:r>
        </a:p>
      </dsp:txBody>
      <dsp:txXfrm>
        <a:off x="23761" y="433983"/>
        <a:ext cx="825636" cy="673813"/>
      </dsp:txXfrm>
    </dsp:sp>
    <dsp:sp modelId="{89C4B076-C35F-4589-AB58-8248EED29C44}">
      <dsp:nvSpPr>
        <dsp:cNvPr id="0" name=""/>
        <dsp:cNvSpPr/>
      </dsp:nvSpPr>
      <dsp: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957117" y="706343"/>
        <a:ext cx="128746" cy="129093"/>
      </dsp:txXfrm>
    </dsp:sp>
    <dsp:sp modelId="{BBE6446A-A2EC-409F-BAF7-02AFAEE14D02}">
      <dsp:nvSpPr>
        <dsp:cNvPr id="0" name=""/>
        <dsp:cNvSpPr/>
      </dsp:nvSpPr>
      <dsp:spPr>
        <a:xfrm>
          <a:off x="1217386"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2. Seeking training</a:t>
          </a:r>
        </a:p>
      </dsp:txBody>
      <dsp:txXfrm>
        <a:off x="1238349" y="433983"/>
        <a:ext cx="825636" cy="673813"/>
      </dsp:txXfrm>
    </dsp:sp>
    <dsp:sp modelId="{BD7AEFBD-87AA-4702-9175-9D6AD205F67F}">
      <dsp:nvSpPr>
        <dsp:cNvPr id="0" name=""/>
        <dsp:cNvSpPr/>
      </dsp:nvSpPr>
      <dsp: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2171704" y="706343"/>
        <a:ext cx="128746" cy="129093"/>
      </dsp:txXfrm>
    </dsp:sp>
    <dsp:sp modelId="{0A1C6427-6537-4C76-88AE-211062EA5097}">
      <dsp:nvSpPr>
        <dsp:cNvPr id="0" name=""/>
        <dsp:cNvSpPr/>
      </dsp:nvSpPr>
      <dsp:spPr>
        <a:xfrm>
          <a:off x="2431973" y="413020"/>
          <a:ext cx="867562" cy="7157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3. Effective training</a:t>
          </a:r>
        </a:p>
      </dsp:txBody>
      <dsp:txXfrm>
        <a:off x="2452936" y="433983"/>
        <a:ext cx="825636" cy="673813"/>
      </dsp:txXfrm>
    </dsp:sp>
    <dsp:sp modelId="{69FFAF8F-8C3B-475F-9ED2-12BA85875B4A}">
      <dsp:nvSpPr>
        <dsp:cNvPr id="0" name=""/>
        <dsp:cNvSpPr/>
      </dsp:nvSpPr>
      <dsp: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3386292" y="706343"/>
        <a:ext cx="128746" cy="129093"/>
      </dsp:txXfrm>
    </dsp:sp>
    <dsp:sp modelId="{49D6C15F-A2C0-4097-AE20-38D82F76B08C}">
      <dsp:nvSpPr>
        <dsp:cNvPr id="0" name=""/>
        <dsp:cNvSpPr/>
      </dsp:nvSpPr>
      <dsp:spPr>
        <a:xfrm>
          <a:off x="3646561"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4. Seeking a job</a:t>
          </a:r>
        </a:p>
      </dsp:txBody>
      <dsp:txXfrm>
        <a:off x="3667524" y="433983"/>
        <a:ext cx="825636" cy="673813"/>
      </dsp:txXfrm>
    </dsp:sp>
    <dsp:sp modelId="{50591237-A0F1-46FB-BD99-D37CB38F2FA6}">
      <dsp:nvSpPr>
        <dsp:cNvPr id="0" name=""/>
        <dsp:cNvSpPr/>
      </dsp:nvSpPr>
      <dsp: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4600880" y="706343"/>
        <a:ext cx="128746" cy="129093"/>
      </dsp:txXfrm>
    </dsp:sp>
    <dsp:sp modelId="{1268FF5B-B038-49FD-9687-C14E7FED10AE}">
      <dsp:nvSpPr>
        <dsp:cNvPr id="0" name=""/>
        <dsp:cNvSpPr/>
      </dsp:nvSpPr>
      <dsp:spPr>
        <a:xfrm>
          <a:off x="4861148"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5. Remaining with employer</a:t>
          </a:r>
        </a:p>
      </dsp:txBody>
      <dsp:txXfrm>
        <a:off x="4882111" y="433983"/>
        <a:ext cx="825636" cy="67381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CCC29-0130-448B-83C7-0BEA1646811B}">
      <dsp:nvSpPr>
        <dsp:cNvPr id="0" name=""/>
        <dsp:cNvSpPr/>
      </dsp:nvSpPr>
      <dsp:spPr>
        <a:xfrm>
          <a:off x="2798"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1. Deciding on a career</a:t>
          </a:r>
        </a:p>
      </dsp:txBody>
      <dsp:txXfrm>
        <a:off x="23761" y="433983"/>
        <a:ext cx="825636" cy="673813"/>
      </dsp:txXfrm>
    </dsp:sp>
    <dsp:sp modelId="{89C4B076-C35F-4589-AB58-8248EED29C44}">
      <dsp:nvSpPr>
        <dsp:cNvPr id="0" name=""/>
        <dsp:cNvSpPr/>
      </dsp:nvSpPr>
      <dsp: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957117" y="706343"/>
        <a:ext cx="128746" cy="129093"/>
      </dsp:txXfrm>
    </dsp:sp>
    <dsp:sp modelId="{BBE6446A-A2EC-409F-BAF7-02AFAEE14D02}">
      <dsp:nvSpPr>
        <dsp:cNvPr id="0" name=""/>
        <dsp:cNvSpPr/>
      </dsp:nvSpPr>
      <dsp:spPr>
        <a:xfrm>
          <a:off x="1217386"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2. Seeking training</a:t>
          </a:r>
        </a:p>
      </dsp:txBody>
      <dsp:txXfrm>
        <a:off x="1238349" y="433983"/>
        <a:ext cx="825636" cy="673813"/>
      </dsp:txXfrm>
    </dsp:sp>
    <dsp:sp modelId="{BD7AEFBD-87AA-4702-9175-9D6AD205F67F}">
      <dsp:nvSpPr>
        <dsp:cNvPr id="0" name=""/>
        <dsp:cNvSpPr/>
      </dsp:nvSpPr>
      <dsp: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2171704" y="706343"/>
        <a:ext cx="128746" cy="129093"/>
      </dsp:txXfrm>
    </dsp:sp>
    <dsp:sp modelId="{0A1C6427-6537-4C76-88AE-211062EA5097}">
      <dsp:nvSpPr>
        <dsp:cNvPr id="0" name=""/>
        <dsp:cNvSpPr/>
      </dsp:nvSpPr>
      <dsp:spPr>
        <a:xfrm>
          <a:off x="2431973"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3. Effective training</a:t>
          </a:r>
        </a:p>
      </dsp:txBody>
      <dsp:txXfrm>
        <a:off x="2452936" y="433983"/>
        <a:ext cx="825636" cy="673813"/>
      </dsp:txXfrm>
    </dsp:sp>
    <dsp:sp modelId="{69FFAF8F-8C3B-475F-9ED2-12BA85875B4A}">
      <dsp:nvSpPr>
        <dsp:cNvPr id="0" name=""/>
        <dsp:cNvSpPr/>
      </dsp:nvSpPr>
      <dsp: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3386292" y="706343"/>
        <a:ext cx="128746" cy="129093"/>
      </dsp:txXfrm>
    </dsp:sp>
    <dsp:sp modelId="{49D6C15F-A2C0-4097-AE20-38D82F76B08C}">
      <dsp:nvSpPr>
        <dsp:cNvPr id="0" name=""/>
        <dsp:cNvSpPr/>
      </dsp:nvSpPr>
      <dsp:spPr>
        <a:xfrm>
          <a:off x="3646561" y="413020"/>
          <a:ext cx="867562" cy="7157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4. Seeking a job</a:t>
          </a:r>
        </a:p>
      </dsp:txBody>
      <dsp:txXfrm>
        <a:off x="3667524" y="433983"/>
        <a:ext cx="825636" cy="673813"/>
      </dsp:txXfrm>
    </dsp:sp>
    <dsp:sp modelId="{50591237-A0F1-46FB-BD99-D37CB38F2FA6}">
      <dsp:nvSpPr>
        <dsp:cNvPr id="0" name=""/>
        <dsp:cNvSpPr/>
      </dsp:nvSpPr>
      <dsp: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4600880" y="706343"/>
        <a:ext cx="128746" cy="129093"/>
      </dsp:txXfrm>
    </dsp:sp>
    <dsp:sp modelId="{1268FF5B-B038-49FD-9687-C14E7FED10AE}">
      <dsp:nvSpPr>
        <dsp:cNvPr id="0" name=""/>
        <dsp:cNvSpPr/>
      </dsp:nvSpPr>
      <dsp:spPr>
        <a:xfrm>
          <a:off x="4861148"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5. Remaining with employer</a:t>
          </a:r>
        </a:p>
      </dsp:txBody>
      <dsp:txXfrm>
        <a:off x="4882111" y="433983"/>
        <a:ext cx="825636" cy="6738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CCC29-0130-448B-83C7-0BEA1646811B}">
      <dsp:nvSpPr>
        <dsp:cNvPr id="0" name=""/>
        <dsp:cNvSpPr/>
      </dsp:nvSpPr>
      <dsp:spPr>
        <a:xfrm>
          <a:off x="2798"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1. Deciding on a career</a:t>
          </a:r>
        </a:p>
      </dsp:txBody>
      <dsp:txXfrm>
        <a:off x="23761" y="433983"/>
        <a:ext cx="825636" cy="673813"/>
      </dsp:txXfrm>
    </dsp:sp>
    <dsp:sp modelId="{89C4B076-C35F-4589-AB58-8248EED29C44}">
      <dsp:nvSpPr>
        <dsp:cNvPr id="0" name=""/>
        <dsp:cNvSpPr/>
      </dsp:nvSpPr>
      <dsp:spPr>
        <a:xfrm>
          <a:off x="957117"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957117" y="706343"/>
        <a:ext cx="128746" cy="129093"/>
      </dsp:txXfrm>
    </dsp:sp>
    <dsp:sp modelId="{BBE6446A-A2EC-409F-BAF7-02AFAEE14D02}">
      <dsp:nvSpPr>
        <dsp:cNvPr id="0" name=""/>
        <dsp:cNvSpPr/>
      </dsp:nvSpPr>
      <dsp:spPr>
        <a:xfrm>
          <a:off x="1217386" y="413020"/>
          <a:ext cx="867562" cy="715739"/>
        </a:xfrm>
        <a:prstGeom prst="roundRect">
          <a:avLst>
            <a:gd name="adj" fmla="val 10000"/>
          </a:avLst>
        </a:prstGeom>
        <a:solidFill>
          <a:schemeClr val="bg2">
            <a:lumMod val="2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2. Seeking training</a:t>
          </a:r>
        </a:p>
      </dsp:txBody>
      <dsp:txXfrm>
        <a:off x="1238349" y="433983"/>
        <a:ext cx="825636" cy="673813"/>
      </dsp:txXfrm>
    </dsp:sp>
    <dsp:sp modelId="{BD7AEFBD-87AA-4702-9175-9D6AD205F67F}">
      <dsp:nvSpPr>
        <dsp:cNvPr id="0" name=""/>
        <dsp:cNvSpPr/>
      </dsp:nvSpPr>
      <dsp:spPr>
        <a:xfrm>
          <a:off x="2171704"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2171704" y="706343"/>
        <a:ext cx="128746" cy="129093"/>
      </dsp:txXfrm>
    </dsp:sp>
    <dsp:sp modelId="{0A1C6427-6537-4C76-88AE-211062EA5097}">
      <dsp:nvSpPr>
        <dsp:cNvPr id="0" name=""/>
        <dsp:cNvSpPr/>
      </dsp:nvSpPr>
      <dsp:spPr>
        <a:xfrm>
          <a:off x="2431973"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3. Effective training</a:t>
          </a:r>
        </a:p>
      </dsp:txBody>
      <dsp:txXfrm>
        <a:off x="2452936" y="433983"/>
        <a:ext cx="825636" cy="673813"/>
      </dsp:txXfrm>
    </dsp:sp>
    <dsp:sp modelId="{69FFAF8F-8C3B-475F-9ED2-12BA85875B4A}">
      <dsp:nvSpPr>
        <dsp:cNvPr id="0" name=""/>
        <dsp:cNvSpPr/>
      </dsp:nvSpPr>
      <dsp:spPr>
        <a:xfrm>
          <a:off x="3386292"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3386292" y="706343"/>
        <a:ext cx="128746" cy="129093"/>
      </dsp:txXfrm>
    </dsp:sp>
    <dsp:sp modelId="{49D6C15F-A2C0-4097-AE20-38D82F76B08C}">
      <dsp:nvSpPr>
        <dsp:cNvPr id="0" name=""/>
        <dsp:cNvSpPr/>
      </dsp:nvSpPr>
      <dsp:spPr>
        <a:xfrm>
          <a:off x="3646561" y="413020"/>
          <a:ext cx="867562" cy="715739"/>
        </a:xfrm>
        <a:prstGeom prst="roundRect">
          <a:avLst>
            <a:gd name="adj" fmla="val 10000"/>
          </a:avLst>
        </a:prstGeom>
        <a:solidFill>
          <a:schemeClr val="tx1">
            <a:lumMod val="90000"/>
            <a:lumOff val="10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4. Seeking a job</a:t>
          </a:r>
        </a:p>
      </dsp:txBody>
      <dsp:txXfrm>
        <a:off x="3667524" y="433983"/>
        <a:ext cx="825636" cy="673813"/>
      </dsp:txXfrm>
    </dsp:sp>
    <dsp:sp modelId="{50591237-A0F1-46FB-BD99-D37CB38F2FA6}">
      <dsp:nvSpPr>
        <dsp:cNvPr id="0" name=""/>
        <dsp:cNvSpPr/>
      </dsp:nvSpPr>
      <dsp:spPr>
        <a:xfrm>
          <a:off x="4600880" y="663312"/>
          <a:ext cx="183923" cy="215155"/>
        </a:xfrm>
        <a:prstGeom prst="rightArrow">
          <a:avLst>
            <a:gd name="adj1" fmla="val 60000"/>
            <a:gd name="adj2" fmla="val 50000"/>
          </a:avLst>
        </a:prstGeom>
        <a:solidFill>
          <a:srgbClr val="2C506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b="1" kern="1200">
            <a:solidFill>
              <a:srgbClr val="FFFFFF"/>
            </a:solidFill>
            <a:latin typeface="Arial" panose="020B0604020202020204" pitchFamily="34" charset="0"/>
            <a:ea typeface="+mn-ea"/>
            <a:cs typeface="Arial" panose="020B0604020202020204" pitchFamily="34" charset="0"/>
          </a:endParaRPr>
        </a:p>
      </dsp:txBody>
      <dsp:txXfrm>
        <a:off x="4600880" y="706343"/>
        <a:ext cx="128746" cy="129093"/>
      </dsp:txXfrm>
    </dsp:sp>
    <dsp:sp modelId="{1268FF5B-B038-49FD-9687-C14E7FED10AE}">
      <dsp:nvSpPr>
        <dsp:cNvPr id="0" name=""/>
        <dsp:cNvSpPr/>
      </dsp:nvSpPr>
      <dsp:spPr>
        <a:xfrm>
          <a:off x="4861148" y="413020"/>
          <a:ext cx="867562" cy="715739"/>
        </a:xfrm>
        <a:prstGeom prst="roundRect">
          <a:avLst>
            <a:gd name="adj" fmla="val 10000"/>
          </a:avLst>
        </a:prstGeom>
        <a:solidFill>
          <a:schemeClr val="accent2">
            <a:lumMod val="75000"/>
          </a:scheme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rgbClr val="FFFFFF"/>
              </a:solidFill>
              <a:latin typeface="Arial" panose="020B0604020202020204" pitchFamily="34" charset="0"/>
              <a:ea typeface="+mn-ea"/>
              <a:cs typeface="Arial" panose="020B0604020202020204" pitchFamily="34" charset="0"/>
            </a:rPr>
            <a:t>5. Remaining with employer</a:t>
          </a:r>
        </a:p>
      </dsp:txBody>
      <dsp:txXfrm>
        <a:off x="4882111" y="433983"/>
        <a:ext cx="825636" cy="6738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D - Work and Skills">
      <a:dk1>
        <a:srgbClr val="262626"/>
      </a:dk1>
      <a:lt1>
        <a:srgbClr val="FFFFFF"/>
      </a:lt1>
      <a:dk2>
        <a:srgbClr val="44546A"/>
      </a:dk2>
      <a:lt2>
        <a:srgbClr val="E7E6E6"/>
      </a:lt2>
      <a:accent1>
        <a:srgbClr val="2C5060"/>
      </a:accent1>
      <a:accent2>
        <a:srgbClr val="ED641C"/>
      </a:accent2>
      <a:accent3>
        <a:srgbClr val="AFB9B6"/>
      </a:accent3>
      <a:accent4>
        <a:srgbClr val="95A17E"/>
      </a:accent4>
      <a:accent5>
        <a:srgbClr val="FBD7C5"/>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71A5F-20D3-45A2-9144-EFCC079B0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14576</Words>
  <Characters>79733</Characters>
  <Application>Microsoft Office Word</Application>
  <DocSecurity>0</DocSecurity>
  <Lines>1476</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Intelligence Pack - Emergency Services</dc:title>
  <dc:subject/>
  <dc:creator/>
  <cp:keywords/>
  <dc:description/>
  <cp:lastModifiedBy/>
  <cp:revision>1</cp:revision>
  <dcterms:created xsi:type="dcterms:W3CDTF">2023-02-01T14:46:00Z</dcterms:created>
  <dcterms:modified xsi:type="dcterms:W3CDTF">2023-02-01T15:08:00Z</dcterms:modified>
</cp:coreProperties>
</file>