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F7760" w14:textId="726C11B3" w:rsidR="00DC2203" w:rsidRPr="00761353" w:rsidRDefault="000D108F" w:rsidP="002656FA">
      <w:pPr>
        <w:pStyle w:val="Heading1"/>
      </w:pPr>
      <w:bookmarkStart w:id="0" w:name="_Toc61984578"/>
      <w:bookmarkStart w:id="1" w:name="_Toc61984580"/>
      <w:bookmarkStart w:id="2" w:name="_Toc61294764"/>
      <w:r w:rsidRPr="00761353">
        <w:t>Census 2021 Briefin</w:t>
      </w:r>
      <w:r w:rsidR="002276E1" w:rsidRPr="00761353">
        <w:t>g</w:t>
      </w:r>
    </w:p>
    <w:p w14:paraId="6B0A44FB" w14:textId="2678A1E8" w:rsidR="000D108F" w:rsidRPr="00761353" w:rsidRDefault="00B21A22" w:rsidP="002656FA">
      <w:pPr>
        <w:pStyle w:val="Heading1"/>
      </w:pPr>
      <w:r>
        <w:t>Households</w:t>
      </w:r>
    </w:p>
    <w:p w14:paraId="5D89AF29" w14:textId="77777777" w:rsidR="0090641E" w:rsidRDefault="000D108F" w:rsidP="00396825">
      <w:pPr>
        <w:pStyle w:val="Frontpagesub-title"/>
        <w:rPr>
          <w:rFonts w:ascii="Arial" w:hAnsi="Arial"/>
        </w:rPr>
      </w:pPr>
      <w:r w:rsidRPr="00761353">
        <w:rPr>
          <w:noProof/>
        </w:rPr>
        <w:drawing>
          <wp:anchor distT="0" distB="0" distL="114300" distR="114300" simplePos="0" relativeHeight="251660288" behindDoc="1" locked="1" layoutInCell="1" allowOverlap="0" wp14:anchorId="5627137D" wp14:editId="0300A29F">
            <wp:simplePos x="0" y="0"/>
            <wp:positionH relativeFrom="page">
              <wp:align>left</wp:align>
            </wp:positionH>
            <wp:positionV relativeFrom="page">
              <wp:align>bottom</wp:align>
            </wp:positionV>
            <wp:extent cx="7665720" cy="1084453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65720" cy="10844530"/>
                    </a:xfrm>
                    <a:prstGeom prst="rect">
                      <a:avLst/>
                    </a:prstGeom>
                  </pic:spPr>
                </pic:pic>
              </a:graphicData>
            </a:graphic>
            <wp14:sizeRelH relativeFrom="margin">
              <wp14:pctWidth>0</wp14:pctWidth>
            </wp14:sizeRelH>
            <wp14:sizeRelV relativeFrom="margin">
              <wp14:pctHeight>0</wp14:pctHeight>
            </wp14:sizeRelV>
          </wp:anchor>
        </w:drawing>
      </w:r>
      <w:bookmarkEnd w:id="0"/>
    </w:p>
    <w:sdt>
      <w:sdtPr>
        <w:rPr>
          <w:rFonts w:ascii="Arial" w:hAnsi="Arial"/>
        </w:rPr>
        <w:id w:val="-1571263057"/>
        <w:docPartObj>
          <w:docPartGallery w:val="Cover Pages"/>
          <w:docPartUnique/>
        </w:docPartObj>
      </w:sdtPr>
      <w:sdtEndPr>
        <w:rPr>
          <w:highlight w:val="yellow"/>
        </w:rPr>
      </w:sdtEndPr>
      <w:sdtContent>
        <w:p w14:paraId="58FC4CB6" w14:textId="5541EF64" w:rsidR="00F16596" w:rsidRPr="0090641E" w:rsidRDefault="000D108F" w:rsidP="00396825">
          <w:pPr>
            <w:pStyle w:val="Frontpagesub-title"/>
            <w:rPr>
              <w:rStyle w:val="Frontpagesub-titleChar"/>
              <w:rFonts w:ascii="Arial" w:hAnsi="Arial"/>
            </w:rPr>
          </w:pPr>
          <w:r w:rsidRPr="00761353">
            <w:rPr>
              <w:rStyle w:val="Frontpagesub-titleChar"/>
              <w:rFonts w:cs="Arial"/>
              <w:b/>
              <w:bCs/>
            </w:rPr>
            <w:t>GMCA</w:t>
          </w:r>
          <w:r w:rsidRPr="00761353">
            <w:rPr>
              <w:rStyle w:val="Frontpagesub-titleChar"/>
              <w:rFonts w:cs="Arial"/>
            </w:rPr>
            <w:t xml:space="preserve"> </w:t>
          </w:r>
          <w:r w:rsidRPr="00761353">
            <w:rPr>
              <w:rStyle w:val="Frontpagesub-titleChar"/>
              <w:rFonts w:cs="Arial"/>
              <w:b/>
              <w:bCs/>
            </w:rPr>
            <w:t>Research</w:t>
          </w:r>
        </w:p>
        <w:p w14:paraId="44DD08CE" w14:textId="7FAA66AE" w:rsidR="00E873A0" w:rsidRPr="00761353" w:rsidRDefault="00F56EED" w:rsidP="00396825">
          <w:pPr>
            <w:pStyle w:val="Frontpagesub-title"/>
            <w:rPr>
              <w:rFonts w:ascii="Arial" w:hAnsi="Arial"/>
            </w:rPr>
          </w:pPr>
          <w:r>
            <w:rPr>
              <w:rStyle w:val="Frontpagesub-titleChar"/>
              <w:rFonts w:cs="Arial"/>
            </w:rPr>
            <w:t>May</w:t>
          </w:r>
          <w:r w:rsidR="00DC2203" w:rsidRPr="00761353">
            <w:rPr>
              <w:rStyle w:val="Frontpagesub-titleChar"/>
              <w:rFonts w:cs="Arial"/>
            </w:rPr>
            <w:t xml:space="preserve"> 2023</w:t>
          </w:r>
        </w:p>
      </w:sdtContent>
    </w:sdt>
    <w:bookmarkEnd w:id="2" w:displacedByCustomXml="prev"/>
    <w:bookmarkEnd w:id="1" w:displacedByCustomXml="prev"/>
    <w:p w14:paraId="6EA792A9" w14:textId="77777777" w:rsidR="000D108F" w:rsidRPr="00E873A0" w:rsidRDefault="000D108F" w:rsidP="00C37879">
      <w:pPr>
        <w:rPr>
          <w:color w:val="FFFFFF" w:themeColor="background1"/>
          <w:sz w:val="36"/>
          <w:szCs w:val="36"/>
        </w:rPr>
      </w:pPr>
      <w:r>
        <w:rPr>
          <w:noProof/>
        </w:rPr>
        <w:lastRenderedPageBreak/>
        <mc:AlternateContent>
          <mc:Choice Requires="wps">
            <w:drawing>
              <wp:inline distT="0" distB="0" distL="0" distR="0" wp14:anchorId="52849C59" wp14:editId="6A996066">
                <wp:extent cx="6096000" cy="4792980"/>
                <wp:effectExtent l="0" t="0" r="19050" b="2667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4792980"/>
                        </a:xfrm>
                        <a:prstGeom prst="rect">
                          <a:avLst/>
                        </a:prstGeom>
                        <a:solidFill>
                          <a:schemeClr val="accent1"/>
                        </a:solidFill>
                        <a:ln w="19050">
                          <a:solidFill>
                            <a:schemeClr val="accent1"/>
                          </a:solidFill>
                          <a:miter lim="800000"/>
                          <a:headEnd/>
                          <a:tailEnd/>
                        </a:ln>
                      </wps:spPr>
                      <wps:txbx>
                        <w:txbxContent>
                          <w:p w14:paraId="401F1334" w14:textId="7E1A1ED9" w:rsidR="00DC2203" w:rsidRPr="0090641E" w:rsidRDefault="00DC2203" w:rsidP="00DC2203">
                            <w:pPr>
                              <w:rPr>
                                <w:rFonts w:ascii="Arial" w:hAnsi="Arial" w:cs="Arial"/>
                                <w:b/>
                                <w:bCs/>
                                <w:color w:val="FFFFFF" w:themeColor="background1"/>
                                <w:sz w:val="24"/>
                                <w:szCs w:val="24"/>
                              </w:rPr>
                            </w:pPr>
                            <w:r w:rsidRPr="0090641E">
                              <w:rPr>
                                <w:rFonts w:ascii="Arial" w:hAnsi="Arial" w:cs="Arial"/>
                                <w:b/>
                                <w:bCs/>
                                <w:color w:val="FFFFFF" w:themeColor="background1"/>
                                <w:sz w:val="24"/>
                                <w:szCs w:val="24"/>
                              </w:rPr>
                              <w:t xml:space="preserve">Dataset: </w:t>
                            </w:r>
                            <w:r w:rsidR="00B21A22" w:rsidRPr="00617059">
                              <w:rPr>
                                <w:rFonts w:ascii="Arial" w:hAnsi="Arial" w:cs="Arial"/>
                                <w:color w:val="FFFFFF" w:themeColor="background1"/>
                                <w:sz w:val="24"/>
                                <w:szCs w:val="24"/>
                              </w:rPr>
                              <w:t>Households in Greater Manchester</w:t>
                            </w:r>
                          </w:p>
                          <w:p w14:paraId="03308C09" w14:textId="61BD0027" w:rsidR="00DC2203" w:rsidRPr="0090641E" w:rsidRDefault="00DC2203" w:rsidP="00DC2203">
                            <w:pPr>
                              <w:rPr>
                                <w:rFonts w:ascii="Arial" w:hAnsi="Arial" w:cs="Arial"/>
                                <w:color w:val="FFFFFF" w:themeColor="background1"/>
                                <w:sz w:val="24"/>
                                <w:szCs w:val="24"/>
                              </w:rPr>
                            </w:pPr>
                            <w:r w:rsidRPr="0090641E">
                              <w:rPr>
                                <w:rFonts w:ascii="Arial" w:hAnsi="Arial" w:cs="Arial"/>
                                <w:b/>
                                <w:bCs/>
                                <w:color w:val="FFFFFF" w:themeColor="background1"/>
                                <w:sz w:val="24"/>
                                <w:szCs w:val="24"/>
                              </w:rPr>
                              <w:t>Datalink</w:t>
                            </w:r>
                            <w:r w:rsidRPr="0090641E">
                              <w:rPr>
                                <w:rFonts w:ascii="Arial" w:hAnsi="Arial" w:cs="Arial"/>
                                <w:color w:val="FFFFFF" w:themeColor="background1"/>
                                <w:sz w:val="24"/>
                                <w:szCs w:val="24"/>
                              </w:rPr>
                              <w:t>: The data used in this briefing can be found at</w:t>
                            </w:r>
                            <w:r w:rsidR="009C64F4" w:rsidRPr="0090641E">
                              <w:rPr>
                                <w:rFonts w:ascii="Arial" w:hAnsi="Arial" w:cs="Arial"/>
                                <w:color w:val="FFFFFF" w:themeColor="background1"/>
                                <w:sz w:val="24"/>
                                <w:szCs w:val="24"/>
                              </w:rPr>
                              <w:t xml:space="preserve"> </w:t>
                            </w:r>
                            <w:hyperlink r:id="rId12" w:history="1">
                              <w:r w:rsidR="009C64F4" w:rsidRPr="0090641E">
                                <w:rPr>
                                  <w:rFonts w:ascii="Arial" w:hAnsi="Arial" w:cs="Arial"/>
                                  <w:color w:val="FFFFFF" w:themeColor="background1"/>
                                  <w:sz w:val="24"/>
                                  <w:szCs w:val="24"/>
                                  <w:u w:val="single"/>
                                </w:rPr>
                                <w:t>Housing: Census 2021 in England and Wales - Office for National Statistics (ons.gov.uk)</w:t>
                              </w:r>
                            </w:hyperlink>
                            <w:r w:rsidR="00617059">
                              <w:rPr>
                                <w:rFonts w:ascii="Arial" w:hAnsi="Arial" w:cs="Arial"/>
                                <w:color w:val="FFFFFF" w:themeColor="background1"/>
                                <w:sz w:val="24"/>
                                <w:szCs w:val="24"/>
                              </w:rPr>
                              <w:t xml:space="preserve">. </w:t>
                            </w:r>
                            <w:r w:rsidR="009C64F4" w:rsidRPr="0090641E">
                              <w:rPr>
                                <w:rFonts w:ascii="Arial" w:hAnsi="Arial" w:cs="Arial"/>
                                <w:color w:val="FFFFFF" w:themeColor="background1"/>
                                <w:sz w:val="24"/>
                                <w:szCs w:val="24"/>
                              </w:rPr>
                              <w:t>The data</w:t>
                            </w:r>
                            <w:r w:rsidRPr="0090641E">
                              <w:rPr>
                                <w:rFonts w:ascii="Arial" w:hAnsi="Arial" w:cs="Arial"/>
                                <w:color w:val="FFFFFF" w:themeColor="background1"/>
                                <w:sz w:val="24"/>
                                <w:szCs w:val="24"/>
                              </w:rPr>
                              <w:t xml:space="preserve"> can also be found at</w:t>
                            </w:r>
                            <w:r w:rsidR="009C64F4" w:rsidRPr="0090641E">
                              <w:rPr>
                                <w:rFonts w:ascii="Arial" w:hAnsi="Arial" w:cs="Arial"/>
                                <w:color w:val="FFFFFF" w:themeColor="background1"/>
                                <w:sz w:val="24"/>
                                <w:szCs w:val="24"/>
                              </w:rPr>
                              <w:t xml:space="preserve"> </w:t>
                            </w:r>
                            <w:hyperlink r:id="rId13" w:history="1">
                              <w:r w:rsidR="009C64F4" w:rsidRPr="0090641E">
                                <w:rPr>
                                  <w:rFonts w:ascii="Arial" w:hAnsi="Arial" w:cs="Arial"/>
                                  <w:color w:val="FFFFFF" w:themeColor="background1"/>
                                  <w:sz w:val="24"/>
                                  <w:szCs w:val="24"/>
                                  <w:u w:val="single"/>
                                </w:rPr>
                                <w:t>2021 Census - Census of Population - Data Sources - home - Nomis</w:t>
                              </w:r>
                            </w:hyperlink>
                          </w:p>
                          <w:p w14:paraId="2D06015E" w14:textId="2ABBC976" w:rsidR="009C64F4" w:rsidRDefault="00DC2203" w:rsidP="0090641E">
                            <w:pPr>
                              <w:rPr>
                                <w:rStyle w:val="Hyperlink"/>
                                <w:rFonts w:cs="Arial"/>
                                <w:b w:val="0"/>
                                <w:bCs/>
                                <w:color w:val="FFFFFF" w:themeColor="background1"/>
                                <w:sz w:val="24"/>
                                <w:szCs w:val="24"/>
                              </w:rPr>
                            </w:pPr>
                            <w:r w:rsidRPr="0090641E">
                              <w:rPr>
                                <w:rFonts w:ascii="Arial" w:hAnsi="Arial" w:cs="Arial"/>
                                <w:b/>
                                <w:bCs/>
                                <w:color w:val="FFFFFF" w:themeColor="background1"/>
                                <w:sz w:val="24"/>
                                <w:szCs w:val="24"/>
                              </w:rPr>
                              <w:t>Definition</w:t>
                            </w:r>
                            <w:r w:rsidRPr="0090641E">
                              <w:rPr>
                                <w:rFonts w:ascii="Arial" w:hAnsi="Arial" w:cs="Arial"/>
                                <w:color w:val="FFFFFF" w:themeColor="background1"/>
                                <w:sz w:val="24"/>
                                <w:szCs w:val="24"/>
                              </w:rPr>
                              <w:t xml:space="preserve">: </w:t>
                            </w:r>
                            <w:r w:rsidR="0090641E" w:rsidRPr="0090641E">
                              <w:rPr>
                                <w:rFonts w:ascii="Arial" w:hAnsi="Arial" w:cs="Arial"/>
                                <w:bCs/>
                                <w:color w:val="FFFFFF" w:themeColor="background1"/>
                                <w:sz w:val="24"/>
                                <w:szCs w:val="24"/>
                              </w:rPr>
                              <w:t>a household is defined as</w:t>
                            </w:r>
                            <w:r w:rsidR="009C64F4" w:rsidRPr="0090641E">
                              <w:rPr>
                                <w:rFonts w:ascii="Arial" w:hAnsi="Arial" w:cs="Arial"/>
                                <w:color w:val="FFFFFF" w:themeColor="background1"/>
                                <w:sz w:val="24"/>
                                <w:szCs w:val="24"/>
                              </w:rPr>
                              <w:t xml:space="preserve"> one person living alone</w:t>
                            </w:r>
                            <w:r w:rsidR="0090641E" w:rsidRPr="0090641E">
                              <w:rPr>
                                <w:rFonts w:ascii="Arial" w:hAnsi="Arial" w:cs="Arial"/>
                                <w:color w:val="FFFFFF" w:themeColor="background1"/>
                                <w:sz w:val="24"/>
                                <w:szCs w:val="24"/>
                              </w:rPr>
                              <w:t>,</w:t>
                            </w:r>
                            <w:r w:rsidR="009C64F4" w:rsidRPr="0090641E">
                              <w:rPr>
                                <w:rFonts w:ascii="Arial" w:hAnsi="Arial" w:cs="Arial"/>
                                <w:color w:val="FFFFFF" w:themeColor="background1"/>
                                <w:sz w:val="24"/>
                                <w:szCs w:val="24"/>
                              </w:rPr>
                              <w:t xml:space="preserve"> or a group of people (not necessarily related) living at the same address who share cooking facilities and a living </w:t>
                            </w:r>
                            <w:r w:rsidR="0090641E" w:rsidRPr="0090641E">
                              <w:rPr>
                                <w:rFonts w:ascii="Arial" w:hAnsi="Arial" w:cs="Arial"/>
                                <w:color w:val="FFFFFF" w:themeColor="background1"/>
                                <w:sz w:val="24"/>
                                <w:szCs w:val="24"/>
                              </w:rPr>
                              <w:t xml:space="preserve">/ </w:t>
                            </w:r>
                            <w:r w:rsidR="009C64F4" w:rsidRPr="0090641E">
                              <w:rPr>
                                <w:rFonts w:ascii="Arial" w:hAnsi="Arial" w:cs="Arial"/>
                                <w:color w:val="FFFFFF" w:themeColor="background1"/>
                                <w:sz w:val="24"/>
                                <w:szCs w:val="24"/>
                              </w:rPr>
                              <w:t xml:space="preserve">sitting room or dining area. Further information on household definitions in the Census can be found at </w:t>
                            </w:r>
                            <w:hyperlink r:id="rId14" w:anchor="how-households-are-classified" w:history="1">
                              <w:r w:rsidR="009C64F4" w:rsidRPr="0090641E">
                                <w:rPr>
                                  <w:rStyle w:val="Hyperlink"/>
                                  <w:rFonts w:cs="Arial"/>
                                  <w:b w:val="0"/>
                                  <w:bCs/>
                                  <w:color w:val="FFFFFF" w:themeColor="background1"/>
                                  <w:sz w:val="24"/>
                                  <w:szCs w:val="24"/>
                                </w:rPr>
                                <w:t>Families and households statistics explained - Office for National Statistics (ons.gov.uk)</w:t>
                              </w:r>
                            </w:hyperlink>
                          </w:p>
                          <w:p w14:paraId="62E5A11A" w14:textId="3813415E" w:rsidR="000D108F" w:rsidRDefault="00DC2203" w:rsidP="00DC2203">
                            <w:pPr>
                              <w:contextualSpacing/>
                              <w:rPr>
                                <w:rFonts w:ascii="Arial" w:hAnsi="Arial" w:cs="Arial"/>
                                <w:color w:val="FFFFFF" w:themeColor="background1"/>
                                <w:sz w:val="24"/>
                                <w:szCs w:val="24"/>
                              </w:rPr>
                            </w:pPr>
                            <w:r w:rsidRPr="0090641E">
                              <w:rPr>
                                <w:rFonts w:ascii="Arial" w:hAnsi="Arial" w:cs="Arial"/>
                                <w:b/>
                                <w:bCs/>
                                <w:color w:val="FFFFFF" w:themeColor="background1"/>
                                <w:sz w:val="24"/>
                                <w:szCs w:val="24"/>
                              </w:rPr>
                              <w:t>Census day</w:t>
                            </w:r>
                            <w:r w:rsidRPr="0090641E">
                              <w:rPr>
                                <w:rFonts w:ascii="Arial" w:hAnsi="Arial" w:cs="Arial"/>
                                <w:color w:val="FFFFFF" w:themeColor="background1"/>
                                <w:sz w:val="24"/>
                                <w:szCs w:val="24"/>
                              </w:rPr>
                              <w:t xml:space="preserve">: The 2021 census was held in England and Wales on 21 March 2021. Census 2021 was undertaken during the Covid-19 pandemic so may not show normal population and household patterns due to temporary changes in living circumstances during the pandemic for </w:t>
                            </w:r>
                            <w:r w:rsidR="0063724E" w:rsidRPr="0090641E">
                              <w:rPr>
                                <w:rFonts w:ascii="Arial" w:hAnsi="Arial" w:cs="Arial"/>
                                <w:color w:val="FFFFFF" w:themeColor="background1"/>
                                <w:sz w:val="24"/>
                                <w:szCs w:val="24"/>
                              </w:rPr>
                              <w:t>certain</w:t>
                            </w:r>
                            <w:r w:rsidRPr="0090641E">
                              <w:rPr>
                                <w:rFonts w:ascii="Arial" w:hAnsi="Arial" w:cs="Arial"/>
                                <w:color w:val="FFFFFF" w:themeColor="background1"/>
                                <w:sz w:val="24"/>
                                <w:szCs w:val="24"/>
                              </w:rPr>
                              <w:t xml:space="preserve"> households.</w:t>
                            </w:r>
                          </w:p>
                          <w:p w14:paraId="55BF7323" w14:textId="2E3CE3A2" w:rsidR="000C42C0" w:rsidRDefault="000C42C0" w:rsidP="00DC2203">
                            <w:pPr>
                              <w:contextualSpacing/>
                              <w:rPr>
                                <w:rFonts w:ascii="Arial" w:hAnsi="Arial" w:cs="Arial"/>
                                <w:color w:val="FFFFFF" w:themeColor="background1"/>
                                <w:sz w:val="24"/>
                                <w:szCs w:val="24"/>
                              </w:rPr>
                            </w:pPr>
                          </w:p>
                          <w:p w14:paraId="038C6FE5" w14:textId="42930B5F" w:rsidR="000C42C0" w:rsidRPr="004B35B2" w:rsidRDefault="000C42C0" w:rsidP="009017AC">
                            <w:pPr>
                              <w:rPr>
                                <w:rFonts w:ascii="Arial" w:hAnsi="Arial" w:cs="Arial"/>
                                <w:color w:val="FFFFFF" w:themeColor="background1"/>
                                <w:sz w:val="24"/>
                                <w:szCs w:val="24"/>
                              </w:rPr>
                            </w:pPr>
                            <w:r w:rsidRPr="00C5500D">
                              <w:rPr>
                                <w:rFonts w:ascii="Arial" w:hAnsi="Arial" w:cs="Arial"/>
                                <w:color w:val="FFFFFF" w:themeColor="background1"/>
                                <w:sz w:val="24"/>
                                <w:szCs w:val="24"/>
                              </w:rPr>
                              <w:t>The Office for National Statistics (ONS) states the following concerning the census and Covid-19 pandemic</w:t>
                            </w:r>
                            <w:r w:rsidR="006A180A" w:rsidRPr="00C5500D">
                              <w:rPr>
                                <w:rFonts w:ascii="Arial" w:hAnsi="Arial" w:cs="Arial"/>
                                <w:color w:val="FFFFFF" w:themeColor="background1"/>
                                <w:sz w:val="24"/>
                                <w:szCs w:val="24"/>
                              </w:rPr>
                              <w:t xml:space="preserve"> (see </w:t>
                            </w:r>
                            <w:hyperlink r:id="rId15" w:history="1">
                              <w:r w:rsidR="006A180A" w:rsidRPr="00C5500D">
                                <w:rPr>
                                  <w:rStyle w:val="Hyperlink"/>
                                  <w:rFonts w:cs="Arial"/>
                                  <w:b w:val="0"/>
                                  <w:bCs/>
                                  <w:color w:val="FFFFFF" w:themeColor="background1"/>
                                  <w:sz w:val="24"/>
                                  <w:szCs w:val="24"/>
                                </w:rPr>
                                <w:t>here</w:t>
                              </w:r>
                            </w:hyperlink>
                            <w:r w:rsidR="006A180A">
                              <w:rPr>
                                <w:rFonts w:ascii="Arial" w:hAnsi="Arial" w:cs="Arial"/>
                                <w:color w:val="FFFFFF" w:themeColor="background1"/>
                                <w:sz w:val="24"/>
                                <w:szCs w:val="24"/>
                              </w:rPr>
                              <w:t>):</w:t>
                            </w:r>
                          </w:p>
                          <w:p w14:paraId="3DAD4E4D" w14:textId="1E280ACA" w:rsidR="000C42C0" w:rsidRPr="004B35B2" w:rsidRDefault="000C42C0" w:rsidP="009017AC">
                            <w:pPr>
                              <w:ind w:left="340"/>
                              <w:rPr>
                                <w:rFonts w:ascii="Arial" w:hAnsi="Arial" w:cs="Arial"/>
                                <w:color w:val="FFFFFF" w:themeColor="background1"/>
                                <w:sz w:val="24"/>
                                <w:szCs w:val="24"/>
                              </w:rPr>
                            </w:pPr>
                            <w:r w:rsidRPr="004B35B2">
                              <w:rPr>
                                <w:rFonts w:ascii="Arial" w:hAnsi="Arial" w:cs="Arial"/>
                                <w:color w:val="FFFFFF" w:themeColor="background1"/>
                                <w:sz w:val="24"/>
                                <w:szCs w:val="24"/>
                              </w:rPr>
                              <w:t>“The coronavirus pandemic may have affected some people's choice of usual residence on Census Day, for example, students and in some urban areas. These changes might have been temporary for some and more long-lasting for others. </w:t>
                            </w:r>
                            <w:hyperlink r:id="rId16" w:anchor="quality-summary" w:history="1">
                              <w:r w:rsidRPr="004B35B2">
                                <w:rPr>
                                  <w:rFonts w:ascii="Arial" w:hAnsi="Arial" w:cs="Arial"/>
                                  <w:color w:val="FFFFFF" w:themeColor="background1"/>
                                  <w:sz w:val="24"/>
                                  <w:szCs w:val="24"/>
                                </w:rPr>
                                <w:t>Conducting a census during the coronavirus pandemic</w:t>
                              </w:r>
                            </w:hyperlink>
                            <w:r w:rsidRPr="004B35B2">
                              <w:rPr>
                                <w:rFonts w:ascii="Arial" w:hAnsi="Arial" w:cs="Arial"/>
                                <w:color w:val="FFFFFF" w:themeColor="background1"/>
                                <w:sz w:val="24"/>
                                <w:szCs w:val="24"/>
                              </w:rPr>
                              <w:t> explains what this means for the data.”</w:t>
                            </w:r>
                          </w:p>
                          <w:p w14:paraId="70F579F1" w14:textId="77777777" w:rsidR="000C42C0" w:rsidRPr="004B35B2" w:rsidRDefault="000C42C0" w:rsidP="00DC2203">
                            <w:pPr>
                              <w:contextualSpacing/>
                              <w:rPr>
                                <w:rFonts w:ascii="Arial" w:hAnsi="Arial" w:cs="Arial"/>
                                <w:b/>
                                <w:bCs/>
                                <w:color w:val="FFFFFF" w:themeColor="background1"/>
                                <w:sz w:val="24"/>
                                <w:szCs w:val="24"/>
                              </w:rPr>
                            </w:pPr>
                          </w:p>
                          <w:p w14:paraId="661A5425" w14:textId="77777777" w:rsidR="000C42C0" w:rsidRPr="0090641E" w:rsidRDefault="000C42C0" w:rsidP="00DC2203">
                            <w:pPr>
                              <w:contextualSpacing/>
                              <w:rPr>
                                <w:rFonts w:ascii="Arial" w:hAnsi="Arial" w:cs="Arial"/>
                                <w:color w:val="FFFFFF" w:themeColor="background1"/>
                                <w:sz w:val="24"/>
                                <w:szCs w:val="24"/>
                              </w:rPr>
                            </w:pPr>
                          </w:p>
                        </w:txbxContent>
                      </wps:txbx>
                      <wps:bodyPr rot="0" vert="horz" wrap="square" lIns="216000" tIns="216000" rIns="216000" bIns="216000" anchor="t" anchorCtr="0">
                        <a:noAutofit/>
                      </wps:bodyPr>
                    </wps:wsp>
                  </a:graphicData>
                </a:graphic>
              </wp:inline>
            </w:drawing>
          </mc:Choice>
          <mc:Fallback>
            <w:pict>
              <v:shapetype w14:anchorId="52849C59" id="_x0000_t202" coordsize="21600,21600" o:spt="202" path="m,l,21600r21600,l21600,xe">
                <v:stroke joinstyle="miter"/>
                <v:path gradientshapeok="t" o:connecttype="rect"/>
              </v:shapetype>
              <v:shape id="Text Box 2" o:spid="_x0000_s1026" type="#_x0000_t202" style="width:480pt;height:3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" fillcolor="#2c5060 [3204]" strokecolor="#2c5060 [3204]" strokeweight="1.5pt">
                <v:textbox inset="6mm,6mm,6mm,6mm">
                  <w:txbxContent>
                    <w:p w14:paraId="401F1334" w14:textId="7E1A1ED9" w:rsidR="00DC2203" w:rsidRPr="0090641E" w:rsidRDefault="00DC2203" w:rsidP="00DC2203">
                      <w:pPr>
                        <w:rPr>
                          <w:rFonts w:ascii="Arial" w:hAnsi="Arial" w:cs="Arial"/>
                          <w:b/>
                          <w:bCs/>
                          <w:color w:val="FFFFFF" w:themeColor="background1"/>
                          <w:sz w:val="24"/>
                          <w:szCs w:val="24"/>
                        </w:rPr>
                      </w:pPr>
                      <w:r w:rsidRPr="0090641E">
                        <w:rPr>
                          <w:rFonts w:ascii="Arial" w:hAnsi="Arial" w:cs="Arial"/>
                          <w:b/>
                          <w:bCs/>
                          <w:color w:val="FFFFFF" w:themeColor="background1"/>
                          <w:sz w:val="24"/>
                          <w:szCs w:val="24"/>
                        </w:rPr>
                        <w:t xml:space="preserve">Dataset: </w:t>
                      </w:r>
                      <w:r w:rsidR="00B21A22" w:rsidRPr="00617059">
                        <w:rPr>
                          <w:rFonts w:ascii="Arial" w:hAnsi="Arial" w:cs="Arial"/>
                          <w:color w:val="FFFFFF" w:themeColor="background1"/>
                          <w:sz w:val="24"/>
                          <w:szCs w:val="24"/>
                        </w:rPr>
                        <w:t>Households in Greater Manchester</w:t>
                      </w:r>
                    </w:p>
                    <w:p w14:paraId="03308C09" w14:textId="61BD0027" w:rsidR="00DC2203" w:rsidRPr="0090641E" w:rsidRDefault="00DC2203" w:rsidP="00DC2203">
                      <w:pPr>
                        <w:rPr>
                          <w:rFonts w:ascii="Arial" w:hAnsi="Arial" w:cs="Arial"/>
                          <w:color w:val="FFFFFF" w:themeColor="background1"/>
                          <w:sz w:val="24"/>
                          <w:szCs w:val="24"/>
                        </w:rPr>
                      </w:pPr>
                      <w:r w:rsidRPr="0090641E">
                        <w:rPr>
                          <w:rFonts w:ascii="Arial" w:hAnsi="Arial" w:cs="Arial"/>
                          <w:b/>
                          <w:bCs/>
                          <w:color w:val="FFFFFF" w:themeColor="background1"/>
                          <w:sz w:val="24"/>
                          <w:szCs w:val="24"/>
                        </w:rPr>
                        <w:t>Datalink</w:t>
                      </w:r>
                      <w:r w:rsidRPr="0090641E">
                        <w:rPr>
                          <w:rFonts w:ascii="Arial" w:hAnsi="Arial" w:cs="Arial"/>
                          <w:color w:val="FFFFFF" w:themeColor="background1"/>
                          <w:sz w:val="24"/>
                          <w:szCs w:val="24"/>
                        </w:rPr>
                        <w:t>: The data used in this briefing can be found at</w:t>
                      </w:r>
                      <w:r w:rsidR="009C64F4" w:rsidRPr="0090641E">
                        <w:rPr>
                          <w:rFonts w:ascii="Arial" w:hAnsi="Arial" w:cs="Arial"/>
                          <w:color w:val="FFFFFF" w:themeColor="background1"/>
                          <w:sz w:val="24"/>
                          <w:szCs w:val="24"/>
                        </w:rPr>
                        <w:t xml:space="preserve"> </w:t>
                      </w:r>
                      <w:hyperlink r:id="rId17" w:history="1">
                        <w:r w:rsidR="009C64F4" w:rsidRPr="0090641E">
                          <w:rPr>
                            <w:rFonts w:ascii="Arial" w:hAnsi="Arial" w:cs="Arial"/>
                            <w:color w:val="FFFFFF" w:themeColor="background1"/>
                            <w:sz w:val="24"/>
                            <w:szCs w:val="24"/>
                            <w:u w:val="single"/>
                          </w:rPr>
                          <w:t>Housing: Census 2021 in England and Wales - Office for National Statistics (ons.gov.uk)</w:t>
                        </w:r>
                      </w:hyperlink>
                      <w:r w:rsidR="00617059">
                        <w:rPr>
                          <w:rFonts w:ascii="Arial" w:hAnsi="Arial" w:cs="Arial"/>
                          <w:color w:val="FFFFFF" w:themeColor="background1"/>
                          <w:sz w:val="24"/>
                          <w:szCs w:val="24"/>
                        </w:rPr>
                        <w:t xml:space="preserve">. </w:t>
                      </w:r>
                      <w:r w:rsidR="009C64F4" w:rsidRPr="0090641E">
                        <w:rPr>
                          <w:rFonts w:ascii="Arial" w:hAnsi="Arial" w:cs="Arial"/>
                          <w:color w:val="FFFFFF" w:themeColor="background1"/>
                          <w:sz w:val="24"/>
                          <w:szCs w:val="24"/>
                        </w:rPr>
                        <w:t>The data</w:t>
                      </w:r>
                      <w:r w:rsidRPr="0090641E">
                        <w:rPr>
                          <w:rFonts w:ascii="Arial" w:hAnsi="Arial" w:cs="Arial"/>
                          <w:color w:val="FFFFFF" w:themeColor="background1"/>
                          <w:sz w:val="24"/>
                          <w:szCs w:val="24"/>
                        </w:rPr>
                        <w:t xml:space="preserve"> can also be found at</w:t>
                      </w:r>
                      <w:r w:rsidR="009C64F4" w:rsidRPr="0090641E">
                        <w:rPr>
                          <w:rFonts w:ascii="Arial" w:hAnsi="Arial" w:cs="Arial"/>
                          <w:color w:val="FFFFFF" w:themeColor="background1"/>
                          <w:sz w:val="24"/>
                          <w:szCs w:val="24"/>
                        </w:rPr>
                        <w:t xml:space="preserve"> </w:t>
                      </w:r>
                      <w:hyperlink r:id="rId18" w:history="1">
                        <w:r w:rsidR="009C64F4" w:rsidRPr="0090641E">
                          <w:rPr>
                            <w:rFonts w:ascii="Arial" w:hAnsi="Arial" w:cs="Arial"/>
                            <w:color w:val="FFFFFF" w:themeColor="background1"/>
                            <w:sz w:val="24"/>
                            <w:szCs w:val="24"/>
                            <w:u w:val="single"/>
                          </w:rPr>
                          <w:t>2021 Census - Census of Population - Data Sources - home - Nomis</w:t>
                        </w:r>
                      </w:hyperlink>
                    </w:p>
                    <w:p w14:paraId="2D06015E" w14:textId="2ABBC976" w:rsidR="009C64F4" w:rsidRDefault="00DC2203" w:rsidP="0090641E">
                      <w:pPr>
                        <w:rPr>
                          <w:rStyle w:val="Hyperlink"/>
                          <w:rFonts w:cs="Arial"/>
                          <w:b w:val="0"/>
                          <w:bCs/>
                          <w:color w:val="FFFFFF" w:themeColor="background1"/>
                          <w:sz w:val="24"/>
                          <w:szCs w:val="24"/>
                        </w:rPr>
                      </w:pPr>
                      <w:r w:rsidRPr="0090641E">
                        <w:rPr>
                          <w:rFonts w:ascii="Arial" w:hAnsi="Arial" w:cs="Arial"/>
                          <w:b/>
                          <w:bCs/>
                          <w:color w:val="FFFFFF" w:themeColor="background1"/>
                          <w:sz w:val="24"/>
                          <w:szCs w:val="24"/>
                        </w:rPr>
                        <w:t>Definition</w:t>
                      </w:r>
                      <w:r w:rsidRPr="0090641E">
                        <w:rPr>
                          <w:rFonts w:ascii="Arial" w:hAnsi="Arial" w:cs="Arial"/>
                          <w:color w:val="FFFFFF" w:themeColor="background1"/>
                          <w:sz w:val="24"/>
                          <w:szCs w:val="24"/>
                        </w:rPr>
                        <w:t xml:space="preserve">: </w:t>
                      </w:r>
                      <w:r w:rsidR="0090641E" w:rsidRPr="0090641E">
                        <w:rPr>
                          <w:rFonts w:ascii="Arial" w:hAnsi="Arial" w:cs="Arial"/>
                          <w:bCs/>
                          <w:color w:val="FFFFFF" w:themeColor="background1"/>
                          <w:sz w:val="24"/>
                          <w:szCs w:val="24"/>
                        </w:rPr>
                        <w:t>a household is defined as</w:t>
                      </w:r>
                      <w:r w:rsidR="009C64F4" w:rsidRPr="0090641E">
                        <w:rPr>
                          <w:rFonts w:ascii="Arial" w:hAnsi="Arial" w:cs="Arial"/>
                          <w:color w:val="FFFFFF" w:themeColor="background1"/>
                          <w:sz w:val="24"/>
                          <w:szCs w:val="24"/>
                        </w:rPr>
                        <w:t xml:space="preserve"> one person living alone</w:t>
                      </w:r>
                      <w:r w:rsidR="0090641E" w:rsidRPr="0090641E">
                        <w:rPr>
                          <w:rFonts w:ascii="Arial" w:hAnsi="Arial" w:cs="Arial"/>
                          <w:color w:val="FFFFFF" w:themeColor="background1"/>
                          <w:sz w:val="24"/>
                          <w:szCs w:val="24"/>
                        </w:rPr>
                        <w:t>,</w:t>
                      </w:r>
                      <w:r w:rsidR="009C64F4" w:rsidRPr="0090641E">
                        <w:rPr>
                          <w:rFonts w:ascii="Arial" w:hAnsi="Arial" w:cs="Arial"/>
                          <w:color w:val="FFFFFF" w:themeColor="background1"/>
                          <w:sz w:val="24"/>
                          <w:szCs w:val="24"/>
                        </w:rPr>
                        <w:t xml:space="preserve"> or a group of people (not necessarily related) living at the same address who share cooking facilities and a living </w:t>
                      </w:r>
                      <w:r w:rsidR="0090641E" w:rsidRPr="0090641E">
                        <w:rPr>
                          <w:rFonts w:ascii="Arial" w:hAnsi="Arial" w:cs="Arial"/>
                          <w:color w:val="FFFFFF" w:themeColor="background1"/>
                          <w:sz w:val="24"/>
                          <w:szCs w:val="24"/>
                        </w:rPr>
                        <w:t xml:space="preserve">/ </w:t>
                      </w:r>
                      <w:r w:rsidR="009C64F4" w:rsidRPr="0090641E">
                        <w:rPr>
                          <w:rFonts w:ascii="Arial" w:hAnsi="Arial" w:cs="Arial"/>
                          <w:color w:val="FFFFFF" w:themeColor="background1"/>
                          <w:sz w:val="24"/>
                          <w:szCs w:val="24"/>
                        </w:rPr>
                        <w:t xml:space="preserve">sitting room or dining area. Further information on household definitions in the Census can be found at </w:t>
                      </w:r>
                      <w:hyperlink r:id="rId19" w:anchor="how-households-are-classified" w:history="1">
                        <w:r w:rsidR="009C64F4" w:rsidRPr="0090641E">
                          <w:rPr>
                            <w:rStyle w:val="Hyperlink"/>
                            <w:rFonts w:cs="Arial"/>
                            <w:b w:val="0"/>
                            <w:bCs/>
                            <w:color w:val="FFFFFF" w:themeColor="background1"/>
                            <w:sz w:val="24"/>
                            <w:szCs w:val="24"/>
                          </w:rPr>
                          <w:t>Families and households statistics explained - Office for National Statistics (ons.gov.uk)</w:t>
                        </w:r>
                      </w:hyperlink>
                    </w:p>
                    <w:p w14:paraId="62E5A11A" w14:textId="3813415E" w:rsidR="000D108F" w:rsidRDefault="00DC2203" w:rsidP="00DC2203">
                      <w:pPr>
                        <w:contextualSpacing/>
                        <w:rPr>
                          <w:rFonts w:ascii="Arial" w:hAnsi="Arial" w:cs="Arial"/>
                          <w:color w:val="FFFFFF" w:themeColor="background1"/>
                          <w:sz w:val="24"/>
                          <w:szCs w:val="24"/>
                        </w:rPr>
                      </w:pPr>
                      <w:r w:rsidRPr="0090641E">
                        <w:rPr>
                          <w:rFonts w:ascii="Arial" w:hAnsi="Arial" w:cs="Arial"/>
                          <w:b/>
                          <w:bCs/>
                          <w:color w:val="FFFFFF" w:themeColor="background1"/>
                          <w:sz w:val="24"/>
                          <w:szCs w:val="24"/>
                        </w:rPr>
                        <w:t>Census day</w:t>
                      </w:r>
                      <w:r w:rsidRPr="0090641E">
                        <w:rPr>
                          <w:rFonts w:ascii="Arial" w:hAnsi="Arial" w:cs="Arial"/>
                          <w:color w:val="FFFFFF" w:themeColor="background1"/>
                          <w:sz w:val="24"/>
                          <w:szCs w:val="24"/>
                        </w:rPr>
                        <w:t xml:space="preserve">: The 2021 census was held in England and Wales on 21 March 2021. Census 2021 was undertaken during the Covid-19 pandemic so may not show normal population and household patterns due to temporary changes in living circumstances during the pandemic for </w:t>
                      </w:r>
                      <w:r w:rsidR="0063724E" w:rsidRPr="0090641E">
                        <w:rPr>
                          <w:rFonts w:ascii="Arial" w:hAnsi="Arial" w:cs="Arial"/>
                          <w:color w:val="FFFFFF" w:themeColor="background1"/>
                          <w:sz w:val="24"/>
                          <w:szCs w:val="24"/>
                        </w:rPr>
                        <w:t>certain</w:t>
                      </w:r>
                      <w:r w:rsidRPr="0090641E">
                        <w:rPr>
                          <w:rFonts w:ascii="Arial" w:hAnsi="Arial" w:cs="Arial"/>
                          <w:color w:val="FFFFFF" w:themeColor="background1"/>
                          <w:sz w:val="24"/>
                          <w:szCs w:val="24"/>
                        </w:rPr>
                        <w:t xml:space="preserve"> households.</w:t>
                      </w:r>
                    </w:p>
                    <w:p w14:paraId="55BF7323" w14:textId="2E3CE3A2" w:rsidR="000C42C0" w:rsidRDefault="000C42C0" w:rsidP="00DC2203">
                      <w:pPr>
                        <w:contextualSpacing/>
                        <w:rPr>
                          <w:rFonts w:ascii="Arial" w:hAnsi="Arial" w:cs="Arial"/>
                          <w:color w:val="FFFFFF" w:themeColor="background1"/>
                          <w:sz w:val="24"/>
                          <w:szCs w:val="24"/>
                        </w:rPr>
                      </w:pPr>
                    </w:p>
                    <w:p w14:paraId="038C6FE5" w14:textId="42930B5F" w:rsidR="000C42C0" w:rsidRPr="004B35B2" w:rsidRDefault="000C42C0" w:rsidP="009017AC">
                      <w:pPr>
                        <w:rPr>
                          <w:rFonts w:ascii="Arial" w:hAnsi="Arial" w:cs="Arial"/>
                          <w:color w:val="FFFFFF" w:themeColor="background1"/>
                          <w:sz w:val="24"/>
                          <w:szCs w:val="24"/>
                        </w:rPr>
                      </w:pPr>
                      <w:r w:rsidRPr="00C5500D">
                        <w:rPr>
                          <w:rFonts w:ascii="Arial" w:hAnsi="Arial" w:cs="Arial"/>
                          <w:color w:val="FFFFFF" w:themeColor="background1"/>
                          <w:sz w:val="24"/>
                          <w:szCs w:val="24"/>
                        </w:rPr>
                        <w:t>The Office for National Statistics (ONS) states the following concerning the census and Covid-19 pandemic</w:t>
                      </w:r>
                      <w:r w:rsidR="006A180A" w:rsidRPr="00C5500D">
                        <w:rPr>
                          <w:rFonts w:ascii="Arial" w:hAnsi="Arial" w:cs="Arial"/>
                          <w:color w:val="FFFFFF" w:themeColor="background1"/>
                          <w:sz w:val="24"/>
                          <w:szCs w:val="24"/>
                        </w:rPr>
                        <w:t xml:space="preserve"> (see </w:t>
                      </w:r>
                      <w:hyperlink r:id="rId20" w:history="1">
                        <w:r w:rsidR="006A180A" w:rsidRPr="00C5500D">
                          <w:rPr>
                            <w:rStyle w:val="Hyperlink"/>
                            <w:rFonts w:cs="Arial"/>
                            <w:b w:val="0"/>
                            <w:bCs/>
                            <w:color w:val="FFFFFF" w:themeColor="background1"/>
                            <w:sz w:val="24"/>
                            <w:szCs w:val="24"/>
                          </w:rPr>
                          <w:t>here</w:t>
                        </w:r>
                      </w:hyperlink>
                      <w:r w:rsidR="006A180A">
                        <w:rPr>
                          <w:rFonts w:ascii="Arial" w:hAnsi="Arial" w:cs="Arial"/>
                          <w:color w:val="FFFFFF" w:themeColor="background1"/>
                          <w:sz w:val="24"/>
                          <w:szCs w:val="24"/>
                        </w:rPr>
                        <w:t>):</w:t>
                      </w:r>
                    </w:p>
                    <w:p w14:paraId="3DAD4E4D" w14:textId="1E280ACA" w:rsidR="000C42C0" w:rsidRPr="004B35B2" w:rsidRDefault="000C42C0" w:rsidP="009017AC">
                      <w:pPr>
                        <w:ind w:left="340"/>
                        <w:rPr>
                          <w:rFonts w:ascii="Arial" w:hAnsi="Arial" w:cs="Arial"/>
                          <w:color w:val="FFFFFF" w:themeColor="background1"/>
                          <w:sz w:val="24"/>
                          <w:szCs w:val="24"/>
                        </w:rPr>
                      </w:pPr>
                      <w:r w:rsidRPr="004B35B2">
                        <w:rPr>
                          <w:rFonts w:ascii="Arial" w:hAnsi="Arial" w:cs="Arial"/>
                          <w:color w:val="FFFFFF" w:themeColor="background1"/>
                          <w:sz w:val="24"/>
                          <w:szCs w:val="24"/>
                        </w:rPr>
                        <w:t>“The coronavirus pandemic may have affected some people's choice of usual residence on Census Day, for example, students and in some urban areas. These changes might have been temporary for some and more long-lasting for others. </w:t>
                      </w:r>
                      <w:hyperlink r:id="rId21" w:anchor="quality-summary" w:history="1">
                        <w:r w:rsidRPr="004B35B2">
                          <w:rPr>
                            <w:rFonts w:ascii="Arial" w:hAnsi="Arial" w:cs="Arial"/>
                            <w:color w:val="FFFFFF" w:themeColor="background1"/>
                            <w:sz w:val="24"/>
                            <w:szCs w:val="24"/>
                          </w:rPr>
                          <w:t>Conducting a census during the coronavirus pandemic</w:t>
                        </w:r>
                      </w:hyperlink>
                      <w:r w:rsidRPr="004B35B2">
                        <w:rPr>
                          <w:rFonts w:ascii="Arial" w:hAnsi="Arial" w:cs="Arial"/>
                          <w:color w:val="FFFFFF" w:themeColor="background1"/>
                          <w:sz w:val="24"/>
                          <w:szCs w:val="24"/>
                        </w:rPr>
                        <w:t> explains what this means for the data.”</w:t>
                      </w:r>
                    </w:p>
                    <w:p w14:paraId="70F579F1" w14:textId="77777777" w:rsidR="000C42C0" w:rsidRPr="004B35B2" w:rsidRDefault="000C42C0" w:rsidP="00DC2203">
                      <w:pPr>
                        <w:contextualSpacing/>
                        <w:rPr>
                          <w:rFonts w:ascii="Arial" w:hAnsi="Arial" w:cs="Arial"/>
                          <w:b/>
                          <w:bCs/>
                          <w:color w:val="FFFFFF" w:themeColor="background1"/>
                          <w:sz w:val="24"/>
                          <w:szCs w:val="24"/>
                        </w:rPr>
                      </w:pPr>
                    </w:p>
                    <w:p w14:paraId="661A5425" w14:textId="77777777" w:rsidR="000C42C0" w:rsidRPr="0090641E" w:rsidRDefault="000C42C0" w:rsidP="00DC2203">
                      <w:pPr>
                        <w:contextualSpacing/>
                        <w:rPr>
                          <w:rFonts w:ascii="Arial" w:hAnsi="Arial" w:cs="Arial"/>
                          <w:color w:val="FFFFFF" w:themeColor="background1"/>
                          <w:sz w:val="24"/>
                          <w:szCs w:val="24"/>
                        </w:rPr>
                      </w:pPr>
                    </w:p>
                  </w:txbxContent>
                </v:textbox>
                <w10:anchorlock/>
              </v:shape>
            </w:pict>
          </mc:Fallback>
        </mc:AlternateContent>
      </w:r>
    </w:p>
    <w:p w14:paraId="2DB5143A" w14:textId="6DE8E8EA" w:rsidR="007518C4" w:rsidRDefault="000D108F" w:rsidP="00396825">
      <w:pPr>
        <w:pStyle w:val="Heading2"/>
      </w:pPr>
      <w:r w:rsidRPr="00C123F7">
        <w:t>Key points</w:t>
      </w:r>
    </w:p>
    <w:p w14:paraId="48057833" w14:textId="7A744B95" w:rsidR="001851B9" w:rsidRPr="00691F82" w:rsidRDefault="001851B9" w:rsidP="006A180A">
      <w:pPr>
        <w:pStyle w:val="ListParagraph"/>
      </w:pPr>
      <w:r w:rsidRPr="00691F82">
        <w:t xml:space="preserve">The </w:t>
      </w:r>
      <w:r w:rsidR="00F47EF5">
        <w:t xml:space="preserve">2021 </w:t>
      </w:r>
      <w:r w:rsidRPr="00691F82">
        <w:t>Census estimated that there were 1,178,2</w:t>
      </w:r>
      <w:r w:rsidR="006208A3">
        <w:t>46</w:t>
      </w:r>
      <w:r w:rsidRPr="00691F82">
        <w:t xml:space="preserve"> households in Greater Manchester </w:t>
      </w:r>
      <w:r w:rsidR="00617059">
        <w:t>–</w:t>
      </w:r>
      <w:r w:rsidRPr="00691F82">
        <w:t xml:space="preserve"> an increase of </w:t>
      </w:r>
      <w:r w:rsidR="00617059">
        <w:t xml:space="preserve">just over </w:t>
      </w:r>
      <w:r w:rsidRPr="00691F82">
        <w:t>50,</w:t>
      </w:r>
      <w:r w:rsidR="00617059">
        <w:t>000</w:t>
      </w:r>
      <w:r w:rsidRPr="00691F82">
        <w:t xml:space="preserve"> </w:t>
      </w:r>
      <w:r w:rsidR="00C844CF">
        <w:t xml:space="preserve">(4.4%) </w:t>
      </w:r>
      <w:r w:rsidRPr="00691F82">
        <w:t xml:space="preserve">since 2011. </w:t>
      </w:r>
      <w:r w:rsidR="00C844CF">
        <w:t>Nationally</w:t>
      </w:r>
      <w:r w:rsidR="00617059">
        <w:t>,</w:t>
      </w:r>
      <w:r w:rsidR="00C844CF">
        <w:t xml:space="preserve"> the increase was</w:t>
      </w:r>
      <w:r w:rsidR="000C43E7">
        <w:t xml:space="preserve"> larger, at</w:t>
      </w:r>
      <w:r w:rsidR="00C844CF">
        <w:t xml:space="preserve"> </w:t>
      </w:r>
      <w:r w:rsidRPr="00691F82">
        <w:t>6.</w:t>
      </w:r>
      <w:r w:rsidR="007D517D">
        <w:t>2</w:t>
      </w:r>
      <w:r w:rsidRPr="00691F82">
        <w:t>%</w:t>
      </w:r>
      <w:r w:rsidR="00C844CF">
        <w:t>.</w:t>
      </w:r>
    </w:p>
    <w:p w14:paraId="610FDC2E" w14:textId="56E73FC3" w:rsidR="000C42C0" w:rsidRPr="00691F82" w:rsidRDefault="00424F56" w:rsidP="006A180A">
      <w:pPr>
        <w:pStyle w:val="ListParagraph"/>
      </w:pPr>
      <w:r>
        <w:t>The number of households increased in a</w:t>
      </w:r>
      <w:r w:rsidR="00E4190A" w:rsidRPr="00691F82">
        <w:t xml:space="preserve">ll </w:t>
      </w:r>
      <w:r w:rsidR="007C31D9">
        <w:t xml:space="preserve">ten of the </w:t>
      </w:r>
      <w:r w:rsidR="00E4190A" w:rsidRPr="00691F82">
        <w:t xml:space="preserve">Greater Manchester </w:t>
      </w:r>
      <w:r w:rsidR="007C31D9">
        <w:t>districts</w:t>
      </w:r>
      <w:r w:rsidR="00E4190A" w:rsidRPr="00691F82">
        <w:t xml:space="preserve"> </w:t>
      </w:r>
      <w:r>
        <w:t>between 2011 and 2021</w:t>
      </w:r>
      <w:r w:rsidR="00617059">
        <w:t>, ranging f</w:t>
      </w:r>
      <w:r w:rsidR="00E4190A" w:rsidRPr="00691F82">
        <w:t xml:space="preserve">rom </w:t>
      </w:r>
      <w:r w:rsidR="00617059">
        <w:t xml:space="preserve">an increase of </w:t>
      </w:r>
      <w:r w:rsidR="00E4190A" w:rsidRPr="00691F82">
        <w:t>11,560 in Salford (</w:t>
      </w:r>
      <w:r w:rsidR="00617059">
        <w:t xml:space="preserve">up </w:t>
      </w:r>
      <w:r w:rsidR="00E4190A" w:rsidRPr="00691F82">
        <w:t>11.2%) to 1,785 in Trafford (</w:t>
      </w:r>
      <w:r w:rsidR="00617059">
        <w:t xml:space="preserve">up </w:t>
      </w:r>
      <w:r w:rsidR="00E4190A" w:rsidRPr="00691F82">
        <w:t xml:space="preserve">1.9%). The percentage increase in Salford was more than double the </w:t>
      </w:r>
      <w:r w:rsidR="000C43E7">
        <w:t xml:space="preserve">growth </w:t>
      </w:r>
      <w:r w:rsidR="00E4190A" w:rsidRPr="00691F82">
        <w:t xml:space="preserve">rate </w:t>
      </w:r>
      <w:r w:rsidR="000C43E7">
        <w:t>in any of the other</w:t>
      </w:r>
      <w:r w:rsidR="00E4190A" w:rsidRPr="00691F82">
        <w:t xml:space="preserve"> Greater Manchester</w:t>
      </w:r>
      <w:r w:rsidR="000C43E7">
        <w:t xml:space="preserve"> districts</w:t>
      </w:r>
      <w:r w:rsidR="006208A3">
        <w:t>.</w:t>
      </w:r>
    </w:p>
    <w:p w14:paraId="6E880EE3" w14:textId="73C5D8E9" w:rsidR="001851B9" w:rsidRDefault="001851B9" w:rsidP="006A180A">
      <w:pPr>
        <w:pStyle w:val="ListParagraph"/>
      </w:pPr>
      <w:r w:rsidRPr="00691F82">
        <w:t xml:space="preserve">The </w:t>
      </w:r>
      <w:r w:rsidR="00722D61">
        <w:t xml:space="preserve">average </w:t>
      </w:r>
      <w:r w:rsidRPr="00691F82">
        <w:t xml:space="preserve">number of residents per household </w:t>
      </w:r>
      <w:r w:rsidR="006208A3">
        <w:t xml:space="preserve">across Greater Manchester </w:t>
      </w:r>
      <w:r w:rsidRPr="00691F82">
        <w:t xml:space="preserve">increased from 2.34 </w:t>
      </w:r>
      <w:r w:rsidR="00722D61">
        <w:t xml:space="preserve">in 2011 </w:t>
      </w:r>
      <w:r w:rsidRPr="00691F82">
        <w:t>to 2.</w:t>
      </w:r>
      <w:r w:rsidR="006208A3">
        <w:t>39</w:t>
      </w:r>
      <w:r w:rsidRPr="00691F82">
        <w:t xml:space="preserve"> </w:t>
      </w:r>
      <w:r w:rsidR="00722D61">
        <w:t>in 2021</w:t>
      </w:r>
      <w:r w:rsidRPr="00691F82">
        <w:t>.</w:t>
      </w:r>
      <w:r w:rsidR="00FF5D4D" w:rsidRPr="00691F82">
        <w:t xml:space="preserve"> </w:t>
      </w:r>
      <w:r w:rsidR="006208A3">
        <w:t xml:space="preserve">The </w:t>
      </w:r>
      <w:r w:rsidR="000C43E7">
        <w:t>largest</w:t>
      </w:r>
      <w:r w:rsidR="006208A3">
        <w:t xml:space="preserve"> increase </w:t>
      </w:r>
      <w:r w:rsidR="000C43E7">
        <w:t>was</w:t>
      </w:r>
      <w:r w:rsidR="006208A3">
        <w:t xml:space="preserve"> in Manchester</w:t>
      </w:r>
      <w:r w:rsidR="000C43E7">
        <w:t>,</w:t>
      </w:r>
      <w:r w:rsidR="006208A3">
        <w:t xml:space="preserve"> with the average household size changing from 2.34 to 2.46 residents per household. Wigan</w:t>
      </w:r>
      <w:r w:rsidR="00B248D8">
        <w:t xml:space="preserve"> was the only Greater Manchester district where</w:t>
      </w:r>
      <w:r w:rsidR="006208A3">
        <w:t xml:space="preserve"> average household size fell</w:t>
      </w:r>
      <w:r w:rsidR="00B248D8">
        <w:t>, albeit only slightly,</w:t>
      </w:r>
      <w:r w:rsidR="006208A3">
        <w:t xml:space="preserve"> from 2.32 to 2.28 residents per household.</w:t>
      </w:r>
    </w:p>
    <w:p w14:paraId="081F542B" w14:textId="3E2FF4E6" w:rsidR="000C42C0" w:rsidRDefault="000C42C0" w:rsidP="006A180A">
      <w:pPr>
        <w:pStyle w:val="ListParagraph"/>
      </w:pPr>
      <w:r>
        <w:t xml:space="preserve">The </w:t>
      </w:r>
      <w:r w:rsidR="006A180A">
        <w:t xml:space="preserve">Census </w:t>
      </w:r>
      <w:r>
        <w:t>was undertaken during the coronavirus pandemic and the number, makeup and distribution of households may not have reflected normal patterns.</w:t>
      </w:r>
    </w:p>
    <w:p w14:paraId="4DA24ADE" w14:textId="77777777" w:rsidR="006A180A" w:rsidRDefault="006A180A">
      <w:pPr>
        <w:rPr>
          <w:rFonts w:ascii="Arial" w:hAnsi="Arial" w:cs="Arial"/>
          <w:b/>
          <w:bCs/>
          <w:color w:val="2C5060" w:themeColor="accent1"/>
          <w:sz w:val="52"/>
          <w:szCs w:val="40"/>
        </w:rPr>
      </w:pPr>
      <w:r>
        <w:br w:type="page"/>
      </w:r>
    </w:p>
    <w:p w14:paraId="647B4A71" w14:textId="79BC735A" w:rsidR="000D108F" w:rsidRPr="006A180A" w:rsidRDefault="003148C2" w:rsidP="00396825">
      <w:pPr>
        <w:pStyle w:val="Heading2"/>
      </w:pPr>
      <w:r w:rsidRPr="006A180A">
        <w:lastRenderedPageBreak/>
        <w:t xml:space="preserve">Main </w:t>
      </w:r>
      <w:r w:rsidR="000D108F" w:rsidRPr="006A180A">
        <w:t>Findings</w:t>
      </w:r>
    </w:p>
    <w:p w14:paraId="035E5F66" w14:textId="4E73F5B4" w:rsidR="00976194" w:rsidRDefault="000245B8" w:rsidP="00691F82">
      <w:pPr>
        <w:rPr>
          <w:rFonts w:ascii="Arial" w:hAnsi="Arial" w:cs="Arial"/>
          <w:sz w:val="24"/>
          <w:szCs w:val="24"/>
        </w:rPr>
      </w:pPr>
      <w:r>
        <w:rPr>
          <w:rFonts w:ascii="Arial" w:hAnsi="Arial" w:cs="Arial"/>
          <w:sz w:val="24"/>
          <w:szCs w:val="24"/>
        </w:rPr>
        <w:t>There were 1,178,246 households in</w:t>
      </w:r>
      <w:r w:rsidR="000C43E7">
        <w:rPr>
          <w:rFonts w:ascii="Arial" w:hAnsi="Arial" w:cs="Arial"/>
          <w:sz w:val="24"/>
          <w:szCs w:val="24"/>
        </w:rPr>
        <w:t xml:space="preserve"> Greater Manchester </w:t>
      </w:r>
      <w:r>
        <w:rPr>
          <w:rFonts w:ascii="Arial" w:hAnsi="Arial" w:cs="Arial"/>
          <w:sz w:val="24"/>
          <w:szCs w:val="24"/>
        </w:rPr>
        <w:t xml:space="preserve">in 2021. The number of </w:t>
      </w:r>
      <w:r w:rsidR="000C43E7">
        <w:rPr>
          <w:rFonts w:ascii="Arial" w:hAnsi="Arial" w:cs="Arial"/>
          <w:sz w:val="24"/>
          <w:szCs w:val="24"/>
        </w:rPr>
        <w:t xml:space="preserve">households </w:t>
      </w:r>
      <w:r>
        <w:rPr>
          <w:rFonts w:ascii="Arial" w:hAnsi="Arial" w:cs="Arial"/>
          <w:sz w:val="24"/>
          <w:szCs w:val="24"/>
        </w:rPr>
        <w:t xml:space="preserve">increased by 50,180 between 2011 and 2021, representing growth of </w:t>
      </w:r>
      <w:r w:rsidR="000C43E7">
        <w:rPr>
          <w:rFonts w:ascii="Arial" w:hAnsi="Arial" w:cs="Arial"/>
          <w:sz w:val="24"/>
          <w:szCs w:val="24"/>
        </w:rPr>
        <w:t>4.4</w:t>
      </w:r>
      <w:r>
        <w:rPr>
          <w:rFonts w:ascii="Arial" w:hAnsi="Arial" w:cs="Arial"/>
          <w:sz w:val="24"/>
          <w:szCs w:val="24"/>
        </w:rPr>
        <w:t>%</w:t>
      </w:r>
      <w:r w:rsidR="000C43E7">
        <w:rPr>
          <w:rFonts w:ascii="Arial" w:hAnsi="Arial" w:cs="Arial"/>
          <w:sz w:val="24"/>
          <w:szCs w:val="24"/>
        </w:rPr>
        <w:t>. This was below the average growth rate for England of 6.2%, and nearly half</w:t>
      </w:r>
      <w:r w:rsidR="006B29DA">
        <w:rPr>
          <w:rFonts w:ascii="Arial" w:hAnsi="Arial" w:cs="Arial"/>
          <w:sz w:val="24"/>
          <w:szCs w:val="24"/>
        </w:rPr>
        <w:t xml:space="preserve"> </w:t>
      </w:r>
      <w:r w:rsidR="000C43E7">
        <w:rPr>
          <w:rFonts w:ascii="Arial" w:hAnsi="Arial" w:cs="Arial"/>
          <w:sz w:val="24"/>
          <w:szCs w:val="24"/>
        </w:rPr>
        <w:t>the 8.4% growth</w:t>
      </w:r>
      <w:r w:rsidR="006B29DA">
        <w:rPr>
          <w:rFonts w:ascii="Arial" w:hAnsi="Arial" w:cs="Arial"/>
          <w:sz w:val="24"/>
          <w:szCs w:val="24"/>
        </w:rPr>
        <w:t xml:space="preserve"> </w:t>
      </w:r>
      <w:r w:rsidR="000C43E7">
        <w:rPr>
          <w:rFonts w:ascii="Arial" w:hAnsi="Arial" w:cs="Arial"/>
          <w:sz w:val="24"/>
          <w:szCs w:val="24"/>
        </w:rPr>
        <w:t xml:space="preserve">seen in Greater Manchester between 2001 and </w:t>
      </w:r>
      <w:r w:rsidR="006B29DA">
        <w:rPr>
          <w:rFonts w:ascii="Arial" w:hAnsi="Arial" w:cs="Arial"/>
          <w:sz w:val="24"/>
          <w:szCs w:val="24"/>
        </w:rPr>
        <w:t>2011.</w:t>
      </w:r>
    </w:p>
    <w:p w14:paraId="51A5D5CD" w14:textId="50D2F265" w:rsidR="000245B8" w:rsidRDefault="000245B8" w:rsidP="00691F82">
      <w:pPr>
        <w:rPr>
          <w:rFonts w:ascii="Arial" w:hAnsi="Arial" w:cs="Arial"/>
          <w:sz w:val="24"/>
          <w:szCs w:val="24"/>
        </w:rPr>
      </w:pPr>
      <w:r>
        <w:rPr>
          <w:rFonts w:ascii="Arial" w:hAnsi="Arial" w:cs="Arial"/>
          <w:sz w:val="24"/>
          <w:szCs w:val="24"/>
        </w:rPr>
        <w:t xml:space="preserve">Although the number of households increased in all ten of the Greater Manchester districts between 2011 and 2021, there was considerable variance. Salford saw a much higher increase than the other districts, with 11,560 additional households </w:t>
      </w:r>
      <w:r w:rsidR="00DD25DE">
        <w:rPr>
          <w:rFonts w:ascii="Arial" w:hAnsi="Arial" w:cs="Arial"/>
          <w:sz w:val="24"/>
          <w:szCs w:val="24"/>
        </w:rPr>
        <w:t>by</w:t>
      </w:r>
      <w:r>
        <w:rPr>
          <w:rFonts w:ascii="Arial" w:hAnsi="Arial" w:cs="Arial"/>
          <w:sz w:val="24"/>
          <w:szCs w:val="24"/>
        </w:rPr>
        <w:t xml:space="preserve"> 2021; this equated to a growth rate of 11.2%, more than double that in </w:t>
      </w:r>
      <w:r w:rsidR="005E048C">
        <w:rPr>
          <w:rFonts w:ascii="Arial" w:hAnsi="Arial" w:cs="Arial"/>
          <w:sz w:val="24"/>
          <w:szCs w:val="24"/>
        </w:rPr>
        <w:t>the districts with the next largest percentage increases (Manchester,</w:t>
      </w:r>
      <w:r>
        <w:rPr>
          <w:rFonts w:ascii="Arial" w:hAnsi="Arial" w:cs="Arial"/>
          <w:sz w:val="24"/>
          <w:szCs w:val="24"/>
        </w:rPr>
        <w:t xml:space="preserve"> Tameside and </w:t>
      </w:r>
      <w:r w:rsidR="005E048C">
        <w:rPr>
          <w:rFonts w:ascii="Arial" w:hAnsi="Arial" w:cs="Arial"/>
          <w:sz w:val="24"/>
          <w:szCs w:val="24"/>
        </w:rPr>
        <w:t>Wigan</w:t>
      </w:r>
      <w:r>
        <w:rPr>
          <w:rFonts w:ascii="Arial" w:hAnsi="Arial" w:cs="Arial"/>
          <w:sz w:val="24"/>
          <w:szCs w:val="24"/>
        </w:rPr>
        <w:t>)</w:t>
      </w:r>
      <w:r w:rsidR="005E048C">
        <w:rPr>
          <w:rFonts w:ascii="Arial" w:hAnsi="Arial" w:cs="Arial"/>
          <w:sz w:val="24"/>
          <w:szCs w:val="24"/>
        </w:rPr>
        <w:t xml:space="preserve">, and the second highest </w:t>
      </w:r>
      <w:r w:rsidR="00EF755A">
        <w:rPr>
          <w:rFonts w:ascii="Arial" w:hAnsi="Arial" w:cs="Arial"/>
          <w:sz w:val="24"/>
          <w:szCs w:val="24"/>
        </w:rPr>
        <w:t>of</w:t>
      </w:r>
      <w:r w:rsidR="005E048C">
        <w:rPr>
          <w:rFonts w:ascii="Arial" w:hAnsi="Arial" w:cs="Arial"/>
          <w:sz w:val="24"/>
          <w:szCs w:val="24"/>
        </w:rPr>
        <w:t xml:space="preserve"> the North West districts</w:t>
      </w:r>
      <w:r>
        <w:rPr>
          <w:rFonts w:ascii="Arial" w:hAnsi="Arial" w:cs="Arial"/>
          <w:sz w:val="24"/>
          <w:szCs w:val="24"/>
        </w:rPr>
        <w:t>.</w:t>
      </w:r>
      <w:r w:rsidR="005E048C">
        <w:rPr>
          <w:rFonts w:ascii="Arial" w:hAnsi="Arial" w:cs="Arial"/>
          <w:sz w:val="24"/>
          <w:szCs w:val="24"/>
        </w:rPr>
        <w:t xml:space="preserve"> Conversely, </w:t>
      </w:r>
      <w:r w:rsidR="006A180A">
        <w:rPr>
          <w:rFonts w:ascii="Arial" w:hAnsi="Arial" w:cs="Arial"/>
          <w:sz w:val="24"/>
          <w:szCs w:val="24"/>
        </w:rPr>
        <w:t xml:space="preserve">amongst the ten Greater Manchester districts, </w:t>
      </w:r>
      <w:r w:rsidR="005E048C">
        <w:rPr>
          <w:rFonts w:ascii="Arial" w:hAnsi="Arial" w:cs="Arial"/>
          <w:sz w:val="24"/>
          <w:szCs w:val="24"/>
        </w:rPr>
        <w:t>Trafford saw the lowest growth in both numeric and percentage terms, with 1,785 additional households over the period, a 1.9% increase.</w:t>
      </w:r>
    </w:p>
    <w:p w14:paraId="2331BF69" w14:textId="74450850" w:rsidR="00C37879" w:rsidRDefault="00FF5D4D">
      <w:pPr>
        <w:rPr>
          <w:rFonts w:ascii="Arial" w:hAnsi="Arial" w:cs="Arial"/>
          <w:sz w:val="24"/>
          <w:szCs w:val="24"/>
        </w:rPr>
      </w:pPr>
      <w:r w:rsidRPr="00691F82">
        <w:rPr>
          <w:rFonts w:ascii="Arial" w:hAnsi="Arial" w:cs="Arial"/>
          <w:sz w:val="24"/>
          <w:szCs w:val="24"/>
        </w:rPr>
        <w:t>The increase in</w:t>
      </w:r>
      <w:r w:rsidR="00AA5441">
        <w:rPr>
          <w:rFonts w:ascii="Arial" w:hAnsi="Arial" w:cs="Arial"/>
          <w:sz w:val="24"/>
          <w:szCs w:val="24"/>
        </w:rPr>
        <w:t xml:space="preserve"> the number of</w:t>
      </w:r>
      <w:r w:rsidRPr="00691F82">
        <w:rPr>
          <w:rFonts w:ascii="Arial" w:hAnsi="Arial" w:cs="Arial"/>
          <w:sz w:val="24"/>
          <w:szCs w:val="24"/>
        </w:rPr>
        <w:t xml:space="preserve"> </w:t>
      </w:r>
      <w:r w:rsidR="00F47EF5">
        <w:rPr>
          <w:rFonts w:ascii="Arial" w:hAnsi="Arial" w:cs="Arial"/>
          <w:sz w:val="24"/>
          <w:szCs w:val="24"/>
        </w:rPr>
        <w:t xml:space="preserve">households in </w:t>
      </w:r>
      <w:r w:rsidRPr="00691F82">
        <w:rPr>
          <w:rFonts w:ascii="Arial" w:hAnsi="Arial" w:cs="Arial"/>
          <w:sz w:val="24"/>
          <w:szCs w:val="24"/>
        </w:rPr>
        <w:t>Manchester</w:t>
      </w:r>
      <w:r w:rsidR="00B248D8">
        <w:rPr>
          <w:rFonts w:ascii="Arial" w:hAnsi="Arial" w:cs="Arial"/>
          <w:sz w:val="24"/>
          <w:szCs w:val="24"/>
        </w:rPr>
        <w:t xml:space="preserve"> and </w:t>
      </w:r>
      <w:r w:rsidR="00B248D8" w:rsidRPr="00691F82">
        <w:rPr>
          <w:rFonts w:ascii="Arial" w:hAnsi="Arial" w:cs="Arial"/>
          <w:sz w:val="24"/>
          <w:szCs w:val="24"/>
        </w:rPr>
        <w:t>Salford</w:t>
      </w:r>
      <w:r w:rsidR="00AA5441" w:rsidRPr="00AA5441">
        <w:rPr>
          <w:rFonts w:ascii="Arial" w:hAnsi="Arial" w:cs="Arial"/>
          <w:sz w:val="24"/>
          <w:szCs w:val="24"/>
        </w:rPr>
        <w:t xml:space="preserve"> </w:t>
      </w:r>
      <w:r w:rsidR="00AA5441" w:rsidRPr="00691F82">
        <w:rPr>
          <w:rFonts w:ascii="Arial" w:hAnsi="Arial" w:cs="Arial"/>
          <w:sz w:val="24"/>
          <w:szCs w:val="24"/>
        </w:rPr>
        <w:t>combined</w:t>
      </w:r>
      <w:r w:rsidRPr="00691F82">
        <w:rPr>
          <w:rFonts w:ascii="Arial" w:hAnsi="Arial" w:cs="Arial"/>
          <w:sz w:val="24"/>
          <w:szCs w:val="24"/>
        </w:rPr>
        <w:t xml:space="preserve"> (</w:t>
      </w:r>
      <w:r w:rsidR="00AA5441">
        <w:rPr>
          <w:rFonts w:ascii="Arial" w:hAnsi="Arial" w:cs="Arial"/>
          <w:sz w:val="24"/>
          <w:szCs w:val="24"/>
        </w:rPr>
        <w:t xml:space="preserve">an additional </w:t>
      </w:r>
      <w:r w:rsidRPr="00691F82">
        <w:rPr>
          <w:rFonts w:ascii="Arial" w:hAnsi="Arial" w:cs="Arial"/>
          <w:sz w:val="24"/>
          <w:szCs w:val="24"/>
        </w:rPr>
        <w:t xml:space="preserve">21,325) accounted for 42.5% of the </w:t>
      </w:r>
      <w:r w:rsidR="005E048C">
        <w:rPr>
          <w:rFonts w:ascii="Arial" w:hAnsi="Arial" w:cs="Arial"/>
          <w:sz w:val="24"/>
          <w:szCs w:val="24"/>
        </w:rPr>
        <w:t xml:space="preserve">overall </w:t>
      </w:r>
      <w:r w:rsidRPr="00691F82">
        <w:rPr>
          <w:rFonts w:ascii="Arial" w:hAnsi="Arial" w:cs="Arial"/>
          <w:sz w:val="24"/>
          <w:szCs w:val="24"/>
        </w:rPr>
        <w:t>increase across Greater Manchester</w:t>
      </w:r>
      <w:r w:rsidR="00B248D8">
        <w:rPr>
          <w:rFonts w:ascii="Arial" w:hAnsi="Arial" w:cs="Arial"/>
          <w:sz w:val="24"/>
          <w:szCs w:val="24"/>
        </w:rPr>
        <w:t xml:space="preserve"> between 2011 and 2021</w:t>
      </w:r>
      <w:r w:rsidRPr="00691F82">
        <w:rPr>
          <w:rFonts w:ascii="Arial" w:hAnsi="Arial" w:cs="Arial"/>
          <w:sz w:val="24"/>
          <w:szCs w:val="24"/>
        </w:rPr>
        <w:t>.</w:t>
      </w:r>
    </w:p>
    <w:p w14:paraId="0AB9D9A2" w14:textId="375F6B72" w:rsidR="00795453" w:rsidRDefault="00795453" w:rsidP="00795453">
      <w:pPr>
        <w:pStyle w:val="BodyText"/>
        <w:ind w:left="567" w:hanging="567"/>
        <w:rPr>
          <w:rFonts w:ascii="Arial" w:eastAsia="Times New Roman" w:hAnsi="Arial" w:cs="Arial"/>
          <w:b/>
          <w:bCs/>
          <w:sz w:val="24"/>
          <w:szCs w:val="24"/>
          <w:lang w:eastAsia="en-GB"/>
        </w:rPr>
      </w:pPr>
      <w:r w:rsidRPr="000C358B">
        <w:rPr>
          <w:rFonts w:ascii="Arial" w:eastAsia="Times New Roman" w:hAnsi="Arial" w:cs="Arial"/>
          <w:b/>
          <w:bCs/>
          <w:sz w:val="24"/>
          <w:szCs w:val="24"/>
          <w:lang w:eastAsia="en-GB"/>
        </w:rPr>
        <w:t>Number of households</w:t>
      </w:r>
      <w:r w:rsidR="007C31D9">
        <w:rPr>
          <w:rFonts w:ascii="Arial" w:eastAsia="Times New Roman" w:hAnsi="Arial" w:cs="Arial"/>
          <w:b/>
          <w:bCs/>
          <w:sz w:val="24"/>
          <w:szCs w:val="24"/>
          <w:lang w:eastAsia="en-GB"/>
        </w:rPr>
        <w:t>,</w:t>
      </w:r>
      <w:r w:rsidRPr="000C358B">
        <w:rPr>
          <w:rFonts w:ascii="Arial" w:eastAsia="Times New Roman" w:hAnsi="Arial" w:cs="Arial"/>
          <w:b/>
          <w:bCs/>
          <w:sz w:val="24"/>
          <w:szCs w:val="24"/>
          <w:lang w:eastAsia="en-GB"/>
        </w:rPr>
        <w:t xml:space="preserve"> </w:t>
      </w:r>
      <w:r>
        <w:rPr>
          <w:rFonts w:ascii="Arial" w:eastAsia="Times New Roman" w:hAnsi="Arial" w:cs="Arial"/>
          <w:b/>
          <w:bCs/>
          <w:sz w:val="24"/>
          <w:szCs w:val="24"/>
          <w:lang w:eastAsia="en-GB"/>
        </w:rPr>
        <w:t>2011 and 2021</w:t>
      </w:r>
    </w:p>
    <w:tbl>
      <w:tblPr>
        <w:tblStyle w:val="GridTable5Dark-Accent1"/>
        <w:tblW w:w="9781" w:type="dxa"/>
        <w:tblInd w:w="-5" w:type="dxa"/>
        <w:tblLayout w:type="fixed"/>
        <w:tblCellMar>
          <w:top w:w="57" w:type="dxa"/>
          <w:left w:w="57" w:type="dxa"/>
          <w:bottom w:w="57" w:type="dxa"/>
          <w:right w:w="57" w:type="dxa"/>
        </w:tblCellMar>
        <w:tblLook w:val="04A0" w:firstRow="1" w:lastRow="0" w:firstColumn="1" w:lastColumn="0" w:noHBand="0" w:noVBand="1"/>
        <w:tblDescription w:val="A table that provides data for each of the Greater Manchester districts on the number of households in 2011 and 2021, and the change in both numeric and percentage terms.  It also provides the data for Greater Manchester as a whole, and comparator data for the North West and England.  Key findings from the data are outlined in the paragraph above the table."/>
      </w:tblPr>
      <w:tblGrid>
        <w:gridCol w:w="1843"/>
        <w:gridCol w:w="1559"/>
        <w:gridCol w:w="1560"/>
        <w:gridCol w:w="2296"/>
        <w:gridCol w:w="2523"/>
      </w:tblGrid>
      <w:tr w:rsidR="00383B50" w:rsidRPr="00595CDF" w14:paraId="3ADCA6C3" w14:textId="77777777" w:rsidTr="004B35B2">
        <w:trPr>
          <w:cnfStyle w:val="100000000000" w:firstRow="1" w:lastRow="0" w:firstColumn="0" w:lastColumn="0" w:oddVBand="0" w:evenVBand="0" w:oddHBand="0" w:evenHBand="0" w:firstRowFirstColumn="0" w:firstRowLastColumn="0" w:lastRowFirstColumn="0" w:lastRowLastColumn="0"/>
          <w:trHeight w:hRule="exact" w:val="635"/>
        </w:trPr>
        <w:tc>
          <w:tcPr>
            <w:cnfStyle w:val="001000000000" w:firstRow="0" w:lastRow="0" w:firstColumn="1" w:lastColumn="0" w:oddVBand="0" w:evenVBand="0" w:oddHBand="0" w:evenHBand="0" w:firstRowFirstColumn="0" w:firstRowLastColumn="0" w:lastRowFirstColumn="0" w:lastRowLastColumn="0"/>
            <w:tcW w:w="1843" w:type="dxa"/>
            <w:hideMark/>
          </w:tcPr>
          <w:p w14:paraId="37385553" w14:textId="1CA41A94" w:rsidR="00383B50" w:rsidRPr="008135A3" w:rsidRDefault="00383B50" w:rsidP="00557D30">
            <w:pPr>
              <w:ind w:left="142"/>
              <w:rPr>
                <w:rFonts w:ascii="Arial" w:hAnsi="Arial" w:cs="Arial"/>
                <w:b w:val="0"/>
                <w:bCs w:val="0"/>
                <w:i/>
                <w:iCs/>
                <w:sz w:val="24"/>
                <w:szCs w:val="24"/>
              </w:rPr>
            </w:pPr>
            <w:r w:rsidRPr="00C15BB3">
              <w:rPr>
                <w:rFonts w:ascii="Arial" w:hAnsi="Arial" w:cs="Arial"/>
                <w:i/>
                <w:iCs/>
                <w:sz w:val="24"/>
                <w:szCs w:val="24"/>
              </w:rPr>
              <w:t>District</w:t>
            </w:r>
          </w:p>
        </w:tc>
        <w:tc>
          <w:tcPr>
            <w:tcW w:w="1559" w:type="dxa"/>
          </w:tcPr>
          <w:p w14:paraId="0F5139AD" w14:textId="575BBB6F" w:rsidR="00383B50" w:rsidRPr="00595CDF" w:rsidRDefault="00383B50" w:rsidP="00557D30">
            <w:pPr>
              <w:ind w:left="142" w:right="234"/>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C358B">
              <w:rPr>
                <w:rFonts w:ascii="Arial" w:eastAsia="Times New Roman" w:hAnsi="Arial" w:cs="Arial"/>
                <w:sz w:val="24"/>
                <w:szCs w:val="24"/>
                <w:lang w:eastAsia="en-GB"/>
              </w:rPr>
              <w:t>2011</w:t>
            </w:r>
          </w:p>
        </w:tc>
        <w:tc>
          <w:tcPr>
            <w:tcW w:w="1560" w:type="dxa"/>
          </w:tcPr>
          <w:p w14:paraId="38EFE07F" w14:textId="61240FF8" w:rsidR="00383B50" w:rsidRPr="00595CDF" w:rsidRDefault="00383B50" w:rsidP="00557D30">
            <w:pPr>
              <w:ind w:left="142" w:right="82"/>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0C358B">
              <w:rPr>
                <w:rFonts w:ascii="Arial" w:eastAsia="Times New Roman" w:hAnsi="Arial" w:cs="Arial"/>
                <w:sz w:val="24"/>
                <w:szCs w:val="24"/>
                <w:lang w:eastAsia="en-GB"/>
              </w:rPr>
              <w:t>2021</w:t>
            </w:r>
          </w:p>
        </w:tc>
        <w:tc>
          <w:tcPr>
            <w:tcW w:w="2296" w:type="dxa"/>
          </w:tcPr>
          <w:p w14:paraId="7F07DAA9" w14:textId="2AD137B9" w:rsidR="00383B50" w:rsidRDefault="00383B50" w:rsidP="00383B50">
            <w:pPr>
              <w:ind w:right="82"/>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GB"/>
              </w:rPr>
            </w:pPr>
            <w:r w:rsidRPr="000C358B">
              <w:rPr>
                <w:rFonts w:ascii="Arial" w:eastAsia="Times New Roman" w:hAnsi="Arial" w:cs="Arial"/>
                <w:sz w:val="24"/>
                <w:szCs w:val="24"/>
                <w:lang w:eastAsia="en-GB"/>
              </w:rPr>
              <w:t>Household</w:t>
            </w:r>
            <w:r w:rsidR="001870C7">
              <w:rPr>
                <w:rFonts w:ascii="Arial" w:eastAsia="Times New Roman" w:hAnsi="Arial" w:cs="Arial"/>
                <w:sz w:val="24"/>
                <w:szCs w:val="24"/>
                <w:lang w:eastAsia="en-GB"/>
              </w:rPr>
              <w:t xml:space="preserve"> </w:t>
            </w:r>
            <w:r>
              <w:rPr>
                <w:rFonts w:ascii="Arial" w:eastAsia="Times New Roman" w:hAnsi="Arial" w:cs="Arial"/>
                <w:sz w:val="24"/>
                <w:szCs w:val="24"/>
                <w:lang w:eastAsia="en-GB"/>
              </w:rPr>
              <w:t>c</w:t>
            </w:r>
            <w:r w:rsidRPr="000C358B">
              <w:rPr>
                <w:rFonts w:ascii="Arial" w:eastAsia="Times New Roman" w:hAnsi="Arial" w:cs="Arial"/>
                <w:sz w:val="24"/>
                <w:szCs w:val="24"/>
                <w:lang w:eastAsia="en-GB"/>
              </w:rPr>
              <w:t>hange</w:t>
            </w:r>
          </w:p>
          <w:p w14:paraId="5A9B811A" w14:textId="6B5C782F" w:rsidR="00383B50" w:rsidRPr="00595CDF" w:rsidRDefault="00383B50" w:rsidP="00383B50">
            <w:pPr>
              <w:ind w:left="142" w:right="87"/>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Pr>
                <w:rFonts w:ascii="Arial" w:eastAsia="Times New Roman" w:hAnsi="Arial" w:cs="Arial"/>
                <w:sz w:val="24"/>
                <w:szCs w:val="24"/>
                <w:lang w:eastAsia="en-GB"/>
              </w:rPr>
              <w:t>2011-2021</w:t>
            </w:r>
          </w:p>
        </w:tc>
        <w:tc>
          <w:tcPr>
            <w:tcW w:w="2523" w:type="dxa"/>
          </w:tcPr>
          <w:p w14:paraId="70E39E4F" w14:textId="37538C53" w:rsidR="00383B50" w:rsidRDefault="00383B50" w:rsidP="00383B50">
            <w:pPr>
              <w:ind w:right="82"/>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GB"/>
              </w:rPr>
            </w:pPr>
            <w:r>
              <w:rPr>
                <w:rFonts w:ascii="Arial" w:eastAsia="Times New Roman" w:hAnsi="Arial" w:cs="Arial"/>
                <w:sz w:val="24"/>
                <w:szCs w:val="24"/>
                <w:lang w:eastAsia="en-GB"/>
              </w:rPr>
              <w:t>Percentage</w:t>
            </w:r>
            <w:r w:rsidR="001870C7">
              <w:rPr>
                <w:rFonts w:ascii="Arial" w:eastAsia="Times New Roman" w:hAnsi="Arial" w:cs="Arial"/>
                <w:sz w:val="24"/>
                <w:szCs w:val="24"/>
                <w:lang w:eastAsia="en-GB"/>
              </w:rPr>
              <w:t xml:space="preserve"> </w:t>
            </w:r>
            <w:r>
              <w:rPr>
                <w:rFonts w:ascii="Arial" w:eastAsia="Times New Roman" w:hAnsi="Arial" w:cs="Arial"/>
                <w:sz w:val="24"/>
                <w:szCs w:val="24"/>
                <w:lang w:eastAsia="en-GB"/>
              </w:rPr>
              <w:t>change</w:t>
            </w:r>
          </w:p>
          <w:p w14:paraId="007F9DFD" w14:textId="673D3C26" w:rsidR="00383B50" w:rsidRPr="00595CDF" w:rsidRDefault="00383B50" w:rsidP="00383B50">
            <w:pPr>
              <w:ind w:left="142" w:right="87"/>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Pr>
                <w:rFonts w:ascii="Arial" w:eastAsia="Times New Roman" w:hAnsi="Arial" w:cs="Arial"/>
                <w:sz w:val="24"/>
                <w:szCs w:val="24"/>
                <w:lang w:eastAsia="en-GB"/>
              </w:rPr>
              <w:t>2011-2021</w:t>
            </w:r>
          </w:p>
        </w:tc>
      </w:tr>
      <w:tr w:rsidR="00383B50" w:rsidRPr="008135A3" w14:paraId="65873024" w14:textId="77777777" w:rsidTr="004B35B2">
        <w:trPr>
          <w:cnfStyle w:val="000000100000" w:firstRow="0" w:lastRow="0" w:firstColumn="0" w:lastColumn="0" w:oddVBand="0" w:evenVBand="0" w:oddHBand="1" w:evenHBand="0" w:firstRowFirstColumn="0" w:firstRowLastColumn="0" w:lastRowFirstColumn="0" w:lastRowLastColumn="0"/>
          <w:trHeight w:hRule="exact" w:val="361"/>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DF654FE" w14:textId="77777777" w:rsidR="00383B50" w:rsidRPr="008135A3" w:rsidRDefault="00383B50" w:rsidP="00383B50">
            <w:pPr>
              <w:ind w:left="142"/>
              <w:rPr>
                <w:rFonts w:ascii="Arial" w:hAnsi="Arial" w:cs="Arial"/>
                <w:sz w:val="24"/>
                <w:szCs w:val="24"/>
              </w:rPr>
            </w:pPr>
            <w:r w:rsidRPr="008135A3">
              <w:rPr>
                <w:rFonts w:ascii="Arial" w:hAnsi="Arial" w:cs="Arial"/>
                <w:sz w:val="24"/>
                <w:szCs w:val="24"/>
              </w:rPr>
              <w:t>Bolton</w:t>
            </w:r>
          </w:p>
        </w:tc>
        <w:tc>
          <w:tcPr>
            <w:tcW w:w="1559" w:type="dxa"/>
            <w:noWrap/>
          </w:tcPr>
          <w:p w14:paraId="2E276486" w14:textId="6E49A18B" w:rsidR="00383B50" w:rsidRPr="00383B50" w:rsidRDefault="00383B50" w:rsidP="00383B50">
            <w:pPr>
              <w:ind w:left="142" w:right="234"/>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116,371</w:t>
            </w:r>
          </w:p>
        </w:tc>
        <w:tc>
          <w:tcPr>
            <w:tcW w:w="1560" w:type="dxa"/>
            <w:noWrap/>
          </w:tcPr>
          <w:p w14:paraId="384830C3" w14:textId="19C74B68" w:rsidR="00383B50" w:rsidRPr="00383B50" w:rsidRDefault="00383B50" w:rsidP="00383B50">
            <w:pPr>
              <w:ind w:left="142" w:right="82"/>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118,790</w:t>
            </w:r>
          </w:p>
        </w:tc>
        <w:tc>
          <w:tcPr>
            <w:tcW w:w="2296" w:type="dxa"/>
            <w:noWrap/>
          </w:tcPr>
          <w:p w14:paraId="448378A3" w14:textId="0DA49CA4" w:rsidR="00383B50" w:rsidRPr="00383B50" w:rsidRDefault="00383B50" w:rsidP="00383B50">
            <w:pPr>
              <w:ind w:left="142" w:right="87"/>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2,419</w:t>
            </w:r>
          </w:p>
        </w:tc>
        <w:tc>
          <w:tcPr>
            <w:tcW w:w="2523" w:type="dxa"/>
            <w:noWrap/>
          </w:tcPr>
          <w:p w14:paraId="02B7F037" w14:textId="7F19FA78" w:rsidR="00383B50" w:rsidRPr="00383B50" w:rsidRDefault="00383B50" w:rsidP="00383B50">
            <w:pPr>
              <w:ind w:left="142" w:right="87"/>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D7F33">
              <w:rPr>
                <w:rFonts w:ascii="Arial" w:eastAsia="Times New Roman" w:hAnsi="Arial" w:cs="Arial"/>
                <w:color w:val="000000"/>
                <w:sz w:val="24"/>
                <w:szCs w:val="24"/>
                <w:lang w:eastAsia="en-GB"/>
              </w:rPr>
              <w:t>2.1%</w:t>
            </w:r>
          </w:p>
        </w:tc>
      </w:tr>
      <w:tr w:rsidR="00383B50" w:rsidRPr="008135A3" w14:paraId="1C0C0AFE" w14:textId="77777777" w:rsidTr="004B35B2">
        <w:trPr>
          <w:trHeight w:hRule="exact" w:val="34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E4EBDD5" w14:textId="77777777" w:rsidR="00383B50" w:rsidRPr="008135A3" w:rsidRDefault="00383B50" w:rsidP="00383B50">
            <w:pPr>
              <w:ind w:left="142"/>
              <w:rPr>
                <w:rFonts w:ascii="Arial" w:hAnsi="Arial" w:cs="Arial"/>
                <w:sz w:val="24"/>
                <w:szCs w:val="24"/>
              </w:rPr>
            </w:pPr>
            <w:r w:rsidRPr="008135A3">
              <w:rPr>
                <w:rFonts w:ascii="Arial" w:hAnsi="Arial" w:cs="Arial"/>
                <w:sz w:val="24"/>
                <w:szCs w:val="24"/>
              </w:rPr>
              <w:t>Bury</w:t>
            </w:r>
          </w:p>
        </w:tc>
        <w:tc>
          <w:tcPr>
            <w:tcW w:w="1559" w:type="dxa"/>
            <w:noWrap/>
          </w:tcPr>
          <w:p w14:paraId="7DD55C4E" w14:textId="4C0120DE" w:rsidR="00383B50" w:rsidRPr="00383B50" w:rsidRDefault="00383B50" w:rsidP="00383B50">
            <w:pPr>
              <w:ind w:left="142" w:right="234"/>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78,113</w:t>
            </w:r>
          </w:p>
        </w:tc>
        <w:tc>
          <w:tcPr>
            <w:tcW w:w="1560" w:type="dxa"/>
            <w:noWrap/>
          </w:tcPr>
          <w:p w14:paraId="7D432AEC" w14:textId="6256D4AA" w:rsidR="00383B50" w:rsidRPr="00383B50" w:rsidRDefault="00383B50" w:rsidP="00383B50">
            <w:pPr>
              <w:ind w:left="142" w:right="82"/>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80,697</w:t>
            </w:r>
          </w:p>
        </w:tc>
        <w:tc>
          <w:tcPr>
            <w:tcW w:w="2296" w:type="dxa"/>
            <w:noWrap/>
          </w:tcPr>
          <w:p w14:paraId="14D2930D" w14:textId="38296CCD" w:rsidR="00383B50" w:rsidRPr="00383B50" w:rsidRDefault="00383B50" w:rsidP="00383B50">
            <w:pPr>
              <w:ind w:left="142" w:right="87"/>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2,584</w:t>
            </w:r>
          </w:p>
        </w:tc>
        <w:tc>
          <w:tcPr>
            <w:tcW w:w="2523" w:type="dxa"/>
            <w:noWrap/>
          </w:tcPr>
          <w:p w14:paraId="6D60222D" w14:textId="283FD5A8" w:rsidR="00383B50" w:rsidRPr="00383B50" w:rsidRDefault="00383B50" w:rsidP="00383B50">
            <w:pPr>
              <w:ind w:left="142" w:right="87"/>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D7F33">
              <w:rPr>
                <w:rFonts w:ascii="Arial" w:eastAsia="Times New Roman" w:hAnsi="Arial" w:cs="Arial"/>
                <w:color w:val="000000"/>
                <w:sz w:val="24"/>
                <w:szCs w:val="24"/>
                <w:lang w:eastAsia="en-GB"/>
              </w:rPr>
              <w:t>3.3%</w:t>
            </w:r>
          </w:p>
        </w:tc>
      </w:tr>
      <w:tr w:rsidR="00383B50" w:rsidRPr="008135A3" w14:paraId="6555A7DF" w14:textId="77777777" w:rsidTr="004B35B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50E6275" w14:textId="77777777" w:rsidR="00383B50" w:rsidRPr="008135A3" w:rsidRDefault="00383B50" w:rsidP="00383B50">
            <w:pPr>
              <w:ind w:left="142"/>
              <w:rPr>
                <w:rFonts w:ascii="Arial" w:hAnsi="Arial" w:cs="Arial"/>
                <w:sz w:val="24"/>
                <w:szCs w:val="24"/>
              </w:rPr>
            </w:pPr>
            <w:r w:rsidRPr="008135A3">
              <w:rPr>
                <w:rFonts w:ascii="Arial" w:hAnsi="Arial" w:cs="Arial"/>
                <w:sz w:val="24"/>
                <w:szCs w:val="24"/>
              </w:rPr>
              <w:t>Manchester</w:t>
            </w:r>
          </w:p>
        </w:tc>
        <w:tc>
          <w:tcPr>
            <w:tcW w:w="1559" w:type="dxa"/>
            <w:noWrap/>
          </w:tcPr>
          <w:p w14:paraId="63E3CE1C" w14:textId="7875E8AF" w:rsidR="00383B50" w:rsidRPr="00383B50" w:rsidRDefault="00383B50" w:rsidP="00383B50">
            <w:pPr>
              <w:ind w:left="142" w:right="234"/>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204,969</w:t>
            </w:r>
          </w:p>
        </w:tc>
        <w:tc>
          <w:tcPr>
            <w:tcW w:w="1560" w:type="dxa"/>
            <w:noWrap/>
          </w:tcPr>
          <w:p w14:paraId="3566FD70" w14:textId="5E6C88AB" w:rsidR="00383B50" w:rsidRPr="00383B50" w:rsidRDefault="00383B50" w:rsidP="00383B50">
            <w:pPr>
              <w:ind w:left="142" w:right="82"/>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214,734</w:t>
            </w:r>
          </w:p>
        </w:tc>
        <w:tc>
          <w:tcPr>
            <w:tcW w:w="2296" w:type="dxa"/>
            <w:noWrap/>
          </w:tcPr>
          <w:p w14:paraId="4B156F6E" w14:textId="04C3F525" w:rsidR="00383B50" w:rsidRPr="00383B50" w:rsidRDefault="00383B50" w:rsidP="00383B50">
            <w:pPr>
              <w:ind w:left="142" w:right="87"/>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9,765</w:t>
            </w:r>
          </w:p>
        </w:tc>
        <w:tc>
          <w:tcPr>
            <w:tcW w:w="2523" w:type="dxa"/>
            <w:noWrap/>
          </w:tcPr>
          <w:p w14:paraId="10609C37" w14:textId="6CA04AEE" w:rsidR="00383B50" w:rsidRPr="00383B50" w:rsidRDefault="00383B50" w:rsidP="00383B50">
            <w:pPr>
              <w:ind w:left="142" w:right="87"/>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D7F33">
              <w:rPr>
                <w:rFonts w:ascii="Arial" w:eastAsia="Times New Roman" w:hAnsi="Arial" w:cs="Arial"/>
                <w:color w:val="000000"/>
                <w:sz w:val="24"/>
                <w:szCs w:val="24"/>
                <w:lang w:eastAsia="en-GB"/>
              </w:rPr>
              <w:t>4.8%</w:t>
            </w:r>
          </w:p>
        </w:tc>
      </w:tr>
      <w:tr w:rsidR="00383B50" w:rsidRPr="008135A3" w14:paraId="7F2BCE23" w14:textId="77777777" w:rsidTr="004B35B2">
        <w:trPr>
          <w:trHeight w:hRule="exact" w:val="34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215F134" w14:textId="77777777" w:rsidR="00383B50" w:rsidRPr="008135A3" w:rsidRDefault="00383B50" w:rsidP="00383B50">
            <w:pPr>
              <w:ind w:left="142"/>
              <w:rPr>
                <w:rFonts w:ascii="Arial" w:hAnsi="Arial" w:cs="Arial"/>
                <w:sz w:val="24"/>
                <w:szCs w:val="24"/>
              </w:rPr>
            </w:pPr>
            <w:r w:rsidRPr="008135A3">
              <w:rPr>
                <w:rFonts w:ascii="Arial" w:hAnsi="Arial" w:cs="Arial"/>
                <w:sz w:val="24"/>
                <w:szCs w:val="24"/>
              </w:rPr>
              <w:t>Oldham</w:t>
            </w:r>
          </w:p>
        </w:tc>
        <w:tc>
          <w:tcPr>
            <w:tcW w:w="1559" w:type="dxa"/>
            <w:noWrap/>
          </w:tcPr>
          <w:p w14:paraId="3ED30D8A" w14:textId="5E090876" w:rsidR="00383B50" w:rsidRPr="00383B50" w:rsidRDefault="00383B50" w:rsidP="00383B50">
            <w:pPr>
              <w:ind w:left="142" w:right="234"/>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89,703</w:t>
            </w:r>
          </w:p>
        </w:tc>
        <w:tc>
          <w:tcPr>
            <w:tcW w:w="1560" w:type="dxa"/>
            <w:noWrap/>
          </w:tcPr>
          <w:p w14:paraId="41BB4312" w14:textId="1B968743" w:rsidR="00383B50" w:rsidRPr="00383B50" w:rsidRDefault="00383B50" w:rsidP="00383B50">
            <w:pPr>
              <w:ind w:left="142" w:right="82"/>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93,140</w:t>
            </w:r>
          </w:p>
        </w:tc>
        <w:tc>
          <w:tcPr>
            <w:tcW w:w="2296" w:type="dxa"/>
            <w:noWrap/>
          </w:tcPr>
          <w:p w14:paraId="4808DE82" w14:textId="78CFDA7F" w:rsidR="00383B50" w:rsidRPr="00383B50" w:rsidRDefault="00383B50" w:rsidP="00383B50">
            <w:pPr>
              <w:ind w:left="142" w:right="87"/>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3,437</w:t>
            </w:r>
          </w:p>
        </w:tc>
        <w:tc>
          <w:tcPr>
            <w:tcW w:w="2523" w:type="dxa"/>
            <w:noWrap/>
          </w:tcPr>
          <w:p w14:paraId="174CFA52" w14:textId="58FE2D13" w:rsidR="00383B50" w:rsidRPr="00383B50" w:rsidRDefault="00383B50" w:rsidP="00383B50">
            <w:pPr>
              <w:ind w:left="142" w:right="87"/>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D7F33">
              <w:rPr>
                <w:rFonts w:ascii="Arial" w:eastAsia="Times New Roman" w:hAnsi="Arial" w:cs="Arial"/>
                <w:color w:val="000000"/>
                <w:sz w:val="24"/>
                <w:szCs w:val="24"/>
                <w:lang w:eastAsia="en-GB"/>
              </w:rPr>
              <w:t>3.8%</w:t>
            </w:r>
          </w:p>
        </w:tc>
      </w:tr>
      <w:tr w:rsidR="00383B50" w:rsidRPr="008135A3" w14:paraId="5E3F1AF0" w14:textId="77777777" w:rsidTr="004B35B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E901750" w14:textId="77777777" w:rsidR="00383B50" w:rsidRPr="008135A3" w:rsidRDefault="00383B50" w:rsidP="00383B50">
            <w:pPr>
              <w:ind w:left="142"/>
              <w:rPr>
                <w:rFonts w:ascii="Arial" w:hAnsi="Arial" w:cs="Arial"/>
                <w:sz w:val="24"/>
                <w:szCs w:val="24"/>
              </w:rPr>
            </w:pPr>
            <w:r w:rsidRPr="008135A3">
              <w:rPr>
                <w:rFonts w:ascii="Arial" w:hAnsi="Arial" w:cs="Arial"/>
                <w:sz w:val="24"/>
                <w:szCs w:val="24"/>
              </w:rPr>
              <w:t>Rochdale</w:t>
            </w:r>
          </w:p>
        </w:tc>
        <w:tc>
          <w:tcPr>
            <w:tcW w:w="1559" w:type="dxa"/>
            <w:noWrap/>
          </w:tcPr>
          <w:p w14:paraId="08DB48FC" w14:textId="1627BC3A" w:rsidR="00383B50" w:rsidRPr="00383B50" w:rsidRDefault="00383B50" w:rsidP="00383B50">
            <w:pPr>
              <w:ind w:left="142" w:right="234"/>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87,552</w:t>
            </w:r>
          </w:p>
        </w:tc>
        <w:tc>
          <w:tcPr>
            <w:tcW w:w="1560" w:type="dxa"/>
            <w:noWrap/>
          </w:tcPr>
          <w:p w14:paraId="5F8B94C1" w14:textId="0D6CB14C" w:rsidR="00383B50" w:rsidRPr="00383B50" w:rsidRDefault="00383B50" w:rsidP="00383B50">
            <w:pPr>
              <w:ind w:left="142" w:right="82"/>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90,223</w:t>
            </w:r>
          </w:p>
        </w:tc>
        <w:tc>
          <w:tcPr>
            <w:tcW w:w="2296" w:type="dxa"/>
            <w:noWrap/>
          </w:tcPr>
          <w:p w14:paraId="08D6AC93" w14:textId="1DDA7B3E" w:rsidR="00383B50" w:rsidRPr="00383B50" w:rsidRDefault="00383B50" w:rsidP="00383B50">
            <w:pPr>
              <w:ind w:left="142" w:right="87"/>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2,671</w:t>
            </w:r>
          </w:p>
        </w:tc>
        <w:tc>
          <w:tcPr>
            <w:tcW w:w="2523" w:type="dxa"/>
            <w:noWrap/>
          </w:tcPr>
          <w:p w14:paraId="2EA72B91" w14:textId="61B6A9B3" w:rsidR="00383B50" w:rsidRPr="00383B50" w:rsidRDefault="00383B50" w:rsidP="00383B50">
            <w:pPr>
              <w:ind w:left="142" w:right="87"/>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D7F33">
              <w:rPr>
                <w:rFonts w:ascii="Arial" w:eastAsia="Times New Roman" w:hAnsi="Arial" w:cs="Arial"/>
                <w:color w:val="000000"/>
                <w:sz w:val="24"/>
                <w:szCs w:val="24"/>
                <w:lang w:eastAsia="en-GB"/>
              </w:rPr>
              <w:t>3.1%</w:t>
            </w:r>
          </w:p>
        </w:tc>
      </w:tr>
      <w:tr w:rsidR="00383B50" w:rsidRPr="008135A3" w14:paraId="7ADAFD57" w14:textId="77777777" w:rsidTr="004B35B2">
        <w:trPr>
          <w:trHeight w:hRule="exact" w:val="34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5F94B0B" w14:textId="77777777" w:rsidR="00383B50" w:rsidRPr="008135A3" w:rsidRDefault="00383B50" w:rsidP="00383B50">
            <w:pPr>
              <w:ind w:left="142"/>
              <w:rPr>
                <w:rFonts w:ascii="Arial" w:hAnsi="Arial" w:cs="Arial"/>
                <w:sz w:val="24"/>
                <w:szCs w:val="24"/>
              </w:rPr>
            </w:pPr>
            <w:r w:rsidRPr="008135A3">
              <w:rPr>
                <w:rFonts w:ascii="Arial" w:hAnsi="Arial" w:cs="Arial"/>
                <w:sz w:val="24"/>
                <w:szCs w:val="24"/>
              </w:rPr>
              <w:t>Salford</w:t>
            </w:r>
          </w:p>
        </w:tc>
        <w:tc>
          <w:tcPr>
            <w:tcW w:w="1559" w:type="dxa"/>
            <w:noWrap/>
          </w:tcPr>
          <w:p w14:paraId="37C0C761" w14:textId="48DC364A" w:rsidR="00383B50" w:rsidRPr="00383B50" w:rsidRDefault="00383B50" w:rsidP="00383B50">
            <w:pPr>
              <w:ind w:left="142" w:right="234"/>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103,556</w:t>
            </w:r>
          </w:p>
        </w:tc>
        <w:tc>
          <w:tcPr>
            <w:tcW w:w="1560" w:type="dxa"/>
            <w:noWrap/>
          </w:tcPr>
          <w:p w14:paraId="79AD9AAB" w14:textId="431B9B63" w:rsidR="00383B50" w:rsidRPr="00383B50" w:rsidRDefault="00383B50" w:rsidP="00383B50">
            <w:pPr>
              <w:ind w:left="142" w:right="82"/>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115,116</w:t>
            </w:r>
          </w:p>
        </w:tc>
        <w:tc>
          <w:tcPr>
            <w:tcW w:w="2296" w:type="dxa"/>
            <w:noWrap/>
          </w:tcPr>
          <w:p w14:paraId="14138870" w14:textId="1524EB07" w:rsidR="00383B50" w:rsidRPr="00383B50" w:rsidRDefault="00383B50" w:rsidP="00383B50">
            <w:pPr>
              <w:ind w:left="142" w:right="87"/>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11,560</w:t>
            </w:r>
          </w:p>
        </w:tc>
        <w:tc>
          <w:tcPr>
            <w:tcW w:w="2523" w:type="dxa"/>
            <w:noWrap/>
          </w:tcPr>
          <w:p w14:paraId="4C65DCF8" w14:textId="445918A6" w:rsidR="00383B50" w:rsidRPr="00383B50" w:rsidRDefault="00383B50" w:rsidP="00383B50">
            <w:pPr>
              <w:ind w:left="142" w:right="87"/>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D7F33">
              <w:rPr>
                <w:rFonts w:ascii="Arial" w:eastAsia="Times New Roman" w:hAnsi="Arial" w:cs="Arial"/>
                <w:color w:val="000000"/>
                <w:sz w:val="24"/>
                <w:szCs w:val="24"/>
                <w:lang w:eastAsia="en-GB"/>
              </w:rPr>
              <w:t>11.2%</w:t>
            </w:r>
          </w:p>
        </w:tc>
      </w:tr>
      <w:tr w:rsidR="00383B50" w:rsidRPr="008135A3" w14:paraId="3F74D9C1" w14:textId="77777777" w:rsidTr="004B35B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E35FE59" w14:textId="77777777" w:rsidR="00383B50" w:rsidRPr="008135A3" w:rsidRDefault="00383B50" w:rsidP="00383B50">
            <w:pPr>
              <w:ind w:left="142"/>
              <w:rPr>
                <w:rFonts w:ascii="Arial" w:hAnsi="Arial" w:cs="Arial"/>
                <w:sz w:val="24"/>
                <w:szCs w:val="24"/>
              </w:rPr>
            </w:pPr>
            <w:r w:rsidRPr="008135A3">
              <w:rPr>
                <w:rFonts w:ascii="Arial" w:hAnsi="Arial" w:cs="Arial"/>
                <w:sz w:val="24"/>
                <w:szCs w:val="24"/>
              </w:rPr>
              <w:t>Stockport</w:t>
            </w:r>
          </w:p>
        </w:tc>
        <w:tc>
          <w:tcPr>
            <w:tcW w:w="1559" w:type="dxa"/>
            <w:noWrap/>
          </w:tcPr>
          <w:p w14:paraId="386B6D08" w14:textId="7AE8EE04" w:rsidR="00383B50" w:rsidRPr="00383B50" w:rsidRDefault="00383B50" w:rsidP="00383B50">
            <w:pPr>
              <w:ind w:left="142" w:right="234"/>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121,979</w:t>
            </w:r>
          </w:p>
        </w:tc>
        <w:tc>
          <w:tcPr>
            <w:tcW w:w="1560" w:type="dxa"/>
            <w:noWrap/>
          </w:tcPr>
          <w:p w14:paraId="0C429770" w14:textId="55000C82" w:rsidR="00383B50" w:rsidRPr="00383B50" w:rsidRDefault="00383B50" w:rsidP="00383B50">
            <w:pPr>
              <w:ind w:left="142" w:right="82"/>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126,648</w:t>
            </w:r>
          </w:p>
        </w:tc>
        <w:tc>
          <w:tcPr>
            <w:tcW w:w="2296" w:type="dxa"/>
            <w:noWrap/>
          </w:tcPr>
          <w:p w14:paraId="71B85AC2" w14:textId="7DECB735" w:rsidR="00383B50" w:rsidRPr="00383B50" w:rsidRDefault="00383B50" w:rsidP="00383B50">
            <w:pPr>
              <w:ind w:left="142" w:right="87"/>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4,669</w:t>
            </w:r>
          </w:p>
        </w:tc>
        <w:tc>
          <w:tcPr>
            <w:tcW w:w="2523" w:type="dxa"/>
            <w:noWrap/>
          </w:tcPr>
          <w:p w14:paraId="487EB1B9" w14:textId="7D3D603D" w:rsidR="00383B50" w:rsidRPr="00383B50" w:rsidRDefault="00383B50" w:rsidP="00383B50">
            <w:pPr>
              <w:ind w:left="142" w:right="87"/>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D7F33">
              <w:rPr>
                <w:rFonts w:ascii="Arial" w:eastAsia="Times New Roman" w:hAnsi="Arial" w:cs="Arial"/>
                <w:color w:val="000000"/>
                <w:sz w:val="24"/>
                <w:szCs w:val="24"/>
                <w:lang w:eastAsia="en-GB"/>
              </w:rPr>
              <w:t>3.8%</w:t>
            </w:r>
          </w:p>
        </w:tc>
      </w:tr>
      <w:tr w:rsidR="00383B50" w:rsidRPr="008135A3" w14:paraId="06EC1AB3" w14:textId="77777777" w:rsidTr="004B35B2">
        <w:trPr>
          <w:trHeight w:hRule="exact" w:val="34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0D288E6" w14:textId="77777777" w:rsidR="00383B50" w:rsidRPr="008135A3" w:rsidRDefault="00383B50" w:rsidP="00383B50">
            <w:pPr>
              <w:ind w:left="142"/>
              <w:rPr>
                <w:rFonts w:ascii="Arial" w:hAnsi="Arial" w:cs="Arial"/>
                <w:sz w:val="24"/>
                <w:szCs w:val="24"/>
              </w:rPr>
            </w:pPr>
            <w:r w:rsidRPr="008135A3">
              <w:rPr>
                <w:rFonts w:ascii="Arial" w:hAnsi="Arial" w:cs="Arial"/>
                <w:sz w:val="24"/>
                <w:szCs w:val="24"/>
              </w:rPr>
              <w:t>Tameside</w:t>
            </w:r>
          </w:p>
        </w:tc>
        <w:tc>
          <w:tcPr>
            <w:tcW w:w="1559" w:type="dxa"/>
            <w:noWrap/>
          </w:tcPr>
          <w:p w14:paraId="27DA937B" w14:textId="545623B1" w:rsidR="00383B50" w:rsidRPr="00383B50" w:rsidRDefault="00383B50" w:rsidP="00383B50">
            <w:pPr>
              <w:ind w:left="142" w:right="234"/>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94,953</w:t>
            </w:r>
          </w:p>
        </w:tc>
        <w:tc>
          <w:tcPr>
            <w:tcW w:w="1560" w:type="dxa"/>
            <w:noWrap/>
          </w:tcPr>
          <w:p w14:paraId="0758AACF" w14:textId="07A41532" w:rsidR="00383B50" w:rsidRPr="00383B50" w:rsidRDefault="00383B50" w:rsidP="00383B50">
            <w:pPr>
              <w:ind w:left="142" w:right="82"/>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99,527</w:t>
            </w:r>
          </w:p>
        </w:tc>
        <w:tc>
          <w:tcPr>
            <w:tcW w:w="2296" w:type="dxa"/>
            <w:noWrap/>
          </w:tcPr>
          <w:p w14:paraId="6F9D6CFF" w14:textId="3CCDD51D" w:rsidR="00383B50" w:rsidRPr="00383B50" w:rsidRDefault="00383B50" w:rsidP="00383B50">
            <w:pPr>
              <w:ind w:left="142" w:right="87"/>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4,574</w:t>
            </w:r>
          </w:p>
        </w:tc>
        <w:tc>
          <w:tcPr>
            <w:tcW w:w="2523" w:type="dxa"/>
            <w:noWrap/>
          </w:tcPr>
          <w:p w14:paraId="056B7820" w14:textId="3F758AFC" w:rsidR="00383B50" w:rsidRPr="00383B50" w:rsidRDefault="00383B50" w:rsidP="00383B50">
            <w:pPr>
              <w:ind w:left="142" w:right="87"/>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D7F33">
              <w:rPr>
                <w:rFonts w:ascii="Arial" w:eastAsia="Times New Roman" w:hAnsi="Arial" w:cs="Arial"/>
                <w:color w:val="000000"/>
                <w:sz w:val="24"/>
                <w:szCs w:val="24"/>
                <w:lang w:eastAsia="en-GB"/>
              </w:rPr>
              <w:t>4.8%</w:t>
            </w:r>
          </w:p>
        </w:tc>
      </w:tr>
      <w:tr w:rsidR="00383B50" w:rsidRPr="008135A3" w14:paraId="780C7132" w14:textId="77777777" w:rsidTr="004B35B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AC90BE9" w14:textId="77777777" w:rsidR="00383B50" w:rsidRPr="008135A3" w:rsidRDefault="00383B50" w:rsidP="00383B50">
            <w:pPr>
              <w:ind w:left="142"/>
              <w:rPr>
                <w:rFonts w:ascii="Arial" w:hAnsi="Arial" w:cs="Arial"/>
                <w:sz w:val="24"/>
                <w:szCs w:val="24"/>
              </w:rPr>
            </w:pPr>
            <w:r w:rsidRPr="008135A3">
              <w:rPr>
                <w:rFonts w:ascii="Arial" w:hAnsi="Arial" w:cs="Arial"/>
                <w:sz w:val="24"/>
                <w:szCs w:val="24"/>
              </w:rPr>
              <w:t>Trafford</w:t>
            </w:r>
          </w:p>
        </w:tc>
        <w:tc>
          <w:tcPr>
            <w:tcW w:w="1559" w:type="dxa"/>
            <w:noWrap/>
          </w:tcPr>
          <w:p w14:paraId="7DDABD09" w14:textId="38AB1C76" w:rsidR="00383B50" w:rsidRPr="00383B50" w:rsidRDefault="00383B50" w:rsidP="00383B50">
            <w:pPr>
              <w:ind w:left="142" w:right="234"/>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94,484</w:t>
            </w:r>
          </w:p>
        </w:tc>
        <w:tc>
          <w:tcPr>
            <w:tcW w:w="1560" w:type="dxa"/>
            <w:noWrap/>
          </w:tcPr>
          <w:p w14:paraId="4B9308D7" w14:textId="176FA4B6" w:rsidR="00383B50" w:rsidRPr="00383B50" w:rsidRDefault="00383B50" w:rsidP="00383B50">
            <w:pPr>
              <w:ind w:left="142" w:right="82"/>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96,269</w:t>
            </w:r>
          </w:p>
        </w:tc>
        <w:tc>
          <w:tcPr>
            <w:tcW w:w="2296" w:type="dxa"/>
            <w:noWrap/>
          </w:tcPr>
          <w:p w14:paraId="62C702A2" w14:textId="310EA100" w:rsidR="00383B50" w:rsidRPr="00383B50" w:rsidRDefault="00383B50" w:rsidP="00383B50">
            <w:pPr>
              <w:ind w:left="142" w:right="87"/>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1,785</w:t>
            </w:r>
          </w:p>
        </w:tc>
        <w:tc>
          <w:tcPr>
            <w:tcW w:w="2523" w:type="dxa"/>
            <w:noWrap/>
          </w:tcPr>
          <w:p w14:paraId="07BCFB96" w14:textId="19435066" w:rsidR="00383B50" w:rsidRPr="00383B50" w:rsidRDefault="00383B50" w:rsidP="00383B50">
            <w:pPr>
              <w:ind w:left="142" w:right="87"/>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D7F33">
              <w:rPr>
                <w:rFonts w:ascii="Arial" w:eastAsia="Times New Roman" w:hAnsi="Arial" w:cs="Arial"/>
                <w:color w:val="000000"/>
                <w:sz w:val="24"/>
                <w:szCs w:val="24"/>
                <w:lang w:eastAsia="en-GB"/>
              </w:rPr>
              <w:t>1.9%</w:t>
            </w:r>
          </w:p>
        </w:tc>
      </w:tr>
      <w:tr w:rsidR="00383B50" w:rsidRPr="008135A3" w14:paraId="2D4C462B" w14:textId="77777777" w:rsidTr="004B35B2">
        <w:trPr>
          <w:trHeight w:hRule="exact" w:val="34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05F84DA" w14:textId="77777777" w:rsidR="00383B50" w:rsidRPr="008135A3" w:rsidRDefault="00383B50" w:rsidP="00383B50">
            <w:pPr>
              <w:ind w:left="142"/>
              <w:rPr>
                <w:rFonts w:ascii="Arial" w:hAnsi="Arial" w:cs="Arial"/>
                <w:sz w:val="24"/>
                <w:szCs w:val="24"/>
              </w:rPr>
            </w:pPr>
            <w:r w:rsidRPr="008135A3">
              <w:rPr>
                <w:rFonts w:ascii="Arial" w:hAnsi="Arial" w:cs="Arial"/>
                <w:sz w:val="24"/>
                <w:szCs w:val="24"/>
              </w:rPr>
              <w:t>Wigan</w:t>
            </w:r>
          </w:p>
        </w:tc>
        <w:tc>
          <w:tcPr>
            <w:tcW w:w="1559" w:type="dxa"/>
            <w:noWrap/>
          </w:tcPr>
          <w:p w14:paraId="3B785212" w14:textId="533446A0" w:rsidR="00383B50" w:rsidRPr="00383B50" w:rsidRDefault="00383B50" w:rsidP="00383B50">
            <w:pPr>
              <w:ind w:left="142" w:right="234"/>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136,386</w:t>
            </w:r>
          </w:p>
        </w:tc>
        <w:tc>
          <w:tcPr>
            <w:tcW w:w="1560" w:type="dxa"/>
            <w:noWrap/>
          </w:tcPr>
          <w:p w14:paraId="11F16332" w14:textId="17864E54" w:rsidR="00383B50" w:rsidRPr="00383B50" w:rsidRDefault="00383B50" w:rsidP="00383B50">
            <w:pPr>
              <w:ind w:left="142" w:right="82"/>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143,102</w:t>
            </w:r>
          </w:p>
        </w:tc>
        <w:tc>
          <w:tcPr>
            <w:tcW w:w="2296" w:type="dxa"/>
            <w:noWrap/>
          </w:tcPr>
          <w:p w14:paraId="747722CB" w14:textId="1677BD11" w:rsidR="00383B50" w:rsidRPr="00383B50" w:rsidRDefault="00383B50" w:rsidP="00383B50">
            <w:pPr>
              <w:ind w:left="142" w:right="87"/>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6,716</w:t>
            </w:r>
          </w:p>
        </w:tc>
        <w:tc>
          <w:tcPr>
            <w:tcW w:w="2523" w:type="dxa"/>
            <w:noWrap/>
          </w:tcPr>
          <w:p w14:paraId="197EB757" w14:textId="0A9CF2C5" w:rsidR="00383B50" w:rsidRPr="00383B50" w:rsidRDefault="00383B50" w:rsidP="00383B50">
            <w:pPr>
              <w:ind w:left="142" w:right="87"/>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D7F33">
              <w:rPr>
                <w:rFonts w:ascii="Arial" w:eastAsia="Times New Roman" w:hAnsi="Arial" w:cs="Arial"/>
                <w:color w:val="000000"/>
                <w:sz w:val="24"/>
                <w:szCs w:val="24"/>
                <w:lang w:eastAsia="en-GB"/>
              </w:rPr>
              <w:t>4.9%</w:t>
            </w:r>
          </w:p>
        </w:tc>
      </w:tr>
      <w:tr w:rsidR="00383B50" w:rsidRPr="008135A3" w14:paraId="47FBAF56" w14:textId="77777777" w:rsidTr="004B35B2">
        <w:trPr>
          <w:cnfStyle w:val="000000100000" w:firstRow="0" w:lastRow="0" w:firstColumn="0" w:lastColumn="0" w:oddVBand="0" w:evenVBand="0" w:oddHBand="1" w:evenHBand="0" w:firstRowFirstColumn="0" w:firstRowLastColumn="0" w:lastRowFirstColumn="0" w:lastRowLastColumn="0"/>
          <w:trHeight w:hRule="exact" w:val="665"/>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22CB6FC" w14:textId="77777777" w:rsidR="00383B50" w:rsidRPr="008135A3" w:rsidRDefault="00383B50" w:rsidP="00383B50">
            <w:pPr>
              <w:ind w:left="142"/>
              <w:rPr>
                <w:rFonts w:ascii="Arial" w:hAnsi="Arial" w:cs="Arial"/>
                <w:b w:val="0"/>
                <w:bCs w:val="0"/>
                <w:sz w:val="24"/>
                <w:szCs w:val="24"/>
              </w:rPr>
            </w:pPr>
            <w:r w:rsidRPr="008135A3">
              <w:rPr>
                <w:rFonts w:ascii="Arial" w:hAnsi="Arial" w:cs="Arial"/>
                <w:sz w:val="24"/>
                <w:szCs w:val="24"/>
              </w:rPr>
              <w:t>Greater Manchester</w:t>
            </w:r>
          </w:p>
        </w:tc>
        <w:tc>
          <w:tcPr>
            <w:tcW w:w="1559" w:type="dxa"/>
            <w:noWrap/>
          </w:tcPr>
          <w:p w14:paraId="6874D9CE" w14:textId="35DC5DB9" w:rsidR="00383B50" w:rsidRPr="00383B50" w:rsidRDefault="00383B50" w:rsidP="00383B50">
            <w:pPr>
              <w:ind w:left="142" w:right="234"/>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1,128,066</w:t>
            </w:r>
          </w:p>
        </w:tc>
        <w:tc>
          <w:tcPr>
            <w:tcW w:w="1560" w:type="dxa"/>
            <w:noWrap/>
          </w:tcPr>
          <w:p w14:paraId="65D4A221" w14:textId="62045D8B" w:rsidR="00383B50" w:rsidRPr="00383B50" w:rsidRDefault="00383B50" w:rsidP="00383B50">
            <w:pPr>
              <w:ind w:left="142" w:right="82"/>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1,178,246</w:t>
            </w:r>
          </w:p>
        </w:tc>
        <w:tc>
          <w:tcPr>
            <w:tcW w:w="2296" w:type="dxa"/>
            <w:noWrap/>
          </w:tcPr>
          <w:p w14:paraId="295CB437" w14:textId="5C858771" w:rsidR="00383B50" w:rsidRPr="00383B50" w:rsidRDefault="00383B50" w:rsidP="00383B50">
            <w:pPr>
              <w:ind w:left="142" w:right="87"/>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50,180</w:t>
            </w:r>
          </w:p>
        </w:tc>
        <w:tc>
          <w:tcPr>
            <w:tcW w:w="2523" w:type="dxa"/>
            <w:noWrap/>
          </w:tcPr>
          <w:p w14:paraId="647A6EDB" w14:textId="09A9F41D" w:rsidR="00383B50" w:rsidRPr="00383B50" w:rsidRDefault="00383B50" w:rsidP="00383B50">
            <w:pPr>
              <w:ind w:left="142" w:right="87"/>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D7F33">
              <w:rPr>
                <w:rFonts w:ascii="Arial" w:eastAsia="Times New Roman" w:hAnsi="Arial" w:cs="Arial"/>
                <w:color w:val="000000"/>
                <w:sz w:val="24"/>
                <w:szCs w:val="24"/>
                <w:lang w:eastAsia="en-GB"/>
              </w:rPr>
              <w:t>4.4%</w:t>
            </w:r>
          </w:p>
        </w:tc>
      </w:tr>
      <w:tr w:rsidR="00383B50" w:rsidRPr="008135A3" w14:paraId="359A47F0" w14:textId="77777777" w:rsidTr="004B35B2">
        <w:trPr>
          <w:trHeight w:hRule="exact" w:val="363"/>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D823FAD" w14:textId="6DF6ADB2" w:rsidR="00383B50" w:rsidRPr="008135A3" w:rsidRDefault="00383B50" w:rsidP="00383B50">
            <w:pPr>
              <w:ind w:left="142"/>
              <w:rPr>
                <w:rFonts w:ascii="Arial" w:hAnsi="Arial" w:cs="Arial"/>
                <w:sz w:val="24"/>
                <w:szCs w:val="24"/>
              </w:rPr>
            </w:pPr>
            <w:r>
              <w:rPr>
                <w:rFonts w:ascii="Arial" w:hAnsi="Arial" w:cs="Arial"/>
                <w:sz w:val="24"/>
                <w:szCs w:val="24"/>
              </w:rPr>
              <w:t>North West</w:t>
            </w:r>
          </w:p>
        </w:tc>
        <w:tc>
          <w:tcPr>
            <w:tcW w:w="1559" w:type="dxa"/>
            <w:noWrap/>
          </w:tcPr>
          <w:p w14:paraId="28D183A0" w14:textId="01EE5D5B" w:rsidR="00383B50" w:rsidRPr="00383B50" w:rsidRDefault="00383B50" w:rsidP="00383B50">
            <w:pPr>
              <w:ind w:left="142" w:right="234"/>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3,009,549</w:t>
            </w:r>
          </w:p>
        </w:tc>
        <w:tc>
          <w:tcPr>
            <w:tcW w:w="1560" w:type="dxa"/>
            <w:noWrap/>
          </w:tcPr>
          <w:p w14:paraId="08B35850" w14:textId="30802B39" w:rsidR="00383B50" w:rsidRPr="00383B50" w:rsidRDefault="00383B50" w:rsidP="00383B50">
            <w:pPr>
              <w:ind w:left="142" w:right="82"/>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3,153,404</w:t>
            </w:r>
          </w:p>
        </w:tc>
        <w:tc>
          <w:tcPr>
            <w:tcW w:w="2296" w:type="dxa"/>
            <w:noWrap/>
          </w:tcPr>
          <w:p w14:paraId="634F979A" w14:textId="40070845" w:rsidR="00383B50" w:rsidRPr="00383B50" w:rsidRDefault="00383B50" w:rsidP="00383B50">
            <w:pPr>
              <w:ind w:left="142" w:right="87"/>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143,855</w:t>
            </w:r>
          </w:p>
        </w:tc>
        <w:tc>
          <w:tcPr>
            <w:tcW w:w="2523" w:type="dxa"/>
            <w:noWrap/>
          </w:tcPr>
          <w:p w14:paraId="7F77E507" w14:textId="68D51262" w:rsidR="00383B50" w:rsidRPr="00383B50" w:rsidRDefault="00383B50" w:rsidP="00383B50">
            <w:pPr>
              <w:ind w:left="142" w:right="87"/>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Times New Roman" w:hAnsi="Arial" w:cs="Arial"/>
                <w:sz w:val="24"/>
                <w:szCs w:val="24"/>
                <w:lang w:eastAsia="en-GB"/>
              </w:rPr>
              <w:t>4.8%</w:t>
            </w:r>
          </w:p>
        </w:tc>
      </w:tr>
      <w:tr w:rsidR="00383B50" w:rsidRPr="008135A3" w14:paraId="58B39125" w14:textId="77777777" w:rsidTr="004B35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A46A83E" w14:textId="10671A37" w:rsidR="00383B50" w:rsidRPr="008135A3" w:rsidRDefault="00383B50" w:rsidP="00383B50">
            <w:pPr>
              <w:ind w:left="142"/>
              <w:rPr>
                <w:rFonts w:ascii="Arial" w:hAnsi="Arial" w:cs="Arial"/>
                <w:b w:val="0"/>
                <w:bCs w:val="0"/>
                <w:sz w:val="24"/>
                <w:szCs w:val="24"/>
              </w:rPr>
            </w:pPr>
            <w:r>
              <w:rPr>
                <w:rFonts w:ascii="Arial" w:hAnsi="Arial" w:cs="Arial"/>
                <w:sz w:val="24"/>
                <w:szCs w:val="24"/>
              </w:rPr>
              <w:t>England</w:t>
            </w:r>
          </w:p>
        </w:tc>
        <w:tc>
          <w:tcPr>
            <w:tcW w:w="1559" w:type="dxa"/>
            <w:noWrap/>
          </w:tcPr>
          <w:p w14:paraId="13B1405F" w14:textId="168E361D" w:rsidR="00383B50" w:rsidRPr="00383B50" w:rsidRDefault="00383B50" w:rsidP="00383B50">
            <w:pPr>
              <w:ind w:left="142" w:right="234"/>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22,063,368</w:t>
            </w:r>
          </w:p>
        </w:tc>
        <w:tc>
          <w:tcPr>
            <w:tcW w:w="1560" w:type="dxa"/>
            <w:noWrap/>
          </w:tcPr>
          <w:p w14:paraId="11FF3AEE" w14:textId="68BEA37D" w:rsidR="00383B50" w:rsidRPr="00383B50" w:rsidRDefault="00383B50" w:rsidP="00383B50">
            <w:pPr>
              <w:ind w:left="142" w:right="82"/>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23,436,086</w:t>
            </w:r>
          </w:p>
        </w:tc>
        <w:tc>
          <w:tcPr>
            <w:tcW w:w="2296" w:type="dxa"/>
            <w:noWrap/>
          </w:tcPr>
          <w:p w14:paraId="07847BB4" w14:textId="7492F203" w:rsidR="00383B50" w:rsidRPr="00383B50" w:rsidRDefault="00383B50" w:rsidP="00383B50">
            <w:pPr>
              <w:ind w:left="142" w:right="87"/>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C358B">
              <w:rPr>
                <w:rFonts w:ascii="Arial" w:eastAsia="Times New Roman" w:hAnsi="Arial" w:cs="Arial"/>
                <w:sz w:val="24"/>
                <w:szCs w:val="24"/>
                <w:lang w:eastAsia="en-GB"/>
              </w:rPr>
              <w:t>1,372,718</w:t>
            </w:r>
          </w:p>
        </w:tc>
        <w:tc>
          <w:tcPr>
            <w:tcW w:w="2523" w:type="dxa"/>
            <w:noWrap/>
          </w:tcPr>
          <w:p w14:paraId="008A678F" w14:textId="445B43BE" w:rsidR="00383B50" w:rsidRPr="00383B50" w:rsidRDefault="00383B50" w:rsidP="00383B50">
            <w:pPr>
              <w:ind w:left="142" w:right="87"/>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D7F33">
              <w:rPr>
                <w:rFonts w:ascii="Arial" w:eastAsia="Times New Roman" w:hAnsi="Arial" w:cs="Arial"/>
                <w:color w:val="000000"/>
                <w:sz w:val="24"/>
                <w:szCs w:val="24"/>
                <w:lang w:eastAsia="en-GB"/>
              </w:rPr>
              <w:t>6.2%</w:t>
            </w:r>
          </w:p>
        </w:tc>
      </w:tr>
    </w:tbl>
    <w:p w14:paraId="63574A95" w14:textId="715AC738" w:rsidR="007D517D" w:rsidRPr="00FA37B3" w:rsidRDefault="007D517D" w:rsidP="007C31D9">
      <w:pPr>
        <w:rPr>
          <w:rFonts w:ascii="Arial" w:eastAsia="Times New Roman" w:hAnsi="Arial" w:cs="Arial"/>
          <w:i/>
          <w:iCs/>
          <w:color w:val="000000"/>
          <w:sz w:val="24"/>
          <w:szCs w:val="24"/>
          <w:lang w:eastAsia="en-GB"/>
        </w:rPr>
      </w:pPr>
      <w:r w:rsidRPr="00FA37B3">
        <w:rPr>
          <w:rFonts w:ascii="Arial" w:hAnsi="Arial" w:cs="Arial"/>
          <w:i/>
          <w:iCs/>
          <w:sz w:val="24"/>
          <w:szCs w:val="24"/>
        </w:rPr>
        <w:t xml:space="preserve">Sources: </w:t>
      </w:r>
      <w:r w:rsidRPr="00FA37B3">
        <w:rPr>
          <w:rFonts w:ascii="Arial" w:hAnsi="Arial" w:cs="Arial"/>
          <w:i/>
          <w:iCs/>
          <w:color w:val="000000" w:themeColor="text1"/>
          <w:sz w:val="24"/>
          <w:szCs w:val="24"/>
        </w:rPr>
        <w:t>O</w:t>
      </w:r>
      <w:r w:rsidR="00FA37B3">
        <w:rPr>
          <w:rFonts w:ascii="Arial" w:hAnsi="Arial" w:cs="Arial"/>
          <w:i/>
          <w:iCs/>
          <w:color w:val="000000" w:themeColor="text1"/>
          <w:sz w:val="24"/>
          <w:szCs w:val="24"/>
        </w:rPr>
        <w:t>ffice of National Statistics (O</w:t>
      </w:r>
      <w:r w:rsidRPr="00FA37B3">
        <w:rPr>
          <w:rFonts w:ascii="Arial" w:hAnsi="Arial" w:cs="Arial"/>
          <w:i/>
          <w:iCs/>
          <w:color w:val="000000" w:themeColor="text1"/>
          <w:sz w:val="24"/>
          <w:szCs w:val="24"/>
        </w:rPr>
        <w:t>NS</w:t>
      </w:r>
      <w:r w:rsidR="00FA37B3">
        <w:rPr>
          <w:rFonts w:ascii="Arial" w:hAnsi="Arial" w:cs="Arial"/>
          <w:i/>
          <w:iCs/>
          <w:color w:val="000000" w:themeColor="text1"/>
          <w:sz w:val="24"/>
          <w:szCs w:val="24"/>
        </w:rPr>
        <w:t>)</w:t>
      </w:r>
      <w:r w:rsidRPr="00FA37B3">
        <w:rPr>
          <w:rFonts w:ascii="Arial" w:hAnsi="Arial" w:cs="Arial"/>
          <w:i/>
          <w:iCs/>
          <w:color w:val="000000" w:themeColor="text1"/>
          <w:sz w:val="24"/>
          <w:szCs w:val="24"/>
        </w:rPr>
        <w:t xml:space="preserve">, </w:t>
      </w:r>
      <w:r w:rsidRPr="00FA37B3">
        <w:rPr>
          <w:rFonts w:ascii="Arial" w:hAnsi="Arial" w:cs="Arial"/>
          <w:i/>
          <w:iCs/>
          <w:sz w:val="24"/>
          <w:szCs w:val="24"/>
        </w:rPr>
        <w:t>Census 2011</w:t>
      </w:r>
      <w:r w:rsidR="00E0333B">
        <w:rPr>
          <w:rFonts w:ascii="Arial" w:hAnsi="Arial" w:cs="Arial"/>
          <w:i/>
          <w:iCs/>
          <w:sz w:val="24"/>
          <w:szCs w:val="24"/>
        </w:rPr>
        <w:t>,</w:t>
      </w:r>
      <w:r w:rsidRPr="00FA37B3">
        <w:rPr>
          <w:rFonts w:ascii="Arial" w:hAnsi="Arial" w:cs="Arial"/>
          <w:i/>
          <w:iCs/>
          <w:sz w:val="24"/>
          <w:szCs w:val="24"/>
        </w:rPr>
        <w:t xml:space="preserve"> </w:t>
      </w:r>
      <w:bookmarkStart w:id="3" w:name="_Hlk133472134"/>
      <w:r w:rsidR="00BF4B4B" w:rsidRPr="00290BA8">
        <w:rPr>
          <w:rFonts w:ascii="Arial" w:hAnsi="Arial" w:cs="Arial"/>
          <w:i/>
          <w:iCs/>
          <w:color w:val="0000FF"/>
          <w:sz w:val="24"/>
          <w:szCs w:val="24"/>
        </w:rPr>
        <w:fldChar w:fldCharType="begin"/>
      </w:r>
      <w:r w:rsidR="00BF4B4B" w:rsidRPr="00290BA8">
        <w:rPr>
          <w:rFonts w:ascii="Arial" w:hAnsi="Arial" w:cs="Arial"/>
          <w:i/>
          <w:iCs/>
          <w:color w:val="0000FF"/>
          <w:sz w:val="24"/>
          <w:szCs w:val="24"/>
        </w:rPr>
        <w:instrText xml:space="preserve"> HYPERLINK "https://www.nomisweb.co.uk/query/construct/summary.asp?reset=yes&amp;mode=construct&amp;dataset=605&amp;version=0&amp;anal=1&amp;initsel=" </w:instrText>
      </w:r>
      <w:r w:rsidR="00BF4B4B" w:rsidRPr="00290BA8">
        <w:rPr>
          <w:rFonts w:ascii="Arial" w:hAnsi="Arial" w:cs="Arial"/>
          <w:i/>
          <w:iCs/>
          <w:color w:val="0000FF"/>
          <w:sz w:val="24"/>
          <w:szCs w:val="24"/>
        </w:rPr>
      </w:r>
      <w:r w:rsidR="00BF4B4B" w:rsidRPr="00290BA8">
        <w:rPr>
          <w:rFonts w:ascii="Arial" w:hAnsi="Arial" w:cs="Arial"/>
          <w:i/>
          <w:iCs/>
          <w:color w:val="0000FF"/>
          <w:sz w:val="24"/>
          <w:szCs w:val="24"/>
        </w:rPr>
        <w:fldChar w:fldCharType="separate"/>
      </w:r>
      <w:r w:rsidR="00BF4B4B" w:rsidRPr="00290BA8">
        <w:rPr>
          <w:rStyle w:val="Hyperlink"/>
          <w:rFonts w:cs="Arial"/>
          <w:b w:val="0"/>
          <w:bCs/>
          <w:i/>
          <w:iCs/>
          <w:color w:val="0000FF"/>
          <w:sz w:val="24"/>
          <w:szCs w:val="24"/>
        </w:rPr>
        <w:t>Nomis-2011 Households</w:t>
      </w:r>
      <w:r w:rsidR="00BF4B4B" w:rsidRPr="00290BA8">
        <w:rPr>
          <w:rFonts w:ascii="Arial" w:hAnsi="Arial" w:cs="Arial"/>
          <w:i/>
          <w:iCs/>
          <w:color w:val="0000FF"/>
          <w:sz w:val="24"/>
          <w:szCs w:val="24"/>
        </w:rPr>
        <w:fldChar w:fldCharType="end"/>
      </w:r>
      <w:r w:rsidR="00BF4B4B" w:rsidRPr="00290BA8">
        <w:rPr>
          <w:rFonts w:ascii="Arial" w:hAnsi="Arial" w:cs="Arial"/>
          <w:i/>
          <w:iCs/>
          <w:color w:val="0000FF"/>
          <w:sz w:val="24"/>
          <w:szCs w:val="24"/>
        </w:rPr>
        <w:t>;</w:t>
      </w:r>
      <w:r w:rsidR="00BF4B4B">
        <w:rPr>
          <w:rFonts w:ascii="Arial" w:hAnsi="Arial" w:cs="Arial"/>
          <w:i/>
          <w:iCs/>
          <w:sz w:val="24"/>
          <w:szCs w:val="24"/>
        </w:rPr>
        <w:t xml:space="preserve"> </w:t>
      </w:r>
      <w:r w:rsidRPr="00FA37B3">
        <w:rPr>
          <w:rFonts w:ascii="Arial" w:hAnsi="Arial" w:cs="Arial"/>
          <w:i/>
          <w:iCs/>
          <w:sz w:val="24"/>
          <w:szCs w:val="24"/>
        </w:rPr>
        <w:t xml:space="preserve">ONS, </w:t>
      </w:r>
      <w:r w:rsidRPr="00FA37B3">
        <w:rPr>
          <w:rFonts w:ascii="Arial" w:hAnsi="Arial" w:cs="Arial"/>
          <w:i/>
          <w:iCs/>
          <w:color w:val="000000" w:themeColor="text1"/>
          <w:sz w:val="24"/>
          <w:szCs w:val="24"/>
        </w:rPr>
        <w:t>Census 2021</w:t>
      </w:r>
      <w:r w:rsidR="00E0333B">
        <w:rPr>
          <w:rFonts w:ascii="Arial" w:hAnsi="Arial" w:cs="Arial"/>
          <w:i/>
          <w:iCs/>
          <w:color w:val="000000" w:themeColor="text1"/>
          <w:sz w:val="24"/>
          <w:szCs w:val="24"/>
        </w:rPr>
        <w:t xml:space="preserve">, </w:t>
      </w:r>
      <w:hyperlink r:id="rId22" w:history="1">
        <w:r w:rsidR="00FA37B3" w:rsidRPr="007C31D9">
          <w:rPr>
            <w:rFonts w:ascii="Arial" w:hAnsi="Arial" w:cs="Arial"/>
            <w:i/>
            <w:iCs/>
            <w:color w:val="0000FF"/>
            <w:sz w:val="24"/>
            <w:szCs w:val="24"/>
            <w:u w:val="single"/>
          </w:rPr>
          <w:t xml:space="preserve">Custom dataset </w:t>
        </w:r>
        <w:r w:rsidR="009B7B65">
          <w:rPr>
            <w:rFonts w:ascii="Arial" w:hAnsi="Arial" w:cs="Arial"/>
            <w:i/>
            <w:iCs/>
            <w:color w:val="0000FF"/>
            <w:sz w:val="24"/>
            <w:szCs w:val="24"/>
            <w:u w:val="single"/>
          </w:rPr>
          <w:t>–</w:t>
        </w:r>
        <w:r w:rsidR="00FA37B3" w:rsidRPr="007C31D9">
          <w:rPr>
            <w:rFonts w:ascii="Arial" w:hAnsi="Arial" w:cs="Arial"/>
            <w:i/>
            <w:iCs/>
            <w:color w:val="0000FF"/>
            <w:sz w:val="24"/>
            <w:szCs w:val="24"/>
            <w:u w:val="single"/>
          </w:rPr>
          <w:t xml:space="preserve"> </w:t>
        </w:r>
        <w:r w:rsidR="00913839">
          <w:rPr>
            <w:rFonts w:ascii="Arial" w:hAnsi="Arial" w:cs="Arial"/>
            <w:i/>
            <w:iCs/>
            <w:color w:val="0000FF"/>
            <w:sz w:val="24"/>
            <w:szCs w:val="24"/>
            <w:u w:val="single"/>
          </w:rPr>
          <w:t xml:space="preserve">2021 </w:t>
        </w:r>
        <w:r w:rsidR="009B7B65">
          <w:rPr>
            <w:rFonts w:ascii="Arial" w:hAnsi="Arial" w:cs="Arial"/>
            <w:i/>
            <w:iCs/>
            <w:color w:val="0000FF"/>
            <w:sz w:val="24"/>
            <w:szCs w:val="24"/>
            <w:u w:val="single"/>
          </w:rPr>
          <w:t>Household</w:t>
        </w:r>
        <w:r w:rsidR="00913839">
          <w:rPr>
            <w:rFonts w:ascii="Arial" w:hAnsi="Arial" w:cs="Arial"/>
            <w:i/>
            <w:iCs/>
            <w:color w:val="0000FF"/>
            <w:sz w:val="24"/>
            <w:szCs w:val="24"/>
            <w:u w:val="single"/>
          </w:rPr>
          <w:t>s</w:t>
        </w:r>
      </w:hyperlink>
      <w:bookmarkEnd w:id="3"/>
    </w:p>
    <w:p w14:paraId="00FA92D3" w14:textId="5DB3B80E" w:rsidR="00795453" w:rsidRDefault="00154677" w:rsidP="00691F82">
      <w:pPr>
        <w:rPr>
          <w:rFonts w:ascii="Arial" w:hAnsi="Arial" w:cs="Arial"/>
          <w:sz w:val="24"/>
          <w:szCs w:val="24"/>
        </w:rPr>
      </w:pPr>
      <w:r>
        <w:rPr>
          <w:rFonts w:ascii="Arial" w:hAnsi="Arial" w:cs="Arial"/>
          <w:sz w:val="24"/>
          <w:szCs w:val="24"/>
        </w:rPr>
        <w:t xml:space="preserve">The district-level averages hide variance at the more local level. Within all ten of the Greater Manchester </w:t>
      </w:r>
      <w:r w:rsidR="00795453">
        <w:rPr>
          <w:rFonts w:ascii="Arial" w:hAnsi="Arial" w:cs="Arial"/>
          <w:sz w:val="24"/>
          <w:szCs w:val="24"/>
        </w:rPr>
        <w:t>district</w:t>
      </w:r>
      <w:r>
        <w:rPr>
          <w:rFonts w:ascii="Arial" w:hAnsi="Arial" w:cs="Arial"/>
          <w:sz w:val="24"/>
          <w:szCs w:val="24"/>
        </w:rPr>
        <w:t xml:space="preserve">s, </w:t>
      </w:r>
      <w:r w:rsidR="00795453">
        <w:rPr>
          <w:rFonts w:ascii="Arial" w:hAnsi="Arial" w:cs="Arial"/>
          <w:sz w:val="24"/>
          <w:szCs w:val="24"/>
        </w:rPr>
        <w:t xml:space="preserve">there were </w:t>
      </w:r>
      <w:r w:rsidR="00FC4547">
        <w:rPr>
          <w:rFonts w:ascii="Arial" w:hAnsi="Arial" w:cs="Arial"/>
          <w:sz w:val="24"/>
          <w:szCs w:val="24"/>
        </w:rPr>
        <w:t>areas</w:t>
      </w:r>
      <w:r w:rsidR="00795453">
        <w:rPr>
          <w:rFonts w:ascii="Arial" w:hAnsi="Arial" w:cs="Arial"/>
          <w:sz w:val="24"/>
          <w:szCs w:val="24"/>
        </w:rPr>
        <w:t xml:space="preserve"> that </w:t>
      </w:r>
      <w:r w:rsidR="00004EA8">
        <w:rPr>
          <w:rFonts w:ascii="Arial" w:hAnsi="Arial" w:cs="Arial"/>
          <w:sz w:val="24"/>
          <w:szCs w:val="24"/>
        </w:rPr>
        <w:t>saw</w:t>
      </w:r>
      <w:r w:rsidR="00CF52B5">
        <w:rPr>
          <w:rFonts w:ascii="Arial" w:hAnsi="Arial" w:cs="Arial"/>
          <w:sz w:val="24"/>
          <w:szCs w:val="24"/>
        </w:rPr>
        <w:t xml:space="preserve"> growth in </w:t>
      </w:r>
      <w:r>
        <w:rPr>
          <w:rFonts w:ascii="Arial" w:hAnsi="Arial" w:cs="Arial"/>
          <w:sz w:val="24"/>
          <w:szCs w:val="24"/>
        </w:rPr>
        <w:t xml:space="preserve">the </w:t>
      </w:r>
      <w:r w:rsidR="004D37CE">
        <w:rPr>
          <w:rFonts w:ascii="Arial" w:hAnsi="Arial" w:cs="Arial"/>
          <w:sz w:val="24"/>
          <w:szCs w:val="24"/>
        </w:rPr>
        <w:t xml:space="preserve">number of </w:t>
      </w:r>
      <w:r w:rsidR="00CF52B5">
        <w:rPr>
          <w:rFonts w:ascii="Arial" w:hAnsi="Arial" w:cs="Arial"/>
          <w:sz w:val="24"/>
          <w:szCs w:val="24"/>
        </w:rPr>
        <w:t>households</w:t>
      </w:r>
      <w:r w:rsidR="00004EA8">
        <w:rPr>
          <w:rFonts w:ascii="Arial" w:hAnsi="Arial" w:cs="Arial"/>
          <w:sz w:val="24"/>
          <w:szCs w:val="24"/>
        </w:rPr>
        <w:t xml:space="preserve"> between 2011 and 2021</w:t>
      </w:r>
      <w:r>
        <w:rPr>
          <w:rFonts w:ascii="Arial" w:hAnsi="Arial" w:cs="Arial"/>
          <w:sz w:val="24"/>
          <w:szCs w:val="24"/>
        </w:rPr>
        <w:t xml:space="preserve"> (shown in the darker green shades on the map below),</w:t>
      </w:r>
      <w:r w:rsidR="00CF52B5">
        <w:rPr>
          <w:rFonts w:ascii="Arial" w:hAnsi="Arial" w:cs="Arial"/>
          <w:sz w:val="24"/>
          <w:szCs w:val="24"/>
        </w:rPr>
        <w:t xml:space="preserve"> and other</w:t>
      </w:r>
      <w:r w:rsidR="004D37CE">
        <w:rPr>
          <w:rFonts w:ascii="Arial" w:hAnsi="Arial" w:cs="Arial"/>
          <w:sz w:val="24"/>
          <w:szCs w:val="24"/>
        </w:rPr>
        <w:t xml:space="preserve"> areas</w:t>
      </w:r>
      <w:r w:rsidR="00CF52B5">
        <w:rPr>
          <w:rFonts w:ascii="Arial" w:hAnsi="Arial" w:cs="Arial"/>
          <w:sz w:val="24"/>
          <w:szCs w:val="24"/>
        </w:rPr>
        <w:t xml:space="preserve"> that </w:t>
      </w:r>
      <w:r w:rsidR="00004EA8">
        <w:rPr>
          <w:rFonts w:ascii="Arial" w:hAnsi="Arial" w:cs="Arial"/>
          <w:sz w:val="24"/>
          <w:szCs w:val="24"/>
        </w:rPr>
        <w:t>saw a</w:t>
      </w:r>
      <w:r w:rsidR="00CF52B5">
        <w:rPr>
          <w:rFonts w:ascii="Arial" w:hAnsi="Arial" w:cs="Arial"/>
          <w:sz w:val="24"/>
          <w:szCs w:val="24"/>
        </w:rPr>
        <w:t xml:space="preserve"> decline</w:t>
      </w:r>
      <w:r>
        <w:rPr>
          <w:rFonts w:ascii="Arial" w:hAnsi="Arial" w:cs="Arial"/>
          <w:sz w:val="24"/>
          <w:szCs w:val="24"/>
        </w:rPr>
        <w:t xml:space="preserve"> (shown in</w:t>
      </w:r>
      <w:r w:rsidR="00C5500D">
        <w:rPr>
          <w:rFonts w:ascii="Arial" w:hAnsi="Arial" w:cs="Arial"/>
          <w:sz w:val="24"/>
          <w:szCs w:val="24"/>
        </w:rPr>
        <w:t xml:space="preserve"> lighter green</w:t>
      </w:r>
      <w:r>
        <w:rPr>
          <w:rFonts w:ascii="Arial" w:hAnsi="Arial" w:cs="Arial"/>
          <w:sz w:val="24"/>
          <w:szCs w:val="24"/>
        </w:rPr>
        <w:t>)</w:t>
      </w:r>
      <w:r w:rsidR="00004EA8">
        <w:rPr>
          <w:rFonts w:ascii="Arial" w:hAnsi="Arial" w:cs="Arial"/>
          <w:sz w:val="24"/>
          <w:szCs w:val="24"/>
        </w:rPr>
        <w:t>. In general</w:t>
      </w:r>
      <w:r w:rsidR="00CF52B5">
        <w:rPr>
          <w:rFonts w:ascii="Arial" w:hAnsi="Arial" w:cs="Arial"/>
          <w:sz w:val="24"/>
          <w:szCs w:val="24"/>
        </w:rPr>
        <w:t xml:space="preserve">, </w:t>
      </w:r>
      <w:r w:rsidR="00004EA8">
        <w:rPr>
          <w:rFonts w:ascii="Arial" w:hAnsi="Arial" w:cs="Arial"/>
          <w:sz w:val="24"/>
          <w:szCs w:val="24"/>
        </w:rPr>
        <w:t xml:space="preserve">in areas where the number of households </w:t>
      </w:r>
      <w:r w:rsidR="00004EA8">
        <w:rPr>
          <w:rFonts w:ascii="Arial" w:hAnsi="Arial" w:cs="Arial"/>
          <w:sz w:val="24"/>
          <w:szCs w:val="24"/>
        </w:rPr>
        <w:lastRenderedPageBreak/>
        <w:t xml:space="preserve">fell, the decrease was </w:t>
      </w:r>
      <w:r w:rsidR="00C844CF">
        <w:rPr>
          <w:rFonts w:ascii="Arial" w:hAnsi="Arial" w:cs="Arial"/>
          <w:sz w:val="24"/>
          <w:szCs w:val="24"/>
        </w:rPr>
        <w:t>s</w:t>
      </w:r>
      <w:r w:rsidR="00CF52B5">
        <w:rPr>
          <w:rFonts w:ascii="Arial" w:hAnsi="Arial" w:cs="Arial"/>
          <w:sz w:val="24"/>
          <w:szCs w:val="24"/>
        </w:rPr>
        <w:t>mall. In contrast</w:t>
      </w:r>
      <w:r>
        <w:rPr>
          <w:rFonts w:ascii="Arial" w:hAnsi="Arial" w:cs="Arial"/>
          <w:sz w:val="24"/>
          <w:szCs w:val="24"/>
        </w:rPr>
        <w:t xml:space="preserve">, </w:t>
      </w:r>
      <w:r w:rsidR="00004EA8">
        <w:rPr>
          <w:rFonts w:ascii="Arial" w:hAnsi="Arial" w:cs="Arial"/>
          <w:sz w:val="24"/>
          <w:szCs w:val="24"/>
        </w:rPr>
        <w:t>some of the areas where the number of households increased sa</w:t>
      </w:r>
      <w:r w:rsidR="00004EA8" w:rsidRPr="009017AC">
        <w:rPr>
          <w:rFonts w:ascii="Arial" w:hAnsi="Arial" w:cs="Arial"/>
          <w:sz w:val="24"/>
          <w:szCs w:val="24"/>
        </w:rPr>
        <w:t xml:space="preserve">w </w:t>
      </w:r>
      <w:r w:rsidR="001330D6" w:rsidRPr="009017AC">
        <w:rPr>
          <w:rFonts w:ascii="Arial" w:hAnsi="Arial" w:cs="Arial"/>
          <w:sz w:val="24"/>
          <w:szCs w:val="24"/>
        </w:rPr>
        <w:t>higher growth</w:t>
      </w:r>
      <w:r w:rsidRPr="009017AC">
        <w:rPr>
          <w:rFonts w:ascii="Arial" w:hAnsi="Arial" w:cs="Arial"/>
          <w:sz w:val="24"/>
          <w:szCs w:val="24"/>
        </w:rPr>
        <w:t xml:space="preserve">, particularly so </w:t>
      </w:r>
      <w:r w:rsidR="002656FA">
        <w:rPr>
          <w:rFonts w:ascii="Arial" w:hAnsi="Arial" w:cs="Arial"/>
          <w:sz w:val="24"/>
          <w:szCs w:val="24"/>
        </w:rPr>
        <w:t>near central Manchester and either side of the boundary with Salford.</w:t>
      </w:r>
    </w:p>
    <w:p w14:paraId="31909AE4" w14:textId="7E43A72E" w:rsidR="00BC2A12" w:rsidRPr="00FF5D4D" w:rsidRDefault="00BC2A12" w:rsidP="00004EA8">
      <w:pPr>
        <w:rPr>
          <w:rFonts w:ascii="Arial" w:hAnsi="Arial" w:cs="Arial"/>
          <w:b/>
          <w:bCs/>
          <w:sz w:val="24"/>
          <w:szCs w:val="24"/>
        </w:rPr>
      </w:pPr>
      <w:r w:rsidRPr="00FF5D4D">
        <w:rPr>
          <w:rFonts w:ascii="Arial" w:hAnsi="Arial" w:cs="Arial"/>
          <w:b/>
          <w:bCs/>
          <w:sz w:val="24"/>
          <w:szCs w:val="24"/>
        </w:rPr>
        <w:t xml:space="preserve">Change in </w:t>
      </w:r>
      <w:r w:rsidR="00E0333B">
        <w:rPr>
          <w:rFonts w:ascii="Arial" w:hAnsi="Arial" w:cs="Arial"/>
          <w:b/>
          <w:bCs/>
          <w:sz w:val="24"/>
          <w:szCs w:val="24"/>
        </w:rPr>
        <w:t xml:space="preserve">the </w:t>
      </w:r>
      <w:r w:rsidRPr="00FF5D4D">
        <w:rPr>
          <w:rFonts w:ascii="Arial" w:hAnsi="Arial" w:cs="Arial"/>
          <w:b/>
          <w:bCs/>
          <w:sz w:val="24"/>
          <w:szCs w:val="24"/>
        </w:rPr>
        <w:t>number of households across Greater Manchester</w:t>
      </w:r>
      <w:r w:rsidR="00154677">
        <w:rPr>
          <w:rFonts w:ascii="Arial" w:hAnsi="Arial" w:cs="Arial"/>
          <w:b/>
          <w:bCs/>
          <w:sz w:val="24"/>
          <w:szCs w:val="24"/>
        </w:rPr>
        <w:t xml:space="preserve">, </w:t>
      </w:r>
      <w:r w:rsidR="00154677" w:rsidRPr="00FF5D4D">
        <w:rPr>
          <w:rFonts w:ascii="Arial" w:hAnsi="Arial" w:cs="Arial"/>
          <w:b/>
          <w:bCs/>
          <w:sz w:val="24"/>
          <w:szCs w:val="24"/>
        </w:rPr>
        <w:t>2011-2021</w:t>
      </w:r>
    </w:p>
    <w:p w14:paraId="33AF9410" w14:textId="475B1C67" w:rsidR="005B74A8" w:rsidRDefault="006A5EFB" w:rsidP="009017AC">
      <w:pPr>
        <w:pStyle w:val="BodyText"/>
        <w:spacing w:after="240"/>
        <w:rPr>
          <w:rFonts w:ascii="Arial" w:hAnsi="Arial" w:cs="Arial"/>
          <w:i/>
          <w:iCs/>
          <w:sz w:val="24"/>
          <w:szCs w:val="24"/>
        </w:rPr>
      </w:pPr>
      <w:r>
        <w:rPr>
          <w:rFonts w:ascii="Arial" w:hAnsi="Arial" w:cs="Arial"/>
          <w:i/>
          <w:iCs/>
          <w:sz w:val="24"/>
          <w:szCs w:val="24"/>
        </w:rPr>
        <w:pict w14:anchorId="144303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A map of the change in the number of households across Greater Manchester from 2011 to 2021.  It shows a high percentage increase in parts of Manchester city centre and areas of Salford that border with Manchester, but also some decreases closer to the Greater Manchester boundary." style="width:502.8pt;height:355.2pt;mso-position-horizontal:absolute;mso-position-horizontal-relative:text;mso-position-vertical:absolute;mso-position-vertical-relative:text;mso-width-relative:page;mso-height-relative:page" o:bordertopcolor="#ffbf00 pure" o:borderleftcolor="#ffbf00 pure" o:borderbottomcolor="#ffbf00 pure" o:borderrightcolor="#ffbf00 pure">
            <v:imagedata r:id="rId23" o:title="230517_Household percentage change 2"/>
            <w10:bordertop type="single" width="4"/>
            <w10:borderleft type="single" width="4"/>
            <w10:borderbottom type="single" width="4"/>
            <w10:borderright type="single" width="4"/>
          </v:shape>
        </w:pict>
      </w:r>
    </w:p>
    <w:p w14:paraId="049E375F" w14:textId="5FCF6DAE" w:rsidR="00BC2A12" w:rsidRPr="007C31D9" w:rsidRDefault="00BC2A12" w:rsidP="009017AC">
      <w:pPr>
        <w:pStyle w:val="BodyText"/>
        <w:spacing w:after="240"/>
        <w:rPr>
          <w:rFonts w:ascii="Arial" w:hAnsi="Arial" w:cs="Arial"/>
          <w:i/>
          <w:iCs/>
          <w:sz w:val="24"/>
          <w:szCs w:val="24"/>
        </w:rPr>
      </w:pPr>
      <w:r w:rsidRPr="007C31D9">
        <w:rPr>
          <w:rFonts w:ascii="Arial" w:hAnsi="Arial" w:cs="Arial"/>
          <w:i/>
          <w:iCs/>
          <w:sz w:val="24"/>
          <w:szCs w:val="24"/>
        </w:rPr>
        <w:t>Source</w:t>
      </w:r>
      <w:r w:rsidR="00D668E7">
        <w:rPr>
          <w:rFonts w:ascii="Arial" w:hAnsi="Arial" w:cs="Arial"/>
          <w:i/>
          <w:iCs/>
          <w:sz w:val="24"/>
          <w:szCs w:val="24"/>
        </w:rPr>
        <w:t>s</w:t>
      </w:r>
      <w:r w:rsidRPr="007C31D9">
        <w:rPr>
          <w:rFonts w:ascii="Arial" w:hAnsi="Arial" w:cs="Arial"/>
          <w:i/>
          <w:iCs/>
          <w:sz w:val="24"/>
          <w:szCs w:val="24"/>
        </w:rPr>
        <w:t>: ONS</w:t>
      </w:r>
      <w:r w:rsidR="00766A43" w:rsidRPr="007C31D9">
        <w:rPr>
          <w:rFonts w:ascii="Arial" w:hAnsi="Arial" w:cs="Arial"/>
          <w:i/>
          <w:iCs/>
          <w:sz w:val="24"/>
          <w:szCs w:val="24"/>
        </w:rPr>
        <w:t>,</w:t>
      </w:r>
      <w:r w:rsidRPr="007C31D9">
        <w:rPr>
          <w:rFonts w:ascii="Arial" w:hAnsi="Arial" w:cs="Arial"/>
          <w:i/>
          <w:iCs/>
          <w:sz w:val="24"/>
          <w:szCs w:val="24"/>
        </w:rPr>
        <w:t xml:space="preserve"> </w:t>
      </w:r>
      <w:r w:rsidR="00766A43" w:rsidRPr="007C31D9">
        <w:rPr>
          <w:rFonts w:ascii="Arial" w:hAnsi="Arial" w:cs="Arial"/>
          <w:i/>
          <w:iCs/>
          <w:sz w:val="24"/>
          <w:szCs w:val="24"/>
        </w:rPr>
        <w:t>Census 2011</w:t>
      </w:r>
      <w:r w:rsidR="00E0333B">
        <w:rPr>
          <w:rFonts w:ascii="Arial" w:hAnsi="Arial" w:cs="Arial"/>
          <w:i/>
          <w:iCs/>
          <w:sz w:val="24"/>
          <w:szCs w:val="24"/>
        </w:rPr>
        <w:t xml:space="preserve">, </w:t>
      </w:r>
      <w:hyperlink r:id="rId24" w:history="1">
        <w:r w:rsidR="00BF4B4B" w:rsidRPr="00D37A2A">
          <w:rPr>
            <w:rStyle w:val="Hyperlink"/>
            <w:rFonts w:cs="Arial"/>
            <w:b w:val="0"/>
            <w:bCs/>
            <w:i/>
            <w:iCs/>
            <w:color w:val="0000FF"/>
            <w:sz w:val="24"/>
            <w:szCs w:val="24"/>
          </w:rPr>
          <w:t>Nomis – KS105E Household composition</w:t>
        </w:r>
      </w:hyperlink>
      <w:r w:rsidR="00BF4B4B">
        <w:rPr>
          <w:rFonts w:ascii="Arial" w:hAnsi="Arial" w:cs="Arial"/>
          <w:i/>
          <w:iCs/>
          <w:sz w:val="24"/>
          <w:szCs w:val="24"/>
        </w:rPr>
        <w:t xml:space="preserve">; </w:t>
      </w:r>
      <w:r w:rsidR="00913839" w:rsidRPr="00766A43">
        <w:rPr>
          <w:rFonts w:ascii="Arial" w:hAnsi="Arial" w:cs="Arial"/>
          <w:i/>
          <w:iCs/>
          <w:sz w:val="24"/>
          <w:szCs w:val="24"/>
        </w:rPr>
        <w:t xml:space="preserve">ONS, </w:t>
      </w:r>
      <w:r w:rsidR="00913839" w:rsidRPr="00766A43">
        <w:rPr>
          <w:rFonts w:ascii="Arial" w:hAnsi="Arial" w:cs="Arial"/>
          <w:i/>
          <w:iCs/>
          <w:color w:val="000000" w:themeColor="text1"/>
          <w:sz w:val="24"/>
          <w:szCs w:val="24"/>
        </w:rPr>
        <w:t>Census 2021</w:t>
      </w:r>
      <w:r w:rsidR="00E0333B">
        <w:rPr>
          <w:rFonts w:ascii="Arial" w:hAnsi="Arial" w:cs="Arial"/>
          <w:i/>
          <w:iCs/>
          <w:color w:val="000000" w:themeColor="text1"/>
          <w:sz w:val="24"/>
          <w:szCs w:val="24"/>
        </w:rPr>
        <w:t xml:space="preserve">, </w:t>
      </w:r>
      <w:hyperlink r:id="rId25" w:history="1">
        <w:r w:rsidR="00766A43" w:rsidRPr="007C31D9">
          <w:rPr>
            <w:rFonts w:ascii="Arial" w:hAnsi="Arial" w:cs="Arial"/>
            <w:i/>
            <w:iCs/>
            <w:color w:val="0000FF"/>
            <w:sz w:val="24"/>
            <w:szCs w:val="24"/>
            <w:u w:val="single"/>
          </w:rPr>
          <w:t>NOMIS TS003 – Household composition</w:t>
        </w:r>
      </w:hyperlink>
    </w:p>
    <w:p w14:paraId="6404E030" w14:textId="5776410E" w:rsidR="005E048C" w:rsidRPr="00823439" w:rsidRDefault="005E048C" w:rsidP="00396825">
      <w:pPr>
        <w:pStyle w:val="Heading3"/>
      </w:pPr>
      <w:r w:rsidRPr="00823439">
        <w:t>Average household size</w:t>
      </w:r>
    </w:p>
    <w:p w14:paraId="36599379" w14:textId="4A4FC305" w:rsidR="00A9395D" w:rsidRDefault="003B09BF" w:rsidP="005A3786">
      <w:pPr>
        <w:rPr>
          <w:rFonts w:ascii="Arial" w:hAnsi="Arial" w:cs="Arial"/>
          <w:sz w:val="24"/>
          <w:szCs w:val="24"/>
        </w:rPr>
      </w:pPr>
      <w:r>
        <w:rPr>
          <w:rFonts w:ascii="Arial" w:hAnsi="Arial" w:cs="Arial"/>
          <w:sz w:val="24"/>
          <w:szCs w:val="24"/>
        </w:rPr>
        <w:t>T</w:t>
      </w:r>
      <w:r w:rsidR="00A9395D" w:rsidRPr="00A9395D">
        <w:rPr>
          <w:rFonts w:ascii="Arial" w:hAnsi="Arial" w:cs="Arial"/>
          <w:sz w:val="24"/>
          <w:szCs w:val="24"/>
        </w:rPr>
        <w:t xml:space="preserve">he average number of residents per household across Greater Manchester increased </w:t>
      </w:r>
      <w:r w:rsidR="002656FA">
        <w:rPr>
          <w:rFonts w:ascii="Arial" w:hAnsi="Arial" w:cs="Arial"/>
          <w:sz w:val="24"/>
          <w:szCs w:val="24"/>
        </w:rPr>
        <w:t>marginally between 2011 and 2021,</w:t>
      </w:r>
      <w:r w:rsidR="00040A41">
        <w:rPr>
          <w:rFonts w:ascii="Arial" w:hAnsi="Arial" w:cs="Arial"/>
          <w:sz w:val="24"/>
          <w:szCs w:val="24"/>
        </w:rPr>
        <w:t xml:space="preserve"> </w:t>
      </w:r>
      <w:r w:rsidR="00A9395D" w:rsidRPr="00A9395D">
        <w:rPr>
          <w:rFonts w:ascii="Arial" w:hAnsi="Arial" w:cs="Arial"/>
          <w:sz w:val="24"/>
          <w:szCs w:val="24"/>
        </w:rPr>
        <w:t xml:space="preserve">from 2.34 to 2.39. </w:t>
      </w:r>
      <w:r w:rsidR="00823439">
        <w:rPr>
          <w:rFonts w:ascii="Arial" w:hAnsi="Arial" w:cs="Arial"/>
          <w:sz w:val="24"/>
          <w:szCs w:val="24"/>
        </w:rPr>
        <w:t xml:space="preserve">Increases were seen across all of the Greater Manchester districts with the exception of Wigan, where average </w:t>
      </w:r>
      <w:r w:rsidR="00823439" w:rsidRPr="00A9395D">
        <w:rPr>
          <w:rFonts w:ascii="Arial" w:hAnsi="Arial" w:cs="Arial"/>
          <w:sz w:val="24"/>
          <w:szCs w:val="24"/>
        </w:rPr>
        <w:t>household size fell</w:t>
      </w:r>
      <w:r w:rsidR="00823439">
        <w:rPr>
          <w:rFonts w:ascii="Arial" w:hAnsi="Arial" w:cs="Arial"/>
          <w:sz w:val="24"/>
          <w:szCs w:val="24"/>
        </w:rPr>
        <w:t xml:space="preserve"> </w:t>
      </w:r>
      <w:r w:rsidR="00823439" w:rsidRPr="00A9395D">
        <w:rPr>
          <w:rFonts w:ascii="Arial" w:hAnsi="Arial" w:cs="Arial"/>
          <w:sz w:val="24"/>
          <w:szCs w:val="24"/>
        </w:rPr>
        <w:t>slightly</w:t>
      </w:r>
      <w:r w:rsidR="00823439">
        <w:rPr>
          <w:rFonts w:ascii="Arial" w:hAnsi="Arial" w:cs="Arial"/>
          <w:sz w:val="24"/>
          <w:szCs w:val="24"/>
        </w:rPr>
        <w:t>,</w:t>
      </w:r>
      <w:r w:rsidR="00823439" w:rsidRPr="00A9395D">
        <w:rPr>
          <w:rFonts w:ascii="Arial" w:hAnsi="Arial" w:cs="Arial"/>
          <w:sz w:val="24"/>
          <w:szCs w:val="24"/>
        </w:rPr>
        <w:t xml:space="preserve"> from 2.32 to 2.28 residents per household.</w:t>
      </w:r>
      <w:r w:rsidR="00823439">
        <w:rPr>
          <w:rFonts w:ascii="Arial" w:hAnsi="Arial" w:cs="Arial"/>
          <w:sz w:val="24"/>
          <w:szCs w:val="24"/>
        </w:rPr>
        <w:t xml:space="preserve"> Manchester saw the</w:t>
      </w:r>
      <w:r w:rsidR="00A9395D" w:rsidRPr="00A9395D">
        <w:rPr>
          <w:rFonts w:ascii="Arial" w:hAnsi="Arial" w:cs="Arial"/>
          <w:sz w:val="24"/>
          <w:szCs w:val="24"/>
        </w:rPr>
        <w:t xml:space="preserve"> largest increase, </w:t>
      </w:r>
      <w:r w:rsidR="00823439">
        <w:rPr>
          <w:rFonts w:ascii="Arial" w:hAnsi="Arial" w:cs="Arial"/>
          <w:sz w:val="24"/>
          <w:szCs w:val="24"/>
        </w:rPr>
        <w:t>with</w:t>
      </w:r>
      <w:r w:rsidR="00A9395D" w:rsidRPr="00A9395D">
        <w:rPr>
          <w:rFonts w:ascii="Arial" w:hAnsi="Arial" w:cs="Arial"/>
          <w:sz w:val="24"/>
          <w:szCs w:val="24"/>
        </w:rPr>
        <w:t xml:space="preserve"> average household size chang</w:t>
      </w:r>
      <w:r w:rsidR="00823439">
        <w:rPr>
          <w:rFonts w:ascii="Arial" w:hAnsi="Arial" w:cs="Arial"/>
          <w:sz w:val="24"/>
          <w:szCs w:val="24"/>
        </w:rPr>
        <w:t>ing</w:t>
      </w:r>
      <w:r w:rsidR="00A9395D" w:rsidRPr="00A9395D">
        <w:rPr>
          <w:rFonts w:ascii="Arial" w:hAnsi="Arial" w:cs="Arial"/>
          <w:sz w:val="24"/>
          <w:szCs w:val="24"/>
        </w:rPr>
        <w:t xml:space="preserve"> from 2.34 to 2.46 residents per household</w:t>
      </w:r>
      <w:r w:rsidR="00823439">
        <w:rPr>
          <w:rFonts w:ascii="Arial" w:hAnsi="Arial" w:cs="Arial"/>
          <w:sz w:val="24"/>
          <w:szCs w:val="24"/>
        </w:rPr>
        <w:t xml:space="preserve"> over the period</w:t>
      </w:r>
      <w:r w:rsidR="00D87C09">
        <w:rPr>
          <w:rFonts w:ascii="Arial" w:hAnsi="Arial" w:cs="Arial"/>
          <w:sz w:val="24"/>
          <w:szCs w:val="24"/>
        </w:rPr>
        <w:t xml:space="preserve">. </w:t>
      </w:r>
      <w:r w:rsidR="002656FA">
        <w:rPr>
          <w:rFonts w:ascii="Arial" w:hAnsi="Arial" w:cs="Arial"/>
          <w:sz w:val="24"/>
          <w:szCs w:val="24"/>
        </w:rPr>
        <w:t>Oldham had the largest average household size</w:t>
      </w:r>
      <w:r w:rsidR="00D87C09">
        <w:rPr>
          <w:rFonts w:ascii="Arial" w:hAnsi="Arial" w:cs="Arial"/>
          <w:sz w:val="24"/>
          <w:szCs w:val="24"/>
        </w:rPr>
        <w:t xml:space="preserve"> in 2021</w:t>
      </w:r>
      <w:r w:rsidR="002656FA">
        <w:rPr>
          <w:rFonts w:ascii="Arial" w:hAnsi="Arial" w:cs="Arial"/>
          <w:sz w:val="24"/>
          <w:szCs w:val="24"/>
        </w:rPr>
        <w:t xml:space="preserve"> (2.56), </w:t>
      </w:r>
      <w:r w:rsidR="00D87C09">
        <w:rPr>
          <w:rFonts w:ascii="Arial" w:hAnsi="Arial" w:cs="Arial"/>
          <w:sz w:val="24"/>
          <w:szCs w:val="24"/>
        </w:rPr>
        <w:t>with Salford and Wigan having the smallest (2.28).</w:t>
      </w:r>
      <w:bookmarkStart w:id="4" w:name="_Hlk134976736"/>
      <w:r w:rsidR="00F64285">
        <w:rPr>
          <w:rFonts w:ascii="Arial" w:hAnsi="Arial" w:cs="Arial"/>
          <w:sz w:val="24"/>
          <w:szCs w:val="24"/>
        </w:rPr>
        <w:t xml:space="preserve"> </w:t>
      </w:r>
      <w:r w:rsidR="00CB2014">
        <w:rPr>
          <w:rFonts w:ascii="Arial" w:hAnsi="Arial" w:cs="Arial"/>
          <w:sz w:val="24"/>
          <w:szCs w:val="24"/>
        </w:rPr>
        <w:t>Across Greater Manchester, t</w:t>
      </w:r>
      <w:r w:rsidR="00F64285">
        <w:rPr>
          <w:rFonts w:ascii="Arial" w:hAnsi="Arial" w:cs="Arial"/>
          <w:sz w:val="24"/>
          <w:szCs w:val="24"/>
        </w:rPr>
        <w:t xml:space="preserve">he larger households mostly </w:t>
      </w:r>
      <w:r w:rsidR="00657FCE">
        <w:rPr>
          <w:rFonts w:ascii="Arial" w:hAnsi="Arial" w:cs="Arial"/>
          <w:sz w:val="24"/>
          <w:szCs w:val="24"/>
        </w:rPr>
        <w:t xml:space="preserve">comprise </w:t>
      </w:r>
      <w:r w:rsidR="00F64285">
        <w:rPr>
          <w:rFonts w:ascii="Arial" w:hAnsi="Arial" w:cs="Arial"/>
          <w:sz w:val="24"/>
          <w:szCs w:val="24"/>
        </w:rPr>
        <w:t>single families with dependent children (</w:t>
      </w:r>
      <w:r w:rsidR="00657FCE">
        <w:rPr>
          <w:rFonts w:ascii="Arial" w:hAnsi="Arial" w:cs="Arial"/>
          <w:sz w:val="24"/>
          <w:szCs w:val="24"/>
        </w:rPr>
        <w:t xml:space="preserve">this household type accounts for </w:t>
      </w:r>
      <w:r w:rsidR="00F64285">
        <w:rPr>
          <w:rFonts w:ascii="Arial" w:hAnsi="Arial" w:cs="Arial"/>
          <w:sz w:val="24"/>
          <w:szCs w:val="24"/>
        </w:rPr>
        <w:t xml:space="preserve">70.2% of </w:t>
      </w:r>
      <w:r w:rsidR="00657FCE">
        <w:rPr>
          <w:rFonts w:ascii="Arial" w:hAnsi="Arial" w:cs="Arial"/>
          <w:sz w:val="24"/>
          <w:szCs w:val="24"/>
        </w:rPr>
        <w:t xml:space="preserve">all </w:t>
      </w:r>
      <w:r w:rsidR="00F64285">
        <w:rPr>
          <w:rFonts w:ascii="Arial" w:hAnsi="Arial" w:cs="Arial"/>
          <w:sz w:val="24"/>
          <w:szCs w:val="24"/>
        </w:rPr>
        <w:t xml:space="preserve">households with </w:t>
      </w:r>
      <w:r w:rsidR="00E8752C">
        <w:rPr>
          <w:rFonts w:ascii="Arial" w:hAnsi="Arial" w:cs="Arial"/>
          <w:sz w:val="24"/>
          <w:szCs w:val="24"/>
        </w:rPr>
        <w:t>four</w:t>
      </w:r>
      <w:r w:rsidR="00F64285">
        <w:rPr>
          <w:rFonts w:ascii="Arial" w:hAnsi="Arial" w:cs="Arial"/>
          <w:sz w:val="24"/>
          <w:szCs w:val="24"/>
        </w:rPr>
        <w:t xml:space="preserve"> or more residents in Greater Manchester)</w:t>
      </w:r>
      <w:r w:rsidR="00657FCE">
        <w:rPr>
          <w:rFonts w:ascii="Arial" w:hAnsi="Arial" w:cs="Arial"/>
          <w:sz w:val="24"/>
          <w:szCs w:val="24"/>
        </w:rPr>
        <w:t>, rather than multi-adult households</w:t>
      </w:r>
      <w:r w:rsidR="00E8752C">
        <w:rPr>
          <w:rFonts w:ascii="Arial" w:hAnsi="Arial" w:cs="Arial"/>
          <w:sz w:val="24"/>
          <w:szCs w:val="24"/>
        </w:rPr>
        <w:t>.</w:t>
      </w:r>
      <w:bookmarkEnd w:id="4"/>
    </w:p>
    <w:p w14:paraId="0990C0F6" w14:textId="77777777" w:rsidR="00EF2B7C" w:rsidRPr="00E8752C" w:rsidRDefault="00EF2B7C">
      <w:pPr>
        <w:rPr>
          <w:rFonts w:ascii="Arial" w:eastAsia="Times New Roman" w:hAnsi="Arial" w:cs="Arial"/>
          <w:sz w:val="24"/>
          <w:szCs w:val="24"/>
          <w:lang w:eastAsia="en-GB"/>
        </w:rPr>
      </w:pPr>
      <w:r>
        <w:rPr>
          <w:rFonts w:ascii="Arial" w:eastAsia="Times New Roman" w:hAnsi="Arial" w:cs="Arial"/>
          <w:b/>
          <w:bCs/>
          <w:sz w:val="24"/>
          <w:szCs w:val="24"/>
          <w:lang w:eastAsia="en-GB"/>
        </w:rPr>
        <w:br w:type="page"/>
      </w:r>
    </w:p>
    <w:p w14:paraId="587020C9" w14:textId="6D08E6F2" w:rsidR="00A9395D" w:rsidRDefault="00A9395D" w:rsidP="00A9395D">
      <w:pPr>
        <w:pStyle w:val="BodyText"/>
        <w:ind w:left="567" w:hanging="567"/>
        <w:rPr>
          <w:rFonts w:ascii="Arial" w:eastAsia="Times New Roman" w:hAnsi="Arial" w:cs="Arial"/>
          <w:b/>
          <w:bCs/>
          <w:sz w:val="24"/>
          <w:szCs w:val="24"/>
          <w:lang w:eastAsia="en-GB"/>
        </w:rPr>
      </w:pPr>
      <w:r>
        <w:rPr>
          <w:rFonts w:ascii="Arial" w:eastAsia="Times New Roman" w:hAnsi="Arial" w:cs="Arial"/>
          <w:b/>
          <w:bCs/>
          <w:sz w:val="24"/>
          <w:szCs w:val="24"/>
          <w:lang w:eastAsia="en-GB"/>
        </w:rPr>
        <w:lastRenderedPageBreak/>
        <w:t>Average household size,</w:t>
      </w:r>
      <w:r w:rsidRPr="00C844CF">
        <w:rPr>
          <w:rFonts w:ascii="Arial" w:eastAsia="Times New Roman" w:hAnsi="Arial" w:cs="Arial"/>
          <w:b/>
          <w:bCs/>
          <w:sz w:val="24"/>
          <w:szCs w:val="24"/>
          <w:lang w:eastAsia="en-GB"/>
        </w:rPr>
        <w:t xml:space="preserve"> </w:t>
      </w:r>
      <w:r>
        <w:rPr>
          <w:rFonts w:ascii="Arial" w:eastAsia="Times New Roman" w:hAnsi="Arial" w:cs="Arial"/>
          <w:b/>
          <w:bCs/>
          <w:sz w:val="24"/>
          <w:szCs w:val="24"/>
          <w:lang w:eastAsia="en-GB"/>
        </w:rPr>
        <w:t>2011 and 2021</w:t>
      </w:r>
    </w:p>
    <w:p w14:paraId="46D34435" w14:textId="391B9DA1" w:rsidR="00B95828" w:rsidRDefault="00EF2B7C" w:rsidP="004B35B2">
      <w:pPr>
        <w:spacing w:after="0" w:line="240" w:lineRule="auto"/>
        <w:rPr>
          <w:rFonts w:ascii="Arial" w:hAnsi="Arial" w:cs="Arial"/>
          <w:i/>
          <w:iCs/>
          <w:sz w:val="24"/>
          <w:szCs w:val="24"/>
        </w:rPr>
      </w:pPr>
      <w:r w:rsidRPr="00EF2B7C">
        <w:rPr>
          <w:noProof/>
        </w:rPr>
        <w:drawing>
          <wp:inline distT="0" distB="0" distL="0" distR="0" wp14:anchorId="07F4BF3E" wp14:editId="25FAC889">
            <wp:extent cx="6390640" cy="2688590"/>
            <wp:effectExtent l="19050" t="19050" r="10160" b="16510"/>
            <wp:docPr id="1" name="Picture 1" descr="Bar chart showing average household size in the ten districts of Greater Manchester 2011 and 2021 with comparisons to the rates for Greater Manchester, North West and England.  The preceding text highlights the key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r chart showing average household size in the ten districts of Greater Manchester 2011 and 2021 with comparisons to the rates for Greater Manchester, North West and England.  The preceding text highlights the key messag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90640" cy="2688590"/>
                    </a:xfrm>
                    <a:prstGeom prst="rect">
                      <a:avLst/>
                    </a:prstGeom>
                    <a:noFill/>
                    <a:ln>
                      <a:solidFill>
                        <a:schemeClr val="bg1">
                          <a:lumMod val="75000"/>
                        </a:schemeClr>
                      </a:solidFill>
                    </a:ln>
                  </pic:spPr>
                </pic:pic>
              </a:graphicData>
            </a:graphic>
          </wp:inline>
        </w:drawing>
      </w:r>
      <w:r w:rsidRPr="00EF2B7C" w:rsidDel="00EF2B7C">
        <w:t xml:space="preserve"> </w:t>
      </w:r>
    </w:p>
    <w:p w14:paraId="7190C99C" w14:textId="649BC4A1" w:rsidR="00A9395D" w:rsidRPr="007C31D9" w:rsidRDefault="00A9395D" w:rsidP="009017AC">
      <w:pPr>
        <w:spacing w:after="240"/>
        <w:rPr>
          <w:rFonts w:ascii="Arial" w:hAnsi="Arial" w:cs="Arial"/>
          <w:i/>
          <w:iCs/>
          <w:sz w:val="24"/>
          <w:szCs w:val="24"/>
        </w:rPr>
      </w:pPr>
      <w:r w:rsidRPr="009B7B65">
        <w:rPr>
          <w:rFonts w:ascii="Arial" w:hAnsi="Arial" w:cs="Arial"/>
          <w:i/>
          <w:iCs/>
          <w:sz w:val="24"/>
          <w:szCs w:val="24"/>
        </w:rPr>
        <w:t xml:space="preserve">Sources: </w:t>
      </w:r>
      <w:r w:rsidRPr="009B7B65">
        <w:rPr>
          <w:rFonts w:ascii="Arial" w:hAnsi="Arial" w:cs="Arial"/>
          <w:i/>
          <w:iCs/>
          <w:color w:val="000000" w:themeColor="text1"/>
          <w:sz w:val="24"/>
          <w:szCs w:val="24"/>
        </w:rPr>
        <w:t xml:space="preserve">ONS, </w:t>
      </w:r>
      <w:r w:rsidRPr="009B7B65">
        <w:rPr>
          <w:rFonts w:ascii="Arial" w:hAnsi="Arial" w:cs="Arial"/>
          <w:i/>
          <w:iCs/>
          <w:sz w:val="24"/>
          <w:szCs w:val="24"/>
        </w:rPr>
        <w:t>Census 201</w:t>
      </w:r>
      <w:r>
        <w:rPr>
          <w:rFonts w:ascii="Arial" w:hAnsi="Arial" w:cs="Arial"/>
          <w:i/>
          <w:iCs/>
          <w:sz w:val="24"/>
          <w:szCs w:val="24"/>
        </w:rPr>
        <w:t xml:space="preserve">1, </w:t>
      </w:r>
      <w:hyperlink r:id="rId27" w:history="1">
        <w:r w:rsidRPr="00D37A2A">
          <w:rPr>
            <w:rStyle w:val="Hyperlink"/>
            <w:rFonts w:cs="Arial"/>
            <w:b w:val="0"/>
            <w:bCs/>
            <w:i/>
            <w:iCs/>
            <w:color w:val="0000FF"/>
            <w:sz w:val="24"/>
            <w:szCs w:val="24"/>
          </w:rPr>
          <w:t>QS406EW (Household size) - Nomis</w:t>
        </w:r>
      </w:hyperlink>
      <w:r>
        <w:rPr>
          <w:rFonts w:ascii="Arial" w:hAnsi="Arial" w:cs="Arial"/>
          <w:i/>
          <w:iCs/>
          <w:sz w:val="24"/>
          <w:szCs w:val="24"/>
        </w:rPr>
        <w:t xml:space="preserve">; </w:t>
      </w:r>
      <w:r w:rsidRPr="009B7B65">
        <w:rPr>
          <w:rFonts w:ascii="Arial" w:hAnsi="Arial" w:cs="Arial"/>
          <w:i/>
          <w:iCs/>
          <w:sz w:val="24"/>
          <w:szCs w:val="24"/>
        </w:rPr>
        <w:t xml:space="preserve">ONS, </w:t>
      </w:r>
      <w:r w:rsidRPr="009B7B65">
        <w:rPr>
          <w:rFonts w:ascii="Arial" w:hAnsi="Arial" w:cs="Arial"/>
          <w:i/>
          <w:iCs/>
          <w:color w:val="000000" w:themeColor="text1"/>
          <w:sz w:val="24"/>
          <w:szCs w:val="24"/>
        </w:rPr>
        <w:t>Census 2021</w:t>
      </w:r>
      <w:r>
        <w:rPr>
          <w:rFonts w:ascii="Arial" w:hAnsi="Arial" w:cs="Arial"/>
          <w:i/>
          <w:iCs/>
          <w:color w:val="000000" w:themeColor="text1"/>
          <w:sz w:val="24"/>
          <w:szCs w:val="24"/>
        </w:rPr>
        <w:t xml:space="preserve">, </w:t>
      </w:r>
      <w:hyperlink r:id="rId28" w:history="1">
        <w:r w:rsidRPr="007C31D9">
          <w:rPr>
            <w:rFonts w:ascii="Arial" w:hAnsi="Arial" w:cs="Arial"/>
            <w:i/>
            <w:iCs/>
            <w:color w:val="0000FF"/>
            <w:sz w:val="24"/>
            <w:szCs w:val="24"/>
            <w:u w:val="single"/>
          </w:rPr>
          <w:t>TS017 - Household size - Nomis</w:t>
        </w:r>
      </w:hyperlink>
    </w:p>
    <w:p w14:paraId="2257FAFF" w14:textId="3FA96146" w:rsidR="003317FA" w:rsidRDefault="003317FA" w:rsidP="00396825">
      <w:pPr>
        <w:pStyle w:val="Heading3"/>
      </w:pPr>
      <w:r w:rsidRPr="003837B6">
        <w:t>Reflections</w:t>
      </w:r>
    </w:p>
    <w:p w14:paraId="61EEB888" w14:textId="1BE05A2F" w:rsidR="006B10B0" w:rsidRDefault="00F74DC6" w:rsidP="004C7B44">
      <w:pPr>
        <w:rPr>
          <w:rStyle w:val="cf01"/>
          <w:rFonts w:ascii="Arial" w:hAnsi="Arial" w:cs="Arial"/>
          <w:sz w:val="24"/>
          <w:szCs w:val="24"/>
        </w:rPr>
      </w:pPr>
      <w:r>
        <w:rPr>
          <w:rStyle w:val="cf01"/>
          <w:rFonts w:ascii="Arial" w:hAnsi="Arial" w:cs="Arial"/>
          <w:sz w:val="24"/>
          <w:szCs w:val="24"/>
        </w:rPr>
        <w:t xml:space="preserve">Over the period from 2011 to 2021, </w:t>
      </w:r>
      <w:r w:rsidR="007C5A2C" w:rsidRPr="007C5A2C">
        <w:rPr>
          <w:rFonts w:ascii="Arial" w:hAnsi="Arial" w:cs="Arial"/>
          <w:sz w:val="24"/>
          <w:szCs w:val="24"/>
        </w:rPr>
        <w:t>no</w:t>
      </w:r>
      <w:r w:rsidR="007C5A2C">
        <w:rPr>
          <w:rFonts w:ascii="Arial" w:hAnsi="Arial" w:cs="Arial"/>
          <w:sz w:val="24"/>
          <w:szCs w:val="24"/>
        </w:rPr>
        <w:t xml:space="preserve"> Greater Manchester </w:t>
      </w:r>
      <w:r w:rsidR="007C5A2C" w:rsidRPr="004B35B2">
        <w:rPr>
          <w:rStyle w:val="cf01"/>
          <w:rFonts w:ascii="Arial" w:hAnsi="Arial" w:cs="Arial"/>
          <w:sz w:val="24"/>
          <w:szCs w:val="24"/>
        </w:rPr>
        <w:t xml:space="preserve">district </w:t>
      </w:r>
      <w:r>
        <w:rPr>
          <w:rStyle w:val="cf01"/>
          <w:rFonts w:ascii="Arial" w:hAnsi="Arial" w:cs="Arial"/>
          <w:sz w:val="24"/>
          <w:szCs w:val="24"/>
        </w:rPr>
        <w:t xml:space="preserve">saw </w:t>
      </w:r>
      <w:r w:rsidR="00CB2014">
        <w:rPr>
          <w:rStyle w:val="cf01"/>
          <w:rFonts w:ascii="Arial" w:hAnsi="Arial" w:cs="Arial"/>
          <w:sz w:val="24"/>
          <w:szCs w:val="24"/>
        </w:rPr>
        <w:t xml:space="preserve">the number of </w:t>
      </w:r>
      <w:r w:rsidR="007C5A2C">
        <w:rPr>
          <w:rStyle w:val="cf01"/>
          <w:rFonts w:ascii="Arial" w:hAnsi="Arial" w:cs="Arial"/>
          <w:sz w:val="24"/>
          <w:szCs w:val="24"/>
        </w:rPr>
        <w:t>household</w:t>
      </w:r>
      <w:r w:rsidR="00CB2014">
        <w:rPr>
          <w:rStyle w:val="cf01"/>
          <w:rFonts w:ascii="Arial" w:hAnsi="Arial" w:cs="Arial"/>
          <w:sz w:val="24"/>
          <w:szCs w:val="24"/>
        </w:rPr>
        <w:t xml:space="preserve">s grow </w:t>
      </w:r>
      <w:r w:rsidR="007C5A2C">
        <w:rPr>
          <w:rStyle w:val="cf01"/>
          <w:rFonts w:ascii="Arial" w:hAnsi="Arial" w:cs="Arial"/>
          <w:sz w:val="24"/>
          <w:szCs w:val="24"/>
        </w:rPr>
        <w:t xml:space="preserve">in percentage terms </w:t>
      </w:r>
      <w:r>
        <w:rPr>
          <w:rStyle w:val="cf01"/>
          <w:rFonts w:ascii="Arial" w:hAnsi="Arial" w:cs="Arial"/>
          <w:sz w:val="24"/>
          <w:szCs w:val="24"/>
        </w:rPr>
        <w:t xml:space="preserve">by </w:t>
      </w:r>
      <w:r w:rsidR="007C5A2C" w:rsidRPr="004B35B2">
        <w:rPr>
          <w:rStyle w:val="cf01"/>
          <w:rFonts w:ascii="Arial" w:hAnsi="Arial" w:cs="Arial"/>
          <w:sz w:val="24"/>
          <w:szCs w:val="24"/>
        </w:rPr>
        <w:t>as much as England</w:t>
      </w:r>
      <w:r w:rsidR="007C5A2C">
        <w:rPr>
          <w:rStyle w:val="cf01"/>
          <w:rFonts w:ascii="Arial" w:hAnsi="Arial" w:cs="Arial"/>
          <w:sz w:val="24"/>
          <w:szCs w:val="24"/>
        </w:rPr>
        <w:t xml:space="preserve"> (</w:t>
      </w:r>
      <w:r>
        <w:rPr>
          <w:rStyle w:val="cf01"/>
          <w:rFonts w:ascii="Arial" w:hAnsi="Arial" w:cs="Arial"/>
          <w:sz w:val="24"/>
          <w:szCs w:val="24"/>
        </w:rPr>
        <w:t xml:space="preserve">up </w:t>
      </w:r>
      <w:r w:rsidR="007C5A2C">
        <w:rPr>
          <w:rStyle w:val="cf01"/>
          <w:rFonts w:ascii="Arial" w:hAnsi="Arial" w:cs="Arial"/>
          <w:sz w:val="24"/>
          <w:szCs w:val="24"/>
        </w:rPr>
        <w:t>6.2%)</w:t>
      </w:r>
      <w:r>
        <w:rPr>
          <w:rStyle w:val="cf01"/>
          <w:rFonts w:ascii="Arial" w:hAnsi="Arial" w:cs="Arial"/>
          <w:sz w:val="24"/>
          <w:szCs w:val="24"/>
        </w:rPr>
        <w:t xml:space="preserve">, with the exception of </w:t>
      </w:r>
      <w:r w:rsidRPr="007C5A2C">
        <w:rPr>
          <w:rFonts w:ascii="Arial" w:hAnsi="Arial" w:cs="Arial"/>
          <w:sz w:val="24"/>
          <w:szCs w:val="24"/>
        </w:rPr>
        <w:t>Salford</w:t>
      </w:r>
      <w:r>
        <w:rPr>
          <w:rFonts w:ascii="Arial" w:hAnsi="Arial" w:cs="Arial"/>
          <w:sz w:val="24"/>
          <w:szCs w:val="24"/>
        </w:rPr>
        <w:t xml:space="preserve">. Salford’s </w:t>
      </w:r>
      <w:r>
        <w:rPr>
          <w:rStyle w:val="cf01"/>
          <w:rFonts w:ascii="Arial" w:hAnsi="Arial" w:cs="Arial"/>
          <w:sz w:val="24"/>
          <w:szCs w:val="24"/>
        </w:rPr>
        <w:t xml:space="preserve">growth rate (11.2%) was higher than any other North West district, </w:t>
      </w:r>
      <w:r w:rsidR="004366CF">
        <w:rPr>
          <w:rStyle w:val="cf01"/>
          <w:rFonts w:ascii="Arial" w:hAnsi="Arial" w:cs="Arial"/>
          <w:sz w:val="24"/>
          <w:szCs w:val="24"/>
        </w:rPr>
        <w:t>reflect</w:t>
      </w:r>
      <w:r>
        <w:rPr>
          <w:rStyle w:val="cf01"/>
          <w:rFonts w:ascii="Arial" w:hAnsi="Arial" w:cs="Arial"/>
          <w:sz w:val="24"/>
          <w:szCs w:val="24"/>
        </w:rPr>
        <w:t>ing</w:t>
      </w:r>
      <w:r w:rsidR="004366CF">
        <w:rPr>
          <w:rStyle w:val="cf01"/>
          <w:rFonts w:ascii="Arial" w:hAnsi="Arial" w:cs="Arial"/>
          <w:sz w:val="24"/>
          <w:szCs w:val="24"/>
        </w:rPr>
        <w:t xml:space="preserve"> the large amount of development in Salford over the last ten years</w:t>
      </w:r>
      <w:r>
        <w:rPr>
          <w:rStyle w:val="cf01"/>
          <w:rFonts w:ascii="Arial" w:hAnsi="Arial" w:cs="Arial"/>
          <w:sz w:val="24"/>
          <w:szCs w:val="24"/>
        </w:rPr>
        <w:t>, much of which is</w:t>
      </w:r>
      <w:r w:rsidR="003D471F">
        <w:rPr>
          <w:rStyle w:val="cf01"/>
          <w:rFonts w:ascii="Arial" w:hAnsi="Arial" w:cs="Arial"/>
          <w:sz w:val="24"/>
          <w:szCs w:val="24"/>
        </w:rPr>
        <w:t xml:space="preserve"> adjacent to </w:t>
      </w:r>
      <w:r>
        <w:rPr>
          <w:rStyle w:val="cf01"/>
          <w:rFonts w:ascii="Arial" w:hAnsi="Arial" w:cs="Arial"/>
          <w:sz w:val="24"/>
          <w:szCs w:val="24"/>
        </w:rPr>
        <w:t>the substantial</w:t>
      </w:r>
      <w:r w:rsidR="003D471F">
        <w:rPr>
          <w:rStyle w:val="cf01"/>
          <w:rFonts w:ascii="Arial" w:hAnsi="Arial" w:cs="Arial"/>
          <w:sz w:val="24"/>
          <w:szCs w:val="24"/>
        </w:rPr>
        <w:t xml:space="preserve"> development</w:t>
      </w:r>
      <w:r>
        <w:rPr>
          <w:rStyle w:val="cf01"/>
          <w:rFonts w:ascii="Arial" w:hAnsi="Arial" w:cs="Arial"/>
          <w:sz w:val="24"/>
          <w:szCs w:val="24"/>
        </w:rPr>
        <w:t xml:space="preserve"> seen</w:t>
      </w:r>
      <w:r w:rsidR="003D471F">
        <w:rPr>
          <w:rStyle w:val="cf01"/>
          <w:rFonts w:ascii="Arial" w:hAnsi="Arial" w:cs="Arial"/>
          <w:sz w:val="24"/>
          <w:szCs w:val="24"/>
        </w:rPr>
        <w:t xml:space="preserve"> in Manchester City Centre.</w:t>
      </w:r>
    </w:p>
    <w:p w14:paraId="6884D6B5" w14:textId="48101967" w:rsidR="006A3938" w:rsidRDefault="00406901" w:rsidP="004C7B44">
      <w:pPr>
        <w:rPr>
          <w:rFonts w:ascii="Arial" w:hAnsi="Arial" w:cs="Arial"/>
          <w:sz w:val="24"/>
          <w:szCs w:val="24"/>
        </w:rPr>
      </w:pPr>
      <w:r>
        <w:rPr>
          <w:rFonts w:ascii="Arial" w:hAnsi="Arial" w:cs="Arial"/>
          <w:sz w:val="24"/>
          <w:szCs w:val="24"/>
        </w:rPr>
        <w:t xml:space="preserve">There was a slight increase in the average size of </w:t>
      </w:r>
      <w:r w:rsidR="00F74DC6">
        <w:rPr>
          <w:rFonts w:ascii="Arial" w:hAnsi="Arial" w:cs="Arial"/>
          <w:sz w:val="24"/>
          <w:szCs w:val="24"/>
        </w:rPr>
        <w:t xml:space="preserve">Greater Manchester </w:t>
      </w:r>
      <w:r>
        <w:rPr>
          <w:rFonts w:ascii="Arial" w:hAnsi="Arial" w:cs="Arial"/>
          <w:sz w:val="24"/>
          <w:szCs w:val="24"/>
        </w:rPr>
        <w:t>households</w:t>
      </w:r>
      <w:r w:rsidR="000F5A4A">
        <w:rPr>
          <w:rFonts w:ascii="Arial" w:hAnsi="Arial" w:cs="Arial"/>
          <w:sz w:val="24"/>
          <w:szCs w:val="24"/>
        </w:rPr>
        <w:t>. A</w:t>
      </w:r>
      <w:r w:rsidR="00E04E16">
        <w:rPr>
          <w:rFonts w:ascii="Arial" w:hAnsi="Arial" w:cs="Arial"/>
          <w:sz w:val="24"/>
          <w:szCs w:val="24"/>
        </w:rPr>
        <w:t xml:space="preserve">s might be expected, those </w:t>
      </w:r>
      <w:r w:rsidR="0041207B">
        <w:rPr>
          <w:rFonts w:ascii="Arial" w:hAnsi="Arial" w:cs="Arial"/>
          <w:sz w:val="24"/>
          <w:szCs w:val="24"/>
        </w:rPr>
        <w:t>districts with younger populations (</w:t>
      </w:r>
      <w:r w:rsidR="00E04E16">
        <w:rPr>
          <w:rFonts w:ascii="Arial" w:hAnsi="Arial" w:cs="Arial"/>
          <w:sz w:val="24"/>
          <w:szCs w:val="24"/>
        </w:rPr>
        <w:t xml:space="preserve">particularly </w:t>
      </w:r>
      <w:r w:rsidR="0041207B">
        <w:rPr>
          <w:rFonts w:ascii="Arial" w:hAnsi="Arial" w:cs="Arial"/>
          <w:sz w:val="24"/>
          <w:szCs w:val="24"/>
        </w:rPr>
        <w:t>Manchester and Salford) show</w:t>
      </w:r>
      <w:r w:rsidR="00E04E16">
        <w:rPr>
          <w:rFonts w:ascii="Arial" w:hAnsi="Arial" w:cs="Arial"/>
          <w:sz w:val="24"/>
          <w:szCs w:val="24"/>
        </w:rPr>
        <w:t>ed</w:t>
      </w:r>
      <w:r w:rsidR="0041207B">
        <w:rPr>
          <w:rFonts w:ascii="Arial" w:hAnsi="Arial" w:cs="Arial"/>
          <w:sz w:val="24"/>
          <w:szCs w:val="24"/>
        </w:rPr>
        <w:t xml:space="preserve"> the </w:t>
      </w:r>
      <w:r w:rsidR="00E04E16">
        <w:rPr>
          <w:rFonts w:ascii="Arial" w:hAnsi="Arial" w:cs="Arial"/>
          <w:sz w:val="24"/>
          <w:szCs w:val="24"/>
        </w:rPr>
        <w:t>highest</w:t>
      </w:r>
      <w:r w:rsidR="0041207B">
        <w:rPr>
          <w:rFonts w:ascii="Arial" w:hAnsi="Arial" w:cs="Arial"/>
          <w:sz w:val="24"/>
          <w:szCs w:val="24"/>
        </w:rPr>
        <w:t xml:space="preserve"> </w:t>
      </w:r>
      <w:r w:rsidR="00E04E16">
        <w:rPr>
          <w:rFonts w:ascii="Arial" w:hAnsi="Arial" w:cs="Arial"/>
          <w:sz w:val="24"/>
          <w:szCs w:val="24"/>
        </w:rPr>
        <w:t xml:space="preserve">growth in household size, and those with an increasingly ageing population (Bury, Stockport and Wigan) </w:t>
      </w:r>
      <w:r w:rsidR="000F5A4A">
        <w:rPr>
          <w:rFonts w:ascii="Arial" w:hAnsi="Arial" w:cs="Arial"/>
          <w:sz w:val="24"/>
          <w:szCs w:val="24"/>
        </w:rPr>
        <w:t xml:space="preserve">saw </w:t>
      </w:r>
      <w:r w:rsidR="00E04E16">
        <w:rPr>
          <w:rFonts w:ascii="Arial" w:hAnsi="Arial" w:cs="Arial"/>
          <w:sz w:val="24"/>
          <w:szCs w:val="24"/>
        </w:rPr>
        <w:t>low</w:t>
      </w:r>
      <w:r w:rsidR="000F5A4A">
        <w:rPr>
          <w:rFonts w:ascii="Arial" w:hAnsi="Arial" w:cs="Arial"/>
          <w:sz w:val="24"/>
          <w:szCs w:val="24"/>
        </w:rPr>
        <w:t>er</w:t>
      </w:r>
      <w:r w:rsidR="00E04E16">
        <w:rPr>
          <w:rFonts w:ascii="Arial" w:hAnsi="Arial" w:cs="Arial"/>
          <w:sz w:val="24"/>
          <w:szCs w:val="24"/>
        </w:rPr>
        <w:t xml:space="preserve"> growth or a slight decrease</w:t>
      </w:r>
      <w:r w:rsidR="004366CF">
        <w:rPr>
          <w:rFonts w:ascii="Arial" w:hAnsi="Arial" w:cs="Arial"/>
          <w:sz w:val="24"/>
          <w:szCs w:val="24"/>
        </w:rPr>
        <w:t xml:space="preserve">. </w:t>
      </w:r>
      <w:r w:rsidR="00E04E16">
        <w:rPr>
          <w:rFonts w:ascii="Arial" w:hAnsi="Arial" w:cs="Arial"/>
          <w:sz w:val="24"/>
          <w:szCs w:val="24"/>
        </w:rPr>
        <w:t>C</w:t>
      </w:r>
      <w:r w:rsidR="006B10B0">
        <w:rPr>
          <w:rFonts w:ascii="Arial" w:hAnsi="Arial" w:cs="Arial"/>
          <w:sz w:val="24"/>
          <w:szCs w:val="24"/>
        </w:rPr>
        <w:t xml:space="preserve">hanges in household size </w:t>
      </w:r>
      <w:r w:rsidR="004366CF">
        <w:rPr>
          <w:rFonts w:ascii="Arial" w:hAnsi="Arial" w:cs="Arial"/>
          <w:sz w:val="24"/>
          <w:szCs w:val="24"/>
        </w:rPr>
        <w:t xml:space="preserve">may </w:t>
      </w:r>
      <w:r w:rsidR="00E04E16">
        <w:rPr>
          <w:rFonts w:ascii="Arial" w:hAnsi="Arial" w:cs="Arial"/>
          <w:sz w:val="24"/>
          <w:szCs w:val="24"/>
        </w:rPr>
        <w:t xml:space="preserve">also </w:t>
      </w:r>
      <w:r w:rsidR="006A3938" w:rsidRPr="004C7B44">
        <w:rPr>
          <w:rFonts w:ascii="Arial" w:hAnsi="Arial" w:cs="Arial"/>
          <w:sz w:val="24"/>
          <w:szCs w:val="24"/>
        </w:rPr>
        <w:t xml:space="preserve">have been influenced by the timing of the Census, which was undertaken during the COVID-19 pandemic when some </w:t>
      </w:r>
      <w:r w:rsidR="004366CF">
        <w:rPr>
          <w:rFonts w:ascii="Arial" w:hAnsi="Arial" w:cs="Arial"/>
          <w:sz w:val="24"/>
          <w:szCs w:val="24"/>
        </w:rPr>
        <w:t xml:space="preserve">people </w:t>
      </w:r>
      <w:r w:rsidR="00F74DC6">
        <w:rPr>
          <w:rFonts w:ascii="Arial" w:hAnsi="Arial" w:cs="Arial"/>
          <w:sz w:val="24"/>
          <w:szCs w:val="24"/>
        </w:rPr>
        <w:t xml:space="preserve">were </w:t>
      </w:r>
      <w:r w:rsidR="004366CF">
        <w:rPr>
          <w:rFonts w:ascii="Arial" w:hAnsi="Arial" w:cs="Arial"/>
          <w:sz w:val="24"/>
          <w:szCs w:val="24"/>
        </w:rPr>
        <w:t xml:space="preserve">not living </w:t>
      </w:r>
      <w:r w:rsidR="00F74DC6">
        <w:rPr>
          <w:rFonts w:ascii="Arial" w:hAnsi="Arial" w:cs="Arial"/>
          <w:sz w:val="24"/>
          <w:szCs w:val="24"/>
        </w:rPr>
        <w:t xml:space="preserve">at </w:t>
      </w:r>
      <w:r w:rsidR="004366CF">
        <w:rPr>
          <w:rFonts w:ascii="Arial" w:hAnsi="Arial" w:cs="Arial"/>
          <w:sz w:val="24"/>
          <w:szCs w:val="24"/>
        </w:rPr>
        <w:t>their usual address</w:t>
      </w:r>
      <w:r w:rsidR="00F91DC8" w:rsidRPr="004C7B44">
        <w:rPr>
          <w:rFonts w:ascii="Arial" w:hAnsi="Arial" w:cs="Arial"/>
          <w:sz w:val="24"/>
          <w:szCs w:val="24"/>
        </w:rPr>
        <w:t xml:space="preserve">. </w:t>
      </w:r>
      <w:r w:rsidR="00F74DC6">
        <w:rPr>
          <w:rFonts w:ascii="Arial" w:hAnsi="Arial" w:cs="Arial"/>
          <w:sz w:val="24"/>
          <w:szCs w:val="24"/>
        </w:rPr>
        <w:t>For this reason, c</w:t>
      </w:r>
      <w:r w:rsidR="006A3938" w:rsidRPr="004C7B44">
        <w:rPr>
          <w:rFonts w:ascii="Arial" w:hAnsi="Arial" w:cs="Arial"/>
          <w:sz w:val="24"/>
          <w:szCs w:val="24"/>
        </w:rPr>
        <w:t xml:space="preserve">are </w:t>
      </w:r>
      <w:r w:rsidR="00F74DC6">
        <w:rPr>
          <w:rFonts w:ascii="Arial" w:hAnsi="Arial" w:cs="Arial"/>
          <w:sz w:val="24"/>
          <w:szCs w:val="24"/>
        </w:rPr>
        <w:t>should</w:t>
      </w:r>
      <w:r w:rsidR="006A3938" w:rsidRPr="004C7B44">
        <w:rPr>
          <w:rFonts w:ascii="Arial" w:hAnsi="Arial" w:cs="Arial"/>
          <w:sz w:val="24"/>
          <w:szCs w:val="24"/>
        </w:rPr>
        <w:t xml:space="preserve"> be taken when interpreting results.</w:t>
      </w:r>
      <w:r w:rsidR="00392A81">
        <w:rPr>
          <w:rFonts w:ascii="Arial" w:hAnsi="Arial" w:cs="Arial"/>
          <w:sz w:val="24"/>
          <w:szCs w:val="24"/>
        </w:rPr>
        <w:t xml:space="preserve"> </w:t>
      </w:r>
      <w:r w:rsidR="00F74DC6">
        <w:rPr>
          <w:rFonts w:ascii="Arial" w:hAnsi="Arial" w:cs="Arial"/>
          <w:sz w:val="24"/>
          <w:szCs w:val="24"/>
        </w:rPr>
        <w:t xml:space="preserve">At the time of the Census, COVID-19 restrictions will also have had some impact on </w:t>
      </w:r>
      <w:r w:rsidR="00F06578">
        <w:rPr>
          <w:rFonts w:ascii="Arial" w:hAnsi="Arial" w:cs="Arial"/>
          <w:sz w:val="24"/>
          <w:szCs w:val="24"/>
        </w:rPr>
        <w:t xml:space="preserve">the </w:t>
      </w:r>
      <w:r w:rsidR="00392A81">
        <w:rPr>
          <w:rFonts w:ascii="Arial" w:hAnsi="Arial" w:cs="Arial"/>
          <w:sz w:val="24"/>
          <w:szCs w:val="24"/>
        </w:rPr>
        <w:t>number of households in different areas</w:t>
      </w:r>
      <w:r w:rsidR="00F74DC6">
        <w:rPr>
          <w:rFonts w:ascii="Arial" w:hAnsi="Arial" w:cs="Arial"/>
          <w:sz w:val="24"/>
          <w:szCs w:val="24"/>
        </w:rPr>
        <w:t xml:space="preserve"> of the city region and relative change in household size and composition</w:t>
      </w:r>
      <w:r w:rsidR="00392A81">
        <w:rPr>
          <w:rFonts w:ascii="Arial" w:hAnsi="Arial" w:cs="Arial"/>
          <w:sz w:val="24"/>
          <w:szCs w:val="24"/>
        </w:rPr>
        <w:t>.</w:t>
      </w:r>
    </w:p>
    <w:p w14:paraId="4BC9AB53" w14:textId="6D0F38EA" w:rsidR="004366CF" w:rsidRPr="004C7B44" w:rsidRDefault="004366CF" w:rsidP="004366CF">
      <w:pPr>
        <w:rPr>
          <w:rFonts w:ascii="Arial" w:hAnsi="Arial" w:cs="Arial"/>
          <w:sz w:val="24"/>
          <w:szCs w:val="24"/>
        </w:rPr>
      </w:pPr>
    </w:p>
    <w:sectPr w:rsidR="004366CF" w:rsidRPr="004C7B44" w:rsidSect="00F91DC8">
      <w:headerReference w:type="default" r:id="rId29"/>
      <w:footerReference w:type="default" r:id="rId30"/>
      <w:footerReference w:type="first" r:id="rId31"/>
      <w:pgSz w:w="11906" w:h="16838" w:code="9"/>
      <w:pgMar w:top="993" w:right="849" w:bottom="993" w:left="993" w:header="709" w:footer="9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69D6B" w14:textId="77777777" w:rsidR="008A2434" w:rsidRDefault="008A2434">
      <w:pPr>
        <w:spacing w:after="0" w:line="240" w:lineRule="auto"/>
      </w:pPr>
      <w:r>
        <w:separator/>
      </w:r>
    </w:p>
  </w:endnote>
  <w:endnote w:type="continuationSeparator" w:id="0">
    <w:p w14:paraId="08AC2B63" w14:textId="77777777" w:rsidR="008A2434" w:rsidRDefault="008A2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GAZL W+ Colfax">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117909"/>
      <w:docPartObj>
        <w:docPartGallery w:val="Page Numbers (Bottom of Page)"/>
        <w:docPartUnique/>
      </w:docPartObj>
    </w:sdtPr>
    <w:sdtEndPr/>
    <w:sdtContent>
      <w:p w14:paraId="5D5BCE77" w14:textId="77777777" w:rsidR="00E07B85" w:rsidRPr="00D31BB7" w:rsidRDefault="002F4BA4" w:rsidP="00915B8A">
        <w:pPr>
          <w:pStyle w:val="PageNumber1"/>
        </w:pPr>
        <w:r w:rsidRPr="00783EF6">
          <w:fldChar w:fldCharType="begin"/>
        </w:r>
        <w:r w:rsidRPr="00783EF6">
          <w:instrText xml:space="preserve"> PAGE   \* MERGEFORMAT </w:instrText>
        </w:r>
        <w:r w:rsidRPr="00783EF6">
          <w:fldChar w:fldCharType="separate"/>
        </w:r>
        <w:r w:rsidRPr="00783EF6">
          <w:t>2</w:t>
        </w:r>
        <w:r w:rsidRPr="00783EF6">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737260"/>
      <w:docPartObj>
        <w:docPartGallery w:val="Page Numbers (Bottom of Page)"/>
        <w:docPartUnique/>
      </w:docPartObj>
    </w:sdtPr>
    <w:sdtEndPr>
      <w:rPr>
        <w:rStyle w:val="PagenumberChar"/>
        <w:rFonts w:ascii="Arial" w:hAnsi="Arial"/>
        <w:b/>
        <w:color w:val="2C5060" w:themeColor="accent1"/>
        <w:sz w:val="28"/>
        <w:szCs w:val="24"/>
      </w:rPr>
    </w:sdtEndPr>
    <w:sdtContent>
      <w:p w14:paraId="494B75DB" w14:textId="77777777" w:rsidR="00B7462D" w:rsidRPr="00B7462D" w:rsidRDefault="00B7462D">
        <w:pPr>
          <w:pStyle w:val="Footer"/>
          <w:jc w:val="right"/>
          <w:rPr>
            <w:rStyle w:val="PagenumberChar"/>
          </w:rPr>
        </w:pPr>
        <w:r w:rsidRPr="00B7462D">
          <w:rPr>
            <w:rStyle w:val="PagenumberChar"/>
          </w:rPr>
          <w:fldChar w:fldCharType="begin"/>
        </w:r>
        <w:r w:rsidRPr="00B7462D">
          <w:rPr>
            <w:rStyle w:val="PagenumberChar"/>
          </w:rPr>
          <w:instrText xml:space="preserve"> PAGE   \* MERGEFORMAT </w:instrText>
        </w:r>
        <w:r w:rsidRPr="00B7462D">
          <w:rPr>
            <w:rStyle w:val="PagenumberChar"/>
          </w:rPr>
          <w:fldChar w:fldCharType="separate"/>
        </w:r>
        <w:r w:rsidRPr="00B7462D">
          <w:rPr>
            <w:rStyle w:val="PagenumberChar"/>
          </w:rPr>
          <w:t>2</w:t>
        </w:r>
        <w:r w:rsidRPr="00B7462D">
          <w:rPr>
            <w:rStyle w:val="PagenumberChar"/>
          </w:rPr>
          <w:fldChar w:fldCharType="end"/>
        </w:r>
      </w:p>
    </w:sdtContent>
  </w:sdt>
  <w:p w14:paraId="6EF5408D" w14:textId="77777777" w:rsidR="00B7462D" w:rsidRDefault="00B74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2085D" w14:textId="77777777" w:rsidR="008A2434" w:rsidRDefault="008A2434">
      <w:pPr>
        <w:spacing w:after="0" w:line="240" w:lineRule="auto"/>
      </w:pPr>
      <w:r>
        <w:separator/>
      </w:r>
    </w:p>
  </w:footnote>
  <w:footnote w:type="continuationSeparator" w:id="0">
    <w:p w14:paraId="5DE6F87F" w14:textId="77777777" w:rsidR="008A2434" w:rsidRDefault="008A24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08BFD" w14:textId="77777777" w:rsidR="007222D5" w:rsidRDefault="006A5EFB" w:rsidP="00380C6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07721"/>
    <w:multiLevelType w:val="hybridMultilevel"/>
    <w:tmpl w:val="C9CE6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6332FA"/>
    <w:multiLevelType w:val="hybridMultilevel"/>
    <w:tmpl w:val="DA3481FC"/>
    <w:lvl w:ilvl="0" w:tplc="444EB112">
      <w:start w:val="1"/>
      <w:numFmt w:val="bullet"/>
      <w:lvlText w:val=""/>
      <w:lvlJc w:val="left"/>
      <w:pPr>
        <w:ind w:left="1440" w:hanging="360"/>
      </w:pPr>
      <w:rPr>
        <w:rFonts w:ascii="Symbol" w:hAnsi="Symbol"/>
      </w:rPr>
    </w:lvl>
    <w:lvl w:ilvl="1" w:tplc="84EA9AB2">
      <w:start w:val="1"/>
      <w:numFmt w:val="bullet"/>
      <w:lvlText w:val=""/>
      <w:lvlJc w:val="left"/>
      <w:pPr>
        <w:ind w:left="1440" w:hanging="360"/>
      </w:pPr>
      <w:rPr>
        <w:rFonts w:ascii="Symbol" w:hAnsi="Symbol"/>
      </w:rPr>
    </w:lvl>
    <w:lvl w:ilvl="2" w:tplc="4AC2667A">
      <w:start w:val="1"/>
      <w:numFmt w:val="bullet"/>
      <w:lvlText w:val=""/>
      <w:lvlJc w:val="left"/>
      <w:pPr>
        <w:ind w:left="1440" w:hanging="360"/>
      </w:pPr>
      <w:rPr>
        <w:rFonts w:ascii="Symbol" w:hAnsi="Symbol"/>
      </w:rPr>
    </w:lvl>
    <w:lvl w:ilvl="3" w:tplc="DD967C76">
      <w:start w:val="1"/>
      <w:numFmt w:val="bullet"/>
      <w:lvlText w:val=""/>
      <w:lvlJc w:val="left"/>
      <w:pPr>
        <w:ind w:left="1440" w:hanging="360"/>
      </w:pPr>
      <w:rPr>
        <w:rFonts w:ascii="Symbol" w:hAnsi="Symbol"/>
      </w:rPr>
    </w:lvl>
    <w:lvl w:ilvl="4" w:tplc="1B70EB50">
      <w:start w:val="1"/>
      <w:numFmt w:val="bullet"/>
      <w:lvlText w:val=""/>
      <w:lvlJc w:val="left"/>
      <w:pPr>
        <w:ind w:left="1440" w:hanging="360"/>
      </w:pPr>
      <w:rPr>
        <w:rFonts w:ascii="Symbol" w:hAnsi="Symbol"/>
      </w:rPr>
    </w:lvl>
    <w:lvl w:ilvl="5" w:tplc="007E28BA">
      <w:start w:val="1"/>
      <w:numFmt w:val="bullet"/>
      <w:lvlText w:val=""/>
      <w:lvlJc w:val="left"/>
      <w:pPr>
        <w:ind w:left="1440" w:hanging="360"/>
      </w:pPr>
      <w:rPr>
        <w:rFonts w:ascii="Symbol" w:hAnsi="Symbol"/>
      </w:rPr>
    </w:lvl>
    <w:lvl w:ilvl="6" w:tplc="C25A7E8E">
      <w:start w:val="1"/>
      <w:numFmt w:val="bullet"/>
      <w:lvlText w:val=""/>
      <w:lvlJc w:val="left"/>
      <w:pPr>
        <w:ind w:left="1440" w:hanging="360"/>
      </w:pPr>
      <w:rPr>
        <w:rFonts w:ascii="Symbol" w:hAnsi="Symbol"/>
      </w:rPr>
    </w:lvl>
    <w:lvl w:ilvl="7" w:tplc="9C6C7970">
      <w:start w:val="1"/>
      <w:numFmt w:val="bullet"/>
      <w:lvlText w:val=""/>
      <w:lvlJc w:val="left"/>
      <w:pPr>
        <w:ind w:left="1440" w:hanging="360"/>
      </w:pPr>
      <w:rPr>
        <w:rFonts w:ascii="Symbol" w:hAnsi="Symbol"/>
      </w:rPr>
    </w:lvl>
    <w:lvl w:ilvl="8" w:tplc="3A145C02">
      <w:start w:val="1"/>
      <w:numFmt w:val="bullet"/>
      <w:lvlText w:val=""/>
      <w:lvlJc w:val="left"/>
      <w:pPr>
        <w:ind w:left="1440" w:hanging="360"/>
      </w:pPr>
      <w:rPr>
        <w:rFonts w:ascii="Symbol" w:hAnsi="Symbol"/>
      </w:rPr>
    </w:lvl>
  </w:abstractNum>
  <w:abstractNum w:abstractNumId="2" w15:restartNumberingAfterBreak="0">
    <w:nsid w:val="1A4D3CF0"/>
    <w:multiLevelType w:val="hybridMultilevel"/>
    <w:tmpl w:val="776A886A"/>
    <w:lvl w:ilvl="0" w:tplc="F0D6E7E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A265B3"/>
    <w:multiLevelType w:val="hybridMultilevel"/>
    <w:tmpl w:val="AE30DBBA"/>
    <w:lvl w:ilvl="0" w:tplc="167AAC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F729E7"/>
    <w:multiLevelType w:val="hybridMultilevel"/>
    <w:tmpl w:val="72CEB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7109A6"/>
    <w:multiLevelType w:val="hybridMultilevel"/>
    <w:tmpl w:val="D56085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EB1617"/>
    <w:multiLevelType w:val="hybridMultilevel"/>
    <w:tmpl w:val="12361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F83B6B"/>
    <w:multiLevelType w:val="multilevel"/>
    <w:tmpl w:val="87C8A5F8"/>
    <w:lvl w:ilvl="0">
      <w:start w:val="2"/>
      <w:numFmt w:val="decimal"/>
      <w:lvlText w:val="%1"/>
      <w:lvlJc w:val="left"/>
      <w:pPr>
        <w:ind w:left="465" w:hanging="465"/>
      </w:pPr>
      <w:rPr>
        <w:rFonts w:hint="default"/>
      </w:rPr>
    </w:lvl>
    <w:lvl w:ilvl="1">
      <w:start w:val="1"/>
      <w:numFmt w:val="decimal"/>
      <w:lvlText w:val="%1.%2"/>
      <w:lvlJc w:val="left"/>
      <w:pPr>
        <w:ind w:left="1174" w:hanging="46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3D20384A"/>
    <w:multiLevelType w:val="multilevel"/>
    <w:tmpl w:val="A1D6F89C"/>
    <w:lvl w:ilvl="0">
      <w:start w:val="4"/>
      <w:numFmt w:val="decimal"/>
      <w:lvlText w:val="%1"/>
      <w:lvlJc w:val="left"/>
      <w:pPr>
        <w:ind w:left="1530" w:hanging="851"/>
      </w:pPr>
      <w:rPr>
        <w:rFonts w:hint="default"/>
        <w:lang w:val="en-US" w:eastAsia="en-US" w:bidi="ar-SA"/>
      </w:rPr>
    </w:lvl>
    <w:lvl w:ilvl="1">
      <w:start w:val="1"/>
      <w:numFmt w:val="decimal"/>
      <w:lvlText w:val="%1.%2"/>
      <w:lvlJc w:val="left"/>
      <w:pPr>
        <w:ind w:left="1530" w:hanging="851"/>
        <w:jc w:val="right"/>
      </w:pPr>
      <w:rPr>
        <w:rFonts w:ascii="Arial" w:eastAsia="Arial" w:hAnsi="Arial" w:cs="Arial" w:hint="default"/>
        <w:b/>
        <w:bCs/>
        <w:color w:val="565555"/>
        <w:spacing w:val="-1"/>
        <w:w w:val="100"/>
        <w:sz w:val="24"/>
        <w:szCs w:val="24"/>
        <w:lang w:val="en-US" w:eastAsia="en-US" w:bidi="ar-SA"/>
      </w:rPr>
    </w:lvl>
    <w:lvl w:ilvl="2">
      <w:start w:val="1"/>
      <w:numFmt w:val="upperLetter"/>
      <w:lvlText w:val="%3."/>
      <w:lvlJc w:val="left"/>
      <w:pPr>
        <w:ind w:left="1387" w:hanging="480"/>
      </w:pPr>
      <w:rPr>
        <w:rFonts w:ascii="Arial" w:eastAsia="Arial" w:hAnsi="Arial" w:cs="Arial" w:hint="default"/>
        <w:w w:val="100"/>
        <w:sz w:val="24"/>
        <w:szCs w:val="24"/>
        <w:lang w:val="en-US" w:eastAsia="en-US" w:bidi="ar-SA"/>
      </w:rPr>
    </w:lvl>
    <w:lvl w:ilvl="3">
      <w:start w:val="1"/>
      <w:numFmt w:val="decimal"/>
      <w:lvlText w:val="%4."/>
      <w:lvlJc w:val="left"/>
      <w:pPr>
        <w:ind w:left="1387" w:hanging="480"/>
      </w:pPr>
      <w:rPr>
        <w:rFonts w:ascii="Arial" w:eastAsia="Arial" w:hAnsi="Arial" w:cs="Arial" w:hint="default"/>
        <w:spacing w:val="-1"/>
        <w:w w:val="100"/>
        <w:sz w:val="24"/>
        <w:szCs w:val="24"/>
        <w:lang w:val="en-US" w:eastAsia="en-US" w:bidi="ar-SA"/>
      </w:rPr>
    </w:lvl>
    <w:lvl w:ilvl="4">
      <w:numFmt w:val="bullet"/>
      <w:lvlText w:val="•"/>
      <w:lvlJc w:val="left"/>
      <w:pPr>
        <w:ind w:left="4768" w:hanging="480"/>
      </w:pPr>
      <w:rPr>
        <w:rFonts w:hint="default"/>
        <w:lang w:val="en-US" w:eastAsia="en-US" w:bidi="ar-SA"/>
      </w:rPr>
    </w:lvl>
    <w:lvl w:ilvl="5">
      <w:numFmt w:val="bullet"/>
      <w:lvlText w:val="•"/>
      <w:lvlJc w:val="left"/>
      <w:pPr>
        <w:ind w:left="5844" w:hanging="480"/>
      </w:pPr>
      <w:rPr>
        <w:rFonts w:hint="default"/>
        <w:lang w:val="en-US" w:eastAsia="en-US" w:bidi="ar-SA"/>
      </w:rPr>
    </w:lvl>
    <w:lvl w:ilvl="6">
      <w:numFmt w:val="bullet"/>
      <w:lvlText w:val="•"/>
      <w:lvlJc w:val="left"/>
      <w:pPr>
        <w:ind w:left="6920" w:hanging="480"/>
      </w:pPr>
      <w:rPr>
        <w:rFonts w:hint="default"/>
        <w:lang w:val="en-US" w:eastAsia="en-US" w:bidi="ar-SA"/>
      </w:rPr>
    </w:lvl>
    <w:lvl w:ilvl="7">
      <w:numFmt w:val="bullet"/>
      <w:lvlText w:val="•"/>
      <w:lvlJc w:val="left"/>
      <w:pPr>
        <w:ind w:left="7997" w:hanging="480"/>
      </w:pPr>
      <w:rPr>
        <w:rFonts w:hint="default"/>
        <w:lang w:val="en-US" w:eastAsia="en-US" w:bidi="ar-SA"/>
      </w:rPr>
    </w:lvl>
    <w:lvl w:ilvl="8">
      <w:numFmt w:val="bullet"/>
      <w:lvlText w:val="•"/>
      <w:lvlJc w:val="left"/>
      <w:pPr>
        <w:ind w:left="9073" w:hanging="480"/>
      </w:pPr>
      <w:rPr>
        <w:rFonts w:hint="default"/>
        <w:lang w:val="en-US" w:eastAsia="en-US" w:bidi="ar-SA"/>
      </w:rPr>
    </w:lvl>
  </w:abstractNum>
  <w:abstractNum w:abstractNumId="9" w15:restartNumberingAfterBreak="0">
    <w:nsid w:val="3D9B2B84"/>
    <w:multiLevelType w:val="hybridMultilevel"/>
    <w:tmpl w:val="850CBABC"/>
    <w:lvl w:ilvl="0" w:tplc="626675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EC4B9D"/>
    <w:multiLevelType w:val="hybridMultilevel"/>
    <w:tmpl w:val="0464AB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8DD0872"/>
    <w:multiLevelType w:val="hybridMultilevel"/>
    <w:tmpl w:val="AFD4E6AA"/>
    <w:lvl w:ilvl="0" w:tplc="BDD29504">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B6B5DBB"/>
    <w:multiLevelType w:val="hybridMultilevel"/>
    <w:tmpl w:val="374237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C5B4633"/>
    <w:multiLevelType w:val="hybridMultilevel"/>
    <w:tmpl w:val="8EFE2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FE5656"/>
    <w:multiLevelType w:val="hybridMultilevel"/>
    <w:tmpl w:val="D56085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21F0070"/>
    <w:multiLevelType w:val="hybridMultilevel"/>
    <w:tmpl w:val="008EC902"/>
    <w:lvl w:ilvl="0" w:tplc="C52498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DA6965"/>
    <w:multiLevelType w:val="hybridMultilevel"/>
    <w:tmpl w:val="2AF8D200"/>
    <w:lvl w:ilvl="0" w:tplc="DEB451B8">
      <w:start w:val="1"/>
      <w:numFmt w:val="bullet"/>
      <w:lvlText w:val=""/>
      <w:lvlJc w:val="left"/>
      <w:pPr>
        <w:ind w:left="720" w:hanging="360"/>
      </w:pPr>
      <w:rPr>
        <w:rFonts w:ascii="Symbol" w:hAnsi="Symbol"/>
      </w:rPr>
    </w:lvl>
    <w:lvl w:ilvl="1" w:tplc="78609606">
      <w:start w:val="1"/>
      <w:numFmt w:val="bullet"/>
      <w:lvlText w:val=""/>
      <w:lvlJc w:val="left"/>
      <w:pPr>
        <w:ind w:left="720" w:hanging="360"/>
      </w:pPr>
      <w:rPr>
        <w:rFonts w:ascii="Symbol" w:hAnsi="Symbol"/>
      </w:rPr>
    </w:lvl>
    <w:lvl w:ilvl="2" w:tplc="E3468FFA">
      <w:start w:val="1"/>
      <w:numFmt w:val="bullet"/>
      <w:lvlText w:val=""/>
      <w:lvlJc w:val="left"/>
      <w:pPr>
        <w:ind w:left="720" w:hanging="360"/>
      </w:pPr>
      <w:rPr>
        <w:rFonts w:ascii="Symbol" w:hAnsi="Symbol"/>
      </w:rPr>
    </w:lvl>
    <w:lvl w:ilvl="3" w:tplc="E1A04A24">
      <w:start w:val="1"/>
      <w:numFmt w:val="bullet"/>
      <w:lvlText w:val=""/>
      <w:lvlJc w:val="left"/>
      <w:pPr>
        <w:ind w:left="720" w:hanging="360"/>
      </w:pPr>
      <w:rPr>
        <w:rFonts w:ascii="Symbol" w:hAnsi="Symbol"/>
      </w:rPr>
    </w:lvl>
    <w:lvl w:ilvl="4" w:tplc="C2607FE0">
      <w:start w:val="1"/>
      <w:numFmt w:val="bullet"/>
      <w:lvlText w:val=""/>
      <w:lvlJc w:val="left"/>
      <w:pPr>
        <w:ind w:left="720" w:hanging="360"/>
      </w:pPr>
      <w:rPr>
        <w:rFonts w:ascii="Symbol" w:hAnsi="Symbol"/>
      </w:rPr>
    </w:lvl>
    <w:lvl w:ilvl="5" w:tplc="1292AF80">
      <w:start w:val="1"/>
      <w:numFmt w:val="bullet"/>
      <w:lvlText w:val=""/>
      <w:lvlJc w:val="left"/>
      <w:pPr>
        <w:ind w:left="720" w:hanging="360"/>
      </w:pPr>
      <w:rPr>
        <w:rFonts w:ascii="Symbol" w:hAnsi="Symbol"/>
      </w:rPr>
    </w:lvl>
    <w:lvl w:ilvl="6" w:tplc="2FBE02FE">
      <w:start w:val="1"/>
      <w:numFmt w:val="bullet"/>
      <w:lvlText w:val=""/>
      <w:lvlJc w:val="left"/>
      <w:pPr>
        <w:ind w:left="720" w:hanging="360"/>
      </w:pPr>
      <w:rPr>
        <w:rFonts w:ascii="Symbol" w:hAnsi="Symbol"/>
      </w:rPr>
    </w:lvl>
    <w:lvl w:ilvl="7" w:tplc="0BFAFB86">
      <w:start w:val="1"/>
      <w:numFmt w:val="bullet"/>
      <w:lvlText w:val=""/>
      <w:lvlJc w:val="left"/>
      <w:pPr>
        <w:ind w:left="720" w:hanging="360"/>
      </w:pPr>
      <w:rPr>
        <w:rFonts w:ascii="Symbol" w:hAnsi="Symbol"/>
      </w:rPr>
    </w:lvl>
    <w:lvl w:ilvl="8" w:tplc="EA7AE68C">
      <w:start w:val="1"/>
      <w:numFmt w:val="bullet"/>
      <w:lvlText w:val=""/>
      <w:lvlJc w:val="left"/>
      <w:pPr>
        <w:ind w:left="720" w:hanging="360"/>
      </w:pPr>
      <w:rPr>
        <w:rFonts w:ascii="Symbol" w:hAnsi="Symbol"/>
      </w:rPr>
    </w:lvl>
  </w:abstractNum>
  <w:abstractNum w:abstractNumId="17" w15:restartNumberingAfterBreak="0">
    <w:nsid w:val="6EE800FA"/>
    <w:multiLevelType w:val="hybridMultilevel"/>
    <w:tmpl w:val="BDF28BE8"/>
    <w:lvl w:ilvl="0" w:tplc="E8744B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935831"/>
    <w:multiLevelType w:val="hybridMultilevel"/>
    <w:tmpl w:val="9476FEDC"/>
    <w:lvl w:ilvl="0" w:tplc="E1029B66">
      <w:start w:val="1"/>
      <w:numFmt w:val="decimal"/>
      <w:pStyle w:val="NormalWeb"/>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482603D"/>
    <w:multiLevelType w:val="hybridMultilevel"/>
    <w:tmpl w:val="C9CE68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86B02D9"/>
    <w:multiLevelType w:val="multilevel"/>
    <w:tmpl w:val="C8F607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9935BA0"/>
    <w:multiLevelType w:val="multilevel"/>
    <w:tmpl w:val="7FC6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0243AB"/>
    <w:multiLevelType w:val="hybridMultilevel"/>
    <w:tmpl w:val="88466F82"/>
    <w:lvl w:ilvl="0" w:tplc="602864F4">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16cid:durableId="1765302846">
    <w:abstractNumId w:val="17"/>
  </w:num>
  <w:num w:numId="2" w16cid:durableId="181867866">
    <w:abstractNumId w:val="13"/>
  </w:num>
  <w:num w:numId="3" w16cid:durableId="1455128242">
    <w:abstractNumId w:val="4"/>
  </w:num>
  <w:num w:numId="4" w16cid:durableId="1173253089">
    <w:abstractNumId w:val="15"/>
  </w:num>
  <w:num w:numId="5" w16cid:durableId="349530051">
    <w:abstractNumId w:val="0"/>
  </w:num>
  <w:num w:numId="6" w16cid:durableId="1827822742">
    <w:abstractNumId w:val="15"/>
  </w:num>
  <w:num w:numId="7" w16cid:durableId="1105419359">
    <w:abstractNumId w:val="19"/>
  </w:num>
  <w:num w:numId="8" w16cid:durableId="188371055">
    <w:abstractNumId w:val="5"/>
  </w:num>
  <w:num w:numId="9" w16cid:durableId="1150514636">
    <w:abstractNumId w:val="15"/>
  </w:num>
  <w:num w:numId="10" w16cid:durableId="1445811392">
    <w:abstractNumId w:val="15"/>
  </w:num>
  <w:num w:numId="11" w16cid:durableId="2079933146">
    <w:abstractNumId w:val="15"/>
  </w:num>
  <w:num w:numId="12" w16cid:durableId="1609311781">
    <w:abstractNumId w:val="14"/>
  </w:num>
  <w:num w:numId="13" w16cid:durableId="768698567">
    <w:abstractNumId w:val="15"/>
  </w:num>
  <w:num w:numId="14" w16cid:durableId="226310108">
    <w:abstractNumId w:val="15"/>
  </w:num>
  <w:num w:numId="15" w16cid:durableId="2010253138">
    <w:abstractNumId w:val="6"/>
  </w:num>
  <w:num w:numId="16" w16cid:durableId="488135360">
    <w:abstractNumId w:val="15"/>
  </w:num>
  <w:num w:numId="17" w16cid:durableId="2040425884">
    <w:abstractNumId w:val="15"/>
  </w:num>
  <w:num w:numId="18" w16cid:durableId="1144783836">
    <w:abstractNumId w:val="15"/>
  </w:num>
  <w:num w:numId="19" w16cid:durableId="746268739">
    <w:abstractNumId w:val="15"/>
  </w:num>
  <w:num w:numId="20" w16cid:durableId="1200343">
    <w:abstractNumId w:val="8"/>
  </w:num>
  <w:num w:numId="21" w16cid:durableId="532772013">
    <w:abstractNumId w:val="9"/>
  </w:num>
  <w:num w:numId="22" w16cid:durableId="1549301583">
    <w:abstractNumId w:val="18"/>
  </w:num>
  <w:num w:numId="23" w16cid:durableId="1910068747">
    <w:abstractNumId w:val="20"/>
  </w:num>
  <w:num w:numId="24" w16cid:durableId="1965844683">
    <w:abstractNumId w:val="9"/>
  </w:num>
  <w:num w:numId="25" w16cid:durableId="812794020">
    <w:abstractNumId w:val="9"/>
  </w:num>
  <w:num w:numId="26" w16cid:durableId="430318541">
    <w:abstractNumId w:val="2"/>
  </w:num>
  <w:num w:numId="27" w16cid:durableId="830021427">
    <w:abstractNumId w:val="3"/>
  </w:num>
  <w:num w:numId="28" w16cid:durableId="1563254567">
    <w:abstractNumId w:val="22"/>
  </w:num>
  <w:num w:numId="29" w16cid:durableId="1644384268">
    <w:abstractNumId w:val="7"/>
  </w:num>
  <w:num w:numId="30" w16cid:durableId="1790590846">
    <w:abstractNumId w:val="10"/>
  </w:num>
  <w:num w:numId="31" w16cid:durableId="741875235">
    <w:abstractNumId w:val="12"/>
  </w:num>
  <w:num w:numId="32" w16cid:durableId="392696561">
    <w:abstractNumId w:val="11"/>
  </w:num>
  <w:num w:numId="33" w16cid:durableId="421223053">
    <w:abstractNumId w:val="21"/>
  </w:num>
  <w:num w:numId="34" w16cid:durableId="397947887">
    <w:abstractNumId w:val="16"/>
  </w:num>
  <w:num w:numId="35" w16cid:durableId="254092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CE1"/>
    <w:rsid w:val="00004EA8"/>
    <w:rsid w:val="000245B8"/>
    <w:rsid w:val="00040A41"/>
    <w:rsid w:val="00043426"/>
    <w:rsid w:val="00054FAA"/>
    <w:rsid w:val="00056D2F"/>
    <w:rsid w:val="00066F04"/>
    <w:rsid w:val="00071A85"/>
    <w:rsid w:val="000729BA"/>
    <w:rsid w:val="00073A0B"/>
    <w:rsid w:val="00081107"/>
    <w:rsid w:val="00084AFF"/>
    <w:rsid w:val="00095D00"/>
    <w:rsid w:val="000973F3"/>
    <w:rsid w:val="000A5F95"/>
    <w:rsid w:val="000B0DA5"/>
    <w:rsid w:val="000C358B"/>
    <w:rsid w:val="000C42C0"/>
    <w:rsid w:val="000C43E7"/>
    <w:rsid w:val="000D108F"/>
    <w:rsid w:val="000F4084"/>
    <w:rsid w:val="000F5A4A"/>
    <w:rsid w:val="00120FB4"/>
    <w:rsid w:val="001330D6"/>
    <w:rsid w:val="00136029"/>
    <w:rsid w:val="00153C30"/>
    <w:rsid w:val="00154677"/>
    <w:rsid w:val="00161529"/>
    <w:rsid w:val="00164414"/>
    <w:rsid w:val="00175458"/>
    <w:rsid w:val="00183CBC"/>
    <w:rsid w:val="00183F03"/>
    <w:rsid w:val="001851B9"/>
    <w:rsid w:val="001870C7"/>
    <w:rsid w:val="001D30D9"/>
    <w:rsid w:val="001D4344"/>
    <w:rsid w:val="001D5079"/>
    <w:rsid w:val="001D727C"/>
    <w:rsid w:val="001F59BF"/>
    <w:rsid w:val="00207897"/>
    <w:rsid w:val="0022433B"/>
    <w:rsid w:val="00224535"/>
    <w:rsid w:val="002276E1"/>
    <w:rsid w:val="002356CA"/>
    <w:rsid w:val="002437E0"/>
    <w:rsid w:val="0024448A"/>
    <w:rsid w:val="002525F1"/>
    <w:rsid w:val="0026112D"/>
    <w:rsid w:val="002656FA"/>
    <w:rsid w:val="002739F8"/>
    <w:rsid w:val="00290BA8"/>
    <w:rsid w:val="00295385"/>
    <w:rsid w:val="002A33BD"/>
    <w:rsid w:val="002F4BA4"/>
    <w:rsid w:val="00302442"/>
    <w:rsid w:val="003148C2"/>
    <w:rsid w:val="00316B7E"/>
    <w:rsid w:val="00320BDD"/>
    <w:rsid w:val="00325C96"/>
    <w:rsid w:val="00331753"/>
    <w:rsid w:val="003317FA"/>
    <w:rsid w:val="003323AE"/>
    <w:rsid w:val="00333602"/>
    <w:rsid w:val="003357E7"/>
    <w:rsid w:val="00335C2F"/>
    <w:rsid w:val="00345E94"/>
    <w:rsid w:val="0035195C"/>
    <w:rsid w:val="00354256"/>
    <w:rsid w:val="0036569F"/>
    <w:rsid w:val="00367680"/>
    <w:rsid w:val="003776B6"/>
    <w:rsid w:val="00380A3D"/>
    <w:rsid w:val="00380C64"/>
    <w:rsid w:val="003837B6"/>
    <w:rsid w:val="00383B50"/>
    <w:rsid w:val="00391B2D"/>
    <w:rsid w:val="00392A81"/>
    <w:rsid w:val="00393B95"/>
    <w:rsid w:val="00396825"/>
    <w:rsid w:val="003A28F0"/>
    <w:rsid w:val="003A5862"/>
    <w:rsid w:val="003A713B"/>
    <w:rsid w:val="003B09BF"/>
    <w:rsid w:val="003B6F18"/>
    <w:rsid w:val="003C14A1"/>
    <w:rsid w:val="003C1A1C"/>
    <w:rsid w:val="003C1AC9"/>
    <w:rsid w:val="003D471F"/>
    <w:rsid w:val="003E0D6F"/>
    <w:rsid w:val="003E1F5E"/>
    <w:rsid w:val="003E27AD"/>
    <w:rsid w:val="003E4876"/>
    <w:rsid w:val="003E58C0"/>
    <w:rsid w:val="00406901"/>
    <w:rsid w:val="00407693"/>
    <w:rsid w:val="0041207B"/>
    <w:rsid w:val="0041454A"/>
    <w:rsid w:val="00414BFD"/>
    <w:rsid w:val="00424F56"/>
    <w:rsid w:val="00430249"/>
    <w:rsid w:val="00432BDD"/>
    <w:rsid w:val="004366CF"/>
    <w:rsid w:val="00444D39"/>
    <w:rsid w:val="00452CE3"/>
    <w:rsid w:val="00453DE7"/>
    <w:rsid w:val="00462B08"/>
    <w:rsid w:val="004664CF"/>
    <w:rsid w:val="0047301D"/>
    <w:rsid w:val="00476456"/>
    <w:rsid w:val="00481543"/>
    <w:rsid w:val="004838D4"/>
    <w:rsid w:val="0048474E"/>
    <w:rsid w:val="00484944"/>
    <w:rsid w:val="004911B3"/>
    <w:rsid w:val="00492912"/>
    <w:rsid w:val="004A1F3B"/>
    <w:rsid w:val="004A7DD5"/>
    <w:rsid w:val="004B35B2"/>
    <w:rsid w:val="004B7704"/>
    <w:rsid w:val="004C20C4"/>
    <w:rsid w:val="004C2477"/>
    <w:rsid w:val="004C2FF5"/>
    <w:rsid w:val="004C43D4"/>
    <w:rsid w:val="004C5FE1"/>
    <w:rsid w:val="004C66B9"/>
    <w:rsid w:val="004C7B44"/>
    <w:rsid w:val="004D2CBF"/>
    <w:rsid w:val="004D37CE"/>
    <w:rsid w:val="004E2D6B"/>
    <w:rsid w:val="004E2E8F"/>
    <w:rsid w:val="004F121A"/>
    <w:rsid w:val="004F1584"/>
    <w:rsid w:val="004F600A"/>
    <w:rsid w:val="005114BD"/>
    <w:rsid w:val="0052512D"/>
    <w:rsid w:val="00535332"/>
    <w:rsid w:val="0054444D"/>
    <w:rsid w:val="0055257B"/>
    <w:rsid w:val="00565D6C"/>
    <w:rsid w:val="0057253A"/>
    <w:rsid w:val="005A3786"/>
    <w:rsid w:val="005A38D2"/>
    <w:rsid w:val="005A5C95"/>
    <w:rsid w:val="005B74A8"/>
    <w:rsid w:val="005C1907"/>
    <w:rsid w:val="005E048C"/>
    <w:rsid w:val="005E2B5C"/>
    <w:rsid w:val="005E70AE"/>
    <w:rsid w:val="00605083"/>
    <w:rsid w:val="00610D1B"/>
    <w:rsid w:val="00617059"/>
    <w:rsid w:val="006208A3"/>
    <w:rsid w:val="0063724E"/>
    <w:rsid w:val="006468BB"/>
    <w:rsid w:val="00650DCA"/>
    <w:rsid w:val="00651C0F"/>
    <w:rsid w:val="00657FCE"/>
    <w:rsid w:val="006608D8"/>
    <w:rsid w:val="00673ED5"/>
    <w:rsid w:val="006856CD"/>
    <w:rsid w:val="00687DE3"/>
    <w:rsid w:val="00691F82"/>
    <w:rsid w:val="0069438E"/>
    <w:rsid w:val="006A180A"/>
    <w:rsid w:val="006A3938"/>
    <w:rsid w:val="006A5685"/>
    <w:rsid w:val="006A5EFB"/>
    <w:rsid w:val="006A5FF1"/>
    <w:rsid w:val="006B10B0"/>
    <w:rsid w:val="006B1298"/>
    <w:rsid w:val="006B29DA"/>
    <w:rsid w:val="006B5C6E"/>
    <w:rsid w:val="006B67BD"/>
    <w:rsid w:val="006C235C"/>
    <w:rsid w:val="006D2F18"/>
    <w:rsid w:val="006D2F82"/>
    <w:rsid w:val="006E69FC"/>
    <w:rsid w:val="006F437D"/>
    <w:rsid w:val="006F43EA"/>
    <w:rsid w:val="006F6D2E"/>
    <w:rsid w:val="00707F30"/>
    <w:rsid w:val="0071215E"/>
    <w:rsid w:val="00722D61"/>
    <w:rsid w:val="00735548"/>
    <w:rsid w:val="0074222F"/>
    <w:rsid w:val="007518C4"/>
    <w:rsid w:val="0076034D"/>
    <w:rsid w:val="00761353"/>
    <w:rsid w:val="00766A43"/>
    <w:rsid w:val="0077185F"/>
    <w:rsid w:val="007722CB"/>
    <w:rsid w:val="00786AE3"/>
    <w:rsid w:val="00795453"/>
    <w:rsid w:val="00796432"/>
    <w:rsid w:val="00796E09"/>
    <w:rsid w:val="007C31D9"/>
    <w:rsid w:val="007C5A2C"/>
    <w:rsid w:val="007D39EE"/>
    <w:rsid w:val="007D517D"/>
    <w:rsid w:val="007D7F33"/>
    <w:rsid w:val="007E1DDA"/>
    <w:rsid w:val="007E2B3C"/>
    <w:rsid w:val="007E4D9A"/>
    <w:rsid w:val="007F10FE"/>
    <w:rsid w:val="008033F5"/>
    <w:rsid w:val="00823439"/>
    <w:rsid w:val="0082344A"/>
    <w:rsid w:val="0083208B"/>
    <w:rsid w:val="00833AEE"/>
    <w:rsid w:val="00844E7E"/>
    <w:rsid w:val="00850105"/>
    <w:rsid w:val="008550C4"/>
    <w:rsid w:val="008606B4"/>
    <w:rsid w:val="00871A47"/>
    <w:rsid w:val="008724AF"/>
    <w:rsid w:val="00874882"/>
    <w:rsid w:val="00881BB7"/>
    <w:rsid w:val="008A2434"/>
    <w:rsid w:val="008A58AD"/>
    <w:rsid w:val="008A7A60"/>
    <w:rsid w:val="008B13FC"/>
    <w:rsid w:val="008C1BA3"/>
    <w:rsid w:val="008C4A11"/>
    <w:rsid w:val="008E09AC"/>
    <w:rsid w:val="008F0C38"/>
    <w:rsid w:val="008F6134"/>
    <w:rsid w:val="00900727"/>
    <w:rsid w:val="009017AC"/>
    <w:rsid w:val="00904A5D"/>
    <w:rsid w:val="0090641E"/>
    <w:rsid w:val="00910825"/>
    <w:rsid w:val="00913839"/>
    <w:rsid w:val="00915093"/>
    <w:rsid w:val="00920E83"/>
    <w:rsid w:val="0093420C"/>
    <w:rsid w:val="009517A8"/>
    <w:rsid w:val="009674B8"/>
    <w:rsid w:val="00970C0D"/>
    <w:rsid w:val="00976194"/>
    <w:rsid w:val="00981651"/>
    <w:rsid w:val="00983EB3"/>
    <w:rsid w:val="009872BE"/>
    <w:rsid w:val="009A36DF"/>
    <w:rsid w:val="009B7B65"/>
    <w:rsid w:val="009C2D79"/>
    <w:rsid w:val="009C566C"/>
    <w:rsid w:val="009C64F4"/>
    <w:rsid w:val="009F0A0A"/>
    <w:rsid w:val="009F5FF4"/>
    <w:rsid w:val="00A05D30"/>
    <w:rsid w:val="00A16485"/>
    <w:rsid w:val="00A31CA8"/>
    <w:rsid w:val="00A41217"/>
    <w:rsid w:val="00A46CB9"/>
    <w:rsid w:val="00A47C13"/>
    <w:rsid w:val="00A5164B"/>
    <w:rsid w:val="00A637E1"/>
    <w:rsid w:val="00A65281"/>
    <w:rsid w:val="00A65DAD"/>
    <w:rsid w:val="00A70AA4"/>
    <w:rsid w:val="00A733C4"/>
    <w:rsid w:val="00A7352A"/>
    <w:rsid w:val="00A83132"/>
    <w:rsid w:val="00A9145E"/>
    <w:rsid w:val="00A9395D"/>
    <w:rsid w:val="00AA25A6"/>
    <w:rsid w:val="00AA3649"/>
    <w:rsid w:val="00AA3DCE"/>
    <w:rsid w:val="00AA5441"/>
    <w:rsid w:val="00AA733A"/>
    <w:rsid w:val="00AB3753"/>
    <w:rsid w:val="00AB3FD1"/>
    <w:rsid w:val="00AC7A4B"/>
    <w:rsid w:val="00AD01EB"/>
    <w:rsid w:val="00AD3FAE"/>
    <w:rsid w:val="00AD6AF9"/>
    <w:rsid w:val="00AF5891"/>
    <w:rsid w:val="00B1054F"/>
    <w:rsid w:val="00B10927"/>
    <w:rsid w:val="00B17200"/>
    <w:rsid w:val="00B21A22"/>
    <w:rsid w:val="00B23020"/>
    <w:rsid w:val="00B248D8"/>
    <w:rsid w:val="00B3456E"/>
    <w:rsid w:val="00B351E1"/>
    <w:rsid w:val="00B4045A"/>
    <w:rsid w:val="00B44D37"/>
    <w:rsid w:val="00B70A58"/>
    <w:rsid w:val="00B7462D"/>
    <w:rsid w:val="00B95828"/>
    <w:rsid w:val="00BA412A"/>
    <w:rsid w:val="00BC2A12"/>
    <w:rsid w:val="00BE2A44"/>
    <w:rsid w:val="00BE38A3"/>
    <w:rsid w:val="00BF4B4B"/>
    <w:rsid w:val="00BF5BE4"/>
    <w:rsid w:val="00C000EE"/>
    <w:rsid w:val="00C05D5C"/>
    <w:rsid w:val="00C123F7"/>
    <w:rsid w:val="00C15BB3"/>
    <w:rsid w:val="00C15EDB"/>
    <w:rsid w:val="00C37879"/>
    <w:rsid w:val="00C46C0E"/>
    <w:rsid w:val="00C5500D"/>
    <w:rsid w:val="00C653C9"/>
    <w:rsid w:val="00C82969"/>
    <w:rsid w:val="00C844CF"/>
    <w:rsid w:val="00C87BB9"/>
    <w:rsid w:val="00CA0993"/>
    <w:rsid w:val="00CA738E"/>
    <w:rsid w:val="00CB2014"/>
    <w:rsid w:val="00CD23C0"/>
    <w:rsid w:val="00CD303A"/>
    <w:rsid w:val="00CD3F54"/>
    <w:rsid w:val="00CD4F7C"/>
    <w:rsid w:val="00CE536B"/>
    <w:rsid w:val="00CF190B"/>
    <w:rsid w:val="00CF52B5"/>
    <w:rsid w:val="00D05F41"/>
    <w:rsid w:val="00D06E83"/>
    <w:rsid w:val="00D104A8"/>
    <w:rsid w:val="00D2344A"/>
    <w:rsid w:val="00D304C2"/>
    <w:rsid w:val="00D37A2A"/>
    <w:rsid w:val="00D47A88"/>
    <w:rsid w:val="00D47E44"/>
    <w:rsid w:val="00D50EFE"/>
    <w:rsid w:val="00D515E8"/>
    <w:rsid w:val="00D558B7"/>
    <w:rsid w:val="00D64E8B"/>
    <w:rsid w:val="00D668E7"/>
    <w:rsid w:val="00D66FB9"/>
    <w:rsid w:val="00D777A5"/>
    <w:rsid w:val="00D87B99"/>
    <w:rsid w:val="00D87C09"/>
    <w:rsid w:val="00D87E8B"/>
    <w:rsid w:val="00D9522D"/>
    <w:rsid w:val="00D9739B"/>
    <w:rsid w:val="00DA1A93"/>
    <w:rsid w:val="00DA5DD0"/>
    <w:rsid w:val="00DB1133"/>
    <w:rsid w:val="00DC2203"/>
    <w:rsid w:val="00DC4CE1"/>
    <w:rsid w:val="00DD25DE"/>
    <w:rsid w:val="00DE5701"/>
    <w:rsid w:val="00DF0228"/>
    <w:rsid w:val="00E0333B"/>
    <w:rsid w:val="00E04E16"/>
    <w:rsid w:val="00E11238"/>
    <w:rsid w:val="00E316C3"/>
    <w:rsid w:val="00E40F96"/>
    <w:rsid w:val="00E4190A"/>
    <w:rsid w:val="00E5758B"/>
    <w:rsid w:val="00E57DB9"/>
    <w:rsid w:val="00E65E0E"/>
    <w:rsid w:val="00E7633C"/>
    <w:rsid w:val="00E76A31"/>
    <w:rsid w:val="00E82BDE"/>
    <w:rsid w:val="00E873A0"/>
    <w:rsid w:val="00E8752C"/>
    <w:rsid w:val="00E916E6"/>
    <w:rsid w:val="00E97A2D"/>
    <w:rsid w:val="00EA2158"/>
    <w:rsid w:val="00EA51E8"/>
    <w:rsid w:val="00EA55F9"/>
    <w:rsid w:val="00EE5508"/>
    <w:rsid w:val="00EF2B7C"/>
    <w:rsid w:val="00EF6525"/>
    <w:rsid w:val="00EF755A"/>
    <w:rsid w:val="00F0441A"/>
    <w:rsid w:val="00F05627"/>
    <w:rsid w:val="00F06578"/>
    <w:rsid w:val="00F16596"/>
    <w:rsid w:val="00F3030D"/>
    <w:rsid w:val="00F3330A"/>
    <w:rsid w:val="00F34DDA"/>
    <w:rsid w:val="00F352CA"/>
    <w:rsid w:val="00F361B2"/>
    <w:rsid w:val="00F47DA3"/>
    <w:rsid w:val="00F47EF5"/>
    <w:rsid w:val="00F5085D"/>
    <w:rsid w:val="00F536C6"/>
    <w:rsid w:val="00F55087"/>
    <w:rsid w:val="00F56EED"/>
    <w:rsid w:val="00F605E1"/>
    <w:rsid w:val="00F6287B"/>
    <w:rsid w:val="00F64285"/>
    <w:rsid w:val="00F74DC6"/>
    <w:rsid w:val="00F76C11"/>
    <w:rsid w:val="00F8248D"/>
    <w:rsid w:val="00F91DC8"/>
    <w:rsid w:val="00FA37B3"/>
    <w:rsid w:val="00FB0F0A"/>
    <w:rsid w:val="00FB5DE6"/>
    <w:rsid w:val="00FC4547"/>
    <w:rsid w:val="00FC5F64"/>
    <w:rsid w:val="00FD2F7D"/>
    <w:rsid w:val="00FF5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A39F2"/>
  <w15:chartTrackingRefBased/>
  <w15:docId w15:val="{709031E1-063B-444E-9FAA-36E984554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EFB"/>
  </w:style>
  <w:style w:type="paragraph" w:styleId="Heading1">
    <w:name w:val="heading 1"/>
    <w:basedOn w:val="Normal"/>
    <w:next w:val="Normal"/>
    <w:link w:val="Heading1Char"/>
    <w:autoRedefine/>
    <w:uiPriority w:val="9"/>
    <w:qFormat/>
    <w:rsid w:val="002656FA"/>
    <w:pPr>
      <w:keepNext/>
      <w:keepLines/>
      <w:spacing w:before="3000" w:after="0" w:line="240" w:lineRule="auto"/>
      <w:outlineLvl w:val="0"/>
    </w:pPr>
    <w:rPr>
      <w:rFonts w:eastAsiaTheme="majorEastAsia" w:cs="Arial"/>
      <w:b/>
      <w:bCs/>
      <w:noProof/>
      <w:color w:val="FFFFFF" w:themeColor="background1"/>
      <w:sz w:val="72"/>
      <w:szCs w:val="40"/>
    </w:rPr>
  </w:style>
  <w:style w:type="paragraph" w:styleId="Heading2">
    <w:name w:val="heading 2"/>
    <w:basedOn w:val="Normal"/>
    <w:next w:val="Normal"/>
    <w:link w:val="Heading2Char"/>
    <w:autoRedefine/>
    <w:uiPriority w:val="9"/>
    <w:unhideWhenUsed/>
    <w:qFormat/>
    <w:rsid w:val="00396825"/>
    <w:pPr>
      <w:spacing w:before="240" w:after="240" w:line="240" w:lineRule="auto"/>
      <w:outlineLvl w:val="1"/>
    </w:pPr>
    <w:rPr>
      <w:rFonts w:ascii="Arial" w:hAnsi="Arial" w:cs="Arial"/>
      <w:b/>
      <w:bCs/>
      <w:color w:val="2C5060" w:themeColor="accent1"/>
      <w:sz w:val="52"/>
      <w:szCs w:val="40"/>
    </w:rPr>
  </w:style>
  <w:style w:type="paragraph" w:styleId="Heading3">
    <w:name w:val="heading 3"/>
    <w:basedOn w:val="Normal"/>
    <w:next w:val="Normal"/>
    <w:link w:val="Heading3Char"/>
    <w:autoRedefine/>
    <w:uiPriority w:val="9"/>
    <w:unhideWhenUsed/>
    <w:qFormat/>
    <w:rsid w:val="00396825"/>
    <w:pPr>
      <w:spacing w:line="240" w:lineRule="auto"/>
      <w:outlineLvl w:val="2"/>
    </w:pPr>
    <w:rPr>
      <w:rFonts w:ascii="Arial" w:hAnsi="Arial" w:cs="Arial"/>
      <w:b/>
      <w:bCs/>
      <w:color w:val="595959" w:themeColor="text1" w:themeTint="A6"/>
      <w:sz w:val="28"/>
      <w:szCs w:val="28"/>
    </w:rPr>
  </w:style>
  <w:style w:type="paragraph" w:styleId="Heading4">
    <w:name w:val="heading 4"/>
    <w:basedOn w:val="Normal"/>
    <w:next w:val="Normal"/>
    <w:link w:val="Heading4Char"/>
    <w:autoRedefine/>
    <w:uiPriority w:val="9"/>
    <w:unhideWhenUsed/>
    <w:qFormat/>
    <w:rsid w:val="00333602"/>
    <w:pPr>
      <w:spacing w:after="240" w:line="240" w:lineRule="auto"/>
      <w:outlineLvl w:val="3"/>
    </w:pPr>
    <w:rPr>
      <w:rFonts w:ascii="Arial" w:hAnsi="Arial" w:cs="Arial"/>
      <w:b/>
      <w:sz w:val="28"/>
    </w:rPr>
  </w:style>
  <w:style w:type="paragraph" w:styleId="Heading5">
    <w:name w:val="heading 5"/>
    <w:basedOn w:val="Normal"/>
    <w:next w:val="Normal"/>
    <w:link w:val="Heading5Char"/>
    <w:autoRedefine/>
    <w:uiPriority w:val="9"/>
    <w:unhideWhenUsed/>
    <w:qFormat/>
    <w:rsid w:val="00915093"/>
    <w:pPr>
      <w:outlineLvl w:val="4"/>
    </w:pPr>
    <w:rPr>
      <w:rFonts w:cs="Arial"/>
      <w:b/>
      <w:bCs/>
      <w:color w:val="5C5B5A"/>
    </w:rPr>
  </w:style>
  <w:style w:type="character" w:default="1" w:styleId="DefaultParagraphFont">
    <w:name w:val="Default Paragraph Font"/>
    <w:uiPriority w:val="1"/>
    <w:semiHidden/>
    <w:unhideWhenUsed/>
    <w:rsid w:val="006A5EF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A5EFB"/>
  </w:style>
  <w:style w:type="character" w:customStyle="1" w:styleId="Heading1Char">
    <w:name w:val="Heading 1 Char"/>
    <w:basedOn w:val="DefaultParagraphFont"/>
    <w:link w:val="Heading1"/>
    <w:uiPriority w:val="9"/>
    <w:rsid w:val="002656FA"/>
    <w:rPr>
      <w:rFonts w:eastAsiaTheme="majorEastAsia" w:cs="Arial"/>
      <w:b/>
      <w:bCs/>
      <w:noProof/>
      <w:color w:val="FFFFFF" w:themeColor="background1"/>
      <w:sz w:val="72"/>
      <w:szCs w:val="40"/>
    </w:rPr>
  </w:style>
  <w:style w:type="table" w:styleId="TableGrid">
    <w:name w:val="Table Grid"/>
    <w:aliases w:val="Kate table"/>
    <w:basedOn w:val="TableNormal"/>
    <w:uiPriority w:val="39"/>
    <w:rsid w:val="00915093"/>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List Paragraph11,OBC Bullet,List Paragrap,Colorful List - Accent 12,Bullet Styl,Bullet,No Spacing11,L,Párrafo de lista,Recommendation,Recommendati,Recommendatio,List Paragraph3,List Paragra,Maire,Dot pt,2"/>
    <w:basedOn w:val="Normal"/>
    <w:link w:val="ListParagraphChar"/>
    <w:autoRedefine/>
    <w:uiPriority w:val="34"/>
    <w:qFormat/>
    <w:rsid w:val="006A180A"/>
    <w:pPr>
      <w:numPr>
        <w:numId w:val="32"/>
      </w:numPr>
    </w:pPr>
    <w:rPr>
      <w:rFonts w:ascii="Arial" w:hAnsi="Arial" w:cs="Arial"/>
      <w:sz w:val="24"/>
      <w:szCs w:val="24"/>
    </w:rPr>
  </w:style>
  <w:style w:type="character" w:customStyle="1" w:styleId="ListParagraphChar">
    <w:name w:val="List Paragraph Char"/>
    <w:aliases w:val="F5 List Paragraph Char,List Paragraph1 Char,List Paragraph11 Char,OBC Bullet Char,List Paragrap Char,Colorful List - Accent 12 Char,Bullet Styl Char,Bullet Char,No Spacing11 Char,L Char,Párrafo de lista Char,Recommendation Char"/>
    <w:basedOn w:val="DefaultParagraphFont"/>
    <w:link w:val="ListParagraph"/>
    <w:uiPriority w:val="34"/>
    <w:qFormat/>
    <w:locked/>
    <w:rsid w:val="006A180A"/>
    <w:rPr>
      <w:rFonts w:ascii="Arial" w:hAnsi="Arial" w:cs="Arial"/>
      <w:sz w:val="24"/>
      <w:szCs w:val="24"/>
    </w:rPr>
  </w:style>
  <w:style w:type="character" w:styleId="CommentReference">
    <w:name w:val="annotation reference"/>
    <w:basedOn w:val="DefaultParagraphFont"/>
    <w:uiPriority w:val="99"/>
    <w:semiHidden/>
    <w:unhideWhenUsed/>
    <w:rsid w:val="00915093"/>
    <w:rPr>
      <w:sz w:val="16"/>
      <w:szCs w:val="16"/>
    </w:rPr>
  </w:style>
  <w:style w:type="paragraph" w:styleId="CommentText">
    <w:name w:val="annotation text"/>
    <w:basedOn w:val="Normal"/>
    <w:link w:val="CommentTextChar"/>
    <w:uiPriority w:val="99"/>
    <w:unhideWhenUsed/>
    <w:rsid w:val="00915093"/>
    <w:pPr>
      <w:spacing w:line="240" w:lineRule="auto"/>
    </w:pPr>
    <w:rPr>
      <w:sz w:val="20"/>
      <w:szCs w:val="20"/>
    </w:rPr>
  </w:style>
  <w:style w:type="character" w:customStyle="1" w:styleId="CommentTextChar">
    <w:name w:val="Comment Text Char"/>
    <w:basedOn w:val="DefaultParagraphFont"/>
    <w:link w:val="CommentText"/>
    <w:uiPriority w:val="99"/>
    <w:rsid w:val="00915093"/>
    <w:rPr>
      <w:rFonts w:ascii="Arial" w:hAnsi="Arial"/>
      <w:sz w:val="20"/>
      <w:szCs w:val="20"/>
    </w:rPr>
  </w:style>
  <w:style w:type="paragraph" w:styleId="Header">
    <w:name w:val="header"/>
    <w:basedOn w:val="Normal"/>
    <w:link w:val="HeaderChar"/>
    <w:uiPriority w:val="99"/>
    <w:unhideWhenUsed/>
    <w:rsid w:val="009150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5093"/>
    <w:rPr>
      <w:rFonts w:ascii="Arial" w:hAnsi="Arial"/>
      <w:sz w:val="24"/>
      <w:szCs w:val="24"/>
    </w:rPr>
  </w:style>
  <w:style w:type="character" w:styleId="Hyperlink">
    <w:name w:val="Hyperlink"/>
    <w:basedOn w:val="DefaultParagraphFont"/>
    <w:uiPriority w:val="99"/>
    <w:unhideWhenUsed/>
    <w:qFormat/>
    <w:rsid w:val="00915093"/>
    <w:rPr>
      <w:rFonts w:ascii="Arial" w:hAnsi="Arial"/>
      <w:b/>
      <w:color w:val="D5573B" w:themeColor="accent2"/>
      <w:u w:val="single"/>
    </w:rPr>
  </w:style>
  <w:style w:type="paragraph" w:customStyle="1" w:styleId="PageNumber1">
    <w:name w:val="Page Number1"/>
    <w:basedOn w:val="Footer"/>
    <w:link w:val="PagenumberChar"/>
    <w:qFormat/>
    <w:rsid w:val="00915093"/>
    <w:pPr>
      <w:jc w:val="right"/>
    </w:pPr>
    <w:rPr>
      <w:b/>
      <w:color w:val="2C5060" w:themeColor="accent1"/>
      <w:sz w:val="28"/>
    </w:rPr>
  </w:style>
  <w:style w:type="character" w:customStyle="1" w:styleId="PagenumberChar">
    <w:name w:val="Page number Char"/>
    <w:basedOn w:val="FooterChar"/>
    <w:link w:val="PageNumber1"/>
    <w:rsid w:val="00915093"/>
    <w:rPr>
      <w:rFonts w:ascii="Arial" w:hAnsi="Arial"/>
      <w:b/>
      <w:color w:val="2C5060" w:themeColor="accent1"/>
      <w:sz w:val="28"/>
      <w:szCs w:val="24"/>
    </w:rPr>
  </w:style>
  <w:style w:type="paragraph" w:styleId="Footer">
    <w:name w:val="footer"/>
    <w:basedOn w:val="Normal"/>
    <w:link w:val="FooterChar"/>
    <w:autoRedefine/>
    <w:uiPriority w:val="99"/>
    <w:unhideWhenUsed/>
    <w:qFormat/>
    <w:rsid w:val="00915093"/>
    <w:pPr>
      <w:tabs>
        <w:tab w:val="center" w:pos="4513"/>
        <w:tab w:val="right" w:pos="9026"/>
      </w:tabs>
      <w:spacing w:before="120" w:after="0" w:line="240" w:lineRule="auto"/>
    </w:pPr>
    <w:rPr>
      <w:color w:val="D5573B" w:themeColor="accent2"/>
    </w:rPr>
  </w:style>
  <w:style w:type="character" w:customStyle="1" w:styleId="FooterChar">
    <w:name w:val="Footer Char"/>
    <w:basedOn w:val="DefaultParagraphFont"/>
    <w:link w:val="Footer"/>
    <w:uiPriority w:val="99"/>
    <w:rsid w:val="00915093"/>
    <w:rPr>
      <w:rFonts w:ascii="Arial" w:hAnsi="Arial"/>
      <w:color w:val="D5573B" w:themeColor="accent2"/>
      <w:sz w:val="24"/>
      <w:szCs w:val="24"/>
    </w:rPr>
  </w:style>
  <w:style w:type="paragraph" w:styleId="Revision">
    <w:name w:val="Revision"/>
    <w:hidden/>
    <w:uiPriority w:val="99"/>
    <w:semiHidden/>
    <w:rsid w:val="006D2F18"/>
    <w:pPr>
      <w:spacing w:after="0" w:line="240" w:lineRule="auto"/>
    </w:pPr>
    <w:rPr>
      <w:rFonts w:ascii="Arial" w:hAnsi="Arial"/>
      <w:color w:val="000000" w:themeColor="text1"/>
      <w:sz w:val="24"/>
    </w:rPr>
  </w:style>
  <w:style w:type="character" w:styleId="FollowedHyperlink">
    <w:name w:val="FollowedHyperlink"/>
    <w:basedOn w:val="DefaultParagraphFont"/>
    <w:uiPriority w:val="99"/>
    <w:semiHidden/>
    <w:unhideWhenUsed/>
    <w:qFormat/>
    <w:rsid w:val="00915093"/>
    <w:rPr>
      <w:b/>
      <w:color w:val="323E4F" w:themeColor="text2" w:themeShade="BF"/>
      <w:u w:val="single"/>
    </w:rPr>
  </w:style>
  <w:style w:type="paragraph" w:styleId="CommentSubject">
    <w:name w:val="annotation subject"/>
    <w:basedOn w:val="CommentText"/>
    <w:next w:val="CommentText"/>
    <w:link w:val="CommentSubjectChar"/>
    <w:uiPriority w:val="99"/>
    <w:semiHidden/>
    <w:unhideWhenUsed/>
    <w:rsid w:val="00915093"/>
    <w:rPr>
      <w:b/>
      <w:bCs/>
    </w:rPr>
  </w:style>
  <w:style w:type="character" w:customStyle="1" w:styleId="CommentSubjectChar">
    <w:name w:val="Comment Subject Char"/>
    <w:basedOn w:val="CommentTextChar"/>
    <w:link w:val="CommentSubject"/>
    <w:uiPriority w:val="99"/>
    <w:semiHidden/>
    <w:rsid w:val="00915093"/>
    <w:rPr>
      <w:rFonts w:ascii="Arial" w:hAnsi="Arial"/>
      <w:b/>
      <w:bCs/>
      <w:sz w:val="20"/>
      <w:szCs w:val="20"/>
    </w:rPr>
  </w:style>
  <w:style w:type="character" w:customStyle="1" w:styleId="Heading2Char">
    <w:name w:val="Heading 2 Char"/>
    <w:basedOn w:val="DefaultParagraphFont"/>
    <w:link w:val="Heading2"/>
    <w:uiPriority w:val="9"/>
    <w:rsid w:val="00396825"/>
    <w:rPr>
      <w:rFonts w:ascii="Arial" w:hAnsi="Arial" w:cs="Arial"/>
      <w:b/>
      <w:bCs/>
      <w:color w:val="2C5060" w:themeColor="accent1"/>
      <w:sz w:val="52"/>
      <w:szCs w:val="40"/>
    </w:rPr>
  </w:style>
  <w:style w:type="character" w:customStyle="1" w:styleId="Heading3Char">
    <w:name w:val="Heading 3 Char"/>
    <w:basedOn w:val="DefaultParagraphFont"/>
    <w:link w:val="Heading3"/>
    <w:uiPriority w:val="9"/>
    <w:rsid w:val="00396825"/>
    <w:rPr>
      <w:rFonts w:ascii="Arial" w:hAnsi="Arial" w:cs="Arial"/>
      <w:b/>
      <w:bCs/>
      <w:color w:val="595959" w:themeColor="text1" w:themeTint="A6"/>
      <w:sz w:val="28"/>
      <w:szCs w:val="28"/>
    </w:rPr>
  </w:style>
  <w:style w:type="character" w:customStyle="1" w:styleId="Heading4Char">
    <w:name w:val="Heading 4 Char"/>
    <w:basedOn w:val="DefaultParagraphFont"/>
    <w:link w:val="Heading4"/>
    <w:uiPriority w:val="9"/>
    <w:rsid w:val="00333602"/>
    <w:rPr>
      <w:rFonts w:ascii="Arial" w:hAnsi="Arial" w:cs="Arial"/>
      <w:b/>
      <w:sz w:val="28"/>
    </w:rPr>
  </w:style>
  <w:style w:type="character" w:customStyle="1" w:styleId="Heading5Char">
    <w:name w:val="Heading 5 Char"/>
    <w:basedOn w:val="DefaultParagraphFont"/>
    <w:link w:val="Heading5"/>
    <w:uiPriority w:val="9"/>
    <w:rsid w:val="00915093"/>
    <w:rPr>
      <w:rFonts w:ascii="Arial" w:hAnsi="Arial" w:cs="Arial"/>
      <w:b/>
      <w:bCs/>
      <w:color w:val="5C5B5A"/>
      <w:sz w:val="24"/>
      <w:szCs w:val="24"/>
    </w:rPr>
  </w:style>
  <w:style w:type="paragraph" w:styleId="NoSpacing">
    <w:name w:val="No Spacing"/>
    <w:link w:val="NoSpacingChar"/>
    <w:autoRedefine/>
    <w:uiPriority w:val="1"/>
    <w:qFormat/>
    <w:rsid w:val="00915093"/>
    <w:pPr>
      <w:spacing w:after="0" w:line="240" w:lineRule="auto"/>
    </w:pPr>
    <w:rPr>
      <w:rFonts w:ascii="Arial" w:hAnsi="Arial"/>
      <w:color w:val="262626" w:themeColor="text1" w:themeTint="D9"/>
      <w:sz w:val="24"/>
      <w:szCs w:val="24"/>
    </w:rPr>
  </w:style>
  <w:style w:type="paragraph" w:styleId="Title">
    <w:name w:val="Title"/>
    <w:basedOn w:val="Normal"/>
    <w:next w:val="Normal"/>
    <w:link w:val="TitleChar"/>
    <w:uiPriority w:val="10"/>
    <w:qFormat/>
    <w:rsid w:val="00915093"/>
    <w:pPr>
      <w:spacing w:after="280" w:line="780" w:lineRule="exact"/>
    </w:pPr>
    <w:rPr>
      <w:color w:val="FFFFFF" w:themeColor="background1"/>
      <w:sz w:val="65"/>
      <w:szCs w:val="65"/>
    </w:rPr>
  </w:style>
  <w:style w:type="character" w:customStyle="1" w:styleId="TitleChar">
    <w:name w:val="Title Char"/>
    <w:basedOn w:val="DefaultParagraphFont"/>
    <w:link w:val="Title"/>
    <w:uiPriority w:val="10"/>
    <w:rsid w:val="00915093"/>
    <w:rPr>
      <w:color w:val="FFFFFF" w:themeColor="background1"/>
      <w:sz w:val="65"/>
      <w:szCs w:val="65"/>
    </w:rPr>
  </w:style>
  <w:style w:type="paragraph" w:customStyle="1" w:styleId="Whitecoverelement">
    <w:name w:val="White cover element"/>
    <w:basedOn w:val="Normal"/>
    <w:link w:val="WhitecoverelementChar"/>
    <w:autoRedefine/>
    <w:rsid w:val="00915093"/>
    <w:rPr>
      <w:b/>
      <w:color w:val="FFFFFF" w:themeColor="background1"/>
      <w:sz w:val="36"/>
    </w:rPr>
  </w:style>
  <w:style w:type="character" w:customStyle="1" w:styleId="WhitecoverelementChar">
    <w:name w:val="White cover element Char"/>
    <w:basedOn w:val="DefaultParagraphFont"/>
    <w:link w:val="Whitecoverelement"/>
    <w:rsid w:val="00915093"/>
    <w:rPr>
      <w:rFonts w:ascii="Arial" w:hAnsi="Arial"/>
      <w:b/>
      <w:color w:val="FFFFFF" w:themeColor="background1"/>
      <w:sz w:val="36"/>
      <w:szCs w:val="24"/>
    </w:rPr>
  </w:style>
  <w:style w:type="paragraph" w:customStyle="1" w:styleId="Whitesmall">
    <w:name w:val="White small"/>
    <w:basedOn w:val="Normal"/>
    <w:link w:val="WhitesmallChar"/>
    <w:autoRedefine/>
    <w:rsid w:val="00915093"/>
    <w:rPr>
      <w:color w:val="FFFFFF" w:themeColor="background1"/>
      <w:sz w:val="32"/>
    </w:rPr>
  </w:style>
  <w:style w:type="character" w:customStyle="1" w:styleId="WhitesmallChar">
    <w:name w:val="White small Char"/>
    <w:basedOn w:val="DefaultParagraphFont"/>
    <w:link w:val="Whitesmall"/>
    <w:rsid w:val="00915093"/>
    <w:rPr>
      <w:rFonts w:ascii="Arial" w:hAnsi="Arial"/>
      <w:color w:val="FFFFFF" w:themeColor="background1"/>
      <w:sz w:val="32"/>
      <w:szCs w:val="24"/>
    </w:rPr>
  </w:style>
  <w:style w:type="character" w:styleId="FootnoteReference">
    <w:name w:val="footnote reference"/>
    <w:basedOn w:val="DefaultParagraphFont"/>
    <w:uiPriority w:val="99"/>
    <w:unhideWhenUsed/>
    <w:qFormat/>
    <w:rsid w:val="00915093"/>
    <w:rPr>
      <w:rFonts w:ascii="Arial" w:hAnsi="Arial"/>
      <w:sz w:val="24"/>
      <w:bdr w:val="none" w:sz="0" w:space="0" w:color="auto"/>
      <w:vertAlign w:val="superscript"/>
    </w:rPr>
  </w:style>
  <w:style w:type="paragraph" w:styleId="BalloonText">
    <w:name w:val="Balloon Text"/>
    <w:basedOn w:val="Normal"/>
    <w:link w:val="BalloonTextChar"/>
    <w:uiPriority w:val="99"/>
    <w:semiHidden/>
    <w:unhideWhenUsed/>
    <w:rsid w:val="009150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093"/>
    <w:rPr>
      <w:rFonts w:ascii="Segoe UI" w:hAnsi="Segoe UI" w:cs="Segoe UI"/>
      <w:sz w:val="18"/>
      <w:szCs w:val="18"/>
    </w:rPr>
  </w:style>
  <w:style w:type="paragraph" w:customStyle="1" w:styleId="Default">
    <w:name w:val="Default"/>
    <w:rsid w:val="00915093"/>
    <w:pPr>
      <w:autoSpaceDE w:val="0"/>
      <w:autoSpaceDN w:val="0"/>
      <w:adjustRightInd w:val="0"/>
      <w:spacing w:after="0" w:line="240" w:lineRule="auto"/>
    </w:pPr>
    <w:rPr>
      <w:rFonts w:ascii="FGAZL W+ Colfax" w:hAnsi="FGAZL W+ Colfax" w:cs="FGAZL W+ Colfax"/>
      <w:color w:val="000000"/>
      <w:sz w:val="24"/>
      <w:szCs w:val="24"/>
    </w:rPr>
  </w:style>
  <w:style w:type="character" w:styleId="EndnoteReference">
    <w:name w:val="endnote reference"/>
    <w:basedOn w:val="DefaultParagraphFont"/>
    <w:uiPriority w:val="99"/>
    <w:semiHidden/>
    <w:unhideWhenUsed/>
    <w:rsid w:val="00915093"/>
    <w:rPr>
      <w:vertAlign w:val="superscript"/>
    </w:rPr>
  </w:style>
  <w:style w:type="paragraph" w:styleId="EndnoteText">
    <w:name w:val="endnote text"/>
    <w:basedOn w:val="Normal"/>
    <w:link w:val="EndnoteTextChar"/>
    <w:uiPriority w:val="99"/>
    <w:semiHidden/>
    <w:unhideWhenUsed/>
    <w:rsid w:val="009150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15093"/>
    <w:rPr>
      <w:rFonts w:ascii="Arial" w:hAnsi="Arial"/>
      <w:sz w:val="20"/>
      <w:szCs w:val="20"/>
    </w:rPr>
  </w:style>
  <w:style w:type="character" w:customStyle="1" w:styleId="eop">
    <w:name w:val="eop"/>
    <w:basedOn w:val="DefaultParagraphFont"/>
    <w:rsid w:val="00915093"/>
  </w:style>
  <w:style w:type="paragraph" w:styleId="FootnoteText">
    <w:name w:val="footnote text"/>
    <w:basedOn w:val="Normal"/>
    <w:link w:val="FootnoteTextChar"/>
    <w:uiPriority w:val="99"/>
    <w:unhideWhenUsed/>
    <w:rsid w:val="00915093"/>
    <w:pPr>
      <w:spacing w:after="0" w:line="240" w:lineRule="auto"/>
    </w:pPr>
    <w:rPr>
      <w:sz w:val="20"/>
      <w:szCs w:val="20"/>
    </w:rPr>
  </w:style>
  <w:style w:type="character" w:customStyle="1" w:styleId="FootnoteTextChar">
    <w:name w:val="Footnote Text Char"/>
    <w:basedOn w:val="DefaultParagraphFont"/>
    <w:link w:val="FootnoteText"/>
    <w:uiPriority w:val="99"/>
    <w:rsid w:val="00915093"/>
    <w:rPr>
      <w:rFonts w:ascii="Arial" w:hAnsi="Arial"/>
      <w:sz w:val="20"/>
      <w:szCs w:val="20"/>
    </w:rPr>
  </w:style>
  <w:style w:type="paragraph" w:styleId="NormalWeb">
    <w:name w:val="Normal (Web)"/>
    <w:aliases w:val="Numbered paragraphs"/>
    <w:basedOn w:val="Normal"/>
    <w:autoRedefine/>
    <w:uiPriority w:val="99"/>
    <w:unhideWhenUsed/>
    <w:rsid w:val="00915093"/>
    <w:pPr>
      <w:numPr>
        <w:numId w:val="22"/>
      </w:numPr>
      <w:shd w:val="clear" w:color="auto" w:fill="FFFFFF"/>
      <w:spacing w:after="225"/>
    </w:pPr>
    <w:rPr>
      <w:rFonts w:eastAsia="Times New Roman"/>
      <w:lang w:eastAsia="en-GB"/>
    </w:rPr>
  </w:style>
  <w:style w:type="character" w:customStyle="1" w:styleId="normaltextrun">
    <w:name w:val="normaltextrun"/>
    <w:basedOn w:val="DefaultParagraphFont"/>
    <w:rsid w:val="00915093"/>
  </w:style>
  <w:style w:type="paragraph" w:customStyle="1" w:styleId="paragraph">
    <w:name w:val="paragraph"/>
    <w:basedOn w:val="Normal"/>
    <w:rsid w:val="00915093"/>
    <w:pPr>
      <w:spacing w:before="100" w:beforeAutospacing="1" w:after="100" w:afterAutospacing="1" w:line="240" w:lineRule="auto"/>
    </w:pPr>
    <w:rPr>
      <w:rFonts w:ascii="Times New Roman" w:eastAsia="Times New Roman" w:hAnsi="Times New Roman"/>
      <w:lang w:eastAsia="en-GB"/>
    </w:rPr>
  </w:style>
  <w:style w:type="table" w:styleId="PlainTable1">
    <w:name w:val="Plain Table 1"/>
    <w:basedOn w:val="TableNormal"/>
    <w:uiPriority w:val="41"/>
    <w:rsid w:val="00915093"/>
    <w:pPr>
      <w:spacing w:after="0" w:line="240" w:lineRule="auto"/>
    </w:pPr>
    <w:rPr>
      <w:rFonts w:ascii="Arial" w:hAnsi="Arial"/>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rsid w:val="00915093"/>
    <w:rPr>
      <w:b/>
      <w:bCs/>
    </w:rPr>
  </w:style>
  <w:style w:type="paragraph" w:styleId="Subtitle">
    <w:name w:val="Subtitle"/>
    <w:basedOn w:val="Normal"/>
    <w:next w:val="Normal"/>
    <w:link w:val="SubtitleChar"/>
    <w:uiPriority w:val="11"/>
    <w:qFormat/>
    <w:rsid w:val="00915093"/>
    <w:rPr>
      <w:b/>
      <w:bCs/>
      <w:color w:val="FFFFFF" w:themeColor="background1"/>
      <w:sz w:val="32"/>
      <w:szCs w:val="28"/>
    </w:rPr>
  </w:style>
  <w:style w:type="character" w:customStyle="1" w:styleId="SubtitleChar">
    <w:name w:val="Subtitle Char"/>
    <w:basedOn w:val="DefaultParagraphFont"/>
    <w:link w:val="Subtitle"/>
    <w:uiPriority w:val="11"/>
    <w:rsid w:val="00915093"/>
    <w:rPr>
      <w:rFonts w:ascii="Arial" w:hAnsi="Arial"/>
      <w:b/>
      <w:bCs/>
      <w:color w:val="FFFFFF" w:themeColor="background1"/>
      <w:sz w:val="32"/>
      <w:szCs w:val="28"/>
    </w:rPr>
  </w:style>
  <w:style w:type="paragraph" w:styleId="TOC1">
    <w:name w:val="toc 1"/>
    <w:basedOn w:val="Normal"/>
    <w:next w:val="Normal"/>
    <w:autoRedefine/>
    <w:uiPriority w:val="39"/>
    <w:unhideWhenUsed/>
    <w:rsid w:val="00915093"/>
    <w:pPr>
      <w:tabs>
        <w:tab w:val="right" w:leader="dot" w:pos="9016"/>
      </w:tabs>
      <w:spacing w:after="100"/>
    </w:pPr>
    <w:rPr>
      <w:rFonts w:eastAsiaTheme="minorEastAsia"/>
      <w:bCs/>
      <w:noProof/>
      <w:lang w:val="en-US"/>
    </w:rPr>
  </w:style>
  <w:style w:type="paragraph" w:styleId="TOC2">
    <w:name w:val="toc 2"/>
    <w:basedOn w:val="Normal"/>
    <w:next w:val="Normal"/>
    <w:autoRedefine/>
    <w:uiPriority w:val="39"/>
    <w:unhideWhenUsed/>
    <w:rsid w:val="00915093"/>
    <w:pPr>
      <w:spacing w:after="100"/>
    </w:pPr>
    <w:rPr>
      <w:rFonts w:eastAsiaTheme="minorEastAsia"/>
      <w:lang w:val="en-US"/>
    </w:rPr>
  </w:style>
  <w:style w:type="paragraph" w:styleId="TOC3">
    <w:name w:val="toc 3"/>
    <w:basedOn w:val="Normal"/>
    <w:next w:val="Normal"/>
    <w:autoRedefine/>
    <w:uiPriority w:val="39"/>
    <w:unhideWhenUsed/>
    <w:rsid w:val="00915093"/>
    <w:pPr>
      <w:spacing w:after="100"/>
    </w:pPr>
    <w:rPr>
      <w:rFonts w:eastAsiaTheme="minorEastAsia"/>
      <w:lang w:val="en-US"/>
    </w:rPr>
  </w:style>
  <w:style w:type="paragraph" w:styleId="TOCHeading">
    <w:name w:val="TOC Heading"/>
    <w:basedOn w:val="Heading1"/>
    <w:next w:val="Normal"/>
    <w:uiPriority w:val="39"/>
    <w:unhideWhenUsed/>
    <w:rsid w:val="00915093"/>
    <w:pPr>
      <w:outlineLvl w:val="9"/>
    </w:pPr>
    <w:rPr>
      <w:rFonts w:asciiTheme="majorHAnsi" w:hAnsiTheme="majorHAnsi" w:cstheme="majorBidi"/>
      <w:b w:val="0"/>
      <w:bCs w:val="0"/>
      <w:noProof w:val="0"/>
      <w:color w:val="213B47" w:themeColor="accent1" w:themeShade="BF"/>
      <w:sz w:val="32"/>
      <w:lang w:val="en-US"/>
    </w:rPr>
  </w:style>
  <w:style w:type="character" w:styleId="UnresolvedMention">
    <w:name w:val="Unresolved Mention"/>
    <w:basedOn w:val="DefaultParagraphFont"/>
    <w:uiPriority w:val="99"/>
    <w:semiHidden/>
    <w:unhideWhenUsed/>
    <w:rsid w:val="00915093"/>
    <w:rPr>
      <w:color w:val="605E5C"/>
      <w:shd w:val="clear" w:color="auto" w:fill="E1DFDD"/>
    </w:rPr>
  </w:style>
  <w:style w:type="table" w:customStyle="1" w:styleId="Katestable">
    <w:name w:val="Kate's table"/>
    <w:basedOn w:val="TableNormal"/>
    <w:uiPriority w:val="99"/>
    <w:rsid w:val="00915093"/>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lineimageindent">
    <w:name w:val="Inline image indent"/>
    <w:basedOn w:val="Normal"/>
    <w:link w:val="InlineimageindentChar"/>
    <w:autoRedefine/>
    <w:rsid w:val="00915093"/>
    <w:pPr>
      <w:ind w:left="709"/>
    </w:pPr>
    <w:rPr>
      <w:rFonts w:cs="Arial"/>
    </w:rPr>
  </w:style>
  <w:style w:type="character" w:customStyle="1" w:styleId="InlineimageindentChar">
    <w:name w:val="Inline image indent Char"/>
    <w:basedOn w:val="DefaultParagraphFont"/>
    <w:link w:val="Inlineimageindent"/>
    <w:rsid w:val="00915093"/>
    <w:rPr>
      <w:rFonts w:ascii="Arial" w:hAnsi="Arial" w:cs="Arial"/>
      <w:sz w:val="24"/>
      <w:szCs w:val="24"/>
    </w:rPr>
  </w:style>
  <w:style w:type="paragraph" w:styleId="BodyText">
    <w:name w:val="Body Text"/>
    <w:basedOn w:val="Normal"/>
    <w:link w:val="BodyTextChar"/>
    <w:uiPriority w:val="99"/>
    <w:unhideWhenUsed/>
    <w:rsid w:val="00915093"/>
    <w:pPr>
      <w:spacing w:after="120"/>
    </w:pPr>
  </w:style>
  <w:style w:type="character" w:customStyle="1" w:styleId="BodyTextChar">
    <w:name w:val="Body Text Char"/>
    <w:basedOn w:val="DefaultParagraphFont"/>
    <w:link w:val="BodyText"/>
    <w:uiPriority w:val="99"/>
    <w:rsid w:val="00915093"/>
    <w:rPr>
      <w:rFonts w:ascii="Arial" w:hAnsi="Arial"/>
      <w:sz w:val="24"/>
      <w:szCs w:val="24"/>
    </w:rPr>
  </w:style>
  <w:style w:type="character" w:customStyle="1" w:styleId="NoSpacingChar">
    <w:name w:val="No Spacing Char"/>
    <w:basedOn w:val="DefaultParagraphFont"/>
    <w:link w:val="NoSpacing"/>
    <w:uiPriority w:val="1"/>
    <w:rsid w:val="00915093"/>
    <w:rPr>
      <w:rFonts w:ascii="Arial" w:hAnsi="Arial"/>
      <w:color w:val="262626" w:themeColor="text1" w:themeTint="D9"/>
      <w:sz w:val="24"/>
      <w:szCs w:val="24"/>
    </w:rPr>
  </w:style>
  <w:style w:type="table" w:customStyle="1" w:styleId="KL-table">
    <w:name w:val="KL-table"/>
    <w:basedOn w:val="TableNormal"/>
    <w:uiPriority w:val="99"/>
    <w:rsid w:val="00915093"/>
    <w:pPr>
      <w:spacing w:after="0" w:line="240" w:lineRule="auto"/>
    </w:pPr>
    <w:rPr>
      <w:rFonts w:ascii="Arial" w:hAnsi="Arial"/>
      <w:sz w:val="24"/>
      <w:szCs w:val="24"/>
    </w:rPr>
    <w:tblPr/>
  </w:style>
  <w:style w:type="table" w:styleId="GridTable5Dark-Accent1">
    <w:name w:val="Grid Table 5 Dark Accent 1"/>
    <w:basedOn w:val="TableNormal"/>
    <w:uiPriority w:val="50"/>
    <w:rsid w:val="00A652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F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06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06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06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060" w:themeFill="accent1"/>
      </w:tcPr>
    </w:tblStylePr>
    <w:tblStylePr w:type="band1Vert">
      <w:tblPr/>
      <w:tcPr>
        <w:shd w:val="clear" w:color="auto" w:fill="99BFD0" w:themeFill="accent1" w:themeFillTint="66"/>
      </w:tcPr>
    </w:tblStylePr>
    <w:tblStylePr w:type="band1Horz">
      <w:tblPr/>
      <w:tcPr>
        <w:shd w:val="clear" w:color="auto" w:fill="99BFD0" w:themeFill="accent1" w:themeFillTint="66"/>
      </w:tcPr>
    </w:tblStylePr>
  </w:style>
  <w:style w:type="paragraph" w:customStyle="1" w:styleId="Frontpagesub-title">
    <w:name w:val="Front page sub-title"/>
    <w:basedOn w:val="Normal"/>
    <w:link w:val="Frontpagesub-titleChar"/>
    <w:autoRedefine/>
    <w:qFormat/>
    <w:rsid w:val="00396825"/>
    <w:pPr>
      <w:spacing w:before="1200" w:line="240" w:lineRule="auto"/>
      <w:contextualSpacing/>
    </w:pPr>
    <w:rPr>
      <w:color w:val="FFFFFF" w:themeColor="background1"/>
      <w:sz w:val="36"/>
      <w:szCs w:val="32"/>
    </w:rPr>
  </w:style>
  <w:style w:type="character" w:customStyle="1" w:styleId="Frontpagesub-titleChar">
    <w:name w:val="Front page sub-title Char"/>
    <w:basedOn w:val="DefaultParagraphFont"/>
    <w:link w:val="Frontpagesub-title"/>
    <w:rsid w:val="00396825"/>
    <w:rPr>
      <w:color w:val="FFFFFF" w:themeColor="background1"/>
      <w:sz w:val="36"/>
      <w:szCs w:val="32"/>
    </w:rPr>
  </w:style>
  <w:style w:type="paragraph" w:customStyle="1" w:styleId="pf0">
    <w:name w:val="pf0"/>
    <w:basedOn w:val="Normal"/>
    <w:rsid w:val="00DC4CE1"/>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f01">
    <w:name w:val="cf01"/>
    <w:basedOn w:val="DefaultParagraphFont"/>
    <w:rsid w:val="00DC4CE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7242">
      <w:bodyDiv w:val="1"/>
      <w:marLeft w:val="0"/>
      <w:marRight w:val="0"/>
      <w:marTop w:val="0"/>
      <w:marBottom w:val="0"/>
      <w:divBdr>
        <w:top w:val="none" w:sz="0" w:space="0" w:color="auto"/>
        <w:left w:val="none" w:sz="0" w:space="0" w:color="auto"/>
        <w:bottom w:val="none" w:sz="0" w:space="0" w:color="auto"/>
        <w:right w:val="none" w:sz="0" w:space="0" w:color="auto"/>
      </w:divBdr>
    </w:div>
    <w:div w:id="120660229">
      <w:bodyDiv w:val="1"/>
      <w:marLeft w:val="0"/>
      <w:marRight w:val="0"/>
      <w:marTop w:val="0"/>
      <w:marBottom w:val="0"/>
      <w:divBdr>
        <w:top w:val="none" w:sz="0" w:space="0" w:color="auto"/>
        <w:left w:val="none" w:sz="0" w:space="0" w:color="auto"/>
        <w:bottom w:val="none" w:sz="0" w:space="0" w:color="auto"/>
        <w:right w:val="none" w:sz="0" w:space="0" w:color="auto"/>
      </w:divBdr>
    </w:div>
    <w:div w:id="124736484">
      <w:bodyDiv w:val="1"/>
      <w:marLeft w:val="0"/>
      <w:marRight w:val="0"/>
      <w:marTop w:val="0"/>
      <w:marBottom w:val="0"/>
      <w:divBdr>
        <w:top w:val="none" w:sz="0" w:space="0" w:color="auto"/>
        <w:left w:val="none" w:sz="0" w:space="0" w:color="auto"/>
        <w:bottom w:val="none" w:sz="0" w:space="0" w:color="auto"/>
        <w:right w:val="none" w:sz="0" w:space="0" w:color="auto"/>
      </w:divBdr>
    </w:div>
    <w:div w:id="146553910">
      <w:bodyDiv w:val="1"/>
      <w:marLeft w:val="0"/>
      <w:marRight w:val="0"/>
      <w:marTop w:val="0"/>
      <w:marBottom w:val="0"/>
      <w:divBdr>
        <w:top w:val="none" w:sz="0" w:space="0" w:color="auto"/>
        <w:left w:val="none" w:sz="0" w:space="0" w:color="auto"/>
        <w:bottom w:val="none" w:sz="0" w:space="0" w:color="auto"/>
        <w:right w:val="none" w:sz="0" w:space="0" w:color="auto"/>
      </w:divBdr>
    </w:div>
    <w:div w:id="173612290">
      <w:bodyDiv w:val="1"/>
      <w:marLeft w:val="0"/>
      <w:marRight w:val="0"/>
      <w:marTop w:val="0"/>
      <w:marBottom w:val="0"/>
      <w:divBdr>
        <w:top w:val="none" w:sz="0" w:space="0" w:color="auto"/>
        <w:left w:val="none" w:sz="0" w:space="0" w:color="auto"/>
        <w:bottom w:val="none" w:sz="0" w:space="0" w:color="auto"/>
        <w:right w:val="none" w:sz="0" w:space="0" w:color="auto"/>
      </w:divBdr>
    </w:div>
    <w:div w:id="400372037">
      <w:bodyDiv w:val="1"/>
      <w:marLeft w:val="0"/>
      <w:marRight w:val="0"/>
      <w:marTop w:val="0"/>
      <w:marBottom w:val="0"/>
      <w:divBdr>
        <w:top w:val="none" w:sz="0" w:space="0" w:color="auto"/>
        <w:left w:val="none" w:sz="0" w:space="0" w:color="auto"/>
        <w:bottom w:val="none" w:sz="0" w:space="0" w:color="auto"/>
        <w:right w:val="none" w:sz="0" w:space="0" w:color="auto"/>
      </w:divBdr>
    </w:div>
    <w:div w:id="601495723">
      <w:bodyDiv w:val="1"/>
      <w:marLeft w:val="0"/>
      <w:marRight w:val="0"/>
      <w:marTop w:val="0"/>
      <w:marBottom w:val="0"/>
      <w:divBdr>
        <w:top w:val="none" w:sz="0" w:space="0" w:color="auto"/>
        <w:left w:val="none" w:sz="0" w:space="0" w:color="auto"/>
        <w:bottom w:val="none" w:sz="0" w:space="0" w:color="auto"/>
        <w:right w:val="none" w:sz="0" w:space="0" w:color="auto"/>
      </w:divBdr>
    </w:div>
    <w:div w:id="813184650">
      <w:bodyDiv w:val="1"/>
      <w:marLeft w:val="0"/>
      <w:marRight w:val="0"/>
      <w:marTop w:val="0"/>
      <w:marBottom w:val="0"/>
      <w:divBdr>
        <w:top w:val="none" w:sz="0" w:space="0" w:color="auto"/>
        <w:left w:val="none" w:sz="0" w:space="0" w:color="auto"/>
        <w:bottom w:val="none" w:sz="0" w:space="0" w:color="auto"/>
        <w:right w:val="none" w:sz="0" w:space="0" w:color="auto"/>
      </w:divBdr>
    </w:div>
    <w:div w:id="1095785506">
      <w:bodyDiv w:val="1"/>
      <w:marLeft w:val="0"/>
      <w:marRight w:val="0"/>
      <w:marTop w:val="0"/>
      <w:marBottom w:val="0"/>
      <w:divBdr>
        <w:top w:val="none" w:sz="0" w:space="0" w:color="auto"/>
        <w:left w:val="none" w:sz="0" w:space="0" w:color="auto"/>
        <w:bottom w:val="none" w:sz="0" w:space="0" w:color="auto"/>
        <w:right w:val="none" w:sz="0" w:space="0" w:color="auto"/>
      </w:divBdr>
    </w:div>
    <w:div w:id="1132282429">
      <w:bodyDiv w:val="1"/>
      <w:marLeft w:val="0"/>
      <w:marRight w:val="0"/>
      <w:marTop w:val="0"/>
      <w:marBottom w:val="0"/>
      <w:divBdr>
        <w:top w:val="none" w:sz="0" w:space="0" w:color="auto"/>
        <w:left w:val="none" w:sz="0" w:space="0" w:color="auto"/>
        <w:bottom w:val="none" w:sz="0" w:space="0" w:color="auto"/>
        <w:right w:val="none" w:sz="0" w:space="0" w:color="auto"/>
      </w:divBdr>
    </w:div>
    <w:div w:id="1426607316">
      <w:bodyDiv w:val="1"/>
      <w:marLeft w:val="0"/>
      <w:marRight w:val="0"/>
      <w:marTop w:val="0"/>
      <w:marBottom w:val="0"/>
      <w:divBdr>
        <w:top w:val="none" w:sz="0" w:space="0" w:color="auto"/>
        <w:left w:val="none" w:sz="0" w:space="0" w:color="auto"/>
        <w:bottom w:val="none" w:sz="0" w:space="0" w:color="auto"/>
        <w:right w:val="none" w:sz="0" w:space="0" w:color="auto"/>
      </w:divBdr>
    </w:div>
    <w:div w:id="1507746599">
      <w:bodyDiv w:val="1"/>
      <w:marLeft w:val="0"/>
      <w:marRight w:val="0"/>
      <w:marTop w:val="0"/>
      <w:marBottom w:val="0"/>
      <w:divBdr>
        <w:top w:val="none" w:sz="0" w:space="0" w:color="auto"/>
        <w:left w:val="none" w:sz="0" w:space="0" w:color="auto"/>
        <w:bottom w:val="none" w:sz="0" w:space="0" w:color="auto"/>
        <w:right w:val="none" w:sz="0" w:space="0" w:color="auto"/>
      </w:divBdr>
    </w:div>
    <w:div w:id="1677072466">
      <w:bodyDiv w:val="1"/>
      <w:marLeft w:val="0"/>
      <w:marRight w:val="0"/>
      <w:marTop w:val="0"/>
      <w:marBottom w:val="0"/>
      <w:divBdr>
        <w:top w:val="none" w:sz="0" w:space="0" w:color="auto"/>
        <w:left w:val="none" w:sz="0" w:space="0" w:color="auto"/>
        <w:bottom w:val="none" w:sz="0" w:space="0" w:color="auto"/>
        <w:right w:val="none" w:sz="0" w:space="0" w:color="auto"/>
      </w:divBdr>
    </w:div>
    <w:div w:id="1811511365">
      <w:bodyDiv w:val="1"/>
      <w:marLeft w:val="0"/>
      <w:marRight w:val="0"/>
      <w:marTop w:val="0"/>
      <w:marBottom w:val="0"/>
      <w:divBdr>
        <w:top w:val="none" w:sz="0" w:space="0" w:color="auto"/>
        <w:left w:val="none" w:sz="0" w:space="0" w:color="auto"/>
        <w:bottom w:val="none" w:sz="0" w:space="0" w:color="auto"/>
        <w:right w:val="none" w:sz="0" w:space="0" w:color="auto"/>
      </w:divBdr>
    </w:div>
    <w:div w:id="2006469743">
      <w:bodyDiv w:val="1"/>
      <w:marLeft w:val="0"/>
      <w:marRight w:val="0"/>
      <w:marTop w:val="0"/>
      <w:marBottom w:val="0"/>
      <w:divBdr>
        <w:top w:val="none" w:sz="0" w:space="0" w:color="auto"/>
        <w:left w:val="none" w:sz="0" w:space="0" w:color="auto"/>
        <w:bottom w:val="none" w:sz="0" w:space="0" w:color="auto"/>
        <w:right w:val="none" w:sz="0" w:space="0" w:color="auto"/>
      </w:divBdr>
    </w:div>
    <w:div w:id="207430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misweb.co.uk/sources/census_2021" TargetMode="External"/><Relationship Id="rId18" Type="http://schemas.openxmlformats.org/officeDocument/2006/relationships/hyperlink" Target="https://www.nomisweb.co.uk/sources/census_2021" TargetMode="Externa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https://www.ons.gov.uk/peoplepopulationandcommunity/populationandmigration/populationestimates/methodologies/qualityandmethodologyinformationqmiforcensus2021" TargetMode="External"/><Relationship Id="rId7" Type="http://schemas.openxmlformats.org/officeDocument/2006/relationships/settings" Target="settings.xml"/><Relationship Id="rId12" Type="http://schemas.openxmlformats.org/officeDocument/2006/relationships/hyperlink" Target="https://www.ons.gov.uk/releases/housingcensus2021inenglandandwales" TargetMode="External"/><Relationship Id="rId17" Type="http://schemas.openxmlformats.org/officeDocument/2006/relationships/hyperlink" Target="https://www.ons.gov.uk/releases/housingcensus2021inenglandandwales" TargetMode="External"/><Relationship Id="rId25" Type="http://schemas.openxmlformats.org/officeDocument/2006/relationships/hyperlink" Target="https://www.nomisweb.co.uk/query/construct/summary.asp?reset=yes&amp;mode=construct&amp;dataset=2023&amp;version=0&amp;anal=1&amp;initse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ons.gov.uk/peoplepopulationandcommunity/populationandmigration/populationestimates/methodologies/qualityandmethodologyinformationqmiforcensus2021" TargetMode="External"/><Relationship Id="rId20" Type="http://schemas.openxmlformats.org/officeDocument/2006/relationships/hyperlink" Target="https://www.ons.gov.uk/peoplepopulationandcommunity/populationandmigration/populationestimates/methodologies/qualityandmethodologyinformationqmiforcensus202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omisweb.co.uk/query/construct/summary.asp?reset=yes&amp;mode=construct&amp;dataset=605&amp;version=0&amp;anal=1&amp;initse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ons.gov.uk/peoplepopulationandcommunity/populationandmigration/populationestimates/methodologies/qualityandmethodologyinformationqmiforcensus2021" TargetMode="External"/><Relationship Id="rId23" Type="http://schemas.openxmlformats.org/officeDocument/2006/relationships/image" Target="media/image2.jpeg"/><Relationship Id="rId28" Type="http://schemas.openxmlformats.org/officeDocument/2006/relationships/hyperlink" Target="https://www.nomisweb.co.uk/datasets/c2021ts017" TargetMode="External"/><Relationship Id="rId10" Type="http://schemas.openxmlformats.org/officeDocument/2006/relationships/endnotes" Target="endnotes.xml"/><Relationship Id="rId19" Type="http://schemas.openxmlformats.org/officeDocument/2006/relationships/hyperlink" Target="https://www.ons.gov.uk/peoplepopulationandcommunity/birthsdeathsandmarriages/families/articles/familiesandhouseholdsstatisticsexplained/2021-03-02"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ns.gov.uk/peoplepopulationandcommunity/birthsdeathsandmarriages/families/articles/familiesandhouseholdsstatisticsexplained/2021-03-02" TargetMode="External"/><Relationship Id="rId22" Type="http://schemas.openxmlformats.org/officeDocument/2006/relationships/hyperlink" Target="https://www.ons.gov.uk/filters/36de5a51-5cf5-4c05-a5b8-fad075758514/dimensions" TargetMode="External"/><Relationship Id="rId27" Type="http://schemas.openxmlformats.org/officeDocument/2006/relationships/hyperlink" Target="https://www.nomisweb.co.uk/census/2011/qs406ew" TargetMode="External"/><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Corporate Colours - GMCA">
      <a:dk1>
        <a:sysClr val="windowText" lastClr="000000"/>
      </a:dk1>
      <a:lt1>
        <a:sysClr val="window" lastClr="FFFFFF"/>
      </a:lt1>
      <a:dk2>
        <a:srgbClr val="44546A"/>
      </a:dk2>
      <a:lt2>
        <a:srgbClr val="E7E6E6"/>
      </a:lt2>
      <a:accent1>
        <a:srgbClr val="2C5060"/>
      </a:accent1>
      <a:accent2>
        <a:srgbClr val="D5573B"/>
      </a:accent2>
      <a:accent3>
        <a:srgbClr val="8D9293"/>
      </a:accent3>
      <a:accent4>
        <a:srgbClr val="95A17E"/>
      </a:accent4>
      <a:accent5>
        <a:srgbClr val="D5C5C8"/>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DC97FC8150DD49AD465F8A73657C42" ma:contentTypeVersion="18" ma:contentTypeDescription="Create a new document." ma:contentTypeScope="" ma:versionID="e7330d75805c6de7540ed961e9006a17">
  <xsd:schema xmlns:xsd="http://www.w3.org/2001/XMLSchema" xmlns:xs="http://www.w3.org/2001/XMLSchema" xmlns:p="http://schemas.microsoft.com/office/2006/metadata/properties" xmlns:ns1="http://schemas.microsoft.com/sharepoint/v3" xmlns:ns2="066e983a-f1d7-4d3c-91db-252f29f3e159" xmlns:ns3="2e35a3c0-6932-4795-bc29-a2b24e509738" targetNamespace="http://schemas.microsoft.com/office/2006/metadata/properties" ma:root="true" ma:fieldsID="7ef6cc727cb884e4b2fe2387fab48d28" ns1:_="" ns2:_="" ns3:_="">
    <xsd:import namespace="http://schemas.microsoft.com/sharepoint/v3"/>
    <xsd:import namespace="066e983a-f1d7-4d3c-91db-252f29f3e159"/>
    <xsd:import namespace="2e35a3c0-6932-4795-bc29-a2b24e5097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1:_ip_UnifiedCompliancePolicyProperties" minOccurs="0"/>
                <xsd:element ref="ns1:_ip_UnifiedCompliancePolicyUIAc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6e983a-f1d7-4d3c-91db-252f29f3e1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e4fde04-eaf7-46f4-90d8-754f3b92dd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e35a3c0-6932-4795-bc29-a2b24e509738"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91f7bd27-d9e4-4e62-be6c-eaf418590226}" ma:internalName="TaxCatchAll" ma:showField="CatchAllData" ma:web="2e35a3c0-6932-4795-bc29-a2b24e5097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6e983a-f1d7-4d3c-91db-252f29f3e159">
      <Terms xmlns="http://schemas.microsoft.com/office/infopath/2007/PartnerControls"/>
    </lcf76f155ced4ddcb4097134ff3c332f>
    <_ip_UnifiedCompliancePolicyUIAction xmlns="http://schemas.microsoft.com/sharepoint/v3" xsi:nil="true"/>
    <TaxCatchAll xmlns="2e35a3c0-6932-4795-bc29-a2b24e509738"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90987E2-D33B-44BA-98B0-5EF3668E9A72}">
  <ds:schemaRefs>
    <ds:schemaRef ds:uri="http://schemas.microsoft.com/sharepoint/v3/contenttype/forms"/>
  </ds:schemaRefs>
</ds:datastoreItem>
</file>

<file path=customXml/itemProps2.xml><?xml version="1.0" encoding="utf-8"?>
<ds:datastoreItem xmlns:ds="http://schemas.openxmlformats.org/officeDocument/2006/customXml" ds:itemID="{268EF0EE-AFE3-4CE6-820D-B22B949A5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66e983a-f1d7-4d3c-91db-252f29f3e159"/>
    <ds:schemaRef ds:uri="2e35a3c0-6932-4795-bc29-a2b24e5097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D1B3CA-8735-4730-992F-778E94FC32A0}">
  <ds:schemaRefs>
    <ds:schemaRef ds:uri="http://schemas.openxmlformats.org/officeDocument/2006/bibliography"/>
  </ds:schemaRefs>
</ds:datastoreItem>
</file>

<file path=customXml/itemProps4.xml><?xml version="1.0" encoding="utf-8"?>
<ds:datastoreItem xmlns:ds="http://schemas.openxmlformats.org/officeDocument/2006/customXml" ds:itemID="{081F4DF2-493F-49D8-95B0-ACA97CAD4612}">
  <ds:schemaRefs>
    <ds:schemaRef ds:uri="http://schemas.microsoft.com/office/2006/metadata/properties"/>
    <ds:schemaRef ds:uri="http://schemas.microsoft.com/office/infopath/2007/PartnerControls"/>
    <ds:schemaRef ds:uri="066e983a-f1d7-4d3c-91db-252f29f3e159"/>
    <ds:schemaRef ds:uri="http://schemas.microsoft.com/sharepoint/v3"/>
    <ds:schemaRef ds:uri="2e35a3c0-6932-4795-bc29-a2b24e509738"/>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Pages>
  <Words>990</Words>
  <Characters>5648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Ottiwell, David</dc:creator>
  <cp:keywords/>
  <dc:description/>
  <cp:lastModifiedBy>Markus, Francis</cp:lastModifiedBy>
  <cp:revision>7</cp:revision>
  <cp:lastPrinted>2023-05-19T08:36:00Z</cp:lastPrinted>
  <dcterms:created xsi:type="dcterms:W3CDTF">2023-05-18T16:20:00Z</dcterms:created>
  <dcterms:modified xsi:type="dcterms:W3CDTF">2023-05-19T12:31:00Z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0x01010063DC97FC8150DD49AD465F8A73657C42</vt:lpwstr>
  </property>
</Properties>
</file>