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F7760" w14:textId="726C11B3" w:rsidR="00DC2203" w:rsidRPr="00761353" w:rsidRDefault="000D108F" w:rsidP="001A4B2A">
      <w:pPr>
        <w:pStyle w:val="Heading1"/>
      </w:pPr>
      <w:bookmarkStart w:id="0" w:name="_Hlk132702898"/>
      <w:bookmarkStart w:id="1" w:name="_Toc61984578"/>
      <w:bookmarkStart w:id="2" w:name="_Toc61984580"/>
      <w:bookmarkStart w:id="3" w:name="_Toc61294764"/>
      <w:bookmarkEnd w:id="0"/>
      <w:r w:rsidRPr="00761353">
        <w:t>Census 2021 Briefin</w:t>
      </w:r>
      <w:r w:rsidR="002276E1" w:rsidRPr="00761353">
        <w:t>g</w:t>
      </w:r>
    </w:p>
    <w:p w14:paraId="41BDC66F" w14:textId="287271A8" w:rsidR="00D822C4" w:rsidRPr="00D822C4" w:rsidRDefault="00DC2203" w:rsidP="001A4B2A">
      <w:pPr>
        <w:pStyle w:val="Heading1"/>
      </w:pPr>
      <w:r w:rsidRPr="00761353">
        <w:t>T</w:t>
      </w:r>
      <w:r w:rsidR="00786AB1">
        <w:t>otal population</w:t>
      </w:r>
      <w:r w:rsidR="000D108F" w:rsidRPr="00761353">
        <w:rPr>
          <w:rFonts w:ascii="Arial" w:hAnsi="Arial"/>
        </w:rPr>
        <w:drawing>
          <wp:anchor distT="0" distB="0" distL="114300" distR="114300" simplePos="0" relativeHeight="251660288" behindDoc="1" locked="1" layoutInCell="1" allowOverlap="0" wp14:anchorId="5627137D" wp14:editId="0300A29F">
            <wp:simplePos x="0" y="0"/>
            <wp:positionH relativeFrom="page">
              <wp:align>left</wp:align>
            </wp:positionH>
            <wp:positionV relativeFrom="page">
              <wp:align>bottom</wp:align>
            </wp:positionV>
            <wp:extent cx="7665720" cy="1084453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5720" cy="10844530"/>
                    </a:xfrm>
                    <a:prstGeom prst="rect">
                      <a:avLst/>
                    </a:prstGeom>
                  </pic:spPr>
                </pic:pic>
              </a:graphicData>
            </a:graphic>
            <wp14:sizeRelH relativeFrom="margin">
              <wp14:pctWidth>0</wp14:pctWidth>
            </wp14:sizeRelH>
            <wp14:sizeRelV relativeFrom="margin">
              <wp14:pctHeight>0</wp14:pctHeight>
            </wp14:sizeRelV>
          </wp:anchor>
        </w:drawing>
      </w:r>
      <w:bookmarkEnd w:id="1"/>
    </w:p>
    <w:sdt>
      <w:sdtPr>
        <w:rPr>
          <w:rFonts w:ascii="Arial" w:hAnsi="Arial"/>
        </w:rPr>
        <w:id w:val="-1571263057"/>
        <w:docPartObj>
          <w:docPartGallery w:val="Cover Pages"/>
          <w:docPartUnique/>
        </w:docPartObj>
      </w:sdtPr>
      <w:sdtEndPr>
        <w:rPr>
          <w:highlight w:val="yellow"/>
        </w:rPr>
      </w:sdtEndPr>
      <w:sdtContent>
        <w:p w14:paraId="58FC4CB6" w14:textId="6C1376B4" w:rsidR="00F16596" w:rsidRPr="00D822C4" w:rsidRDefault="000D108F" w:rsidP="00354CA0">
          <w:pPr>
            <w:pStyle w:val="Frontpagesub-title"/>
            <w:rPr>
              <w:rStyle w:val="Frontpagesub-titleChar"/>
              <w:rFonts w:cs="Arial"/>
            </w:rPr>
          </w:pPr>
          <w:r w:rsidRPr="00761353">
            <w:rPr>
              <w:rStyle w:val="Frontpagesub-titleChar"/>
              <w:rFonts w:cs="Arial"/>
              <w:b/>
              <w:bCs/>
            </w:rPr>
            <w:t>GMCA</w:t>
          </w:r>
          <w:r w:rsidRPr="00761353">
            <w:rPr>
              <w:rStyle w:val="Frontpagesub-titleChar"/>
              <w:rFonts w:cs="Arial"/>
            </w:rPr>
            <w:t xml:space="preserve"> </w:t>
          </w:r>
          <w:r w:rsidRPr="00761353">
            <w:rPr>
              <w:rStyle w:val="Frontpagesub-titleChar"/>
              <w:rFonts w:cs="Arial"/>
              <w:b/>
              <w:bCs/>
            </w:rPr>
            <w:t>Research</w:t>
          </w:r>
        </w:p>
        <w:p w14:paraId="44DD08CE" w14:textId="250A4BEE" w:rsidR="00E873A0" w:rsidRPr="00761353" w:rsidRDefault="008D43D3" w:rsidP="00354CA0">
          <w:pPr>
            <w:pStyle w:val="Frontpagesub-title"/>
            <w:rPr>
              <w:rFonts w:ascii="Arial" w:hAnsi="Arial"/>
            </w:rPr>
          </w:pPr>
          <w:r>
            <w:rPr>
              <w:rStyle w:val="Frontpagesub-titleChar"/>
              <w:rFonts w:cs="Arial"/>
            </w:rPr>
            <w:t>May</w:t>
          </w:r>
          <w:r w:rsidRPr="00761353">
            <w:rPr>
              <w:rStyle w:val="Frontpagesub-titleChar"/>
              <w:rFonts w:cs="Arial"/>
            </w:rPr>
            <w:t xml:space="preserve"> </w:t>
          </w:r>
          <w:r w:rsidR="00DC2203" w:rsidRPr="00761353">
            <w:rPr>
              <w:rStyle w:val="Frontpagesub-titleChar"/>
              <w:rFonts w:cs="Arial"/>
            </w:rPr>
            <w:t>2023</w:t>
          </w:r>
        </w:p>
      </w:sdtContent>
    </w:sdt>
    <w:bookmarkEnd w:id="3" w:displacedByCustomXml="prev"/>
    <w:bookmarkEnd w:id="2" w:displacedByCustomXml="prev"/>
    <w:p w14:paraId="6EA792A9" w14:textId="61D7F6A7" w:rsidR="000D108F" w:rsidRPr="000D454C" w:rsidRDefault="00786AB1" w:rsidP="005C12B9">
      <w:pPr>
        <w:rPr>
          <w:rFonts w:ascii="Arial" w:hAnsi="Arial" w:cs="Arial"/>
          <w:sz w:val="2"/>
          <w:szCs w:val="2"/>
        </w:rPr>
      </w:pPr>
      <w:r w:rsidRPr="000D454C">
        <w:rPr>
          <w:rFonts w:ascii="Arial" w:hAnsi="Arial" w:cs="Arial"/>
          <w:noProof/>
          <w:sz w:val="2"/>
          <w:szCs w:val="2"/>
        </w:rPr>
        <w:lastRenderedPageBreak/>
        <mc:AlternateContent>
          <mc:Choice Requires="wps">
            <w:drawing>
              <wp:anchor distT="45720" distB="45720" distL="114300" distR="114300" simplePos="0" relativeHeight="251662336" behindDoc="1" locked="0" layoutInCell="1" allowOverlap="1" wp14:anchorId="46878051" wp14:editId="79D8AA3E">
                <wp:simplePos x="0" y="0"/>
                <wp:positionH relativeFrom="margin">
                  <wp:posOffset>126365</wp:posOffset>
                </wp:positionH>
                <wp:positionV relativeFrom="paragraph">
                  <wp:posOffset>0</wp:posOffset>
                </wp:positionV>
                <wp:extent cx="6390640" cy="5133975"/>
                <wp:effectExtent l="0" t="0" r="10160" b="28575"/>
                <wp:wrapTight wrapText="bothSides">
                  <wp:wrapPolygon edited="0">
                    <wp:start x="0" y="0"/>
                    <wp:lineTo x="0" y="21640"/>
                    <wp:lineTo x="21570" y="21640"/>
                    <wp:lineTo x="21570" y="0"/>
                    <wp:lineTo x="0" y="0"/>
                  </wp:wrapPolygon>
                </wp:wrapTight>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5133975"/>
                        </a:xfrm>
                        <a:prstGeom prst="rect">
                          <a:avLst/>
                        </a:prstGeom>
                        <a:solidFill>
                          <a:srgbClr val="2C5060"/>
                        </a:solidFill>
                        <a:ln w="19050">
                          <a:solidFill>
                            <a:schemeClr val="accent1"/>
                          </a:solidFill>
                          <a:miter lim="800000"/>
                          <a:headEnd/>
                          <a:tailEnd/>
                        </a:ln>
                      </wps:spPr>
                      <wps:txbx>
                        <w:txbxContent>
                          <w:p w14:paraId="534CC786" w14:textId="726220BB" w:rsidR="00786AB1" w:rsidRPr="001C7150" w:rsidRDefault="00786AB1" w:rsidP="00BC51A1">
                            <w:pPr>
                              <w:spacing w:after="120"/>
                              <w:rPr>
                                <w:rFonts w:ascii="Arial" w:hAnsi="Arial" w:cs="Arial"/>
                                <w:color w:val="FFFFFF" w:themeColor="background1"/>
                                <w:sz w:val="24"/>
                                <w:szCs w:val="24"/>
                              </w:rPr>
                            </w:pPr>
                            <w:r w:rsidRPr="001C7150">
                              <w:rPr>
                                <w:rFonts w:ascii="Arial" w:hAnsi="Arial" w:cs="Arial"/>
                                <w:b/>
                                <w:color w:val="FFFFFF" w:themeColor="background1"/>
                                <w:sz w:val="24"/>
                                <w:szCs w:val="24"/>
                              </w:rPr>
                              <w:t>Dataset:</w:t>
                            </w:r>
                            <w:r w:rsidRPr="001C7150">
                              <w:rPr>
                                <w:rFonts w:ascii="Arial" w:hAnsi="Arial" w:cs="Arial"/>
                                <w:color w:val="FFFFFF" w:themeColor="background1"/>
                                <w:sz w:val="24"/>
                                <w:szCs w:val="24"/>
                              </w:rPr>
                              <w:t xml:space="preserve"> Total population</w:t>
                            </w:r>
                          </w:p>
                          <w:p w14:paraId="438F3B78" w14:textId="158125E8" w:rsidR="00786AB1" w:rsidRPr="001C7150" w:rsidRDefault="00786AB1" w:rsidP="00BC51A1">
                            <w:pPr>
                              <w:spacing w:after="120"/>
                              <w:rPr>
                                <w:rFonts w:ascii="Arial" w:hAnsi="Arial" w:cs="Arial"/>
                                <w:color w:val="FFFFFF" w:themeColor="background1"/>
                                <w:sz w:val="24"/>
                                <w:szCs w:val="24"/>
                              </w:rPr>
                            </w:pPr>
                            <w:r w:rsidRPr="001C7150">
                              <w:rPr>
                                <w:rFonts w:ascii="Arial" w:hAnsi="Arial" w:cs="Arial"/>
                                <w:b/>
                                <w:bCs/>
                                <w:color w:val="FFFFFF" w:themeColor="background1"/>
                                <w:sz w:val="24"/>
                                <w:szCs w:val="24"/>
                              </w:rPr>
                              <w:t>Datalink</w:t>
                            </w:r>
                            <w:r w:rsidRPr="001C7150">
                              <w:rPr>
                                <w:rFonts w:ascii="Arial" w:hAnsi="Arial" w:cs="Arial"/>
                                <w:color w:val="FFFFFF" w:themeColor="background1"/>
                                <w:sz w:val="24"/>
                                <w:szCs w:val="24"/>
                              </w:rPr>
                              <w:t xml:space="preserve">: The data used in this briefing can be found at </w:t>
                            </w:r>
                            <w:hyperlink r:id="rId12" w:history="1">
                              <w:r w:rsidRPr="001C7150">
                                <w:rPr>
                                  <w:rFonts w:ascii="Arial" w:hAnsi="Arial" w:cs="Arial"/>
                                  <w:color w:val="FFFFFF" w:themeColor="background1"/>
                                  <w:sz w:val="24"/>
                                  <w:szCs w:val="24"/>
                                  <w:u w:val="single"/>
                                </w:rPr>
                                <w:t>Age by single year - Office for National Statistics (ons.gov.uk)</w:t>
                              </w:r>
                            </w:hyperlink>
                            <w:r w:rsidR="007B1163">
                              <w:rPr>
                                <w:rFonts w:ascii="Arial" w:hAnsi="Arial" w:cs="Arial"/>
                                <w:color w:val="FFFFFF" w:themeColor="background1"/>
                                <w:sz w:val="24"/>
                                <w:szCs w:val="24"/>
                              </w:rPr>
                              <w:t xml:space="preserve">. </w:t>
                            </w:r>
                            <w:r w:rsidRPr="001C7150">
                              <w:rPr>
                                <w:rFonts w:ascii="Arial" w:hAnsi="Arial" w:cs="Arial"/>
                                <w:color w:val="FFFFFF" w:themeColor="background1"/>
                                <w:sz w:val="24"/>
                                <w:szCs w:val="24"/>
                              </w:rPr>
                              <w:t xml:space="preserve">It can also be found at </w:t>
                            </w:r>
                            <w:hyperlink r:id="rId13" w:history="1">
                              <w:r w:rsidRPr="001C7150">
                                <w:rPr>
                                  <w:rFonts w:ascii="Arial" w:hAnsi="Arial" w:cs="Arial"/>
                                  <w:color w:val="FFFFFF" w:themeColor="background1"/>
                                  <w:sz w:val="24"/>
                                  <w:szCs w:val="24"/>
                                  <w:u w:val="single"/>
                                </w:rPr>
                                <w:t>TS007 - Age by single year - Nomis - Official Census and Labour Market Statistics (nomisweb.co.uk)</w:t>
                              </w:r>
                            </w:hyperlink>
                          </w:p>
                          <w:p w14:paraId="5521A875" w14:textId="32D0C951" w:rsidR="00786AB1" w:rsidRPr="001C7150" w:rsidRDefault="00786AB1" w:rsidP="00BC51A1">
                            <w:pPr>
                              <w:spacing w:after="120"/>
                              <w:rPr>
                                <w:rFonts w:ascii="Arial" w:hAnsi="Arial" w:cs="Arial"/>
                                <w:color w:val="FFFFFF" w:themeColor="background1"/>
                                <w:sz w:val="24"/>
                                <w:szCs w:val="24"/>
                              </w:rPr>
                            </w:pPr>
                            <w:r w:rsidRPr="001C7150">
                              <w:rPr>
                                <w:rFonts w:ascii="Arial" w:hAnsi="Arial" w:cs="Arial"/>
                                <w:b/>
                                <w:color w:val="FFFFFF" w:themeColor="background1"/>
                                <w:sz w:val="24"/>
                                <w:szCs w:val="24"/>
                              </w:rPr>
                              <w:t>Definition:</w:t>
                            </w:r>
                            <w:r w:rsidR="00D822C4">
                              <w:rPr>
                                <w:rFonts w:ascii="Arial" w:hAnsi="Arial" w:cs="Arial"/>
                                <w:b/>
                                <w:color w:val="FFFFFF" w:themeColor="background1"/>
                                <w:sz w:val="24"/>
                                <w:szCs w:val="24"/>
                              </w:rPr>
                              <w:t xml:space="preserve"> </w:t>
                            </w:r>
                            <w:r w:rsidRPr="001C7150">
                              <w:rPr>
                                <w:rFonts w:ascii="Arial" w:hAnsi="Arial" w:cs="Arial"/>
                                <w:color w:val="FFFFFF" w:themeColor="background1"/>
                                <w:sz w:val="24"/>
                                <w:szCs w:val="24"/>
                              </w:rPr>
                              <w:t>Population of usual residents</w:t>
                            </w:r>
                            <w:r w:rsidR="00D822C4">
                              <w:rPr>
                                <w:rFonts w:ascii="Arial" w:hAnsi="Arial" w:cs="Arial"/>
                                <w:color w:val="FFFFFF" w:themeColor="background1"/>
                                <w:sz w:val="24"/>
                                <w:szCs w:val="24"/>
                              </w:rPr>
                              <w:t xml:space="preserve"> –</w:t>
                            </w:r>
                            <w:r w:rsidRPr="001C7150">
                              <w:rPr>
                                <w:rFonts w:ascii="Arial" w:hAnsi="Arial" w:cs="Arial"/>
                                <w:color w:val="FFFFFF" w:themeColor="background1"/>
                                <w:sz w:val="24"/>
                                <w:szCs w:val="24"/>
                              </w:rPr>
                              <w:t xml:space="preserve"> a usual resident is anyone who on Census Day, 21 March 2021, was in the UK and had stayed or intended to stay in the UK for a period of 12 months or more</w:t>
                            </w:r>
                            <w:r w:rsidR="00D822C4">
                              <w:rPr>
                                <w:rFonts w:ascii="Arial" w:hAnsi="Arial" w:cs="Arial"/>
                                <w:color w:val="FFFFFF" w:themeColor="background1"/>
                                <w:sz w:val="24"/>
                                <w:szCs w:val="24"/>
                              </w:rPr>
                              <w:t xml:space="preserve">; </w:t>
                            </w:r>
                            <w:r w:rsidRPr="001C7150">
                              <w:rPr>
                                <w:rFonts w:ascii="Arial" w:hAnsi="Arial" w:cs="Arial"/>
                                <w:color w:val="FFFFFF" w:themeColor="background1"/>
                                <w:sz w:val="24"/>
                                <w:szCs w:val="24"/>
                              </w:rPr>
                              <w:t xml:space="preserve">or </w:t>
                            </w:r>
                            <w:r w:rsidR="00D822C4">
                              <w:rPr>
                                <w:rFonts w:ascii="Arial" w:hAnsi="Arial" w:cs="Arial"/>
                                <w:color w:val="FFFFFF" w:themeColor="background1"/>
                                <w:sz w:val="24"/>
                                <w:szCs w:val="24"/>
                              </w:rPr>
                              <w:t xml:space="preserve">anyone who </w:t>
                            </w:r>
                            <w:r w:rsidRPr="001C7150">
                              <w:rPr>
                                <w:rFonts w:ascii="Arial" w:hAnsi="Arial" w:cs="Arial"/>
                                <w:color w:val="FFFFFF" w:themeColor="background1"/>
                                <w:sz w:val="24"/>
                                <w:szCs w:val="24"/>
                              </w:rPr>
                              <w:t>had a permanent UK address and was outside the UK and intended to be outside the UK for less than 12 months.</w:t>
                            </w:r>
                          </w:p>
                          <w:p w14:paraId="7FDCA6DF" w14:textId="7A3371F9" w:rsidR="00786AB1" w:rsidRDefault="00786AB1" w:rsidP="00BC51A1">
                            <w:pPr>
                              <w:spacing w:after="120"/>
                              <w:rPr>
                                <w:rFonts w:ascii="Arial" w:hAnsi="Arial" w:cs="Arial"/>
                                <w:color w:val="FFFFFF" w:themeColor="background1"/>
                                <w:sz w:val="24"/>
                                <w:szCs w:val="24"/>
                              </w:rPr>
                            </w:pPr>
                            <w:r w:rsidRPr="001C7150">
                              <w:rPr>
                                <w:rFonts w:ascii="Arial" w:hAnsi="Arial" w:cs="Arial"/>
                                <w:b/>
                                <w:bCs/>
                                <w:color w:val="FFFFFF" w:themeColor="background1"/>
                                <w:sz w:val="24"/>
                                <w:szCs w:val="24"/>
                              </w:rPr>
                              <w:t>Census Day</w:t>
                            </w:r>
                            <w:r w:rsidRPr="001C7150">
                              <w:rPr>
                                <w:rFonts w:ascii="Arial" w:hAnsi="Arial" w:cs="Arial"/>
                                <w:color w:val="FFFFFF" w:themeColor="background1"/>
                                <w:sz w:val="24"/>
                                <w:szCs w:val="24"/>
                              </w:rPr>
                              <w:t>: The 2021 Census was held in England and Wales on 21 March 2021. Census 2021 was undertaken during the COVID-19 pandemic so may not show normal population and household patterns due to temporary changes in living circumstances during the pandemic for some households.</w:t>
                            </w:r>
                          </w:p>
                          <w:p w14:paraId="21965534" w14:textId="789786EE" w:rsidR="00BC51A1" w:rsidRDefault="009F54C9" w:rsidP="00BC51A1">
                            <w:pPr>
                              <w:spacing w:after="120"/>
                              <w:rPr>
                                <w:rFonts w:ascii="Arial" w:hAnsi="Arial" w:cs="Arial"/>
                                <w:color w:val="FFFFFF" w:themeColor="background1"/>
                                <w:sz w:val="24"/>
                                <w:szCs w:val="24"/>
                              </w:rPr>
                            </w:pPr>
                            <w:r w:rsidRPr="00F201E8">
                              <w:rPr>
                                <w:rFonts w:ascii="Arial" w:hAnsi="Arial" w:cs="Arial"/>
                                <w:b/>
                                <w:bCs/>
                                <w:color w:val="FFFFFF" w:themeColor="background1"/>
                                <w:sz w:val="24"/>
                                <w:szCs w:val="24"/>
                              </w:rPr>
                              <w:t>Ethnicity</w:t>
                            </w:r>
                            <w:r w:rsidRPr="00F201E8">
                              <w:rPr>
                                <w:rFonts w:ascii="Arial" w:hAnsi="Arial" w:cs="Arial"/>
                                <w:color w:val="FFFFFF" w:themeColor="background1"/>
                                <w:sz w:val="24"/>
                                <w:szCs w:val="24"/>
                              </w:rPr>
                              <w:t>:</w:t>
                            </w:r>
                            <w:r w:rsidR="00BC51A1">
                              <w:rP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In this briefing, we have followed the terminology used in the Census, in line with the government’s</w:t>
                            </w:r>
                            <w:r w:rsidR="001B7289">
                              <w:rPr>
                                <w:rStyle w:val="ui-provider"/>
                                <w:rFonts w:ascii="Arial" w:hAnsi="Arial" w:cs="Arial"/>
                                <w:color w:val="FFFFFF" w:themeColor="background1"/>
                                <w:sz w:val="24"/>
                                <w:szCs w:val="24"/>
                              </w:rPr>
                              <w:t xml:space="preserve"> </w:t>
                            </w:r>
                            <w:hyperlink r:id="rId14" w:tgtFrame="_blank" w:tooltip="https://www.ethnicity-facts-figures.service.gov.uk/style-guide/writing-about-ethnicity" w:history="1">
                              <w:r w:rsidR="00BC51A1" w:rsidRPr="00BC51A1">
                                <w:rPr>
                                  <w:rStyle w:val="Hyperlink"/>
                                  <w:rFonts w:cs="Arial"/>
                                  <w:b w:val="0"/>
                                  <w:bCs/>
                                  <w:color w:val="FFFFFF" w:themeColor="background1"/>
                                  <w:sz w:val="24"/>
                                  <w:szCs w:val="24"/>
                                </w:rPr>
                                <w:t>Writing about Ethnicity</w:t>
                              </w:r>
                            </w:hyperlink>
                            <w:r w:rsidR="00BC51A1" w:rsidRPr="00BC51A1">
                              <w:rPr>
                                <w:rStyle w:val="ui-provider"/>
                                <w:rFonts w:ascii="Arial" w:hAnsi="Arial" w:cs="Arial"/>
                                <w:b/>
                                <w:bCs/>
                                <w:color w:val="FFFFFF" w:themeColor="background1"/>
                                <w:sz w:val="24"/>
                                <w:szCs w:val="24"/>
                              </w:rPr>
                              <w:t xml:space="preserve"> </w:t>
                            </w:r>
                            <w:r w:rsidR="00BC51A1" w:rsidRPr="00BC51A1">
                              <w:rPr>
                                <w:rStyle w:val="ui-provider"/>
                                <w:rFonts w:ascii="Arial" w:hAnsi="Arial" w:cs="Arial"/>
                                <w:color w:val="FFFFFF" w:themeColor="background1"/>
                                <w:sz w:val="24"/>
                                <w:szCs w:val="24"/>
                              </w:rPr>
                              <w:t>guidance and</w:t>
                            </w:r>
                            <w:r w:rsidR="00BC51A1" w:rsidRPr="00BC51A1">
                              <w:rPr>
                                <w:rStyle w:val="ui-provider"/>
                                <w:rFonts w:ascii="Arial" w:hAnsi="Arial" w:cs="Arial"/>
                                <w:b/>
                                <w:bCs/>
                                <w:color w:val="FFFFFF" w:themeColor="background1"/>
                                <w:sz w:val="24"/>
                                <w:szCs w:val="24"/>
                              </w:rPr>
                              <w:t xml:space="preserve"> </w:t>
                            </w:r>
                            <w:hyperlink r:id="rId15" w:anchor="ethnic-minorities" w:tgtFrame="_blank" w:tooltip="https://www.gov.uk/guidance/style-guide/a-to-z-of-gov-uk-style#ethnic-minorities" w:history="1">
                              <w:r w:rsidR="00BC51A1" w:rsidRPr="00BC51A1">
                                <w:rPr>
                                  <w:rStyle w:val="Hyperlink"/>
                                  <w:rFonts w:cs="Arial"/>
                                  <w:b w:val="0"/>
                                  <w:bCs/>
                                  <w:color w:val="FFFFFF" w:themeColor="background1"/>
                                  <w:sz w:val="24"/>
                                  <w:szCs w:val="24"/>
                                </w:rPr>
                                <w:t>Style Guide</w:t>
                              </w:r>
                            </w:hyperlink>
                            <w:r w:rsidR="00BC51A1" w:rsidRPr="00BC51A1">
                              <w:rPr>
                                <w:rStyle w:val="ui-provider"/>
                                <w:rFonts w:ascii="Arial" w:hAnsi="Arial" w:cs="Arial"/>
                                <w:color w:val="FFFFFF" w:themeColor="background1"/>
                                <w:sz w:val="24"/>
                                <w:szCs w:val="24"/>
                              </w:rPr>
                              <w:t>.</w:t>
                            </w:r>
                            <w:r w:rsidR="00BC51A1">
                              <w:rPr>
                                <w:rStyle w:val="ui-provide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Where we have reported aggregated data that group different ethnicities together</w:t>
                            </w:r>
                            <w:r w:rsidR="00F54CE8">
                              <w:rPr>
                                <w:rStyle w:val="ui-provider"/>
                                <w:rFonts w:ascii="Arial" w:hAnsi="Arial" w:cs="Arial"/>
                                <w:color w:val="FFFFFF" w:themeColor="background1"/>
                                <w:sz w:val="24"/>
                                <w:szCs w:val="24"/>
                              </w:rPr>
                              <w:t xml:space="preserve"> (</w:t>
                            </w:r>
                            <w:r w:rsidR="00F54CE8" w:rsidRPr="00F54CE8">
                              <w:rPr>
                                <w:rStyle w:val="ui-provider"/>
                                <w:rFonts w:ascii="Arial" w:hAnsi="Arial" w:cs="Arial"/>
                                <w:color w:val="FFFFFF" w:themeColor="background1"/>
                                <w:sz w:val="24"/>
                                <w:szCs w:val="24"/>
                              </w:rPr>
                              <w:t xml:space="preserve">Asian, Black, Mixed and </w:t>
                            </w:r>
                            <w:r w:rsidR="00BB76C9">
                              <w:rPr>
                                <w:rStyle w:val="ui-provider"/>
                                <w:rFonts w:ascii="Arial" w:hAnsi="Arial" w:cs="Arial"/>
                                <w:color w:val="FFFFFF" w:themeColor="background1"/>
                                <w:sz w:val="24"/>
                                <w:szCs w:val="24"/>
                              </w:rPr>
                              <w:t>‘</w:t>
                            </w:r>
                            <w:r w:rsidR="00F54CE8" w:rsidRPr="00F54CE8">
                              <w:rPr>
                                <w:rStyle w:val="ui-provider"/>
                                <w:rFonts w:ascii="Arial" w:hAnsi="Arial" w:cs="Arial"/>
                                <w:color w:val="FFFFFF" w:themeColor="background1"/>
                                <w:sz w:val="24"/>
                                <w:szCs w:val="24"/>
                              </w:rPr>
                              <w:t>Other</w:t>
                            </w:r>
                            <w:r w:rsidR="00BB76C9">
                              <w:rPr>
                                <w:rStyle w:val="ui-provider"/>
                                <w:rFonts w:ascii="Arial" w:hAnsi="Arial" w:cs="Arial"/>
                                <w:color w:val="FFFFFF" w:themeColor="background1"/>
                                <w:sz w:val="24"/>
                                <w:szCs w:val="24"/>
                              </w:rPr>
                              <w:t>’</w:t>
                            </w:r>
                            <w:r w:rsidR="00F54CE8" w:rsidRPr="00F54CE8">
                              <w:rPr>
                                <w:rStyle w:val="ui-provider"/>
                                <w:rFonts w:ascii="Arial" w:hAnsi="Arial" w:cs="Arial"/>
                                <w:color w:val="FFFFFF" w:themeColor="background1"/>
                                <w:sz w:val="24"/>
                                <w:szCs w:val="24"/>
                              </w:rPr>
                              <w:t xml:space="preserve"> populations</w:t>
                            </w:r>
                            <w:r w:rsidR="00F54CE8">
                              <w:rPr>
                                <w:rStyle w:val="ui-provider"/>
                                <w:rFonts w:ascii="Arial" w:hAnsi="Arial" w:cs="Arial"/>
                                <w:color w:val="FFFFFF" w:themeColor="background1"/>
                                <w:sz w:val="24"/>
                                <w:szCs w:val="24"/>
                              </w:rPr>
                              <w:t>)</w:t>
                            </w:r>
                            <w:r w:rsidR="00BC51A1" w:rsidRPr="00BC51A1">
                              <w:rPr>
                                <w:rStyle w:val="ui-provider"/>
                                <w:rFonts w:ascii="Arial" w:hAnsi="Arial" w:cs="Arial"/>
                                <w:color w:val="FFFFFF" w:themeColor="background1"/>
                                <w:sz w:val="24"/>
                                <w:szCs w:val="24"/>
                              </w:rPr>
                              <w:t>, we have used the term 'ethnic minority'</w:t>
                            </w:r>
                            <w:r w:rsidR="00F54CE8">
                              <w:rPr>
                                <w:rStyle w:val="ui-provide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However, we recognise that people may not see themselves as minorities, and that ethnic minority residents represent the majority group in some Greater Manchester districts, with a population that is larger than White British residents.</w:t>
                            </w:r>
                            <w:r w:rsidR="00BC51A1">
                              <w:rPr>
                                <w:rStyle w:val="ui-provide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It is also important to acknowledge the negative consequences of aggregating data for specific ethnicities together into broader groupings, as there are significant differences both between and within these groups. Whilst doing so is often necessary due to small numbers, and can be useful in assisting understanding of broad trends in the data, we recognise that it can result in the loss of detailed insight into specific ethnic groups.</w:t>
                            </w:r>
                          </w:p>
                        </w:txbxContent>
                      </wps:txbx>
                      <wps:bodyPr rot="0" vert="horz" wrap="square" lIns="216000" tIns="180000" rIns="216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78051" id="_x0000_t202" coordsize="21600,21600" o:spt="202" path="m,l,21600r21600,l21600,xe">
                <v:stroke joinstyle="miter"/>
                <v:path gradientshapeok="t" o:connecttype="rect"/>
              </v:shapetype>
              <v:shape id="Text Box 1" o:spid="_x0000_s1026" type="#_x0000_t202" alt="&quot;&quot;" style="position:absolute;margin-left:9.95pt;margin-top:0;width:503.2pt;height:404.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" fillcolor="#2c5060" strokecolor="#2c5060 [3204]" strokeweight="1.5pt">
                <v:textbox inset="6mm,5mm,6mm,2mm">
                  <w:txbxContent>
                    <w:p w14:paraId="534CC786" w14:textId="726220BB" w:rsidR="00786AB1" w:rsidRPr="001C7150" w:rsidRDefault="00786AB1" w:rsidP="00BC51A1">
                      <w:pPr>
                        <w:spacing w:after="120"/>
                        <w:rPr>
                          <w:rFonts w:ascii="Arial" w:hAnsi="Arial" w:cs="Arial"/>
                          <w:color w:val="FFFFFF" w:themeColor="background1"/>
                          <w:sz w:val="24"/>
                          <w:szCs w:val="24"/>
                        </w:rPr>
                      </w:pPr>
                      <w:r w:rsidRPr="001C7150">
                        <w:rPr>
                          <w:rFonts w:ascii="Arial" w:hAnsi="Arial" w:cs="Arial"/>
                          <w:b/>
                          <w:color w:val="FFFFFF" w:themeColor="background1"/>
                          <w:sz w:val="24"/>
                          <w:szCs w:val="24"/>
                        </w:rPr>
                        <w:t>Dataset:</w:t>
                      </w:r>
                      <w:r w:rsidRPr="001C7150">
                        <w:rPr>
                          <w:rFonts w:ascii="Arial" w:hAnsi="Arial" w:cs="Arial"/>
                          <w:color w:val="FFFFFF" w:themeColor="background1"/>
                          <w:sz w:val="24"/>
                          <w:szCs w:val="24"/>
                        </w:rPr>
                        <w:t xml:space="preserve"> Total population</w:t>
                      </w:r>
                    </w:p>
                    <w:p w14:paraId="438F3B78" w14:textId="158125E8" w:rsidR="00786AB1" w:rsidRPr="001C7150" w:rsidRDefault="00786AB1" w:rsidP="00BC51A1">
                      <w:pPr>
                        <w:spacing w:after="120"/>
                        <w:rPr>
                          <w:rFonts w:ascii="Arial" w:hAnsi="Arial" w:cs="Arial"/>
                          <w:color w:val="FFFFFF" w:themeColor="background1"/>
                          <w:sz w:val="24"/>
                          <w:szCs w:val="24"/>
                        </w:rPr>
                      </w:pPr>
                      <w:r w:rsidRPr="001C7150">
                        <w:rPr>
                          <w:rFonts w:ascii="Arial" w:hAnsi="Arial" w:cs="Arial"/>
                          <w:b/>
                          <w:bCs/>
                          <w:color w:val="FFFFFF" w:themeColor="background1"/>
                          <w:sz w:val="24"/>
                          <w:szCs w:val="24"/>
                        </w:rPr>
                        <w:t>Datalink</w:t>
                      </w:r>
                      <w:r w:rsidRPr="001C7150">
                        <w:rPr>
                          <w:rFonts w:ascii="Arial" w:hAnsi="Arial" w:cs="Arial"/>
                          <w:color w:val="FFFFFF" w:themeColor="background1"/>
                          <w:sz w:val="24"/>
                          <w:szCs w:val="24"/>
                        </w:rPr>
                        <w:t xml:space="preserve">: The data used in this briefing can be found at </w:t>
                      </w:r>
                      <w:hyperlink r:id="rId16" w:history="1">
                        <w:r w:rsidRPr="001C7150">
                          <w:rPr>
                            <w:rFonts w:ascii="Arial" w:hAnsi="Arial" w:cs="Arial"/>
                            <w:color w:val="FFFFFF" w:themeColor="background1"/>
                            <w:sz w:val="24"/>
                            <w:szCs w:val="24"/>
                            <w:u w:val="single"/>
                          </w:rPr>
                          <w:t>Age by single year - Office for National Statistics (ons.gov.uk)</w:t>
                        </w:r>
                      </w:hyperlink>
                      <w:r w:rsidR="007B1163">
                        <w:rPr>
                          <w:rFonts w:ascii="Arial" w:hAnsi="Arial" w:cs="Arial"/>
                          <w:color w:val="FFFFFF" w:themeColor="background1"/>
                          <w:sz w:val="24"/>
                          <w:szCs w:val="24"/>
                        </w:rPr>
                        <w:t xml:space="preserve">. </w:t>
                      </w:r>
                      <w:r w:rsidRPr="001C7150">
                        <w:rPr>
                          <w:rFonts w:ascii="Arial" w:hAnsi="Arial" w:cs="Arial"/>
                          <w:color w:val="FFFFFF" w:themeColor="background1"/>
                          <w:sz w:val="24"/>
                          <w:szCs w:val="24"/>
                        </w:rPr>
                        <w:t xml:space="preserve">It can also be found at </w:t>
                      </w:r>
                      <w:hyperlink r:id="rId17" w:history="1">
                        <w:r w:rsidRPr="001C7150">
                          <w:rPr>
                            <w:rFonts w:ascii="Arial" w:hAnsi="Arial" w:cs="Arial"/>
                            <w:color w:val="FFFFFF" w:themeColor="background1"/>
                            <w:sz w:val="24"/>
                            <w:szCs w:val="24"/>
                            <w:u w:val="single"/>
                          </w:rPr>
                          <w:t>TS007 - Age by single year - Nomis - Official Census and Labour Market Statistics (nomisweb.co.uk)</w:t>
                        </w:r>
                      </w:hyperlink>
                    </w:p>
                    <w:p w14:paraId="5521A875" w14:textId="32D0C951" w:rsidR="00786AB1" w:rsidRPr="001C7150" w:rsidRDefault="00786AB1" w:rsidP="00BC51A1">
                      <w:pPr>
                        <w:spacing w:after="120"/>
                        <w:rPr>
                          <w:rFonts w:ascii="Arial" w:hAnsi="Arial" w:cs="Arial"/>
                          <w:color w:val="FFFFFF" w:themeColor="background1"/>
                          <w:sz w:val="24"/>
                          <w:szCs w:val="24"/>
                        </w:rPr>
                      </w:pPr>
                      <w:r w:rsidRPr="001C7150">
                        <w:rPr>
                          <w:rFonts w:ascii="Arial" w:hAnsi="Arial" w:cs="Arial"/>
                          <w:b/>
                          <w:color w:val="FFFFFF" w:themeColor="background1"/>
                          <w:sz w:val="24"/>
                          <w:szCs w:val="24"/>
                        </w:rPr>
                        <w:t>Definition:</w:t>
                      </w:r>
                      <w:r w:rsidR="00D822C4">
                        <w:rPr>
                          <w:rFonts w:ascii="Arial" w:hAnsi="Arial" w:cs="Arial"/>
                          <w:b/>
                          <w:color w:val="FFFFFF" w:themeColor="background1"/>
                          <w:sz w:val="24"/>
                          <w:szCs w:val="24"/>
                        </w:rPr>
                        <w:t xml:space="preserve"> </w:t>
                      </w:r>
                      <w:r w:rsidRPr="001C7150">
                        <w:rPr>
                          <w:rFonts w:ascii="Arial" w:hAnsi="Arial" w:cs="Arial"/>
                          <w:color w:val="FFFFFF" w:themeColor="background1"/>
                          <w:sz w:val="24"/>
                          <w:szCs w:val="24"/>
                        </w:rPr>
                        <w:t>Population of usual residents</w:t>
                      </w:r>
                      <w:r w:rsidR="00D822C4">
                        <w:rPr>
                          <w:rFonts w:ascii="Arial" w:hAnsi="Arial" w:cs="Arial"/>
                          <w:color w:val="FFFFFF" w:themeColor="background1"/>
                          <w:sz w:val="24"/>
                          <w:szCs w:val="24"/>
                        </w:rPr>
                        <w:t xml:space="preserve"> –</w:t>
                      </w:r>
                      <w:r w:rsidRPr="001C7150">
                        <w:rPr>
                          <w:rFonts w:ascii="Arial" w:hAnsi="Arial" w:cs="Arial"/>
                          <w:color w:val="FFFFFF" w:themeColor="background1"/>
                          <w:sz w:val="24"/>
                          <w:szCs w:val="24"/>
                        </w:rPr>
                        <w:t xml:space="preserve"> a usual resident is anyone who on Census Day, 21 March 2021, was in the UK and had stayed or intended to stay in the UK for a period of 12 months or more</w:t>
                      </w:r>
                      <w:r w:rsidR="00D822C4">
                        <w:rPr>
                          <w:rFonts w:ascii="Arial" w:hAnsi="Arial" w:cs="Arial"/>
                          <w:color w:val="FFFFFF" w:themeColor="background1"/>
                          <w:sz w:val="24"/>
                          <w:szCs w:val="24"/>
                        </w:rPr>
                        <w:t xml:space="preserve">; </w:t>
                      </w:r>
                      <w:r w:rsidRPr="001C7150">
                        <w:rPr>
                          <w:rFonts w:ascii="Arial" w:hAnsi="Arial" w:cs="Arial"/>
                          <w:color w:val="FFFFFF" w:themeColor="background1"/>
                          <w:sz w:val="24"/>
                          <w:szCs w:val="24"/>
                        </w:rPr>
                        <w:t xml:space="preserve">or </w:t>
                      </w:r>
                      <w:r w:rsidR="00D822C4">
                        <w:rPr>
                          <w:rFonts w:ascii="Arial" w:hAnsi="Arial" w:cs="Arial"/>
                          <w:color w:val="FFFFFF" w:themeColor="background1"/>
                          <w:sz w:val="24"/>
                          <w:szCs w:val="24"/>
                        </w:rPr>
                        <w:t xml:space="preserve">anyone who </w:t>
                      </w:r>
                      <w:r w:rsidRPr="001C7150">
                        <w:rPr>
                          <w:rFonts w:ascii="Arial" w:hAnsi="Arial" w:cs="Arial"/>
                          <w:color w:val="FFFFFF" w:themeColor="background1"/>
                          <w:sz w:val="24"/>
                          <w:szCs w:val="24"/>
                        </w:rPr>
                        <w:t>had a permanent UK address and was outside the UK and intended to be outside the UK for less than 12 months.</w:t>
                      </w:r>
                    </w:p>
                    <w:p w14:paraId="7FDCA6DF" w14:textId="7A3371F9" w:rsidR="00786AB1" w:rsidRDefault="00786AB1" w:rsidP="00BC51A1">
                      <w:pPr>
                        <w:spacing w:after="120"/>
                        <w:rPr>
                          <w:rFonts w:ascii="Arial" w:hAnsi="Arial" w:cs="Arial"/>
                          <w:color w:val="FFFFFF" w:themeColor="background1"/>
                          <w:sz w:val="24"/>
                          <w:szCs w:val="24"/>
                        </w:rPr>
                      </w:pPr>
                      <w:r w:rsidRPr="001C7150">
                        <w:rPr>
                          <w:rFonts w:ascii="Arial" w:hAnsi="Arial" w:cs="Arial"/>
                          <w:b/>
                          <w:bCs/>
                          <w:color w:val="FFFFFF" w:themeColor="background1"/>
                          <w:sz w:val="24"/>
                          <w:szCs w:val="24"/>
                        </w:rPr>
                        <w:t>Census Day</w:t>
                      </w:r>
                      <w:r w:rsidRPr="001C7150">
                        <w:rPr>
                          <w:rFonts w:ascii="Arial" w:hAnsi="Arial" w:cs="Arial"/>
                          <w:color w:val="FFFFFF" w:themeColor="background1"/>
                          <w:sz w:val="24"/>
                          <w:szCs w:val="24"/>
                        </w:rPr>
                        <w:t>: The 2021 Census was held in England and Wales on 21 March 2021. Census 2021 was undertaken during the COVID-19 pandemic so may not show normal population and household patterns due to temporary changes in living circumstances during the pandemic for some households.</w:t>
                      </w:r>
                    </w:p>
                    <w:p w14:paraId="21965534" w14:textId="789786EE" w:rsidR="00BC51A1" w:rsidRDefault="009F54C9" w:rsidP="00BC51A1">
                      <w:pPr>
                        <w:spacing w:after="120"/>
                        <w:rPr>
                          <w:rFonts w:ascii="Arial" w:hAnsi="Arial" w:cs="Arial"/>
                          <w:color w:val="FFFFFF" w:themeColor="background1"/>
                          <w:sz w:val="24"/>
                          <w:szCs w:val="24"/>
                        </w:rPr>
                      </w:pPr>
                      <w:r w:rsidRPr="00F201E8">
                        <w:rPr>
                          <w:rFonts w:ascii="Arial" w:hAnsi="Arial" w:cs="Arial"/>
                          <w:b/>
                          <w:bCs/>
                          <w:color w:val="FFFFFF" w:themeColor="background1"/>
                          <w:sz w:val="24"/>
                          <w:szCs w:val="24"/>
                        </w:rPr>
                        <w:t>Ethnicity</w:t>
                      </w:r>
                      <w:r w:rsidRPr="00F201E8">
                        <w:rPr>
                          <w:rFonts w:ascii="Arial" w:hAnsi="Arial" w:cs="Arial"/>
                          <w:color w:val="FFFFFF" w:themeColor="background1"/>
                          <w:sz w:val="24"/>
                          <w:szCs w:val="24"/>
                        </w:rPr>
                        <w:t>:</w:t>
                      </w:r>
                      <w:r w:rsidR="00BC51A1">
                        <w:rP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In this briefing, we have followed the terminology used in the Census, in line with the government’s</w:t>
                      </w:r>
                      <w:r w:rsidR="001B7289">
                        <w:rPr>
                          <w:rStyle w:val="ui-provider"/>
                          <w:rFonts w:ascii="Arial" w:hAnsi="Arial" w:cs="Arial"/>
                          <w:color w:val="FFFFFF" w:themeColor="background1"/>
                          <w:sz w:val="24"/>
                          <w:szCs w:val="24"/>
                        </w:rPr>
                        <w:t xml:space="preserve"> </w:t>
                      </w:r>
                      <w:hyperlink r:id="rId18" w:tgtFrame="_blank" w:tooltip="https://www.ethnicity-facts-figures.service.gov.uk/style-guide/writing-about-ethnicity" w:history="1">
                        <w:r w:rsidR="00BC51A1" w:rsidRPr="00BC51A1">
                          <w:rPr>
                            <w:rStyle w:val="Hyperlink"/>
                            <w:rFonts w:cs="Arial"/>
                            <w:b w:val="0"/>
                            <w:bCs/>
                            <w:color w:val="FFFFFF" w:themeColor="background1"/>
                            <w:sz w:val="24"/>
                            <w:szCs w:val="24"/>
                          </w:rPr>
                          <w:t>Writing about Ethnicity</w:t>
                        </w:r>
                      </w:hyperlink>
                      <w:r w:rsidR="00BC51A1" w:rsidRPr="00BC51A1">
                        <w:rPr>
                          <w:rStyle w:val="ui-provider"/>
                          <w:rFonts w:ascii="Arial" w:hAnsi="Arial" w:cs="Arial"/>
                          <w:b/>
                          <w:bCs/>
                          <w:color w:val="FFFFFF" w:themeColor="background1"/>
                          <w:sz w:val="24"/>
                          <w:szCs w:val="24"/>
                        </w:rPr>
                        <w:t xml:space="preserve"> </w:t>
                      </w:r>
                      <w:r w:rsidR="00BC51A1" w:rsidRPr="00BC51A1">
                        <w:rPr>
                          <w:rStyle w:val="ui-provider"/>
                          <w:rFonts w:ascii="Arial" w:hAnsi="Arial" w:cs="Arial"/>
                          <w:color w:val="FFFFFF" w:themeColor="background1"/>
                          <w:sz w:val="24"/>
                          <w:szCs w:val="24"/>
                        </w:rPr>
                        <w:t>guidance and</w:t>
                      </w:r>
                      <w:r w:rsidR="00BC51A1" w:rsidRPr="00BC51A1">
                        <w:rPr>
                          <w:rStyle w:val="ui-provider"/>
                          <w:rFonts w:ascii="Arial" w:hAnsi="Arial" w:cs="Arial"/>
                          <w:b/>
                          <w:bCs/>
                          <w:color w:val="FFFFFF" w:themeColor="background1"/>
                          <w:sz w:val="24"/>
                          <w:szCs w:val="24"/>
                        </w:rPr>
                        <w:t xml:space="preserve"> </w:t>
                      </w:r>
                      <w:hyperlink r:id="rId19" w:anchor="ethnic-minorities" w:tgtFrame="_blank" w:tooltip="https://www.gov.uk/guidance/style-guide/a-to-z-of-gov-uk-style#ethnic-minorities" w:history="1">
                        <w:r w:rsidR="00BC51A1" w:rsidRPr="00BC51A1">
                          <w:rPr>
                            <w:rStyle w:val="Hyperlink"/>
                            <w:rFonts w:cs="Arial"/>
                            <w:b w:val="0"/>
                            <w:bCs/>
                            <w:color w:val="FFFFFF" w:themeColor="background1"/>
                            <w:sz w:val="24"/>
                            <w:szCs w:val="24"/>
                          </w:rPr>
                          <w:t>Style Guide</w:t>
                        </w:r>
                      </w:hyperlink>
                      <w:r w:rsidR="00BC51A1" w:rsidRPr="00BC51A1">
                        <w:rPr>
                          <w:rStyle w:val="ui-provider"/>
                          <w:rFonts w:ascii="Arial" w:hAnsi="Arial" w:cs="Arial"/>
                          <w:color w:val="FFFFFF" w:themeColor="background1"/>
                          <w:sz w:val="24"/>
                          <w:szCs w:val="24"/>
                        </w:rPr>
                        <w:t>.</w:t>
                      </w:r>
                      <w:r w:rsidR="00BC51A1">
                        <w:rPr>
                          <w:rStyle w:val="ui-provide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Where we have reported aggregated data that group different ethnicities together</w:t>
                      </w:r>
                      <w:r w:rsidR="00F54CE8">
                        <w:rPr>
                          <w:rStyle w:val="ui-provider"/>
                          <w:rFonts w:ascii="Arial" w:hAnsi="Arial" w:cs="Arial"/>
                          <w:color w:val="FFFFFF" w:themeColor="background1"/>
                          <w:sz w:val="24"/>
                          <w:szCs w:val="24"/>
                        </w:rPr>
                        <w:t xml:space="preserve"> (</w:t>
                      </w:r>
                      <w:r w:rsidR="00F54CE8" w:rsidRPr="00F54CE8">
                        <w:rPr>
                          <w:rStyle w:val="ui-provider"/>
                          <w:rFonts w:ascii="Arial" w:hAnsi="Arial" w:cs="Arial"/>
                          <w:color w:val="FFFFFF" w:themeColor="background1"/>
                          <w:sz w:val="24"/>
                          <w:szCs w:val="24"/>
                        </w:rPr>
                        <w:t xml:space="preserve">Asian, Black, Mixed and </w:t>
                      </w:r>
                      <w:r w:rsidR="00BB76C9">
                        <w:rPr>
                          <w:rStyle w:val="ui-provider"/>
                          <w:rFonts w:ascii="Arial" w:hAnsi="Arial" w:cs="Arial"/>
                          <w:color w:val="FFFFFF" w:themeColor="background1"/>
                          <w:sz w:val="24"/>
                          <w:szCs w:val="24"/>
                        </w:rPr>
                        <w:t>‘</w:t>
                      </w:r>
                      <w:r w:rsidR="00F54CE8" w:rsidRPr="00F54CE8">
                        <w:rPr>
                          <w:rStyle w:val="ui-provider"/>
                          <w:rFonts w:ascii="Arial" w:hAnsi="Arial" w:cs="Arial"/>
                          <w:color w:val="FFFFFF" w:themeColor="background1"/>
                          <w:sz w:val="24"/>
                          <w:szCs w:val="24"/>
                        </w:rPr>
                        <w:t>Other</w:t>
                      </w:r>
                      <w:r w:rsidR="00BB76C9">
                        <w:rPr>
                          <w:rStyle w:val="ui-provider"/>
                          <w:rFonts w:ascii="Arial" w:hAnsi="Arial" w:cs="Arial"/>
                          <w:color w:val="FFFFFF" w:themeColor="background1"/>
                          <w:sz w:val="24"/>
                          <w:szCs w:val="24"/>
                        </w:rPr>
                        <w:t>’</w:t>
                      </w:r>
                      <w:r w:rsidR="00F54CE8" w:rsidRPr="00F54CE8">
                        <w:rPr>
                          <w:rStyle w:val="ui-provider"/>
                          <w:rFonts w:ascii="Arial" w:hAnsi="Arial" w:cs="Arial"/>
                          <w:color w:val="FFFFFF" w:themeColor="background1"/>
                          <w:sz w:val="24"/>
                          <w:szCs w:val="24"/>
                        </w:rPr>
                        <w:t xml:space="preserve"> populations</w:t>
                      </w:r>
                      <w:r w:rsidR="00F54CE8">
                        <w:rPr>
                          <w:rStyle w:val="ui-provider"/>
                          <w:rFonts w:ascii="Arial" w:hAnsi="Arial" w:cs="Arial"/>
                          <w:color w:val="FFFFFF" w:themeColor="background1"/>
                          <w:sz w:val="24"/>
                          <w:szCs w:val="24"/>
                        </w:rPr>
                        <w:t>)</w:t>
                      </w:r>
                      <w:r w:rsidR="00BC51A1" w:rsidRPr="00BC51A1">
                        <w:rPr>
                          <w:rStyle w:val="ui-provider"/>
                          <w:rFonts w:ascii="Arial" w:hAnsi="Arial" w:cs="Arial"/>
                          <w:color w:val="FFFFFF" w:themeColor="background1"/>
                          <w:sz w:val="24"/>
                          <w:szCs w:val="24"/>
                        </w:rPr>
                        <w:t>, we have used the term 'ethnic minority'</w:t>
                      </w:r>
                      <w:r w:rsidR="00F54CE8">
                        <w:rPr>
                          <w:rStyle w:val="ui-provide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However, we recognise that people may not see themselves as minorities, and that ethnic minority residents represent the majority group in some Greater Manchester districts, with a population that is larger than White British residents.</w:t>
                      </w:r>
                      <w:r w:rsidR="00BC51A1">
                        <w:rPr>
                          <w:rStyle w:val="ui-provider"/>
                          <w:rFonts w:ascii="Arial" w:hAnsi="Arial" w:cs="Arial"/>
                          <w:color w:val="FFFFFF" w:themeColor="background1"/>
                          <w:sz w:val="24"/>
                          <w:szCs w:val="24"/>
                        </w:rPr>
                        <w:t xml:space="preserve"> </w:t>
                      </w:r>
                      <w:r w:rsidR="00BC51A1" w:rsidRPr="00BC51A1">
                        <w:rPr>
                          <w:rStyle w:val="ui-provider"/>
                          <w:rFonts w:ascii="Arial" w:hAnsi="Arial" w:cs="Arial"/>
                          <w:color w:val="FFFFFF" w:themeColor="background1"/>
                          <w:sz w:val="24"/>
                          <w:szCs w:val="24"/>
                        </w:rPr>
                        <w:t>It is also important to acknowledge the negative consequences of aggregating data for specific ethnicities together into broader groupings, as there are significant differences both between and within these groups. Whilst doing so is often necessary due to small numbers, and can be useful in assisting understanding of broad trends in the data, we recognise that it can result in the loss of detailed insight into specific ethnic groups.</w:t>
                      </w:r>
                    </w:p>
                  </w:txbxContent>
                </v:textbox>
                <w10:wrap type="tight" anchorx="margin"/>
              </v:shape>
            </w:pict>
          </mc:Fallback>
        </mc:AlternateContent>
      </w:r>
    </w:p>
    <w:p w14:paraId="7868B1C5" w14:textId="77777777" w:rsidR="007B50FA" w:rsidRDefault="000D108F" w:rsidP="004F08C5">
      <w:pPr>
        <w:pStyle w:val="Heading2"/>
      </w:pPr>
      <w:r w:rsidRPr="007B50FA">
        <w:t>Key points</w:t>
      </w:r>
    </w:p>
    <w:p w14:paraId="4352680A" w14:textId="129EE084" w:rsidR="00464951" w:rsidRPr="008327B2" w:rsidRDefault="00464951" w:rsidP="00BC51A1">
      <w:pPr>
        <w:pStyle w:val="ListParagraph"/>
      </w:pPr>
      <w:r w:rsidRPr="00C91354">
        <w:t>Greater Manchester</w:t>
      </w:r>
      <w:r w:rsidR="00C667F3">
        <w:t>’s resident population was</w:t>
      </w:r>
      <w:r w:rsidRPr="00C91354">
        <w:t xml:space="preserve"> 2,867,769</w:t>
      </w:r>
      <w:r w:rsidR="00C667F3">
        <w:t xml:space="preserve"> in 2021</w:t>
      </w:r>
      <w:r w:rsidR="00D822C4">
        <w:t>, representing</w:t>
      </w:r>
      <w:r w:rsidRPr="00C91354">
        <w:t xml:space="preserve"> an increase of 185,</w:t>
      </w:r>
      <w:r w:rsidR="00BF47B6">
        <w:t>241</w:t>
      </w:r>
      <w:r w:rsidRPr="00C91354">
        <w:t xml:space="preserve"> </w:t>
      </w:r>
      <w:r>
        <w:t>(</w:t>
      </w:r>
      <w:r w:rsidR="00F201E8">
        <w:t xml:space="preserve">up </w:t>
      </w:r>
      <w:r>
        <w:t xml:space="preserve">6.9%) </w:t>
      </w:r>
      <w:r w:rsidR="00BB76C9">
        <w:t>compared to</w:t>
      </w:r>
      <w:r w:rsidRPr="00C91354">
        <w:t xml:space="preserve"> the 2011 Census estimate. The </w:t>
      </w:r>
      <w:r w:rsidR="00CF05B6">
        <w:t xml:space="preserve">population of </w:t>
      </w:r>
      <w:r>
        <w:t xml:space="preserve">England </w:t>
      </w:r>
      <w:r w:rsidR="005E3BAE">
        <w:t xml:space="preserve">(56,490,047) </w:t>
      </w:r>
      <w:r w:rsidR="00D822C4">
        <w:t xml:space="preserve">grew by a </w:t>
      </w:r>
      <w:r w:rsidR="00EF6671">
        <w:t>slightly smaller</w:t>
      </w:r>
      <w:r w:rsidR="00D822C4">
        <w:t xml:space="preserve"> proportion</w:t>
      </w:r>
      <w:r w:rsidR="00CF05B6">
        <w:t xml:space="preserve"> </w:t>
      </w:r>
      <w:r w:rsidR="00D822C4">
        <w:t>(</w:t>
      </w:r>
      <w:r w:rsidR="00F201E8">
        <w:t xml:space="preserve">up </w:t>
      </w:r>
      <w:r w:rsidRPr="00C91354">
        <w:t>6.6%</w:t>
      </w:r>
      <w:r w:rsidR="00D822C4">
        <w:t>)</w:t>
      </w:r>
      <w:r w:rsidRPr="00C91354">
        <w:t>.</w:t>
      </w:r>
    </w:p>
    <w:p w14:paraId="75EF3064" w14:textId="745629EB" w:rsidR="009A4785" w:rsidRPr="008327B2" w:rsidRDefault="00A038F6" w:rsidP="00BC51A1">
      <w:pPr>
        <w:pStyle w:val="ListParagraph"/>
        <w:rPr>
          <w:bCs/>
        </w:rPr>
      </w:pPr>
      <w:r>
        <w:t xml:space="preserve">Manchester’s population </w:t>
      </w:r>
      <w:r w:rsidR="009A4785">
        <w:t>increase</w:t>
      </w:r>
      <w:r>
        <w:t>d</w:t>
      </w:r>
      <w:r w:rsidR="009A4785">
        <w:t xml:space="preserve"> </w:t>
      </w:r>
      <w:r>
        <w:t>by 48,811 since 2011</w:t>
      </w:r>
      <w:r w:rsidR="007B1163">
        <w:t>,</w:t>
      </w:r>
      <w:r>
        <w:t xml:space="preserve"> and o</w:t>
      </w:r>
      <w:r w:rsidR="009A4785">
        <w:t xml:space="preserve">ver the last three decades (1991 to 2021) has grown faster </w:t>
      </w:r>
      <w:r w:rsidR="009A4785" w:rsidRPr="001C7150">
        <w:t xml:space="preserve">than other </w:t>
      </w:r>
      <w:r w:rsidR="009A4785">
        <w:t>major</w:t>
      </w:r>
      <w:r w:rsidR="009A4785" w:rsidRPr="001C7150">
        <w:t xml:space="preserve"> </w:t>
      </w:r>
      <w:r w:rsidR="009A4785">
        <w:t>English cities (36.3%)</w:t>
      </w:r>
      <w:r w:rsidR="009A4785" w:rsidRPr="001C7150">
        <w:t>.</w:t>
      </w:r>
      <w:r w:rsidR="009A4785">
        <w:t xml:space="preserve"> </w:t>
      </w:r>
      <w:r>
        <w:t xml:space="preserve">Salford’s </w:t>
      </w:r>
      <w:r w:rsidR="009A4785" w:rsidRPr="001C7150">
        <w:t xml:space="preserve">population </w:t>
      </w:r>
      <w:r w:rsidR="009A4785">
        <w:t>grew by</w:t>
      </w:r>
      <w:r w:rsidR="009A4785" w:rsidRPr="001C7150">
        <w:t xml:space="preserve"> 15.4%</w:t>
      </w:r>
      <w:r w:rsidR="009A4785">
        <w:t xml:space="preserve"> between</w:t>
      </w:r>
      <w:r w:rsidR="009A4785" w:rsidRPr="001C7150">
        <w:t xml:space="preserve"> 2011 </w:t>
      </w:r>
      <w:r w:rsidR="009A4785">
        <w:t>and 2021, the highest growth rate in the north of England</w:t>
      </w:r>
      <w:r w:rsidR="00FF4411">
        <w:t xml:space="preserve"> over the period</w:t>
      </w:r>
      <w:r w:rsidR="009A4785">
        <w:t>.</w:t>
      </w:r>
    </w:p>
    <w:p w14:paraId="3F1EF23D" w14:textId="6C1DA0D7" w:rsidR="00563042" w:rsidRPr="008327B2" w:rsidRDefault="00C667F3" w:rsidP="00BC51A1">
      <w:pPr>
        <w:pStyle w:val="ListParagraph"/>
        <w:rPr>
          <w:bCs/>
        </w:rPr>
      </w:pPr>
      <w:r>
        <w:t>C</w:t>
      </w:r>
      <w:r w:rsidR="00563042">
        <w:t xml:space="preserve">hildren </w:t>
      </w:r>
      <w:r w:rsidR="00EF0CB8" w:rsidRPr="00464951">
        <w:t xml:space="preserve">aged 0-15 </w:t>
      </w:r>
      <w:r w:rsidR="00563042">
        <w:t>and residents aged 66 and over</w:t>
      </w:r>
      <w:r>
        <w:t xml:space="preserve"> </w:t>
      </w:r>
      <w:r w:rsidR="00A038F6">
        <w:t>have become a larger proportion of the Greater Manchester population</w:t>
      </w:r>
      <w:r w:rsidR="007B1163">
        <w:t>,</w:t>
      </w:r>
      <w:r w:rsidR="00A038F6">
        <w:t xml:space="preserve"> whereas </w:t>
      </w:r>
      <w:r w:rsidR="00563042">
        <w:t xml:space="preserve">the working-age population </w:t>
      </w:r>
      <w:r w:rsidR="00414249">
        <w:t xml:space="preserve">(aged 16-65) </w:t>
      </w:r>
      <w:r w:rsidR="00563042">
        <w:t xml:space="preserve">share </w:t>
      </w:r>
      <w:r w:rsidR="00A038F6">
        <w:t xml:space="preserve">has </w:t>
      </w:r>
      <w:r w:rsidR="00563042">
        <w:t>decreas</w:t>
      </w:r>
      <w:r w:rsidR="00A038F6">
        <w:t>ed</w:t>
      </w:r>
      <w:r w:rsidR="00563042">
        <w:t xml:space="preserve">. </w:t>
      </w:r>
      <w:r>
        <w:t>T</w:t>
      </w:r>
      <w:r w:rsidR="00563042">
        <w:t xml:space="preserve">here were different </w:t>
      </w:r>
      <w:r w:rsidR="00414249">
        <w:t>trends of change</w:t>
      </w:r>
      <w:r w:rsidR="00563042">
        <w:t xml:space="preserve"> across </w:t>
      </w:r>
      <w:r w:rsidR="007B1163">
        <w:t xml:space="preserve">the </w:t>
      </w:r>
      <w:r w:rsidR="00563042">
        <w:t>Greater Manchester</w:t>
      </w:r>
      <w:r w:rsidR="007B1163">
        <w:t xml:space="preserve"> districts</w:t>
      </w:r>
      <w:r w:rsidR="00563042">
        <w:t>, with Manchester</w:t>
      </w:r>
      <w:r w:rsidR="00292EE7">
        <w:t>, Oldham</w:t>
      </w:r>
      <w:r w:rsidR="00563042">
        <w:t xml:space="preserve"> and Salford having younger </w:t>
      </w:r>
      <w:r w:rsidR="00414249">
        <w:t>age profiles</w:t>
      </w:r>
      <w:r w:rsidR="00563042">
        <w:t>.</w:t>
      </w:r>
    </w:p>
    <w:p w14:paraId="5A174089" w14:textId="733C15A5" w:rsidR="00843555" w:rsidRPr="008327B2" w:rsidRDefault="00FF4411" w:rsidP="00BC51A1">
      <w:pPr>
        <w:pStyle w:val="ListParagraph"/>
      </w:pPr>
      <w:r>
        <w:t xml:space="preserve">Residents from </w:t>
      </w:r>
      <w:r w:rsidR="00E44E67">
        <w:t xml:space="preserve">Asian, Black, Mixed and </w:t>
      </w:r>
      <w:r w:rsidR="00965C3D">
        <w:t>‘</w:t>
      </w:r>
      <w:r w:rsidR="00E44E67">
        <w:t>Other</w:t>
      </w:r>
      <w:r w:rsidR="00965C3D">
        <w:t>’</w:t>
      </w:r>
      <w:r w:rsidR="00E44E67">
        <w:t xml:space="preserve"> populations </w:t>
      </w:r>
      <w:r w:rsidR="00571CDA" w:rsidRPr="00970483">
        <w:t xml:space="preserve">accounted for 28.7% </w:t>
      </w:r>
      <w:r w:rsidR="00EF0CB8" w:rsidRPr="00970483">
        <w:t>of the Greater Manchester population in 2021</w:t>
      </w:r>
      <w:r w:rsidR="00354699" w:rsidRPr="00970483">
        <w:t xml:space="preserve">, </w:t>
      </w:r>
      <w:r w:rsidR="00F201E8">
        <w:t>an increase compared to t</w:t>
      </w:r>
      <w:r w:rsidR="00EF0CB8" w:rsidRPr="00970483">
        <w:t>he 20.2% share in 2011</w:t>
      </w:r>
      <w:r w:rsidR="00F201E8">
        <w:t xml:space="preserve">, and making </w:t>
      </w:r>
      <w:r w:rsidR="00775B78" w:rsidRPr="00970483">
        <w:t>Greater Manchester slightly more ethnically diverse than England</w:t>
      </w:r>
      <w:r w:rsidR="00F201E8">
        <w:t xml:space="preserve"> as a whole</w:t>
      </w:r>
      <w:r w:rsidR="00775B78" w:rsidRPr="00970483">
        <w:t xml:space="preserve">. </w:t>
      </w:r>
      <w:r w:rsidR="00C667F3" w:rsidRPr="00970483">
        <w:t>T</w:t>
      </w:r>
      <w:r w:rsidR="00292EE7" w:rsidRPr="00970483">
        <w:t xml:space="preserve">hree quarters of the </w:t>
      </w:r>
      <w:r>
        <w:t xml:space="preserve">Greater Manchester </w:t>
      </w:r>
      <w:r w:rsidR="00292EE7" w:rsidRPr="00970483">
        <w:t xml:space="preserve">increase was driven by </w:t>
      </w:r>
      <w:r w:rsidR="00BC51A1">
        <w:t xml:space="preserve">people born </w:t>
      </w:r>
      <w:r w:rsidR="00292EE7" w:rsidRPr="00970483">
        <w:t>outside of the UK</w:t>
      </w:r>
      <w:r w:rsidR="00A60839">
        <w:t xml:space="preserve"> </w:t>
      </w:r>
      <w:r w:rsidR="00BC51A1">
        <w:t>who arrived here over</w:t>
      </w:r>
      <w:r w:rsidR="00A60839">
        <w:t xml:space="preserve"> the last ten years</w:t>
      </w:r>
      <w:r w:rsidR="00292EE7" w:rsidRPr="00970483">
        <w:t>, with natural change due to births exceeding deaths accounting for the remainder.</w:t>
      </w:r>
    </w:p>
    <w:p w14:paraId="647B4A71" w14:textId="76A6840B" w:rsidR="000D108F" w:rsidRPr="004F08C5" w:rsidRDefault="003148C2" w:rsidP="004F08C5">
      <w:pPr>
        <w:pStyle w:val="Heading2"/>
      </w:pPr>
      <w:r w:rsidRPr="004F08C5">
        <w:lastRenderedPageBreak/>
        <w:t xml:space="preserve">Main </w:t>
      </w:r>
      <w:r w:rsidR="000D108F" w:rsidRPr="004F08C5">
        <w:t>Findings</w:t>
      </w:r>
    </w:p>
    <w:p w14:paraId="787E364F" w14:textId="0FDEE94C" w:rsidR="00FF4411" w:rsidRDefault="00760D00" w:rsidP="008327B2">
      <w:pPr>
        <w:rPr>
          <w:rFonts w:ascii="Arial" w:eastAsia="Times New Roman" w:hAnsi="Arial" w:cs="Arial"/>
          <w:color w:val="000000"/>
          <w:sz w:val="24"/>
          <w:szCs w:val="24"/>
          <w:lang w:eastAsia="en-GB"/>
        </w:rPr>
      </w:pPr>
      <w:r>
        <w:rPr>
          <w:rFonts w:ascii="Arial" w:eastAsia="Times New Roman" w:hAnsi="Arial" w:cs="Arial"/>
          <w:color w:val="000000" w:themeColor="text1"/>
          <w:sz w:val="24"/>
          <w:szCs w:val="24"/>
        </w:rPr>
        <w:t xml:space="preserve">In the 2021 Census, Greater Manchester had a population of </w:t>
      </w:r>
      <w:r w:rsidRPr="003C73C6">
        <w:rPr>
          <w:rFonts w:ascii="Arial" w:hAnsi="Arial" w:cs="Arial"/>
          <w:color w:val="000000" w:themeColor="text1"/>
          <w:sz w:val="24"/>
          <w:szCs w:val="24"/>
        </w:rPr>
        <w:t>2,867,769</w:t>
      </w:r>
      <w:r>
        <w:rPr>
          <w:rFonts w:ascii="Arial" w:hAnsi="Arial" w:cs="Arial"/>
          <w:color w:val="000000" w:themeColor="text1"/>
          <w:sz w:val="24"/>
          <w:szCs w:val="24"/>
        </w:rPr>
        <w:t xml:space="preserve">. </w:t>
      </w:r>
      <w:r w:rsidR="00F201E8">
        <w:rPr>
          <w:rFonts w:ascii="Arial" w:hAnsi="Arial" w:cs="Arial"/>
          <w:color w:val="000000" w:themeColor="text1"/>
          <w:sz w:val="24"/>
          <w:szCs w:val="24"/>
        </w:rPr>
        <w:t>T</w:t>
      </w:r>
      <w:r>
        <w:rPr>
          <w:rFonts w:ascii="Arial" w:eastAsia="Times New Roman" w:hAnsi="Arial" w:cs="Arial"/>
          <w:color w:val="000000" w:themeColor="text1"/>
          <w:sz w:val="24"/>
          <w:szCs w:val="24"/>
        </w:rPr>
        <w:t xml:space="preserve">he </w:t>
      </w:r>
      <w:r w:rsidR="00114EF1" w:rsidRPr="003C73C6">
        <w:rPr>
          <w:rFonts w:ascii="Arial" w:eastAsia="Times New Roman" w:hAnsi="Arial" w:cs="Arial"/>
          <w:color w:val="000000" w:themeColor="text1"/>
          <w:sz w:val="24"/>
          <w:szCs w:val="24"/>
        </w:rPr>
        <w:t xml:space="preserve">population </w:t>
      </w:r>
      <w:r>
        <w:rPr>
          <w:rFonts w:ascii="Arial" w:eastAsia="Times New Roman" w:hAnsi="Arial" w:cs="Arial"/>
          <w:color w:val="000000" w:themeColor="text1"/>
          <w:sz w:val="24"/>
          <w:szCs w:val="24"/>
        </w:rPr>
        <w:t xml:space="preserve">growth rate in Greater Manchester </w:t>
      </w:r>
      <w:r w:rsidR="00F201E8">
        <w:rPr>
          <w:rFonts w:ascii="Arial" w:eastAsia="Times New Roman" w:hAnsi="Arial" w:cs="Arial"/>
          <w:color w:val="000000" w:themeColor="text1"/>
          <w:sz w:val="24"/>
          <w:szCs w:val="24"/>
        </w:rPr>
        <w:t>between 2011 and 2021 was</w:t>
      </w:r>
      <w:r w:rsidR="00414249">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6.9%</w:t>
      </w:r>
      <w:r w:rsidR="00414249">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185,241</w:t>
      </w:r>
      <w:r w:rsidR="00414249">
        <w:rPr>
          <w:rFonts w:ascii="Arial" w:eastAsia="Times New Roman" w:hAnsi="Arial" w:cs="Arial"/>
          <w:color w:val="000000" w:themeColor="text1"/>
          <w:sz w:val="24"/>
          <w:szCs w:val="24"/>
        </w:rPr>
        <w:t xml:space="preserve"> more</w:t>
      </w:r>
      <w:r>
        <w:rPr>
          <w:rFonts w:ascii="Arial" w:eastAsia="Times New Roman" w:hAnsi="Arial" w:cs="Arial"/>
          <w:color w:val="000000" w:themeColor="text1"/>
          <w:sz w:val="24"/>
          <w:szCs w:val="24"/>
        </w:rPr>
        <w:t xml:space="preserve"> residents)</w:t>
      </w:r>
      <w:r w:rsidR="00F201E8">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higher</w:t>
      </w:r>
      <w:r w:rsidR="007A0847">
        <w:rPr>
          <w:rFonts w:ascii="Arial" w:eastAsia="Times New Roman" w:hAnsi="Arial" w:cs="Arial"/>
          <w:color w:val="000000" w:themeColor="text1"/>
          <w:sz w:val="24"/>
          <w:szCs w:val="24"/>
        </w:rPr>
        <w:t xml:space="preserve"> than </w:t>
      </w:r>
      <w:r w:rsidR="004F08C5">
        <w:rPr>
          <w:rFonts w:ascii="Arial" w:eastAsia="Times New Roman" w:hAnsi="Arial" w:cs="Arial"/>
          <w:color w:val="000000" w:themeColor="text1"/>
          <w:sz w:val="24"/>
          <w:szCs w:val="24"/>
        </w:rPr>
        <w:t xml:space="preserve">both </w:t>
      </w:r>
      <w:r w:rsidR="007A0847">
        <w:rPr>
          <w:rFonts w:ascii="Arial" w:eastAsia="Times New Roman" w:hAnsi="Arial" w:cs="Arial"/>
          <w:color w:val="000000" w:themeColor="text1"/>
          <w:sz w:val="24"/>
          <w:szCs w:val="24"/>
        </w:rPr>
        <w:t>England (6.6%) and the North West (5.2%)</w:t>
      </w:r>
      <w:r w:rsidR="003C73C6">
        <w:rPr>
          <w:rFonts w:ascii="Arial" w:hAnsi="Arial" w:cs="Arial"/>
          <w:color w:val="000000" w:themeColor="text1"/>
          <w:sz w:val="24"/>
          <w:szCs w:val="24"/>
        </w:rPr>
        <w:t>.</w:t>
      </w:r>
      <w:r w:rsidR="00114EF1" w:rsidRPr="003C73C6">
        <w:rPr>
          <w:rFonts w:ascii="Arial" w:eastAsia="Times New Roman" w:hAnsi="Arial" w:cs="Arial"/>
          <w:color w:val="000000" w:themeColor="text1"/>
          <w:sz w:val="24"/>
          <w:szCs w:val="24"/>
        </w:rPr>
        <w:t xml:space="preserve"> </w:t>
      </w:r>
      <w:r w:rsidR="003C73C6">
        <w:rPr>
          <w:rFonts w:ascii="Arial" w:eastAsia="Times New Roman" w:hAnsi="Arial" w:cs="Arial"/>
          <w:color w:val="000000" w:themeColor="text1"/>
          <w:sz w:val="24"/>
          <w:szCs w:val="24"/>
        </w:rPr>
        <w:t xml:space="preserve">Amongst the ten </w:t>
      </w:r>
      <w:r w:rsidR="00F201E8">
        <w:rPr>
          <w:rFonts w:ascii="Arial" w:eastAsia="Times New Roman" w:hAnsi="Arial" w:cs="Arial"/>
          <w:color w:val="000000" w:themeColor="text1"/>
          <w:sz w:val="24"/>
          <w:szCs w:val="24"/>
        </w:rPr>
        <w:t xml:space="preserve">Greater Manchester </w:t>
      </w:r>
      <w:r w:rsidR="007820B8">
        <w:rPr>
          <w:rFonts w:ascii="Arial" w:eastAsia="Times New Roman" w:hAnsi="Arial" w:cs="Arial"/>
          <w:color w:val="000000" w:themeColor="text1"/>
          <w:sz w:val="24"/>
          <w:szCs w:val="24"/>
        </w:rPr>
        <w:t>districts</w:t>
      </w:r>
      <w:r w:rsidR="003C73C6">
        <w:rPr>
          <w:rFonts w:ascii="Arial" w:eastAsia="Times New Roman" w:hAnsi="Arial" w:cs="Arial"/>
          <w:color w:val="000000" w:themeColor="text1"/>
          <w:sz w:val="24"/>
          <w:szCs w:val="24"/>
        </w:rPr>
        <w:t xml:space="preserve">, </w:t>
      </w:r>
      <w:r w:rsidR="00114EF1" w:rsidRPr="003C73C6">
        <w:rPr>
          <w:rFonts w:ascii="Arial" w:eastAsia="Times New Roman" w:hAnsi="Arial" w:cs="Arial"/>
          <w:color w:val="000000" w:themeColor="text1"/>
          <w:sz w:val="24"/>
          <w:szCs w:val="24"/>
        </w:rPr>
        <w:t xml:space="preserve">Manchester </w:t>
      </w:r>
      <w:r w:rsidR="003C73C6">
        <w:rPr>
          <w:rFonts w:ascii="Arial" w:eastAsia="Times New Roman" w:hAnsi="Arial" w:cs="Arial"/>
          <w:color w:val="000000" w:themeColor="text1"/>
          <w:sz w:val="24"/>
          <w:szCs w:val="24"/>
        </w:rPr>
        <w:t xml:space="preserve">had the </w:t>
      </w:r>
      <w:r w:rsidR="00114EF1" w:rsidRPr="003C73C6">
        <w:rPr>
          <w:rFonts w:ascii="Arial" w:eastAsia="Times New Roman" w:hAnsi="Arial" w:cs="Arial"/>
          <w:color w:val="000000" w:themeColor="text1"/>
          <w:sz w:val="24"/>
          <w:szCs w:val="24"/>
        </w:rPr>
        <w:t xml:space="preserve">largest </w:t>
      </w:r>
      <w:r w:rsidR="003C73C6">
        <w:rPr>
          <w:rFonts w:ascii="Arial" w:eastAsia="Times New Roman" w:hAnsi="Arial" w:cs="Arial"/>
          <w:color w:val="000000" w:themeColor="text1"/>
          <w:sz w:val="24"/>
          <w:szCs w:val="24"/>
        </w:rPr>
        <w:t>number of residents</w:t>
      </w:r>
      <w:r w:rsidR="004C5190">
        <w:rPr>
          <w:rFonts w:ascii="Arial" w:eastAsia="Times New Roman" w:hAnsi="Arial" w:cs="Arial"/>
          <w:color w:val="000000" w:themeColor="text1"/>
          <w:sz w:val="24"/>
          <w:szCs w:val="24"/>
        </w:rPr>
        <w:t xml:space="preserve"> in 2021</w:t>
      </w:r>
      <w:r w:rsidR="003C73C6">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w:t>
      </w:r>
      <w:r w:rsidR="003C73C6">
        <w:rPr>
          <w:rFonts w:ascii="Arial" w:eastAsia="Times New Roman" w:hAnsi="Arial" w:cs="Arial"/>
          <w:color w:val="000000" w:themeColor="text1"/>
          <w:sz w:val="24"/>
          <w:szCs w:val="24"/>
        </w:rPr>
        <w:t>551,943</w:t>
      </w:r>
      <w:r>
        <w:rPr>
          <w:rFonts w:ascii="Arial" w:eastAsia="Times New Roman" w:hAnsi="Arial" w:cs="Arial"/>
          <w:color w:val="000000" w:themeColor="text1"/>
          <w:sz w:val="24"/>
          <w:szCs w:val="24"/>
        </w:rPr>
        <w:t xml:space="preserve">, </w:t>
      </w:r>
      <w:r w:rsidR="005E3BAE">
        <w:rPr>
          <w:rFonts w:ascii="Arial" w:eastAsia="Times New Roman" w:hAnsi="Arial" w:cs="Arial"/>
          <w:color w:val="000000" w:themeColor="text1"/>
          <w:sz w:val="24"/>
          <w:szCs w:val="24"/>
        </w:rPr>
        <w:t>up by 9.7%</w:t>
      </w:r>
      <w:r>
        <w:rPr>
          <w:rFonts w:ascii="Arial" w:eastAsia="Times New Roman" w:hAnsi="Arial" w:cs="Arial"/>
          <w:color w:val="000000" w:themeColor="text1"/>
          <w:sz w:val="24"/>
          <w:szCs w:val="24"/>
        </w:rPr>
        <w:t xml:space="preserve"> compared to 2011</w:t>
      </w:r>
      <w:r w:rsidR="005E3BAE">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 xml:space="preserve">, and </w:t>
      </w:r>
      <w:r w:rsidR="003C73C6">
        <w:rPr>
          <w:rFonts w:ascii="Arial" w:eastAsia="Times New Roman" w:hAnsi="Arial" w:cs="Arial"/>
          <w:color w:val="000000" w:themeColor="text1"/>
          <w:sz w:val="24"/>
          <w:szCs w:val="24"/>
        </w:rPr>
        <w:t xml:space="preserve">Wigan </w:t>
      </w:r>
      <w:r>
        <w:rPr>
          <w:rFonts w:ascii="Arial" w:eastAsia="Times New Roman" w:hAnsi="Arial" w:cs="Arial"/>
          <w:color w:val="000000" w:themeColor="text1"/>
          <w:sz w:val="24"/>
          <w:szCs w:val="24"/>
        </w:rPr>
        <w:t>the s</w:t>
      </w:r>
      <w:r w:rsidR="003C73C6">
        <w:rPr>
          <w:rFonts w:ascii="Arial" w:eastAsia="Times New Roman" w:hAnsi="Arial" w:cs="Arial"/>
          <w:color w:val="000000" w:themeColor="text1"/>
          <w:sz w:val="24"/>
          <w:szCs w:val="24"/>
        </w:rPr>
        <w:t xml:space="preserve">econd largest </w:t>
      </w:r>
      <w:r>
        <w:rPr>
          <w:rFonts w:ascii="Arial" w:eastAsia="Times New Roman" w:hAnsi="Arial" w:cs="Arial"/>
          <w:color w:val="000000" w:themeColor="text1"/>
          <w:sz w:val="24"/>
          <w:szCs w:val="24"/>
        </w:rPr>
        <w:t>(</w:t>
      </w:r>
      <w:r w:rsidR="003C73C6" w:rsidRPr="003C73C6">
        <w:rPr>
          <w:rFonts w:ascii="Arial" w:eastAsia="Times New Roman" w:hAnsi="Arial" w:cs="Arial"/>
          <w:color w:val="000000"/>
          <w:sz w:val="24"/>
          <w:szCs w:val="24"/>
          <w:lang w:eastAsia="en-GB"/>
        </w:rPr>
        <w:t>329,329</w:t>
      </w:r>
      <w:r>
        <w:rPr>
          <w:rFonts w:ascii="Arial" w:eastAsia="Times New Roman" w:hAnsi="Arial" w:cs="Arial"/>
          <w:color w:val="000000"/>
          <w:sz w:val="24"/>
          <w:szCs w:val="24"/>
          <w:lang w:eastAsia="en-GB"/>
        </w:rPr>
        <w:t xml:space="preserve">, up </w:t>
      </w:r>
      <w:r w:rsidR="005E3BAE">
        <w:rPr>
          <w:rFonts w:ascii="Arial" w:eastAsia="Times New Roman" w:hAnsi="Arial" w:cs="Arial"/>
          <w:color w:val="000000"/>
          <w:sz w:val="24"/>
          <w:szCs w:val="24"/>
          <w:lang w:eastAsia="en-GB"/>
        </w:rPr>
        <w:t>3.6%)</w:t>
      </w:r>
      <w:r w:rsidR="003C73C6">
        <w:rPr>
          <w:rFonts w:ascii="Arial" w:eastAsia="Times New Roman" w:hAnsi="Arial" w:cs="Arial"/>
          <w:color w:val="000000"/>
          <w:sz w:val="24"/>
          <w:szCs w:val="24"/>
          <w:lang w:eastAsia="en-GB"/>
        </w:rPr>
        <w:t xml:space="preserve">. Bury </w:t>
      </w:r>
      <w:r w:rsidR="00531D15">
        <w:rPr>
          <w:rFonts w:ascii="Arial" w:eastAsia="Times New Roman" w:hAnsi="Arial" w:cs="Arial"/>
          <w:color w:val="000000"/>
          <w:sz w:val="24"/>
          <w:szCs w:val="24"/>
          <w:lang w:eastAsia="en-GB"/>
        </w:rPr>
        <w:t>had</w:t>
      </w:r>
      <w:r w:rsidR="003C73C6">
        <w:rPr>
          <w:rFonts w:ascii="Arial" w:eastAsia="Times New Roman" w:hAnsi="Arial" w:cs="Arial"/>
          <w:color w:val="000000"/>
          <w:sz w:val="24"/>
          <w:szCs w:val="24"/>
          <w:lang w:eastAsia="en-GB"/>
        </w:rPr>
        <w:t xml:space="preserve"> the </w:t>
      </w:r>
      <w:r>
        <w:rPr>
          <w:rFonts w:ascii="Arial" w:eastAsia="Times New Roman" w:hAnsi="Arial" w:cs="Arial"/>
          <w:color w:val="000000"/>
          <w:sz w:val="24"/>
          <w:szCs w:val="24"/>
          <w:lang w:eastAsia="en-GB"/>
        </w:rPr>
        <w:t>smallest</w:t>
      </w:r>
      <w:r w:rsidR="0007208A">
        <w:rPr>
          <w:rFonts w:ascii="Arial" w:eastAsia="Times New Roman" w:hAnsi="Arial" w:cs="Arial"/>
          <w:color w:val="000000"/>
          <w:sz w:val="24"/>
          <w:szCs w:val="24"/>
          <w:lang w:eastAsia="en-GB"/>
        </w:rPr>
        <w:t xml:space="preserve"> population </w:t>
      </w:r>
      <w:r w:rsidR="003C73C6">
        <w:rPr>
          <w:rFonts w:ascii="Arial" w:eastAsia="Times New Roman" w:hAnsi="Arial" w:cs="Arial"/>
          <w:color w:val="000000"/>
          <w:sz w:val="24"/>
          <w:szCs w:val="24"/>
          <w:lang w:eastAsia="en-GB"/>
        </w:rPr>
        <w:t xml:space="preserve">of </w:t>
      </w:r>
      <w:r w:rsidR="00414249">
        <w:rPr>
          <w:rFonts w:ascii="Arial" w:eastAsia="Times New Roman" w:hAnsi="Arial" w:cs="Arial"/>
          <w:color w:val="000000"/>
          <w:sz w:val="24"/>
          <w:szCs w:val="24"/>
          <w:lang w:eastAsia="en-GB"/>
        </w:rPr>
        <w:t>the ten</w:t>
      </w:r>
      <w:r w:rsidR="003C73C6">
        <w:rPr>
          <w:rFonts w:ascii="Arial" w:eastAsia="Times New Roman" w:hAnsi="Arial" w:cs="Arial"/>
          <w:color w:val="000000"/>
          <w:sz w:val="24"/>
          <w:szCs w:val="24"/>
          <w:lang w:eastAsia="en-GB"/>
        </w:rPr>
        <w:t xml:space="preserve"> </w:t>
      </w:r>
      <w:r w:rsidR="00531D15">
        <w:rPr>
          <w:rFonts w:ascii="Arial" w:eastAsia="Times New Roman" w:hAnsi="Arial" w:cs="Arial"/>
          <w:color w:val="000000"/>
          <w:sz w:val="24"/>
          <w:szCs w:val="24"/>
          <w:lang w:eastAsia="en-GB"/>
        </w:rPr>
        <w:t>districts</w:t>
      </w:r>
      <w:r>
        <w:rPr>
          <w:rFonts w:ascii="Arial" w:eastAsia="Times New Roman" w:hAnsi="Arial" w:cs="Arial"/>
          <w:color w:val="000000"/>
          <w:sz w:val="24"/>
          <w:szCs w:val="24"/>
          <w:lang w:eastAsia="en-GB"/>
        </w:rPr>
        <w:t xml:space="preserve"> (</w:t>
      </w:r>
      <w:r w:rsidR="0007208A">
        <w:rPr>
          <w:rFonts w:ascii="Arial" w:eastAsia="Times New Roman" w:hAnsi="Arial" w:cs="Arial"/>
          <w:color w:val="000000"/>
          <w:sz w:val="24"/>
          <w:szCs w:val="24"/>
          <w:lang w:eastAsia="en-GB"/>
        </w:rPr>
        <w:t>1</w:t>
      </w:r>
      <w:r w:rsidR="003C73C6">
        <w:rPr>
          <w:rFonts w:ascii="Arial" w:eastAsia="Times New Roman" w:hAnsi="Arial" w:cs="Arial"/>
          <w:color w:val="000000"/>
          <w:sz w:val="24"/>
          <w:szCs w:val="24"/>
          <w:lang w:eastAsia="en-GB"/>
        </w:rPr>
        <w:t>93,851</w:t>
      </w:r>
      <w:r>
        <w:rPr>
          <w:rFonts w:ascii="Arial" w:eastAsia="Times New Roman" w:hAnsi="Arial" w:cs="Arial"/>
          <w:color w:val="000000"/>
          <w:sz w:val="24"/>
          <w:szCs w:val="24"/>
          <w:lang w:eastAsia="en-GB"/>
        </w:rPr>
        <w:t xml:space="preserve">, up </w:t>
      </w:r>
      <w:r w:rsidR="005E3BAE">
        <w:rPr>
          <w:rFonts w:ascii="Arial" w:eastAsia="Times New Roman" w:hAnsi="Arial" w:cs="Arial"/>
          <w:color w:val="000000"/>
          <w:sz w:val="24"/>
          <w:szCs w:val="24"/>
          <w:lang w:eastAsia="en-GB"/>
        </w:rPr>
        <w:t>4.8%)</w:t>
      </w:r>
      <w:r w:rsidR="003C73C6">
        <w:rPr>
          <w:rFonts w:ascii="Arial" w:eastAsia="Times New Roman" w:hAnsi="Arial" w:cs="Arial"/>
          <w:color w:val="000000"/>
          <w:sz w:val="24"/>
          <w:szCs w:val="24"/>
          <w:lang w:eastAsia="en-GB"/>
        </w:rPr>
        <w:t>.</w:t>
      </w:r>
    </w:p>
    <w:p w14:paraId="363F654A" w14:textId="4576178E" w:rsidR="007B50FA" w:rsidRPr="007B50FA" w:rsidRDefault="007B50FA" w:rsidP="008327B2">
      <w:pPr>
        <w:spacing w:line="240" w:lineRule="auto"/>
        <w:rPr>
          <w:b/>
          <w:bCs/>
        </w:rPr>
      </w:pPr>
      <w:r w:rsidRPr="007B50FA">
        <w:rPr>
          <w:rFonts w:ascii="Arial" w:hAnsi="Arial" w:cs="Arial"/>
          <w:b/>
          <w:bCs/>
          <w:sz w:val="24"/>
          <w:szCs w:val="24"/>
        </w:rPr>
        <w:t>Population of the ten Greater Manchester districts</w:t>
      </w:r>
      <w:r>
        <w:rPr>
          <w:rFonts w:ascii="Arial" w:hAnsi="Arial" w:cs="Arial"/>
          <w:b/>
          <w:bCs/>
          <w:sz w:val="24"/>
          <w:szCs w:val="24"/>
        </w:rPr>
        <w:t>,</w:t>
      </w:r>
      <w:r w:rsidRPr="007B50FA">
        <w:rPr>
          <w:rFonts w:ascii="Arial" w:hAnsi="Arial" w:cs="Arial"/>
          <w:b/>
          <w:bCs/>
          <w:sz w:val="24"/>
          <w:szCs w:val="24"/>
        </w:rPr>
        <w:t xml:space="preserve"> 2011 and 2021</w:t>
      </w:r>
    </w:p>
    <w:p w14:paraId="3E85D2F7" w14:textId="27354DF0" w:rsidR="00FB1782" w:rsidRPr="008D43D3" w:rsidRDefault="00B76D1E" w:rsidP="008327B2">
      <w:pPr>
        <w:spacing w:after="240"/>
        <w:rPr>
          <w:rFonts w:ascii="Arial" w:eastAsia="Times New Roman" w:hAnsi="Arial" w:cs="Arial"/>
          <w:i/>
          <w:iCs/>
          <w:color w:val="000000"/>
          <w:sz w:val="24"/>
          <w:szCs w:val="24"/>
          <w:lang w:eastAsia="en-GB"/>
        </w:rPr>
      </w:pPr>
      <w:r w:rsidRPr="00B76D1E">
        <w:rPr>
          <w:noProof/>
        </w:rPr>
        <w:drawing>
          <wp:inline distT="0" distB="0" distL="0" distR="0" wp14:anchorId="31EC7B87" wp14:editId="34705E65">
            <wp:extent cx="6300470" cy="2056130"/>
            <wp:effectExtent l="19050" t="19050" r="24130" b="20320"/>
            <wp:docPr id="9" name="Picture 9" descr="Bar chart showing the population of the Greater Manchester districts in 2011 and 2021.  The chart shows that Manchester has the largest population followed by Wigan and then Bolton, with all districts showing population increase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showing the population of the Greater Manchester districts in 2011 and 2021.  The chart shows that Manchester has the largest population followed by Wigan and then Bolton, with all districts showing population increases over the peri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2056130"/>
                    </a:xfrm>
                    <a:prstGeom prst="rect">
                      <a:avLst/>
                    </a:prstGeom>
                    <a:noFill/>
                    <a:ln>
                      <a:solidFill>
                        <a:schemeClr val="bg1">
                          <a:lumMod val="75000"/>
                        </a:schemeClr>
                      </a:solidFill>
                    </a:ln>
                  </pic:spPr>
                </pic:pic>
              </a:graphicData>
            </a:graphic>
          </wp:inline>
        </w:drawing>
      </w:r>
      <w:r w:rsidRPr="00B76D1E">
        <w:t xml:space="preserve"> </w:t>
      </w:r>
      <w:r w:rsidR="007B50FA" w:rsidRPr="001A4B2A">
        <w:rPr>
          <w:rFonts w:ascii="Arial" w:hAnsi="Arial" w:cs="Arial"/>
          <w:sz w:val="24"/>
          <w:szCs w:val="24"/>
        </w:rPr>
        <w:t>Source</w:t>
      </w:r>
      <w:r w:rsidR="00E136BD" w:rsidRPr="001A4B2A">
        <w:rPr>
          <w:rFonts w:ascii="Arial" w:hAnsi="Arial" w:cs="Arial"/>
          <w:sz w:val="24"/>
          <w:szCs w:val="24"/>
        </w:rPr>
        <w:t>s</w:t>
      </w:r>
      <w:r w:rsidR="007B50FA" w:rsidRPr="001A4B2A">
        <w:rPr>
          <w:rFonts w:ascii="Arial" w:hAnsi="Arial" w:cs="Arial"/>
          <w:sz w:val="24"/>
          <w:szCs w:val="24"/>
        </w:rPr>
        <w:t>:</w:t>
      </w:r>
      <w:r w:rsidR="00760D00" w:rsidRPr="001A4B2A">
        <w:rPr>
          <w:rFonts w:ascii="Arial" w:hAnsi="Arial" w:cs="Arial"/>
          <w:sz w:val="24"/>
          <w:szCs w:val="24"/>
        </w:rPr>
        <w:t xml:space="preserve"> </w:t>
      </w:r>
      <w:r w:rsidR="00E136BD" w:rsidRPr="001A4B2A">
        <w:rPr>
          <w:rFonts w:ascii="Arial" w:hAnsi="Arial" w:cs="Arial"/>
          <w:color w:val="000000" w:themeColor="text1"/>
          <w:sz w:val="24"/>
          <w:szCs w:val="24"/>
        </w:rPr>
        <w:t xml:space="preserve">ONS, </w:t>
      </w:r>
      <w:r w:rsidR="00E136BD" w:rsidRPr="001A4B2A">
        <w:rPr>
          <w:rFonts w:ascii="Arial" w:hAnsi="Arial" w:cs="Arial"/>
          <w:sz w:val="24"/>
          <w:szCs w:val="24"/>
        </w:rPr>
        <w:t>Census 2011</w:t>
      </w:r>
      <w:r w:rsidR="008E2A85" w:rsidRPr="001A4B2A">
        <w:rPr>
          <w:rFonts w:ascii="Arial" w:hAnsi="Arial" w:cs="Arial"/>
          <w:sz w:val="24"/>
          <w:szCs w:val="24"/>
        </w:rPr>
        <w:t>,</w:t>
      </w:r>
      <w:r w:rsidR="00E136BD" w:rsidRPr="001A4B2A">
        <w:rPr>
          <w:rFonts w:ascii="Arial" w:hAnsi="Arial" w:cs="Arial"/>
          <w:sz w:val="24"/>
          <w:szCs w:val="24"/>
        </w:rPr>
        <w:t xml:space="preserve"> </w:t>
      </w:r>
      <w:hyperlink r:id="rId21" w:history="1">
        <w:r w:rsidR="003C691E" w:rsidRPr="001A4B2A">
          <w:rPr>
            <w:rStyle w:val="Hyperlink"/>
            <w:rFonts w:cs="Arial"/>
            <w:b w:val="0"/>
            <w:bCs/>
            <w:color w:val="0000FF"/>
            <w:sz w:val="24"/>
            <w:szCs w:val="24"/>
          </w:rPr>
          <w:t>KS102UK (Age Structure) - Nomis</w:t>
        </w:r>
      </w:hyperlink>
      <w:r w:rsidR="003C691E" w:rsidRPr="001A4B2A">
        <w:rPr>
          <w:rFonts w:ascii="Arial" w:hAnsi="Arial" w:cs="Arial"/>
          <w:sz w:val="24"/>
          <w:szCs w:val="24"/>
        </w:rPr>
        <w:t xml:space="preserve">; </w:t>
      </w:r>
      <w:r w:rsidR="00E136BD" w:rsidRPr="001A4B2A">
        <w:rPr>
          <w:rFonts w:ascii="Arial" w:hAnsi="Arial" w:cs="Arial"/>
          <w:sz w:val="24"/>
          <w:szCs w:val="24"/>
        </w:rPr>
        <w:t xml:space="preserve">ONS, </w:t>
      </w:r>
      <w:r w:rsidR="00E136BD" w:rsidRPr="001A4B2A">
        <w:rPr>
          <w:rFonts w:ascii="Arial" w:hAnsi="Arial" w:cs="Arial"/>
          <w:color w:val="000000" w:themeColor="text1"/>
          <w:sz w:val="24"/>
          <w:szCs w:val="24"/>
        </w:rPr>
        <w:t xml:space="preserve">Census </w:t>
      </w:r>
      <w:r w:rsidR="00FB1782" w:rsidRPr="001A4B2A">
        <w:rPr>
          <w:rFonts w:ascii="Arial" w:hAnsi="Arial" w:cs="Arial"/>
          <w:color w:val="000000" w:themeColor="text1"/>
          <w:sz w:val="24"/>
          <w:szCs w:val="24"/>
        </w:rPr>
        <w:t>2021</w:t>
      </w:r>
      <w:r w:rsidR="008E2A85" w:rsidRPr="001A4B2A">
        <w:rPr>
          <w:rFonts w:ascii="Arial" w:hAnsi="Arial" w:cs="Arial"/>
          <w:color w:val="000000" w:themeColor="text1"/>
          <w:sz w:val="24"/>
          <w:szCs w:val="24"/>
        </w:rPr>
        <w:t>,</w:t>
      </w:r>
      <w:r w:rsidR="00FB1782" w:rsidRPr="001A4B2A">
        <w:rPr>
          <w:rFonts w:ascii="Arial" w:hAnsi="Arial" w:cs="Arial"/>
          <w:color w:val="000000" w:themeColor="text1"/>
          <w:sz w:val="24"/>
          <w:szCs w:val="24"/>
        </w:rPr>
        <w:t xml:space="preserve"> </w:t>
      </w:r>
      <w:hyperlink r:id="rId22" w:history="1">
        <w:r w:rsidR="00FB1782" w:rsidRPr="001A4B2A">
          <w:rPr>
            <w:rFonts w:ascii="Arial" w:hAnsi="Arial" w:cs="Arial"/>
            <w:color w:val="0000FF"/>
            <w:sz w:val="24"/>
            <w:szCs w:val="24"/>
            <w:u w:val="single"/>
          </w:rPr>
          <w:t>TS001 - Number of usual residents in households and communal establishments - Nomis</w:t>
        </w:r>
      </w:hyperlink>
    </w:p>
    <w:p w14:paraId="756ED75C" w14:textId="0A442454" w:rsidR="0005556B" w:rsidRPr="008327B2" w:rsidRDefault="0005556B" w:rsidP="00C97181">
      <w:pPr>
        <w:pStyle w:val="Heading3"/>
        <w:rPr>
          <w:color w:val="000000" w:themeColor="text1"/>
        </w:rPr>
      </w:pPr>
      <w:r w:rsidRPr="008327B2">
        <w:t xml:space="preserve">Population </w:t>
      </w:r>
      <w:r w:rsidR="006D7C51" w:rsidRPr="008327B2">
        <w:t>change</w:t>
      </w:r>
      <w:r w:rsidRPr="008327B2">
        <w:t xml:space="preserve"> by Greater Manchester district</w:t>
      </w:r>
    </w:p>
    <w:p w14:paraId="2504CB99" w14:textId="6BD6D68D" w:rsidR="00611155" w:rsidRDefault="00611155" w:rsidP="008327B2">
      <w:pPr>
        <w:rPr>
          <w:rFonts w:ascii="Arial" w:hAnsi="Arial" w:cs="Arial"/>
          <w:sz w:val="24"/>
          <w:szCs w:val="24"/>
        </w:rPr>
      </w:pPr>
      <w:r>
        <w:rPr>
          <w:rFonts w:ascii="Arial" w:hAnsi="Arial" w:cs="Arial"/>
          <w:color w:val="000000" w:themeColor="text1"/>
          <w:sz w:val="24"/>
          <w:szCs w:val="24"/>
        </w:rPr>
        <w:t xml:space="preserve">Manchester and Salford </w:t>
      </w:r>
      <w:r w:rsidR="006A3DF6">
        <w:rPr>
          <w:rFonts w:ascii="Arial" w:hAnsi="Arial" w:cs="Arial"/>
          <w:color w:val="000000" w:themeColor="text1"/>
          <w:sz w:val="24"/>
          <w:szCs w:val="24"/>
        </w:rPr>
        <w:t xml:space="preserve">have seen higher population change over recent decades compared to the other </w:t>
      </w:r>
      <w:r>
        <w:rPr>
          <w:rFonts w:ascii="Arial" w:hAnsi="Arial" w:cs="Arial"/>
          <w:color w:val="000000" w:themeColor="text1"/>
          <w:sz w:val="24"/>
          <w:szCs w:val="24"/>
        </w:rPr>
        <w:t xml:space="preserve">Greater Manchester </w:t>
      </w:r>
      <w:r w:rsidR="006A3DF6">
        <w:rPr>
          <w:rFonts w:ascii="Arial" w:hAnsi="Arial" w:cs="Arial"/>
          <w:color w:val="000000" w:themeColor="text1"/>
          <w:sz w:val="24"/>
          <w:szCs w:val="24"/>
        </w:rPr>
        <w:t>districts</w:t>
      </w:r>
      <w:r>
        <w:rPr>
          <w:rFonts w:ascii="Arial" w:hAnsi="Arial" w:cs="Arial"/>
          <w:color w:val="000000" w:themeColor="text1"/>
          <w:sz w:val="24"/>
          <w:szCs w:val="24"/>
        </w:rPr>
        <w:t xml:space="preserve">. </w:t>
      </w:r>
      <w:r w:rsidR="006A3DF6">
        <w:rPr>
          <w:rFonts w:ascii="Arial" w:hAnsi="Arial" w:cs="Arial"/>
          <w:color w:val="000000" w:themeColor="text1"/>
          <w:sz w:val="24"/>
          <w:szCs w:val="24"/>
        </w:rPr>
        <w:t>R</w:t>
      </w:r>
      <w:r>
        <w:rPr>
          <w:rFonts w:ascii="Arial" w:hAnsi="Arial" w:cs="Arial"/>
          <w:color w:val="000000" w:themeColor="text1"/>
          <w:sz w:val="24"/>
          <w:szCs w:val="24"/>
        </w:rPr>
        <w:t xml:space="preserve">egeneration of the two cities has been </w:t>
      </w:r>
      <w:r w:rsidR="006A3DF6">
        <w:rPr>
          <w:rFonts w:ascii="Arial" w:hAnsi="Arial" w:cs="Arial"/>
          <w:color w:val="000000" w:themeColor="text1"/>
          <w:sz w:val="24"/>
          <w:szCs w:val="24"/>
        </w:rPr>
        <w:t>the main</w:t>
      </w:r>
      <w:r>
        <w:rPr>
          <w:rFonts w:ascii="Arial" w:hAnsi="Arial" w:cs="Arial"/>
          <w:color w:val="000000" w:themeColor="text1"/>
          <w:sz w:val="24"/>
          <w:szCs w:val="24"/>
        </w:rPr>
        <w:t xml:space="preserve"> </w:t>
      </w:r>
      <w:r w:rsidR="006A3DF6">
        <w:rPr>
          <w:rFonts w:ascii="Arial" w:hAnsi="Arial" w:cs="Arial"/>
          <w:color w:val="000000" w:themeColor="text1"/>
          <w:sz w:val="24"/>
          <w:szCs w:val="24"/>
        </w:rPr>
        <w:t xml:space="preserve">factor behind this increase </w:t>
      </w:r>
      <w:r w:rsidR="002658B5">
        <w:rPr>
          <w:rFonts w:ascii="Arial" w:hAnsi="Arial" w:cs="Arial"/>
          <w:color w:val="000000" w:themeColor="text1"/>
          <w:sz w:val="24"/>
          <w:szCs w:val="24"/>
        </w:rPr>
        <w:t>and</w:t>
      </w:r>
      <w:r w:rsidR="006A3DF6">
        <w:rPr>
          <w:rFonts w:ascii="Arial" w:hAnsi="Arial" w:cs="Arial"/>
          <w:color w:val="000000" w:themeColor="text1"/>
          <w:sz w:val="24"/>
          <w:szCs w:val="24"/>
        </w:rPr>
        <w:t xml:space="preserve"> </w:t>
      </w:r>
      <w:r w:rsidR="008D43D3">
        <w:rPr>
          <w:rFonts w:ascii="Arial" w:hAnsi="Arial" w:cs="Arial"/>
          <w:color w:val="000000" w:themeColor="text1"/>
          <w:sz w:val="24"/>
          <w:szCs w:val="24"/>
        </w:rPr>
        <w:t>was</w:t>
      </w:r>
      <w:r w:rsidR="006A3DF6">
        <w:rPr>
          <w:rFonts w:ascii="Arial" w:hAnsi="Arial" w:cs="Arial"/>
          <w:color w:val="000000" w:themeColor="text1"/>
          <w:sz w:val="24"/>
          <w:szCs w:val="24"/>
        </w:rPr>
        <w:t xml:space="preserve"> the central driver of </w:t>
      </w:r>
      <w:r w:rsidR="0005311C">
        <w:rPr>
          <w:rFonts w:ascii="Arial" w:hAnsi="Arial" w:cs="Arial"/>
          <w:color w:val="000000" w:themeColor="text1"/>
          <w:sz w:val="24"/>
          <w:szCs w:val="24"/>
        </w:rPr>
        <w:t>overall</w:t>
      </w:r>
      <w:r w:rsidR="006A3DF6">
        <w:rPr>
          <w:rFonts w:ascii="Arial" w:hAnsi="Arial" w:cs="Arial"/>
          <w:color w:val="000000" w:themeColor="text1"/>
          <w:sz w:val="24"/>
          <w:szCs w:val="24"/>
        </w:rPr>
        <w:t xml:space="preserve"> growth in Greater Manchester’s population, marking a turnaround follow</w:t>
      </w:r>
      <w:r>
        <w:rPr>
          <w:rFonts w:ascii="Arial" w:hAnsi="Arial" w:cs="Arial"/>
          <w:color w:val="000000" w:themeColor="text1"/>
          <w:sz w:val="24"/>
          <w:szCs w:val="24"/>
        </w:rPr>
        <w:t xml:space="preserve">ing declines in the 1970s and 1980s. </w:t>
      </w:r>
      <w:r>
        <w:rPr>
          <w:rFonts w:ascii="Arial" w:hAnsi="Arial" w:cs="Arial"/>
          <w:sz w:val="24"/>
          <w:szCs w:val="24"/>
        </w:rPr>
        <w:t xml:space="preserve">Manchester’s population growth </w:t>
      </w:r>
      <w:r w:rsidR="006A3DF6">
        <w:rPr>
          <w:rFonts w:ascii="Arial" w:hAnsi="Arial" w:cs="Arial"/>
          <w:sz w:val="24"/>
          <w:szCs w:val="24"/>
        </w:rPr>
        <w:t xml:space="preserve">rate </w:t>
      </w:r>
      <w:r>
        <w:rPr>
          <w:rFonts w:ascii="Arial" w:hAnsi="Arial" w:cs="Arial"/>
          <w:sz w:val="24"/>
          <w:szCs w:val="24"/>
        </w:rPr>
        <w:t xml:space="preserve">since 1991 </w:t>
      </w:r>
      <w:r w:rsidR="00F063E8">
        <w:rPr>
          <w:rFonts w:ascii="Arial" w:hAnsi="Arial" w:cs="Arial"/>
          <w:sz w:val="24"/>
          <w:szCs w:val="24"/>
        </w:rPr>
        <w:t xml:space="preserve">of </w:t>
      </w:r>
      <w:r w:rsidR="006A3DF6">
        <w:rPr>
          <w:rFonts w:ascii="Arial" w:hAnsi="Arial" w:cs="Arial"/>
          <w:sz w:val="24"/>
          <w:szCs w:val="24"/>
        </w:rPr>
        <w:t>36.3% was</w:t>
      </w:r>
      <w:r>
        <w:rPr>
          <w:rFonts w:ascii="Arial" w:hAnsi="Arial" w:cs="Arial"/>
          <w:sz w:val="24"/>
          <w:szCs w:val="24"/>
        </w:rPr>
        <w:t xml:space="preserve"> higher than </w:t>
      </w:r>
      <w:r w:rsidR="003A60F3">
        <w:rPr>
          <w:rFonts w:ascii="Arial" w:hAnsi="Arial" w:cs="Arial"/>
          <w:sz w:val="24"/>
          <w:szCs w:val="24"/>
        </w:rPr>
        <w:t>other</w:t>
      </w:r>
      <w:r>
        <w:rPr>
          <w:rFonts w:ascii="Arial" w:hAnsi="Arial" w:cs="Arial"/>
          <w:sz w:val="24"/>
          <w:szCs w:val="24"/>
        </w:rPr>
        <w:t xml:space="preserve"> major cities in England</w:t>
      </w:r>
      <w:r w:rsidR="003A60F3">
        <w:rPr>
          <w:rFonts w:ascii="Arial" w:hAnsi="Arial" w:cs="Arial"/>
          <w:sz w:val="24"/>
          <w:szCs w:val="24"/>
        </w:rPr>
        <w:t xml:space="preserve">, </w:t>
      </w:r>
      <w:r w:rsidR="00B76D1E">
        <w:rPr>
          <w:rFonts w:ascii="Arial" w:hAnsi="Arial" w:cs="Arial"/>
          <w:sz w:val="24"/>
          <w:szCs w:val="24"/>
        </w:rPr>
        <w:t>which</w:t>
      </w:r>
      <w:r w:rsidR="00366F3F">
        <w:rPr>
          <w:rFonts w:ascii="Arial" w:hAnsi="Arial" w:cs="Arial"/>
          <w:sz w:val="24"/>
          <w:szCs w:val="24"/>
        </w:rPr>
        <w:t xml:space="preserve"> had</w:t>
      </w:r>
      <w:r w:rsidR="00F063E8">
        <w:rPr>
          <w:rFonts w:ascii="Arial" w:hAnsi="Arial" w:cs="Arial"/>
          <w:sz w:val="24"/>
          <w:szCs w:val="24"/>
        </w:rPr>
        <w:t xml:space="preserve"> </w:t>
      </w:r>
      <w:r w:rsidR="006A3DF6">
        <w:rPr>
          <w:rFonts w:ascii="Arial" w:hAnsi="Arial" w:cs="Arial"/>
          <w:sz w:val="24"/>
          <w:szCs w:val="24"/>
        </w:rPr>
        <w:t>average growth of 20.2%</w:t>
      </w:r>
      <w:r w:rsidR="003A60F3">
        <w:rPr>
          <w:rFonts w:ascii="Arial" w:hAnsi="Arial" w:cs="Arial"/>
          <w:sz w:val="24"/>
          <w:szCs w:val="24"/>
        </w:rPr>
        <w:t xml:space="preserve"> (only Leicester </w:t>
      </w:r>
      <w:r w:rsidR="00BB76C9">
        <w:rPr>
          <w:rFonts w:ascii="Arial" w:hAnsi="Arial" w:cs="Arial"/>
          <w:sz w:val="24"/>
          <w:szCs w:val="24"/>
        </w:rPr>
        <w:t>saw</w:t>
      </w:r>
      <w:r w:rsidR="003A60F3">
        <w:rPr>
          <w:rFonts w:ascii="Arial" w:hAnsi="Arial" w:cs="Arial"/>
          <w:sz w:val="24"/>
          <w:szCs w:val="24"/>
        </w:rPr>
        <w:t xml:space="preserve"> similar growth to Manchester)</w:t>
      </w:r>
      <w:r>
        <w:rPr>
          <w:rFonts w:ascii="Arial" w:hAnsi="Arial" w:cs="Arial"/>
          <w:sz w:val="24"/>
          <w:szCs w:val="24"/>
        </w:rPr>
        <w:t>.</w:t>
      </w:r>
      <w:r w:rsidR="00195957">
        <w:rPr>
          <w:rFonts w:ascii="Arial" w:hAnsi="Arial" w:cs="Arial"/>
          <w:sz w:val="24"/>
          <w:szCs w:val="24"/>
        </w:rPr>
        <w:t xml:space="preserve"> </w:t>
      </w:r>
      <w:r w:rsidR="00B76D1E">
        <w:rPr>
          <w:rFonts w:ascii="Arial" w:hAnsi="Arial" w:cs="Arial"/>
          <w:sz w:val="24"/>
          <w:szCs w:val="24"/>
        </w:rPr>
        <w:t xml:space="preserve">Between 1991 and 2021, </w:t>
      </w:r>
      <w:r w:rsidR="00195957">
        <w:rPr>
          <w:rFonts w:ascii="Arial" w:hAnsi="Arial" w:cs="Arial"/>
          <w:sz w:val="24"/>
          <w:szCs w:val="24"/>
        </w:rPr>
        <w:t xml:space="preserve">Salford’s population </w:t>
      </w:r>
      <w:r w:rsidR="00B76D1E">
        <w:rPr>
          <w:rFonts w:ascii="Arial" w:hAnsi="Arial" w:cs="Arial"/>
          <w:sz w:val="24"/>
          <w:szCs w:val="24"/>
        </w:rPr>
        <w:t>increased</w:t>
      </w:r>
      <w:r w:rsidR="00195957">
        <w:rPr>
          <w:rFonts w:ascii="Arial" w:hAnsi="Arial" w:cs="Arial"/>
          <w:sz w:val="24"/>
          <w:szCs w:val="24"/>
        </w:rPr>
        <w:t xml:space="preserve"> by 22.4%</w:t>
      </w:r>
      <w:r w:rsidR="00B76D1E">
        <w:rPr>
          <w:rFonts w:ascii="Arial" w:hAnsi="Arial" w:cs="Arial"/>
          <w:sz w:val="24"/>
          <w:szCs w:val="24"/>
        </w:rPr>
        <w:t>,</w:t>
      </w:r>
      <w:r w:rsidR="00195957">
        <w:rPr>
          <w:rFonts w:ascii="Arial" w:hAnsi="Arial" w:cs="Arial"/>
          <w:sz w:val="24"/>
          <w:szCs w:val="24"/>
        </w:rPr>
        <w:t xml:space="preserve"> </w:t>
      </w:r>
      <w:r w:rsidR="00B76D1E">
        <w:rPr>
          <w:rFonts w:ascii="Arial" w:hAnsi="Arial" w:cs="Arial"/>
          <w:sz w:val="24"/>
          <w:szCs w:val="24"/>
        </w:rPr>
        <w:t>a higher growth rate than</w:t>
      </w:r>
      <w:r w:rsidR="00195957">
        <w:rPr>
          <w:rFonts w:ascii="Arial" w:hAnsi="Arial" w:cs="Arial"/>
          <w:sz w:val="24"/>
          <w:szCs w:val="24"/>
        </w:rPr>
        <w:t xml:space="preserve"> the national average </w:t>
      </w:r>
      <w:r w:rsidR="00B76D1E">
        <w:rPr>
          <w:rFonts w:ascii="Arial" w:hAnsi="Arial" w:cs="Arial"/>
          <w:sz w:val="24"/>
          <w:szCs w:val="24"/>
        </w:rPr>
        <w:t>(</w:t>
      </w:r>
      <w:r w:rsidR="00195957">
        <w:rPr>
          <w:rFonts w:ascii="Arial" w:hAnsi="Arial" w:cs="Arial"/>
          <w:sz w:val="24"/>
          <w:szCs w:val="24"/>
        </w:rPr>
        <w:t>20.2%</w:t>
      </w:r>
      <w:r w:rsidR="00B76D1E">
        <w:rPr>
          <w:rFonts w:ascii="Arial" w:hAnsi="Arial" w:cs="Arial"/>
          <w:sz w:val="24"/>
          <w:szCs w:val="24"/>
        </w:rPr>
        <w:t>)</w:t>
      </w:r>
      <w:r w:rsidR="00A34ECE">
        <w:rPr>
          <w:rFonts w:ascii="Arial" w:hAnsi="Arial" w:cs="Arial"/>
          <w:sz w:val="24"/>
          <w:szCs w:val="24"/>
        </w:rPr>
        <w:t xml:space="preserve"> and most major cities.</w:t>
      </w:r>
      <w:r w:rsidR="00B76D1E">
        <w:rPr>
          <w:rFonts w:ascii="Arial" w:hAnsi="Arial" w:cs="Arial"/>
          <w:sz w:val="24"/>
          <w:szCs w:val="24"/>
        </w:rPr>
        <w:t xml:space="preserve"> Population g</w:t>
      </w:r>
      <w:r w:rsidR="001E15C9">
        <w:rPr>
          <w:rFonts w:ascii="Arial" w:hAnsi="Arial" w:cs="Arial"/>
          <w:sz w:val="24"/>
          <w:szCs w:val="24"/>
        </w:rPr>
        <w:t xml:space="preserve">rowth </w:t>
      </w:r>
      <w:r w:rsidR="00B76D1E">
        <w:rPr>
          <w:rFonts w:ascii="Arial" w:hAnsi="Arial" w:cs="Arial"/>
          <w:sz w:val="24"/>
          <w:szCs w:val="24"/>
        </w:rPr>
        <w:t xml:space="preserve">in Salford </w:t>
      </w:r>
      <w:r w:rsidR="001E15C9">
        <w:rPr>
          <w:rFonts w:ascii="Arial" w:hAnsi="Arial" w:cs="Arial"/>
          <w:sz w:val="24"/>
          <w:szCs w:val="24"/>
        </w:rPr>
        <w:t>was particularly high in the last decade</w:t>
      </w:r>
      <w:r w:rsidR="00B76D1E">
        <w:rPr>
          <w:rFonts w:ascii="Arial" w:hAnsi="Arial" w:cs="Arial"/>
          <w:sz w:val="24"/>
          <w:szCs w:val="24"/>
        </w:rPr>
        <w:t xml:space="preserve">, with an increase of </w:t>
      </w:r>
      <w:r w:rsidR="001E15C9" w:rsidRPr="00EF6671">
        <w:rPr>
          <w:rFonts w:ascii="Arial" w:hAnsi="Arial" w:cs="Arial"/>
          <w:sz w:val="24"/>
          <w:szCs w:val="24"/>
        </w:rPr>
        <w:t>15.4%</w:t>
      </w:r>
      <w:r w:rsidR="001E15C9" w:rsidRPr="00292EE7">
        <w:rPr>
          <w:rFonts w:ascii="Arial" w:hAnsi="Arial" w:cs="Arial"/>
          <w:sz w:val="24"/>
          <w:szCs w:val="24"/>
        </w:rPr>
        <w:t xml:space="preserve"> </w:t>
      </w:r>
      <w:r w:rsidR="001E15C9" w:rsidRPr="00EF6671">
        <w:rPr>
          <w:rFonts w:ascii="Arial" w:hAnsi="Arial" w:cs="Arial"/>
          <w:sz w:val="24"/>
          <w:szCs w:val="24"/>
        </w:rPr>
        <w:t>between 2011 and 2021, the highest rate in the north of England.</w:t>
      </w:r>
    </w:p>
    <w:p w14:paraId="6292CC27" w14:textId="0051F61F" w:rsidR="00BB103D" w:rsidRDefault="00DD7E44" w:rsidP="004F08C5">
      <w:pPr>
        <w:rPr>
          <w:rFonts w:ascii="Arial" w:hAnsi="Arial" w:cs="Arial"/>
          <w:sz w:val="24"/>
          <w:szCs w:val="24"/>
        </w:rPr>
      </w:pPr>
      <w:r>
        <w:rPr>
          <w:rFonts w:ascii="Arial" w:hAnsi="Arial" w:cs="Arial"/>
          <w:sz w:val="24"/>
          <w:szCs w:val="24"/>
        </w:rPr>
        <w:t xml:space="preserve">Population increases </w:t>
      </w:r>
      <w:r w:rsidR="00BB103D">
        <w:rPr>
          <w:rFonts w:ascii="Arial" w:hAnsi="Arial" w:cs="Arial"/>
          <w:sz w:val="24"/>
          <w:szCs w:val="24"/>
        </w:rPr>
        <w:t>were also seen</w:t>
      </w:r>
      <w:r w:rsidR="00366F3F">
        <w:rPr>
          <w:rFonts w:ascii="Arial" w:hAnsi="Arial" w:cs="Arial"/>
          <w:sz w:val="24"/>
          <w:szCs w:val="24"/>
        </w:rPr>
        <w:t xml:space="preserve"> </w:t>
      </w:r>
      <w:r w:rsidR="000027A9">
        <w:rPr>
          <w:rFonts w:ascii="Arial" w:hAnsi="Arial" w:cs="Arial"/>
          <w:sz w:val="24"/>
          <w:szCs w:val="24"/>
        </w:rPr>
        <w:t xml:space="preserve">across </w:t>
      </w:r>
      <w:r w:rsidR="00366F3F">
        <w:rPr>
          <w:rFonts w:ascii="Arial" w:hAnsi="Arial" w:cs="Arial"/>
          <w:sz w:val="24"/>
          <w:szCs w:val="24"/>
        </w:rPr>
        <w:t xml:space="preserve">other </w:t>
      </w:r>
      <w:r w:rsidR="00BB103D">
        <w:rPr>
          <w:rFonts w:ascii="Arial" w:hAnsi="Arial" w:cs="Arial"/>
          <w:sz w:val="24"/>
          <w:szCs w:val="24"/>
        </w:rPr>
        <w:t xml:space="preserve">Greater Manchester </w:t>
      </w:r>
      <w:r w:rsidR="00366F3F">
        <w:rPr>
          <w:rFonts w:ascii="Arial" w:hAnsi="Arial" w:cs="Arial"/>
          <w:sz w:val="24"/>
          <w:szCs w:val="24"/>
        </w:rPr>
        <w:t>districts</w:t>
      </w:r>
      <w:r w:rsidR="000027A9">
        <w:rPr>
          <w:rFonts w:ascii="Arial" w:hAnsi="Arial" w:cs="Arial"/>
          <w:sz w:val="24"/>
          <w:szCs w:val="24"/>
        </w:rPr>
        <w:t xml:space="preserve">, </w:t>
      </w:r>
      <w:r w:rsidR="00366F3F">
        <w:rPr>
          <w:rFonts w:ascii="Arial" w:hAnsi="Arial" w:cs="Arial"/>
          <w:sz w:val="24"/>
          <w:szCs w:val="24"/>
        </w:rPr>
        <w:t xml:space="preserve">but </w:t>
      </w:r>
      <w:r w:rsidR="00BB103D">
        <w:rPr>
          <w:rFonts w:ascii="Arial" w:hAnsi="Arial" w:cs="Arial"/>
          <w:sz w:val="24"/>
          <w:szCs w:val="24"/>
        </w:rPr>
        <w:t xml:space="preserve">(as shown in darker green shading </w:t>
      </w:r>
      <w:r w:rsidR="004C5190">
        <w:rPr>
          <w:rFonts w:ascii="Arial" w:hAnsi="Arial" w:cs="Arial"/>
          <w:sz w:val="24"/>
          <w:szCs w:val="24"/>
        </w:rPr>
        <w:t>on</w:t>
      </w:r>
      <w:r w:rsidR="00BB103D">
        <w:rPr>
          <w:rFonts w:ascii="Arial" w:hAnsi="Arial" w:cs="Arial"/>
          <w:sz w:val="24"/>
          <w:szCs w:val="24"/>
        </w:rPr>
        <w:t xml:space="preserve"> the map below) </w:t>
      </w:r>
      <w:r w:rsidR="000027A9">
        <w:rPr>
          <w:rFonts w:ascii="Arial" w:hAnsi="Arial" w:cs="Arial"/>
          <w:sz w:val="24"/>
          <w:szCs w:val="24"/>
        </w:rPr>
        <w:t xml:space="preserve">with </w:t>
      </w:r>
      <w:r w:rsidR="0005556B">
        <w:rPr>
          <w:rFonts w:ascii="Arial" w:hAnsi="Arial" w:cs="Arial"/>
          <w:sz w:val="24"/>
          <w:szCs w:val="24"/>
        </w:rPr>
        <w:t>the highest</w:t>
      </w:r>
      <w:r>
        <w:rPr>
          <w:rFonts w:ascii="Arial" w:hAnsi="Arial" w:cs="Arial"/>
          <w:sz w:val="24"/>
          <w:szCs w:val="24"/>
        </w:rPr>
        <w:t xml:space="preserve"> percentage </w:t>
      </w:r>
      <w:r w:rsidR="0005556B">
        <w:rPr>
          <w:rFonts w:ascii="Arial" w:hAnsi="Arial" w:cs="Arial"/>
          <w:sz w:val="24"/>
          <w:szCs w:val="24"/>
        </w:rPr>
        <w:t>growth</w:t>
      </w:r>
      <w:r>
        <w:rPr>
          <w:rFonts w:ascii="Arial" w:hAnsi="Arial" w:cs="Arial"/>
          <w:sz w:val="24"/>
          <w:szCs w:val="24"/>
        </w:rPr>
        <w:t xml:space="preserve"> </w:t>
      </w:r>
      <w:r w:rsidR="000027A9">
        <w:rPr>
          <w:rFonts w:ascii="Arial" w:hAnsi="Arial" w:cs="Arial"/>
          <w:sz w:val="24"/>
          <w:szCs w:val="24"/>
        </w:rPr>
        <w:t>concentrated particularly</w:t>
      </w:r>
      <w:r>
        <w:rPr>
          <w:rFonts w:ascii="Arial" w:hAnsi="Arial" w:cs="Arial"/>
          <w:sz w:val="24"/>
          <w:szCs w:val="24"/>
        </w:rPr>
        <w:t xml:space="preserve"> in Manchester </w:t>
      </w:r>
      <w:r w:rsidR="0056200D">
        <w:rPr>
          <w:rFonts w:ascii="Arial" w:hAnsi="Arial" w:cs="Arial"/>
          <w:sz w:val="24"/>
          <w:szCs w:val="24"/>
        </w:rPr>
        <w:t>c</w:t>
      </w:r>
      <w:r>
        <w:rPr>
          <w:rFonts w:ascii="Arial" w:hAnsi="Arial" w:cs="Arial"/>
          <w:sz w:val="24"/>
          <w:szCs w:val="24"/>
        </w:rPr>
        <w:t xml:space="preserve">ity </w:t>
      </w:r>
      <w:r w:rsidR="0056200D">
        <w:rPr>
          <w:rFonts w:ascii="Arial" w:hAnsi="Arial" w:cs="Arial"/>
          <w:sz w:val="24"/>
          <w:szCs w:val="24"/>
        </w:rPr>
        <w:t>c</w:t>
      </w:r>
      <w:r>
        <w:rPr>
          <w:rFonts w:ascii="Arial" w:hAnsi="Arial" w:cs="Arial"/>
          <w:sz w:val="24"/>
          <w:szCs w:val="24"/>
        </w:rPr>
        <w:t>entre</w:t>
      </w:r>
      <w:r w:rsidR="001A4B2A">
        <w:rPr>
          <w:rFonts w:ascii="Arial" w:hAnsi="Arial" w:cs="Arial"/>
          <w:sz w:val="24"/>
          <w:szCs w:val="24"/>
        </w:rPr>
        <w:t xml:space="preserve"> and parts of </w:t>
      </w:r>
      <w:r>
        <w:rPr>
          <w:rFonts w:ascii="Arial" w:hAnsi="Arial" w:cs="Arial"/>
          <w:sz w:val="24"/>
          <w:szCs w:val="24"/>
        </w:rPr>
        <w:t xml:space="preserve">Salford </w:t>
      </w:r>
      <w:r w:rsidR="001A4B2A">
        <w:rPr>
          <w:rFonts w:ascii="Arial" w:hAnsi="Arial" w:cs="Arial"/>
          <w:sz w:val="24"/>
          <w:szCs w:val="24"/>
        </w:rPr>
        <w:t xml:space="preserve">(Salford </w:t>
      </w:r>
      <w:r>
        <w:rPr>
          <w:rFonts w:ascii="Arial" w:hAnsi="Arial" w:cs="Arial"/>
          <w:sz w:val="24"/>
          <w:szCs w:val="24"/>
        </w:rPr>
        <w:t>Quays</w:t>
      </w:r>
      <w:r w:rsidR="001A4B2A">
        <w:rPr>
          <w:rFonts w:ascii="Arial" w:hAnsi="Arial" w:cs="Arial"/>
          <w:sz w:val="24"/>
          <w:szCs w:val="24"/>
        </w:rPr>
        <w:t xml:space="preserve">, </w:t>
      </w:r>
      <w:r w:rsidR="00F655D6">
        <w:rPr>
          <w:rFonts w:ascii="Arial" w:hAnsi="Arial" w:cs="Arial"/>
          <w:sz w:val="24"/>
          <w:szCs w:val="24"/>
        </w:rPr>
        <w:t xml:space="preserve">and eastwards to the border with Manchester </w:t>
      </w:r>
      <w:r w:rsidR="0056200D">
        <w:rPr>
          <w:rFonts w:ascii="Arial" w:hAnsi="Arial" w:cs="Arial"/>
          <w:sz w:val="24"/>
          <w:szCs w:val="24"/>
        </w:rPr>
        <w:t>c</w:t>
      </w:r>
      <w:r w:rsidR="00F655D6">
        <w:rPr>
          <w:rFonts w:ascii="Arial" w:hAnsi="Arial" w:cs="Arial"/>
          <w:sz w:val="24"/>
          <w:szCs w:val="24"/>
        </w:rPr>
        <w:t xml:space="preserve">ity </w:t>
      </w:r>
      <w:r w:rsidR="0056200D">
        <w:rPr>
          <w:rFonts w:ascii="Arial" w:hAnsi="Arial" w:cs="Arial"/>
          <w:sz w:val="24"/>
          <w:szCs w:val="24"/>
        </w:rPr>
        <w:t>c</w:t>
      </w:r>
      <w:r w:rsidR="00F655D6">
        <w:rPr>
          <w:rFonts w:ascii="Arial" w:hAnsi="Arial" w:cs="Arial"/>
          <w:sz w:val="24"/>
          <w:szCs w:val="24"/>
        </w:rPr>
        <w:t>entre</w:t>
      </w:r>
      <w:r w:rsidR="003E60AD">
        <w:rPr>
          <w:rFonts w:ascii="Arial" w:hAnsi="Arial" w:cs="Arial"/>
          <w:sz w:val="24"/>
          <w:szCs w:val="24"/>
        </w:rPr>
        <w:t xml:space="preserve">, </w:t>
      </w:r>
      <w:r w:rsidR="001A4B2A">
        <w:rPr>
          <w:rFonts w:ascii="Arial" w:hAnsi="Arial" w:cs="Arial"/>
          <w:sz w:val="24"/>
          <w:szCs w:val="24"/>
        </w:rPr>
        <w:t>including</w:t>
      </w:r>
      <w:r w:rsidR="003E60AD">
        <w:rPr>
          <w:rFonts w:ascii="Arial" w:hAnsi="Arial" w:cs="Arial"/>
          <w:sz w:val="24"/>
          <w:szCs w:val="24"/>
        </w:rPr>
        <w:t xml:space="preserve"> </w:t>
      </w:r>
      <w:r w:rsidR="00C97181">
        <w:rPr>
          <w:rFonts w:ascii="Arial" w:hAnsi="Arial" w:cs="Arial"/>
          <w:sz w:val="24"/>
          <w:szCs w:val="24"/>
        </w:rPr>
        <w:t xml:space="preserve">the </w:t>
      </w:r>
      <w:r w:rsidR="003E60AD">
        <w:rPr>
          <w:rFonts w:ascii="Arial" w:hAnsi="Arial" w:cs="Arial"/>
          <w:sz w:val="24"/>
          <w:szCs w:val="24"/>
        </w:rPr>
        <w:t>Chapel St</w:t>
      </w:r>
      <w:r w:rsidR="00E65C83">
        <w:rPr>
          <w:rFonts w:ascii="Arial" w:hAnsi="Arial" w:cs="Arial"/>
          <w:sz w:val="24"/>
          <w:szCs w:val="24"/>
        </w:rPr>
        <w:t>reet</w:t>
      </w:r>
      <w:r w:rsidR="003E60AD">
        <w:rPr>
          <w:rFonts w:ascii="Arial" w:hAnsi="Arial" w:cs="Arial"/>
          <w:sz w:val="24"/>
          <w:szCs w:val="24"/>
        </w:rPr>
        <w:t xml:space="preserve"> area</w:t>
      </w:r>
      <w:r w:rsidR="001A4B2A">
        <w:rPr>
          <w:rFonts w:ascii="Arial" w:hAnsi="Arial" w:cs="Arial"/>
          <w:sz w:val="24"/>
          <w:szCs w:val="24"/>
        </w:rPr>
        <w:t>)</w:t>
      </w:r>
      <w:r w:rsidR="00366F3F">
        <w:rPr>
          <w:rFonts w:ascii="Arial" w:hAnsi="Arial" w:cs="Arial"/>
          <w:sz w:val="24"/>
          <w:szCs w:val="24"/>
        </w:rPr>
        <w:t>. A</w:t>
      </w:r>
      <w:r w:rsidR="00965106">
        <w:rPr>
          <w:rFonts w:ascii="Arial" w:hAnsi="Arial" w:cs="Arial"/>
          <w:sz w:val="24"/>
          <w:szCs w:val="24"/>
        </w:rPr>
        <w:t xml:space="preserve">t the time of the 2021 Census, almost 85,000 people lived within one mile of </w:t>
      </w:r>
      <w:r w:rsidR="00366F3F">
        <w:rPr>
          <w:rFonts w:ascii="Arial" w:hAnsi="Arial" w:cs="Arial"/>
          <w:sz w:val="24"/>
          <w:szCs w:val="24"/>
        </w:rPr>
        <w:t>Piccadilly</w:t>
      </w:r>
      <w:r w:rsidR="003E60AD">
        <w:rPr>
          <w:rFonts w:ascii="Arial" w:hAnsi="Arial" w:cs="Arial"/>
          <w:sz w:val="24"/>
          <w:szCs w:val="24"/>
        </w:rPr>
        <w:t xml:space="preserve"> Gardens</w:t>
      </w:r>
      <w:r w:rsidR="00BB76C9">
        <w:rPr>
          <w:rFonts w:ascii="Arial" w:hAnsi="Arial" w:cs="Arial"/>
          <w:sz w:val="24"/>
          <w:szCs w:val="24"/>
        </w:rPr>
        <w:t xml:space="preserve"> in Manchester</w:t>
      </w:r>
      <w:r w:rsidR="00BB103D">
        <w:rPr>
          <w:rFonts w:ascii="Arial" w:hAnsi="Arial" w:cs="Arial"/>
          <w:sz w:val="24"/>
          <w:szCs w:val="24"/>
        </w:rPr>
        <w:t>,</w:t>
      </w:r>
      <w:r w:rsidR="00965106">
        <w:rPr>
          <w:rFonts w:ascii="Arial" w:hAnsi="Arial" w:cs="Arial"/>
          <w:sz w:val="24"/>
          <w:szCs w:val="24"/>
        </w:rPr>
        <w:t xml:space="preserve"> </w:t>
      </w:r>
      <w:r w:rsidR="00965106" w:rsidRPr="008D43D3">
        <w:rPr>
          <w:rFonts w:ascii="Arial" w:hAnsi="Arial" w:cs="Arial"/>
          <w:sz w:val="24"/>
          <w:szCs w:val="24"/>
        </w:rPr>
        <w:t xml:space="preserve">compared to </w:t>
      </w:r>
      <w:r w:rsidR="007B4CA1">
        <w:rPr>
          <w:rFonts w:ascii="Arial" w:hAnsi="Arial" w:cs="Arial"/>
          <w:sz w:val="24"/>
          <w:szCs w:val="24"/>
        </w:rPr>
        <w:t>around</w:t>
      </w:r>
      <w:r w:rsidR="007B4CA1" w:rsidRPr="008D43D3">
        <w:rPr>
          <w:rFonts w:ascii="Arial" w:hAnsi="Arial" w:cs="Arial"/>
          <w:sz w:val="24"/>
          <w:szCs w:val="24"/>
        </w:rPr>
        <w:t xml:space="preserve"> </w:t>
      </w:r>
      <w:r w:rsidR="000B2EA3">
        <w:rPr>
          <w:rFonts w:ascii="Arial" w:hAnsi="Arial" w:cs="Arial"/>
          <w:sz w:val="24"/>
          <w:szCs w:val="24"/>
        </w:rPr>
        <w:t>11,</w:t>
      </w:r>
      <w:r w:rsidR="007B4CA1">
        <w:rPr>
          <w:rFonts w:ascii="Arial" w:hAnsi="Arial" w:cs="Arial"/>
          <w:sz w:val="24"/>
          <w:szCs w:val="24"/>
        </w:rPr>
        <w:t>3</w:t>
      </w:r>
      <w:r w:rsidR="000B2EA3">
        <w:rPr>
          <w:rFonts w:ascii="Arial" w:hAnsi="Arial" w:cs="Arial"/>
          <w:sz w:val="24"/>
          <w:szCs w:val="24"/>
        </w:rPr>
        <w:t>00</w:t>
      </w:r>
      <w:r w:rsidR="00965106" w:rsidRPr="008D43D3">
        <w:rPr>
          <w:rFonts w:ascii="Arial" w:hAnsi="Arial" w:cs="Arial"/>
          <w:sz w:val="24"/>
          <w:szCs w:val="24"/>
        </w:rPr>
        <w:t xml:space="preserve"> in 1991</w:t>
      </w:r>
      <w:r>
        <w:rPr>
          <w:rFonts w:ascii="Arial" w:hAnsi="Arial" w:cs="Arial"/>
          <w:sz w:val="24"/>
          <w:szCs w:val="24"/>
        </w:rPr>
        <w:t>.</w:t>
      </w:r>
    </w:p>
    <w:p w14:paraId="62BF478F" w14:textId="71E3CC49" w:rsidR="00BB103D" w:rsidRPr="001A4B2A" w:rsidRDefault="00DD7E44">
      <w:pPr>
        <w:rPr>
          <w:rFonts w:ascii="Arial" w:hAnsi="Arial" w:cs="Arial"/>
          <w:sz w:val="24"/>
          <w:szCs w:val="24"/>
        </w:rPr>
      </w:pPr>
      <w:r>
        <w:rPr>
          <w:rFonts w:ascii="Arial" w:hAnsi="Arial" w:cs="Arial"/>
          <w:sz w:val="24"/>
          <w:szCs w:val="24"/>
        </w:rPr>
        <w:t>Most of the other major town centres across Greater Manchester</w:t>
      </w:r>
      <w:r w:rsidR="00BB103D">
        <w:rPr>
          <w:rFonts w:ascii="Arial" w:hAnsi="Arial" w:cs="Arial"/>
          <w:sz w:val="24"/>
          <w:szCs w:val="24"/>
        </w:rPr>
        <w:t xml:space="preserve"> also</w:t>
      </w:r>
      <w:r>
        <w:rPr>
          <w:rFonts w:ascii="Arial" w:hAnsi="Arial" w:cs="Arial"/>
          <w:sz w:val="24"/>
          <w:szCs w:val="24"/>
        </w:rPr>
        <w:t xml:space="preserve"> </w:t>
      </w:r>
      <w:r w:rsidR="0005556B">
        <w:rPr>
          <w:rFonts w:ascii="Arial" w:hAnsi="Arial" w:cs="Arial"/>
          <w:sz w:val="24"/>
          <w:szCs w:val="24"/>
        </w:rPr>
        <w:t>saw</w:t>
      </w:r>
      <w:r>
        <w:rPr>
          <w:rFonts w:ascii="Arial" w:hAnsi="Arial" w:cs="Arial"/>
          <w:sz w:val="24"/>
          <w:szCs w:val="24"/>
        </w:rPr>
        <w:t xml:space="preserve"> population </w:t>
      </w:r>
      <w:r w:rsidR="00BB103D">
        <w:rPr>
          <w:rFonts w:ascii="Arial" w:hAnsi="Arial" w:cs="Arial"/>
          <w:sz w:val="24"/>
          <w:szCs w:val="24"/>
        </w:rPr>
        <w:t>increases</w:t>
      </w:r>
      <w:r>
        <w:rPr>
          <w:rFonts w:ascii="Arial" w:hAnsi="Arial" w:cs="Arial"/>
          <w:sz w:val="24"/>
          <w:szCs w:val="24"/>
        </w:rPr>
        <w:t>. Where the population declined in local areas</w:t>
      </w:r>
      <w:r w:rsidR="000027A9">
        <w:rPr>
          <w:rFonts w:ascii="Arial" w:hAnsi="Arial" w:cs="Arial"/>
          <w:sz w:val="24"/>
          <w:szCs w:val="24"/>
        </w:rPr>
        <w:t xml:space="preserve"> (shown </w:t>
      </w:r>
      <w:r w:rsidR="00BB103D">
        <w:rPr>
          <w:rFonts w:ascii="Arial" w:hAnsi="Arial" w:cs="Arial"/>
          <w:sz w:val="24"/>
          <w:szCs w:val="24"/>
        </w:rPr>
        <w:t xml:space="preserve">by the </w:t>
      </w:r>
      <w:r w:rsidR="00E65C83">
        <w:rPr>
          <w:rFonts w:ascii="Arial" w:hAnsi="Arial" w:cs="Arial"/>
          <w:sz w:val="24"/>
          <w:szCs w:val="24"/>
        </w:rPr>
        <w:t>lighter green</w:t>
      </w:r>
      <w:r w:rsidR="00BB103D">
        <w:rPr>
          <w:rFonts w:ascii="Arial" w:hAnsi="Arial" w:cs="Arial"/>
          <w:sz w:val="24"/>
          <w:szCs w:val="24"/>
        </w:rPr>
        <w:t xml:space="preserve"> areas on the map</w:t>
      </w:r>
      <w:r w:rsidR="000027A9">
        <w:rPr>
          <w:rFonts w:ascii="Arial" w:hAnsi="Arial" w:cs="Arial"/>
          <w:sz w:val="24"/>
          <w:szCs w:val="24"/>
        </w:rPr>
        <w:t>)</w:t>
      </w:r>
      <w:r w:rsidR="0005556B">
        <w:rPr>
          <w:rFonts w:ascii="Arial" w:hAnsi="Arial" w:cs="Arial"/>
          <w:sz w:val="24"/>
          <w:szCs w:val="24"/>
        </w:rPr>
        <w:t>,</w:t>
      </w:r>
      <w:r>
        <w:rPr>
          <w:rFonts w:ascii="Arial" w:hAnsi="Arial" w:cs="Arial"/>
          <w:sz w:val="24"/>
          <w:szCs w:val="24"/>
        </w:rPr>
        <w:t xml:space="preserve"> this was generally </w:t>
      </w:r>
      <w:r w:rsidR="00362921">
        <w:rPr>
          <w:rFonts w:ascii="Arial" w:hAnsi="Arial" w:cs="Arial"/>
          <w:sz w:val="24"/>
          <w:szCs w:val="24"/>
        </w:rPr>
        <w:t xml:space="preserve">in </w:t>
      </w:r>
      <w:r>
        <w:rPr>
          <w:rFonts w:ascii="Arial" w:hAnsi="Arial" w:cs="Arial"/>
          <w:sz w:val="24"/>
          <w:szCs w:val="24"/>
        </w:rPr>
        <w:t xml:space="preserve">some of the less densely populated areas </w:t>
      </w:r>
      <w:r w:rsidR="0005556B">
        <w:rPr>
          <w:rFonts w:ascii="Arial" w:hAnsi="Arial" w:cs="Arial"/>
          <w:sz w:val="24"/>
          <w:szCs w:val="24"/>
        </w:rPr>
        <w:t>towards the periphery of</w:t>
      </w:r>
      <w:r>
        <w:rPr>
          <w:rFonts w:ascii="Arial" w:hAnsi="Arial" w:cs="Arial"/>
          <w:sz w:val="24"/>
          <w:szCs w:val="24"/>
        </w:rPr>
        <w:t xml:space="preserve"> Greater Manchester</w:t>
      </w:r>
      <w:r w:rsidR="00362921">
        <w:rPr>
          <w:rFonts w:ascii="Arial" w:hAnsi="Arial" w:cs="Arial"/>
          <w:sz w:val="24"/>
          <w:szCs w:val="24"/>
        </w:rPr>
        <w:t xml:space="preserve">, and </w:t>
      </w:r>
      <w:r w:rsidR="00BB103D">
        <w:rPr>
          <w:rFonts w:ascii="Arial" w:hAnsi="Arial" w:cs="Arial"/>
          <w:sz w:val="24"/>
          <w:szCs w:val="24"/>
        </w:rPr>
        <w:t xml:space="preserve">only </w:t>
      </w:r>
      <w:r w:rsidR="00362921">
        <w:rPr>
          <w:rFonts w:ascii="Arial" w:hAnsi="Arial" w:cs="Arial"/>
          <w:sz w:val="24"/>
          <w:szCs w:val="24"/>
        </w:rPr>
        <w:t>by a small percentage.</w:t>
      </w:r>
      <w:r w:rsidR="00BB103D">
        <w:rPr>
          <w:rFonts w:ascii="Arial" w:hAnsi="Arial" w:cs="Arial"/>
          <w:b/>
          <w:bCs/>
          <w:sz w:val="24"/>
          <w:szCs w:val="24"/>
        </w:rPr>
        <w:br w:type="page"/>
      </w:r>
    </w:p>
    <w:p w14:paraId="58079772" w14:textId="64FA38ED" w:rsidR="00DD7E44" w:rsidRPr="00874018" w:rsidRDefault="00E62755" w:rsidP="00C9692D">
      <w:pPr>
        <w:spacing w:line="240" w:lineRule="auto"/>
        <w:rPr>
          <w:rFonts w:ascii="Arial" w:hAnsi="Arial" w:cs="Arial"/>
          <w:b/>
          <w:bCs/>
          <w:sz w:val="24"/>
          <w:szCs w:val="24"/>
        </w:rPr>
      </w:pPr>
      <w:r>
        <w:rPr>
          <w:rFonts w:ascii="Arial" w:hAnsi="Arial" w:cs="Arial"/>
          <w:b/>
          <w:bCs/>
          <w:sz w:val="24"/>
          <w:szCs w:val="24"/>
        </w:rPr>
        <w:lastRenderedPageBreak/>
        <w:t>P</w:t>
      </w:r>
      <w:r w:rsidR="00DD7E44" w:rsidRPr="00874018">
        <w:rPr>
          <w:rFonts w:ascii="Arial" w:hAnsi="Arial" w:cs="Arial"/>
          <w:b/>
          <w:bCs/>
          <w:sz w:val="24"/>
          <w:szCs w:val="24"/>
        </w:rPr>
        <w:t xml:space="preserve">opulation change </w:t>
      </w:r>
      <w:r w:rsidR="00EA7487">
        <w:rPr>
          <w:rFonts w:ascii="Arial" w:hAnsi="Arial" w:cs="Arial"/>
          <w:b/>
          <w:bCs/>
          <w:sz w:val="24"/>
          <w:szCs w:val="24"/>
        </w:rPr>
        <w:t>across Greater Manchester</w:t>
      </w:r>
      <w:r>
        <w:rPr>
          <w:rFonts w:ascii="Arial" w:hAnsi="Arial" w:cs="Arial"/>
          <w:b/>
          <w:bCs/>
          <w:sz w:val="24"/>
          <w:szCs w:val="24"/>
        </w:rPr>
        <w:t>, 2011-2021</w:t>
      </w:r>
    </w:p>
    <w:p w14:paraId="290F624C" w14:textId="24D4FFA2" w:rsidR="008B209C" w:rsidRDefault="00353139" w:rsidP="008327B2">
      <w:pPr>
        <w:rPr>
          <w:rFonts w:ascii="Arial" w:hAnsi="Arial" w:cs="Arial"/>
          <w:sz w:val="24"/>
          <w:szCs w:val="24"/>
        </w:rPr>
      </w:pPr>
      <w:r>
        <w:rPr>
          <w:noProof/>
        </w:rPr>
        <w:drawing>
          <wp:inline distT="0" distB="0" distL="0" distR="0" wp14:anchorId="74C2C08E" wp14:editId="6D8867E9">
            <wp:extent cx="6300470" cy="4455160"/>
            <wp:effectExtent l="19050" t="19050" r="24130" b="21590"/>
            <wp:docPr id="3" name="Picture 3" descr="The map shows percentage change in  the population of Greater Manchester neighbourhoods between 2011 and 2021. The highest growth has occurred in central Manchester and in areas of Salford that are close to its border with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ap shows percentage change in  the population of Greater Manchester neighbourhoods between 2011 and 2021. The highest growth has occurred in central Manchester and in areas of Salford that are close to its border with Manches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0470" cy="4455160"/>
                    </a:xfrm>
                    <a:prstGeom prst="rect">
                      <a:avLst/>
                    </a:prstGeom>
                    <a:noFill/>
                    <a:ln>
                      <a:solidFill>
                        <a:schemeClr val="bg1">
                          <a:lumMod val="75000"/>
                        </a:schemeClr>
                      </a:solidFill>
                    </a:ln>
                  </pic:spPr>
                </pic:pic>
              </a:graphicData>
            </a:graphic>
          </wp:inline>
        </w:drawing>
      </w:r>
    </w:p>
    <w:p w14:paraId="71AA1923" w14:textId="30BE444C" w:rsidR="0005556B" w:rsidRPr="001A4B2A" w:rsidRDefault="0005556B" w:rsidP="00C9692D">
      <w:pPr>
        <w:spacing w:after="240"/>
        <w:rPr>
          <w:rFonts w:ascii="Arial" w:eastAsia="Times New Roman" w:hAnsi="Arial" w:cs="Arial"/>
          <w:color w:val="000000"/>
          <w:sz w:val="24"/>
          <w:szCs w:val="24"/>
          <w:lang w:eastAsia="en-GB"/>
        </w:rPr>
      </w:pPr>
      <w:r w:rsidRPr="001A4B2A">
        <w:rPr>
          <w:rFonts w:ascii="Arial" w:hAnsi="Arial" w:cs="Arial"/>
          <w:sz w:val="23"/>
          <w:szCs w:val="23"/>
        </w:rPr>
        <w:t>Source</w:t>
      </w:r>
      <w:r w:rsidR="000B2EA3" w:rsidRPr="001A4B2A">
        <w:rPr>
          <w:rFonts w:ascii="Arial" w:hAnsi="Arial" w:cs="Arial"/>
          <w:sz w:val="23"/>
          <w:szCs w:val="23"/>
        </w:rPr>
        <w:t>s</w:t>
      </w:r>
      <w:r w:rsidRPr="001A4B2A">
        <w:rPr>
          <w:rFonts w:ascii="Arial" w:hAnsi="Arial" w:cs="Arial"/>
          <w:sz w:val="23"/>
          <w:szCs w:val="23"/>
        </w:rPr>
        <w:t>:</w:t>
      </w:r>
      <w:r w:rsidR="000B2EA3" w:rsidRPr="001A4B2A">
        <w:rPr>
          <w:rFonts w:ascii="Arial" w:hAnsi="Arial" w:cs="Arial"/>
          <w:color w:val="000000" w:themeColor="text1"/>
          <w:sz w:val="24"/>
          <w:szCs w:val="24"/>
        </w:rPr>
        <w:t xml:space="preserve"> ONS, </w:t>
      </w:r>
      <w:r w:rsidR="000B2EA3" w:rsidRPr="001A4B2A">
        <w:rPr>
          <w:rFonts w:ascii="Arial" w:hAnsi="Arial" w:cs="Arial"/>
          <w:sz w:val="24"/>
          <w:szCs w:val="24"/>
        </w:rPr>
        <w:t>Census 2011</w:t>
      </w:r>
      <w:r w:rsidR="008E2A85" w:rsidRPr="001A4B2A">
        <w:rPr>
          <w:rFonts w:ascii="Arial" w:hAnsi="Arial" w:cs="Arial"/>
          <w:sz w:val="24"/>
          <w:szCs w:val="24"/>
        </w:rPr>
        <w:t>,</w:t>
      </w:r>
      <w:r w:rsidR="008E2A85" w:rsidRPr="001A4B2A">
        <w:rPr>
          <w:rFonts w:ascii="Arial" w:hAnsi="Arial" w:cs="Arial"/>
          <w:b/>
          <w:bCs/>
          <w:sz w:val="24"/>
          <w:szCs w:val="24"/>
        </w:rPr>
        <w:t xml:space="preserve"> </w:t>
      </w:r>
      <w:hyperlink r:id="rId24" w:history="1">
        <w:r w:rsidR="001F1E8A" w:rsidRPr="001A4B2A">
          <w:rPr>
            <w:rStyle w:val="Hyperlink"/>
            <w:rFonts w:cs="Arial"/>
            <w:b w:val="0"/>
            <w:bCs/>
            <w:color w:val="0000FF"/>
            <w:sz w:val="24"/>
            <w:szCs w:val="24"/>
          </w:rPr>
          <w:t>KS102UK (Age Structure) - Nomis</w:t>
        </w:r>
      </w:hyperlink>
      <w:r w:rsidR="001F1E8A" w:rsidRPr="001A4B2A">
        <w:rPr>
          <w:rFonts w:ascii="Arial" w:hAnsi="Arial" w:cs="Arial"/>
          <w:sz w:val="24"/>
          <w:szCs w:val="24"/>
        </w:rPr>
        <w:t xml:space="preserve">; </w:t>
      </w:r>
      <w:r w:rsidR="000B2EA3" w:rsidRPr="001A4B2A">
        <w:rPr>
          <w:rFonts w:ascii="Arial" w:hAnsi="Arial" w:cs="Arial"/>
          <w:sz w:val="24"/>
          <w:szCs w:val="24"/>
        </w:rPr>
        <w:t>ONS,</w:t>
      </w:r>
      <w:r w:rsidR="000B2EA3" w:rsidRPr="001A4B2A">
        <w:rPr>
          <w:rFonts w:ascii="Arial" w:hAnsi="Arial" w:cs="Arial"/>
          <w:color w:val="000000" w:themeColor="text1"/>
          <w:sz w:val="24"/>
          <w:szCs w:val="24"/>
        </w:rPr>
        <w:t xml:space="preserve"> Census 2021</w:t>
      </w:r>
      <w:r w:rsidR="008E2A85" w:rsidRPr="001A4B2A">
        <w:rPr>
          <w:rFonts w:ascii="Arial" w:hAnsi="Arial" w:cs="Arial"/>
          <w:color w:val="000000" w:themeColor="text1"/>
          <w:sz w:val="24"/>
          <w:szCs w:val="24"/>
        </w:rPr>
        <w:t xml:space="preserve">, </w:t>
      </w:r>
      <w:hyperlink r:id="rId25" w:history="1">
        <w:r w:rsidR="000B2EA3" w:rsidRPr="001A4B2A">
          <w:rPr>
            <w:rFonts w:ascii="Arial" w:hAnsi="Arial" w:cs="Arial"/>
            <w:color w:val="0000FF"/>
            <w:sz w:val="24"/>
            <w:szCs w:val="24"/>
            <w:u w:val="single"/>
          </w:rPr>
          <w:t>TS001 - Number of usual residents in households and communal establishments - Nomis</w:t>
        </w:r>
      </w:hyperlink>
    </w:p>
    <w:p w14:paraId="6E2E3D06" w14:textId="1E4B54B2" w:rsidR="00C9692D" w:rsidRDefault="0005311C">
      <w:pPr>
        <w:rPr>
          <w:rFonts w:ascii="Arial" w:hAnsi="Arial" w:cs="Arial"/>
          <w:sz w:val="24"/>
          <w:szCs w:val="24"/>
        </w:rPr>
      </w:pPr>
      <w:r>
        <w:rPr>
          <w:rFonts w:ascii="Arial" w:hAnsi="Arial" w:cs="Arial"/>
          <w:sz w:val="24"/>
          <w:szCs w:val="24"/>
        </w:rPr>
        <w:t xml:space="preserve">The chart below shows </w:t>
      </w:r>
      <w:r w:rsidR="006C5AF4">
        <w:rPr>
          <w:rFonts w:ascii="Arial" w:hAnsi="Arial" w:cs="Arial"/>
          <w:sz w:val="24"/>
          <w:szCs w:val="24"/>
        </w:rPr>
        <w:t xml:space="preserve">population </w:t>
      </w:r>
      <w:r>
        <w:rPr>
          <w:rFonts w:ascii="Arial" w:hAnsi="Arial" w:cs="Arial"/>
          <w:sz w:val="24"/>
          <w:szCs w:val="24"/>
        </w:rPr>
        <w:t xml:space="preserve">change </w:t>
      </w:r>
      <w:r w:rsidR="006C5AF4">
        <w:rPr>
          <w:rFonts w:ascii="Arial" w:hAnsi="Arial" w:cs="Arial"/>
          <w:sz w:val="24"/>
          <w:szCs w:val="24"/>
        </w:rPr>
        <w:t xml:space="preserve">over a more extended period, </w:t>
      </w:r>
      <w:r>
        <w:rPr>
          <w:rFonts w:ascii="Arial" w:hAnsi="Arial" w:cs="Arial"/>
          <w:sz w:val="24"/>
          <w:szCs w:val="24"/>
        </w:rPr>
        <w:t xml:space="preserve">between 1981 and 2021, ‘indexed’ to a common starting point </w:t>
      </w:r>
      <w:r w:rsidR="0056200D">
        <w:rPr>
          <w:rFonts w:ascii="Arial" w:hAnsi="Arial" w:cs="Arial"/>
          <w:sz w:val="24"/>
          <w:szCs w:val="24"/>
        </w:rPr>
        <w:t xml:space="preserve">of 100 </w:t>
      </w:r>
      <w:r>
        <w:rPr>
          <w:rFonts w:ascii="Arial" w:hAnsi="Arial" w:cs="Arial"/>
          <w:sz w:val="24"/>
          <w:szCs w:val="24"/>
        </w:rPr>
        <w:t>in 1981</w:t>
      </w:r>
      <w:r w:rsidR="004C5190">
        <w:rPr>
          <w:rFonts w:ascii="Arial" w:hAnsi="Arial" w:cs="Arial"/>
          <w:sz w:val="24"/>
          <w:szCs w:val="24"/>
        </w:rPr>
        <w:t xml:space="preserve"> </w:t>
      </w:r>
      <w:r>
        <w:rPr>
          <w:rFonts w:ascii="Arial" w:hAnsi="Arial" w:cs="Arial"/>
          <w:sz w:val="24"/>
          <w:szCs w:val="24"/>
        </w:rPr>
        <w:t xml:space="preserve">to allow </w:t>
      </w:r>
      <w:r w:rsidR="0056200D">
        <w:rPr>
          <w:rFonts w:ascii="Arial" w:hAnsi="Arial" w:cs="Arial"/>
          <w:sz w:val="24"/>
          <w:szCs w:val="24"/>
        </w:rPr>
        <w:t xml:space="preserve">for </w:t>
      </w:r>
      <w:r>
        <w:rPr>
          <w:rFonts w:ascii="Arial" w:hAnsi="Arial" w:cs="Arial"/>
          <w:sz w:val="24"/>
          <w:szCs w:val="24"/>
        </w:rPr>
        <w:t>easier comparison</w:t>
      </w:r>
      <w:r w:rsidR="006C5AF4">
        <w:rPr>
          <w:rFonts w:ascii="Arial" w:hAnsi="Arial" w:cs="Arial"/>
          <w:sz w:val="24"/>
          <w:szCs w:val="24"/>
        </w:rPr>
        <w:t xml:space="preserve"> between places</w:t>
      </w:r>
      <w:r>
        <w:rPr>
          <w:rFonts w:ascii="Arial" w:hAnsi="Arial" w:cs="Arial"/>
          <w:sz w:val="24"/>
          <w:szCs w:val="24"/>
        </w:rPr>
        <w:t xml:space="preserve">. </w:t>
      </w:r>
      <w:r w:rsidR="00965106">
        <w:rPr>
          <w:rFonts w:ascii="Arial" w:hAnsi="Arial" w:cs="Arial"/>
          <w:sz w:val="24"/>
          <w:szCs w:val="24"/>
        </w:rPr>
        <w:t>P</w:t>
      </w:r>
      <w:r>
        <w:rPr>
          <w:rFonts w:ascii="Arial" w:hAnsi="Arial" w:cs="Arial"/>
          <w:sz w:val="24"/>
          <w:szCs w:val="24"/>
        </w:rPr>
        <w:t xml:space="preserve">opulation growth in Manchester </w:t>
      </w:r>
      <w:r w:rsidR="00563042">
        <w:rPr>
          <w:rFonts w:ascii="Arial" w:hAnsi="Arial" w:cs="Arial"/>
          <w:sz w:val="24"/>
          <w:szCs w:val="24"/>
        </w:rPr>
        <w:t xml:space="preserve">over the period </w:t>
      </w:r>
      <w:r>
        <w:rPr>
          <w:rFonts w:ascii="Arial" w:hAnsi="Arial" w:cs="Arial"/>
          <w:sz w:val="24"/>
          <w:szCs w:val="24"/>
        </w:rPr>
        <w:t>(26.1%) outstripp</w:t>
      </w:r>
      <w:r w:rsidR="00965106">
        <w:rPr>
          <w:rFonts w:ascii="Arial" w:hAnsi="Arial" w:cs="Arial"/>
          <w:sz w:val="24"/>
          <w:szCs w:val="24"/>
        </w:rPr>
        <w:t>ed</w:t>
      </w:r>
      <w:r>
        <w:rPr>
          <w:rFonts w:ascii="Arial" w:hAnsi="Arial" w:cs="Arial"/>
          <w:sz w:val="24"/>
          <w:szCs w:val="24"/>
        </w:rPr>
        <w:t xml:space="preserve"> that </w:t>
      </w:r>
      <w:r w:rsidR="0056200D">
        <w:rPr>
          <w:rFonts w:ascii="Arial" w:hAnsi="Arial" w:cs="Arial"/>
          <w:sz w:val="24"/>
          <w:szCs w:val="24"/>
        </w:rPr>
        <w:t>for</w:t>
      </w:r>
      <w:r>
        <w:rPr>
          <w:rFonts w:ascii="Arial" w:hAnsi="Arial" w:cs="Arial"/>
          <w:sz w:val="24"/>
          <w:szCs w:val="24"/>
        </w:rPr>
        <w:t xml:space="preserve"> England (23.4%), with </w:t>
      </w:r>
      <w:r w:rsidR="004C5190">
        <w:rPr>
          <w:rFonts w:ascii="Arial" w:hAnsi="Arial" w:cs="Arial"/>
          <w:sz w:val="24"/>
          <w:szCs w:val="24"/>
        </w:rPr>
        <w:t>high</w:t>
      </w:r>
      <w:r>
        <w:rPr>
          <w:rFonts w:ascii="Arial" w:hAnsi="Arial" w:cs="Arial"/>
          <w:sz w:val="24"/>
          <w:szCs w:val="24"/>
        </w:rPr>
        <w:t xml:space="preserve"> growth </w:t>
      </w:r>
      <w:r w:rsidR="004C5190">
        <w:rPr>
          <w:rFonts w:ascii="Arial" w:hAnsi="Arial" w:cs="Arial"/>
          <w:sz w:val="24"/>
          <w:szCs w:val="24"/>
        </w:rPr>
        <w:t>between</w:t>
      </w:r>
      <w:r>
        <w:rPr>
          <w:rFonts w:ascii="Arial" w:hAnsi="Arial" w:cs="Arial"/>
          <w:sz w:val="24"/>
          <w:szCs w:val="24"/>
        </w:rPr>
        <w:t xml:space="preserve"> 2001 and 2011</w:t>
      </w:r>
      <w:r w:rsidR="004C5190">
        <w:rPr>
          <w:rFonts w:ascii="Arial" w:hAnsi="Arial" w:cs="Arial"/>
          <w:sz w:val="24"/>
          <w:szCs w:val="24"/>
        </w:rPr>
        <w:t xml:space="preserve"> after a period of declining population from 1981 to 2001</w:t>
      </w:r>
      <w:r>
        <w:rPr>
          <w:rFonts w:ascii="Arial" w:hAnsi="Arial" w:cs="Arial"/>
          <w:sz w:val="24"/>
          <w:szCs w:val="24"/>
        </w:rPr>
        <w:t xml:space="preserve">. Overall growth across Greater Manchester over this period (11.4%) was considerably below the national average. </w:t>
      </w:r>
      <w:r w:rsidR="00563042">
        <w:rPr>
          <w:rFonts w:ascii="Arial" w:hAnsi="Arial" w:cs="Arial"/>
          <w:sz w:val="24"/>
          <w:szCs w:val="24"/>
        </w:rPr>
        <w:t>G</w:t>
      </w:r>
      <w:r>
        <w:rPr>
          <w:rFonts w:ascii="Arial" w:hAnsi="Arial" w:cs="Arial"/>
          <w:sz w:val="24"/>
          <w:szCs w:val="24"/>
        </w:rPr>
        <w:t xml:space="preserve">rowth </w:t>
      </w:r>
      <w:r w:rsidR="00563042">
        <w:rPr>
          <w:rFonts w:ascii="Arial" w:hAnsi="Arial" w:cs="Arial"/>
          <w:sz w:val="24"/>
          <w:szCs w:val="24"/>
        </w:rPr>
        <w:t xml:space="preserve">in Salford </w:t>
      </w:r>
      <w:r w:rsidR="00965106">
        <w:rPr>
          <w:rFonts w:ascii="Arial" w:hAnsi="Arial" w:cs="Arial"/>
          <w:sz w:val="24"/>
          <w:szCs w:val="24"/>
        </w:rPr>
        <w:t xml:space="preserve">(11.8%) </w:t>
      </w:r>
      <w:r>
        <w:rPr>
          <w:rFonts w:ascii="Arial" w:hAnsi="Arial" w:cs="Arial"/>
          <w:sz w:val="24"/>
          <w:szCs w:val="24"/>
        </w:rPr>
        <w:t xml:space="preserve">was </w:t>
      </w:r>
      <w:r w:rsidR="0056200D">
        <w:rPr>
          <w:rFonts w:ascii="Arial" w:hAnsi="Arial" w:cs="Arial"/>
          <w:sz w:val="24"/>
          <w:szCs w:val="24"/>
        </w:rPr>
        <w:t>similar</w:t>
      </w:r>
      <w:r w:rsidR="00965106">
        <w:rPr>
          <w:rFonts w:ascii="Arial" w:hAnsi="Arial" w:cs="Arial"/>
          <w:sz w:val="24"/>
          <w:szCs w:val="24"/>
        </w:rPr>
        <w:t xml:space="preserve"> to Greater </w:t>
      </w:r>
      <w:r w:rsidR="00A34ECE">
        <w:rPr>
          <w:rFonts w:ascii="Arial" w:hAnsi="Arial" w:cs="Arial"/>
          <w:sz w:val="24"/>
          <w:szCs w:val="24"/>
        </w:rPr>
        <w:t>Manchester but</w:t>
      </w:r>
      <w:r w:rsidR="00965106">
        <w:rPr>
          <w:rFonts w:ascii="Arial" w:hAnsi="Arial" w:cs="Arial"/>
          <w:sz w:val="24"/>
          <w:szCs w:val="24"/>
        </w:rPr>
        <w:t xml:space="preserve"> more concentrated in the decade 2011 to 2021, driven by new residential development a</w:t>
      </w:r>
      <w:r w:rsidR="00F655D6">
        <w:rPr>
          <w:rFonts w:ascii="Arial" w:hAnsi="Arial" w:cs="Arial"/>
          <w:sz w:val="24"/>
          <w:szCs w:val="24"/>
        </w:rPr>
        <w:t xml:space="preserve">round </w:t>
      </w:r>
      <w:r w:rsidR="00965106">
        <w:rPr>
          <w:rFonts w:ascii="Arial" w:hAnsi="Arial" w:cs="Arial"/>
          <w:sz w:val="24"/>
          <w:szCs w:val="24"/>
        </w:rPr>
        <w:t>Salford Quays</w:t>
      </w:r>
      <w:r w:rsidR="00F655D6">
        <w:rPr>
          <w:rFonts w:ascii="Arial" w:hAnsi="Arial" w:cs="Arial"/>
          <w:sz w:val="24"/>
          <w:szCs w:val="24"/>
        </w:rPr>
        <w:t xml:space="preserve"> and </w:t>
      </w:r>
      <w:r w:rsidR="0056200D">
        <w:rPr>
          <w:rFonts w:ascii="Arial" w:hAnsi="Arial" w:cs="Arial"/>
          <w:sz w:val="24"/>
          <w:szCs w:val="24"/>
        </w:rPr>
        <w:t>areas in Salford close</w:t>
      </w:r>
      <w:r w:rsidR="00F655D6">
        <w:rPr>
          <w:rFonts w:ascii="Arial" w:hAnsi="Arial" w:cs="Arial"/>
          <w:sz w:val="24"/>
          <w:szCs w:val="24"/>
        </w:rPr>
        <w:t xml:space="preserve"> to Manchester </w:t>
      </w:r>
      <w:r w:rsidR="0056200D">
        <w:rPr>
          <w:rFonts w:ascii="Arial" w:hAnsi="Arial" w:cs="Arial"/>
          <w:sz w:val="24"/>
          <w:szCs w:val="24"/>
        </w:rPr>
        <w:t>c</w:t>
      </w:r>
      <w:r w:rsidR="00F655D6">
        <w:rPr>
          <w:rFonts w:ascii="Arial" w:hAnsi="Arial" w:cs="Arial"/>
          <w:sz w:val="24"/>
          <w:szCs w:val="24"/>
        </w:rPr>
        <w:t xml:space="preserve">ity </w:t>
      </w:r>
      <w:r w:rsidR="0056200D">
        <w:rPr>
          <w:rFonts w:ascii="Arial" w:hAnsi="Arial" w:cs="Arial"/>
          <w:sz w:val="24"/>
          <w:szCs w:val="24"/>
        </w:rPr>
        <w:t>c</w:t>
      </w:r>
      <w:r w:rsidR="00F655D6">
        <w:rPr>
          <w:rFonts w:ascii="Arial" w:hAnsi="Arial" w:cs="Arial"/>
          <w:sz w:val="24"/>
          <w:szCs w:val="24"/>
        </w:rPr>
        <w:t>entre</w:t>
      </w:r>
      <w:r w:rsidR="00E4609E">
        <w:rPr>
          <w:rFonts w:ascii="Arial" w:hAnsi="Arial" w:cs="Arial"/>
          <w:sz w:val="24"/>
          <w:szCs w:val="24"/>
        </w:rPr>
        <w:t xml:space="preserve"> such as Chapel Street</w:t>
      </w:r>
      <w:r w:rsidR="00965106">
        <w:rPr>
          <w:rFonts w:ascii="Arial" w:hAnsi="Arial" w:cs="Arial"/>
          <w:sz w:val="24"/>
          <w:szCs w:val="24"/>
        </w:rPr>
        <w:t>.</w:t>
      </w:r>
      <w:r w:rsidR="00A52C51">
        <w:rPr>
          <w:rFonts w:ascii="Arial" w:hAnsi="Arial" w:cs="Arial"/>
          <w:sz w:val="24"/>
          <w:szCs w:val="24"/>
        </w:rPr>
        <w:t xml:space="preserve"> </w:t>
      </w:r>
      <w:r w:rsidR="00E4609E">
        <w:rPr>
          <w:rFonts w:ascii="Arial" w:hAnsi="Arial" w:cs="Arial"/>
          <w:sz w:val="24"/>
          <w:szCs w:val="24"/>
        </w:rPr>
        <w:t>The s</w:t>
      </w:r>
      <w:r w:rsidR="00A52C51">
        <w:rPr>
          <w:rFonts w:ascii="Arial" w:hAnsi="Arial" w:cs="Arial"/>
          <w:sz w:val="24"/>
          <w:szCs w:val="24"/>
        </w:rPr>
        <w:t>mallest percentage change</w:t>
      </w:r>
      <w:r w:rsidR="00C9692D">
        <w:rPr>
          <w:rFonts w:ascii="Arial" w:hAnsi="Arial" w:cs="Arial"/>
          <w:sz w:val="24"/>
          <w:szCs w:val="24"/>
        </w:rPr>
        <w:t xml:space="preserve"> over the 30-year period</w:t>
      </w:r>
      <w:r w:rsidR="00A52C51">
        <w:rPr>
          <w:rFonts w:ascii="Arial" w:hAnsi="Arial" w:cs="Arial"/>
          <w:sz w:val="24"/>
          <w:szCs w:val="24"/>
        </w:rPr>
        <w:t xml:space="preserve"> occurred in Stockport (2.0%)</w:t>
      </w:r>
      <w:r w:rsidR="00C9692D">
        <w:rPr>
          <w:rFonts w:ascii="Arial" w:hAnsi="Arial" w:cs="Arial"/>
          <w:sz w:val="24"/>
          <w:szCs w:val="24"/>
        </w:rPr>
        <w:t>; the remaining seven Greater Manchester districts are not charted for ease of interpretation, but saw change</w:t>
      </w:r>
      <w:r w:rsidR="00814A63">
        <w:rPr>
          <w:rFonts w:ascii="Arial" w:hAnsi="Arial" w:cs="Arial"/>
          <w:sz w:val="24"/>
          <w:szCs w:val="24"/>
        </w:rPr>
        <w:t xml:space="preserve"> within a more clustered range (</w:t>
      </w:r>
      <w:r w:rsidR="00C9692D">
        <w:rPr>
          <w:rFonts w:ascii="Arial" w:hAnsi="Arial" w:cs="Arial"/>
          <w:sz w:val="24"/>
          <w:szCs w:val="24"/>
        </w:rPr>
        <w:t xml:space="preserve">from 6.4% </w:t>
      </w:r>
      <w:r w:rsidR="00814A63">
        <w:rPr>
          <w:rFonts w:ascii="Arial" w:hAnsi="Arial" w:cs="Arial"/>
          <w:sz w:val="24"/>
          <w:szCs w:val="24"/>
        </w:rPr>
        <w:t xml:space="preserve">in </w:t>
      </w:r>
      <w:r w:rsidR="00C9692D">
        <w:rPr>
          <w:rFonts w:ascii="Arial" w:hAnsi="Arial" w:cs="Arial"/>
          <w:sz w:val="24"/>
          <w:szCs w:val="24"/>
        </w:rPr>
        <w:t xml:space="preserve">Trafford to 13.7% </w:t>
      </w:r>
      <w:r w:rsidR="00814A63">
        <w:rPr>
          <w:rFonts w:ascii="Arial" w:hAnsi="Arial" w:cs="Arial"/>
          <w:sz w:val="24"/>
          <w:szCs w:val="24"/>
        </w:rPr>
        <w:t xml:space="preserve">in </w:t>
      </w:r>
      <w:r w:rsidR="00C9692D">
        <w:rPr>
          <w:rFonts w:ascii="Arial" w:hAnsi="Arial" w:cs="Arial"/>
          <w:sz w:val="24"/>
          <w:szCs w:val="24"/>
        </w:rPr>
        <w:t>Bolton).</w:t>
      </w:r>
      <w:r w:rsidR="00C9692D">
        <w:rPr>
          <w:rFonts w:ascii="Arial" w:hAnsi="Arial" w:cs="Arial"/>
          <w:sz w:val="24"/>
          <w:szCs w:val="24"/>
        </w:rPr>
        <w:br w:type="page"/>
      </w:r>
    </w:p>
    <w:p w14:paraId="74961114" w14:textId="77777777" w:rsidR="00F54CE8" w:rsidRDefault="0005311C" w:rsidP="00C9692D">
      <w:pPr>
        <w:spacing w:after="60"/>
      </w:pPr>
      <w:r>
        <w:rPr>
          <w:rFonts w:ascii="Arial" w:hAnsi="Arial" w:cs="Arial"/>
          <w:b/>
          <w:bCs/>
          <w:sz w:val="24"/>
          <w:szCs w:val="24"/>
        </w:rPr>
        <w:lastRenderedPageBreak/>
        <w:t>P</w:t>
      </w:r>
      <w:r w:rsidR="00DD7E44" w:rsidRPr="00C74E01">
        <w:rPr>
          <w:rFonts w:ascii="Arial" w:hAnsi="Arial" w:cs="Arial"/>
          <w:b/>
          <w:bCs/>
          <w:sz w:val="24"/>
          <w:szCs w:val="24"/>
        </w:rPr>
        <w:t xml:space="preserve">opulation change, 1981-2021, </w:t>
      </w:r>
      <w:r>
        <w:rPr>
          <w:rFonts w:ascii="Arial" w:hAnsi="Arial" w:cs="Arial"/>
          <w:b/>
          <w:bCs/>
          <w:sz w:val="24"/>
          <w:szCs w:val="24"/>
        </w:rPr>
        <w:t xml:space="preserve">indexed </w:t>
      </w:r>
      <w:r w:rsidR="00DD7E44" w:rsidRPr="00C74E01">
        <w:rPr>
          <w:rFonts w:ascii="Arial" w:hAnsi="Arial" w:cs="Arial"/>
          <w:b/>
          <w:bCs/>
          <w:sz w:val="24"/>
          <w:szCs w:val="24"/>
        </w:rPr>
        <w:t>(1981=100)</w:t>
      </w:r>
      <w:r w:rsidR="00C9692D" w:rsidRPr="00C9692D">
        <w:t xml:space="preserve"> </w:t>
      </w:r>
    </w:p>
    <w:p w14:paraId="4089D443" w14:textId="0D50ECB8" w:rsidR="00A52C51" w:rsidRDefault="00C9692D" w:rsidP="00C9692D">
      <w:pPr>
        <w:spacing w:after="60"/>
        <w:rPr>
          <w:rFonts w:ascii="Arial" w:hAnsi="Arial" w:cs="Arial"/>
          <w:i/>
          <w:iCs/>
          <w:sz w:val="24"/>
          <w:szCs w:val="24"/>
        </w:rPr>
      </w:pPr>
      <w:r w:rsidRPr="00C9692D">
        <w:rPr>
          <w:noProof/>
        </w:rPr>
        <w:drawing>
          <wp:inline distT="0" distB="0" distL="0" distR="0" wp14:anchorId="164E2AD8" wp14:editId="683D2688">
            <wp:extent cx="6300470" cy="3176905"/>
            <wp:effectExtent l="19050" t="19050" r="24130" b="23495"/>
            <wp:docPr id="34" name="Picture 34" descr="A line chart showing percentage change in the population between 1981 and 2021 for selected areas: Manchester, Salford, Stockport, Greater Manchester, North West and England.  All areas have been set to an indexed value of 100 in 1981, to assist comparison.&#10;&#10;Manchester's population increased rapidly in the last two decades, and Salford's population has grown particularly fast in the last decade. For Stockport, the population in 2021 was only slightly larger than it was in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ine chart showing percentage change in the population between 1981 and 2021 for selected areas: Manchester, Salford, Stockport, Greater Manchester, North West and England.  All areas have been set to an indexed value of 100 in 1981, to assist comparison.&#10;&#10;Manchester's population increased rapidly in the last two decades, and Salford's population has grown particularly fast in the last decade. For Stockport, the population in 2021 was only slightly larger than it was in 19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3176905"/>
                    </a:xfrm>
                    <a:prstGeom prst="rect">
                      <a:avLst/>
                    </a:prstGeom>
                    <a:noFill/>
                    <a:ln>
                      <a:solidFill>
                        <a:schemeClr val="bg1">
                          <a:lumMod val="75000"/>
                        </a:schemeClr>
                      </a:solidFill>
                    </a:ln>
                  </pic:spPr>
                </pic:pic>
              </a:graphicData>
            </a:graphic>
          </wp:inline>
        </w:drawing>
      </w:r>
      <w:r w:rsidR="00D356FE" w:rsidRPr="00D356FE" w:rsidDel="00974A1E">
        <w:t xml:space="preserve"> </w:t>
      </w:r>
    </w:p>
    <w:p w14:paraId="7FBBD373" w14:textId="6CBD9855" w:rsidR="00965106" w:rsidRPr="006B28AB" w:rsidRDefault="00372E31" w:rsidP="008327B2">
      <w:pPr>
        <w:rPr>
          <w:rFonts w:ascii="Arial" w:eastAsia="Times New Roman" w:hAnsi="Arial" w:cs="Arial"/>
          <w:color w:val="000000"/>
          <w:sz w:val="24"/>
          <w:szCs w:val="24"/>
          <w:lang w:eastAsia="en-GB"/>
        </w:rPr>
      </w:pPr>
      <w:r w:rsidRPr="001A4B2A">
        <w:rPr>
          <w:rFonts w:ascii="Arial" w:hAnsi="Arial" w:cs="Arial"/>
          <w:sz w:val="24"/>
          <w:szCs w:val="24"/>
        </w:rPr>
        <w:t>Sources: OPCS, Census 1981</w:t>
      </w:r>
      <w:r w:rsidR="008E2A85" w:rsidRPr="001A4B2A">
        <w:rPr>
          <w:rFonts w:ascii="Arial" w:hAnsi="Arial" w:cs="Arial"/>
          <w:sz w:val="24"/>
          <w:szCs w:val="24"/>
        </w:rPr>
        <w:t xml:space="preserve">, </w:t>
      </w:r>
      <w:hyperlink r:id="rId27" w:history="1">
        <w:r w:rsidR="001F1E8A" w:rsidRPr="001A4B2A">
          <w:rPr>
            <w:rStyle w:val="Hyperlink"/>
            <w:rFonts w:cs="Arial"/>
            <w:b w:val="0"/>
            <w:bCs/>
            <w:color w:val="0000FF"/>
            <w:sz w:val="24"/>
            <w:szCs w:val="24"/>
          </w:rPr>
          <w:t>Nomis</w:t>
        </w:r>
      </w:hyperlink>
      <w:r w:rsidR="001F1E8A" w:rsidRPr="001A4B2A">
        <w:rPr>
          <w:rFonts w:ascii="Arial" w:hAnsi="Arial" w:cs="Arial"/>
          <w:sz w:val="24"/>
          <w:szCs w:val="24"/>
        </w:rPr>
        <w:t xml:space="preserve">; </w:t>
      </w:r>
      <w:r w:rsidRPr="001A4B2A">
        <w:rPr>
          <w:rFonts w:ascii="Arial" w:hAnsi="Arial" w:cs="Arial"/>
          <w:sz w:val="24"/>
          <w:szCs w:val="24"/>
        </w:rPr>
        <w:t>OPCS, Census 1991</w:t>
      </w:r>
      <w:r w:rsidR="008E2A85" w:rsidRPr="001A4B2A">
        <w:rPr>
          <w:rFonts w:ascii="Arial" w:hAnsi="Arial" w:cs="Arial"/>
          <w:sz w:val="24"/>
          <w:szCs w:val="24"/>
        </w:rPr>
        <w:t xml:space="preserve">, </w:t>
      </w:r>
      <w:hyperlink r:id="rId28" w:history="1">
        <w:r w:rsidR="001F1E8A" w:rsidRPr="001A4B2A">
          <w:rPr>
            <w:rStyle w:val="Hyperlink"/>
            <w:rFonts w:cs="Arial"/>
            <w:b w:val="0"/>
            <w:bCs/>
            <w:color w:val="0000FF"/>
            <w:sz w:val="24"/>
            <w:szCs w:val="24"/>
          </w:rPr>
          <w:t>Nomis</w:t>
        </w:r>
      </w:hyperlink>
      <w:r w:rsidR="001F1E8A" w:rsidRPr="001A4B2A">
        <w:rPr>
          <w:rFonts w:ascii="Arial" w:hAnsi="Arial" w:cs="Arial"/>
          <w:sz w:val="24"/>
          <w:szCs w:val="24"/>
        </w:rPr>
        <w:t xml:space="preserve">; </w:t>
      </w:r>
      <w:r w:rsidRPr="001A4B2A">
        <w:rPr>
          <w:rFonts w:ascii="Arial" w:hAnsi="Arial" w:cs="Arial"/>
          <w:sz w:val="24"/>
          <w:szCs w:val="24"/>
        </w:rPr>
        <w:t>ONS, Census 2001</w:t>
      </w:r>
      <w:r w:rsidR="008E2A85" w:rsidRPr="001A4B2A">
        <w:rPr>
          <w:rFonts w:ascii="Arial" w:hAnsi="Arial" w:cs="Arial"/>
          <w:sz w:val="24"/>
          <w:szCs w:val="24"/>
        </w:rPr>
        <w:t xml:space="preserve">, </w:t>
      </w:r>
      <w:hyperlink r:id="rId29" w:history="1">
        <w:r w:rsidR="001F1E8A" w:rsidRPr="001A4B2A">
          <w:rPr>
            <w:rStyle w:val="Hyperlink"/>
            <w:rFonts w:cs="Arial"/>
            <w:b w:val="0"/>
            <w:bCs/>
            <w:color w:val="0000FF"/>
            <w:sz w:val="24"/>
            <w:szCs w:val="24"/>
          </w:rPr>
          <w:t>Nomis</w:t>
        </w:r>
      </w:hyperlink>
      <w:r w:rsidR="001F1E8A" w:rsidRPr="001A4B2A">
        <w:rPr>
          <w:rFonts w:ascii="Arial" w:hAnsi="Arial" w:cs="Arial"/>
          <w:sz w:val="24"/>
          <w:szCs w:val="24"/>
        </w:rPr>
        <w:t xml:space="preserve">; </w:t>
      </w:r>
      <w:r w:rsidRPr="001A4B2A">
        <w:rPr>
          <w:rFonts w:ascii="Arial" w:hAnsi="Arial" w:cs="Arial"/>
          <w:color w:val="000000" w:themeColor="text1"/>
          <w:sz w:val="24"/>
          <w:szCs w:val="24"/>
        </w:rPr>
        <w:t xml:space="preserve">ONS, </w:t>
      </w:r>
      <w:r w:rsidRPr="001A4B2A">
        <w:rPr>
          <w:rFonts w:ascii="Arial" w:hAnsi="Arial" w:cs="Arial"/>
          <w:sz w:val="24"/>
          <w:szCs w:val="24"/>
        </w:rPr>
        <w:t>Census 2011</w:t>
      </w:r>
      <w:r w:rsidR="008E2A85" w:rsidRPr="001A4B2A">
        <w:rPr>
          <w:rFonts w:ascii="Arial" w:hAnsi="Arial" w:cs="Arial"/>
          <w:b/>
          <w:bCs/>
          <w:sz w:val="24"/>
          <w:szCs w:val="24"/>
        </w:rPr>
        <w:t>,</w:t>
      </w:r>
      <w:r w:rsidRPr="001A4B2A">
        <w:rPr>
          <w:rFonts w:ascii="Arial" w:hAnsi="Arial" w:cs="Arial"/>
          <w:sz w:val="24"/>
          <w:szCs w:val="24"/>
        </w:rPr>
        <w:t xml:space="preserve"> </w:t>
      </w:r>
      <w:hyperlink r:id="rId30" w:history="1">
        <w:r w:rsidR="001F1E8A" w:rsidRPr="001A4B2A">
          <w:rPr>
            <w:rStyle w:val="Hyperlink"/>
            <w:rFonts w:cs="Arial"/>
            <w:b w:val="0"/>
            <w:bCs/>
            <w:color w:val="0000FF"/>
            <w:sz w:val="24"/>
            <w:szCs w:val="24"/>
          </w:rPr>
          <w:t>KS102UK (Age Structure) - Nomis</w:t>
        </w:r>
      </w:hyperlink>
      <w:r w:rsidR="001F1E8A" w:rsidRPr="001A4B2A">
        <w:rPr>
          <w:rFonts w:ascii="Arial" w:hAnsi="Arial" w:cs="Arial"/>
          <w:sz w:val="24"/>
          <w:szCs w:val="24"/>
        </w:rPr>
        <w:t xml:space="preserve">; </w:t>
      </w:r>
      <w:r w:rsidRPr="001A4B2A">
        <w:rPr>
          <w:rFonts w:ascii="Arial" w:hAnsi="Arial" w:cs="Arial"/>
          <w:sz w:val="24"/>
          <w:szCs w:val="24"/>
        </w:rPr>
        <w:t xml:space="preserve">ONS, </w:t>
      </w:r>
      <w:r w:rsidRPr="001A4B2A">
        <w:rPr>
          <w:rFonts w:ascii="Arial" w:hAnsi="Arial" w:cs="Arial"/>
          <w:color w:val="000000" w:themeColor="text1"/>
          <w:sz w:val="24"/>
          <w:szCs w:val="24"/>
        </w:rPr>
        <w:t>Census 2021</w:t>
      </w:r>
      <w:r w:rsidR="008E2A85" w:rsidRPr="001A4B2A">
        <w:rPr>
          <w:rFonts w:ascii="Arial" w:hAnsi="Arial" w:cs="Arial"/>
          <w:color w:val="000000" w:themeColor="text1"/>
          <w:sz w:val="24"/>
          <w:szCs w:val="24"/>
        </w:rPr>
        <w:t>,</w:t>
      </w:r>
      <w:r w:rsidRPr="001A4B2A">
        <w:rPr>
          <w:rFonts w:ascii="Arial" w:hAnsi="Arial" w:cs="Arial"/>
          <w:color w:val="000000" w:themeColor="text1"/>
          <w:sz w:val="24"/>
          <w:szCs w:val="24"/>
        </w:rPr>
        <w:t xml:space="preserve"> </w:t>
      </w:r>
      <w:hyperlink r:id="rId31" w:history="1">
        <w:r w:rsidRPr="001A4B2A">
          <w:rPr>
            <w:rFonts w:ascii="Arial" w:hAnsi="Arial" w:cs="Arial"/>
            <w:color w:val="0000FF"/>
            <w:sz w:val="24"/>
            <w:szCs w:val="24"/>
            <w:u w:val="single"/>
          </w:rPr>
          <w:t>TS001 - Number of usual residents in households and communal establishments - Nomis</w:t>
        </w:r>
      </w:hyperlink>
    </w:p>
    <w:p w14:paraId="43D95F9D" w14:textId="5D5D5AFE" w:rsidR="003D70D8" w:rsidRDefault="003D70D8" w:rsidP="00C97181">
      <w:pPr>
        <w:pStyle w:val="Heading3"/>
      </w:pPr>
      <w:r w:rsidRPr="00FF4411">
        <w:t>Population and age</w:t>
      </w:r>
    </w:p>
    <w:p w14:paraId="60EA6F64" w14:textId="244989F6" w:rsidR="00E62755" w:rsidRDefault="00F24C3A" w:rsidP="00E62755">
      <w:pPr>
        <w:rPr>
          <w:rFonts w:ascii="Arial" w:hAnsi="Arial" w:cs="Arial"/>
          <w:sz w:val="24"/>
          <w:szCs w:val="24"/>
        </w:rPr>
      </w:pPr>
      <w:r>
        <w:rPr>
          <w:rFonts w:ascii="Arial" w:hAnsi="Arial" w:cs="Arial"/>
          <w:sz w:val="24"/>
          <w:szCs w:val="24"/>
        </w:rPr>
        <w:t>Compared</w:t>
      </w:r>
      <w:r w:rsidR="00E62755" w:rsidRPr="008327B2">
        <w:rPr>
          <w:rFonts w:ascii="Arial" w:hAnsi="Arial" w:cs="Arial"/>
          <w:sz w:val="24"/>
          <w:szCs w:val="24"/>
        </w:rPr>
        <w:t xml:space="preserve"> </w:t>
      </w:r>
      <w:r w:rsidR="00E62755">
        <w:rPr>
          <w:rFonts w:ascii="Arial" w:hAnsi="Arial" w:cs="Arial"/>
          <w:sz w:val="24"/>
          <w:szCs w:val="24"/>
        </w:rPr>
        <w:t xml:space="preserve">to </w:t>
      </w:r>
      <w:r>
        <w:rPr>
          <w:rFonts w:ascii="Arial" w:hAnsi="Arial" w:cs="Arial"/>
          <w:sz w:val="24"/>
          <w:szCs w:val="24"/>
        </w:rPr>
        <w:t>the national average</w:t>
      </w:r>
      <w:r w:rsidR="005C4750">
        <w:rPr>
          <w:rFonts w:ascii="Arial" w:hAnsi="Arial" w:cs="Arial"/>
          <w:sz w:val="24"/>
          <w:szCs w:val="24"/>
        </w:rPr>
        <w:t xml:space="preserve"> in 2021</w:t>
      </w:r>
      <w:r w:rsidR="00E62755">
        <w:rPr>
          <w:rFonts w:ascii="Arial" w:hAnsi="Arial" w:cs="Arial"/>
          <w:sz w:val="24"/>
          <w:szCs w:val="24"/>
        </w:rPr>
        <w:t xml:space="preserve">, Greater Manchester </w:t>
      </w:r>
      <w:r w:rsidR="005C4750">
        <w:rPr>
          <w:rFonts w:ascii="Arial" w:hAnsi="Arial" w:cs="Arial"/>
          <w:sz w:val="24"/>
          <w:szCs w:val="24"/>
        </w:rPr>
        <w:t>was</w:t>
      </w:r>
      <w:r w:rsidR="00E62755">
        <w:rPr>
          <w:rFonts w:ascii="Arial" w:hAnsi="Arial" w:cs="Arial"/>
          <w:sz w:val="24"/>
          <w:szCs w:val="24"/>
        </w:rPr>
        <w:t xml:space="preserve"> younger: 20.4% of the population </w:t>
      </w:r>
      <w:r w:rsidR="008B271F">
        <w:rPr>
          <w:rFonts w:ascii="Arial" w:hAnsi="Arial" w:cs="Arial"/>
          <w:sz w:val="24"/>
          <w:szCs w:val="24"/>
        </w:rPr>
        <w:t>was</w:t>
      </w:r>
      <w:r w:rsidR="00E62755">
        <w:rPr>
          <w:rFonts w:ascii="Arial" w:hAnsi="Arial" w:cs="Arial"/>
          <w:sz w:val="24"/>
          <w:szCs w:val="24"/>
        </w:rPr>
        <w:t xml:space="preserve"> aged 0-15</w:t>
      </w:r>
      <w:r w:rsidR="005C4750">
        <w:rPr>
          <w:rFonts w:ascii="Arial" w:hAnsi="Arial" w:cs="Arial"/>
          <w:sz w:val="24"/>
          <w:szCs w:val="24"/>
        </w:rPr>
        <w:t xml:space="preserve"> (18.6% for </w:t>
      </w:r>
      <w:r w:rsidR="00E62755">
        <w:rPr>
          <w:rFonts w:ascii="Arial" w:hAnsi="Arial" w:cs="Arial"/>
          <w:sz w:val="24"/>
          <w:szCs w:val="24"/>
        </w:rPr>
        <w:t>England</w:t>
      </w:r>
      <w:r w:rsidR="005C4750">
        <w:rPr>
          <w:rFonts w:ascii="Arial" w:hAnsi="Arial" w:cs="Arial"/>
          <w:sz w:val="24"/>
          <w:szCs w:val="24"/>
        </w:rPr>
        <w:t>), and</w:t>
      </w:r>
      <w:r>
        <w:rPr>
          <w:rFonts w:ascii="Arial" w:hAnsi="Arial" w:cs="Arial"/>
          <w:sz w:val="24"/>
          <w:szCs w:val="24"/>
        </w:rPr>
        <w:t xml:space="preserve"> 14.9% </w:t>
      </w:r>
      <w:r w:rsidR="008B271F">
        <w:rPr>
          <w:rFonts w:ascii="Arial" w:hAnsi="Arial" w:cs="Arial"/>
          <w:sz w:val="24"/>
          <w:szCs w:val="24"/>
        </w:rPr>
        <w:t>was</w:t>
      </w:r>
      <w:r>
        <w:rPr>
          <w:rFonts w:ascii="Arial" w:hAnsi="Arial" w:cs="Arial"/>
          <w:sz w:val="24"/>
          <w:szCs w:val="24"/>
        </w:rPr>
        <w:t xml:space="preserve"> aged over 65</w:t>
      </w:r>
      <w:r w:rsidR="005C4750">
        <w:rPr>
          <w:rFonts w:ascii="Arial" w:hAnsi="Arial" w:cs="Arial"/>
          <w:sz w:val="24"/>
          <w:szCs w:val="24"/>
        </w:rPr>
        <w:t xml:space="preserve"> (</w:t>
      </w:r>
      <w:r>
        <w:rPr>
          <w:rFonts w:ascii="Arial" w:hAnsi="Arial" w:cs="Arial"/>
          <w:sz w:val="24"/>
          <w:szCs w:val="24"/>
        </w:rPr>
        <w:t>17.4%</w:t>
      </w:r>
      <w:r w:rsidR="00556963">
        <w:rPr>
          <w:rFonts w:ascii="Arial" w:hAnsi="Arial" w:cs="Arial"/>
          <w:sz w:val="24"/>
          <w:szCs w:val="24"/>
        </w:rPr>
        <w:t xml:space="preserve"> nationally</w:t>
      </w:r>
      <w:r>
        <w:rPr>
          <w:rFonts w:ascii="Arial" w:hAnsi="Arial" w:cs="Arial"/>
          <w:sz w:val="24"/>
          <w:szCs w:val="24"/>
        </w:rPr>
        <w:t>). There was some variance across the Greater Manchester districts, with a considerably younger population in Manchester</w:t>
      </w:r>
      <w:r w:rsidR="00814A63">
        <w:rPr>
          <w:rFonts w:ascii="Arial" w:hAnsi="Arial" w:cs="Arial"/>
          <w:sz w:val="24"/>
          <w:szCs w:val="24"/>
        </w:rPr>
        <w:t xml:space="preserve"> (91.2% of </w:t>
      </w:r>
      <w:r w:rsidR="00556963">
        <w:rPr>
          <w:rFonts w:ascii="Arial" w:hAnsi="Arial" w:cs="Arial"/>
          <w:sz w:val="24"/>
          <w:szCs w:val="24"/>
        </w:rPr>
        <w:t>residents</w:t>
      </w:r>
      <w:r w:rsidR="00814A63">
        <w:rPr>
          <w:rFonts w:ascii="Arial" w:hAnsi="Arial" w:cs="Arial"/>
          <w:sz w:val="24"/>
          <w:szCs w:val="24"/>
        </w:rPr>
        <w:t xml:space="preserve"> aged 65 </w:t>
      </w:r>
      <w:r w:rsidR="00556963">
        <w:rPr>
          <w:rFonts w:ascii="Arial" w:hAnsi="Arial" w:cs="Arial"/>
          <w:sz w:val="24"/>
          <w:szCs w:val="24"/>
        </w:rPr>
        <w:t>and</w:t>
      </w:r>
      <w:r w:rsidR="00814A63">
        <w:rPr>
          <w:rFonts w:ascii="Arial" w:hAnsi="Arial" w:cs="Arial"/>
          <w:sz w:val="24"/>
          <w:szCs w:val="24"/>
        </w:rPr>
        <w:t xml:space="preserve"> below)</w:t>
      </w:r>
      <w:r>
        <w:rPr>
          <w:rFonts w:ascii="Arial" w:hAnsi="Arial" w:cs="Arial"/>
          <w:sz w:val="24"/>
          <w:szCs w:val="24"/>
        </w:rPr>
        <w:t>, and older populations in Stockport and Wigan. Oldham had the highest proportion of 0-15 year olds</w:t>
      </w:r>
      <w:r w:rsidR="00814A63">
        <w:rPr>
          <w:rFonts w:ascii="Arial" w:hAnsi="Arial" w:cs="Arial"/>
          <w:sz w:val="24"/>
          <w:szCs w:val="24"/>
        </w:rPr>
        <w:t xml:space="preserve"> amongst</w:t>
      </w:r>
      <w:r>
        <w:rPr>
          <w:rFonts w:ascii="Arial" w:hAnsi="Arial" w:cs="Arial"/>
          <w:sz w:val="24"/>
          <w:szCs w:val="24"/>
        </w:rPr>
        <w:t xml:space="preserve"> the ten districts (22.7% of </w:t>
      </w:r>
      <w:r w:rsidR="00814A63">
        <w:rPr>
          <w:rFonts w:ascii="Arial" w:hAnsi="Arial" w:cs="Arial"/>
          <w:sz w:val="24"/>
          <w:szCs w:val="24"/>
        </w:rPr>
        <w:t>its</w:t>
      </w:r>
      <w:r>
        <w:rPr>
          <w:rFonts w:ascii="Arial" w:hAnsi="Arial" w:cs="Arial"/>
          <w:sz w:val="24"/>
          <w:szCs w:val="24"/>
        </w:rPr>
        <w:t xml:space="preserve"> </w:t>
      </w:r>
      <w:r w:rsidR="00814A63">
        <w:rPr>
          <w:rFonts w:ascii="Arial" w:hAnsi="Arial" w:cs="Arial"/>
          <w:sz w:val="24"/>
          <w:szCs w:val="24"/>
        </w:rPr>
        <w:t>total</w:t>
      </w:r>
      <w:r>
        <w:rPr>
          <w:rFonts w:ascii="Arial" w:hAnsi="Arial" w:cs="Arial"/>
          <w:sz w:val="24"/>
          <w:szCs w:val="24"/>
        </w:rPr>
        <w:t xml:space="preserve"> population), and Wigan the lowest (18.4%).</w:t>
      </w:r>
    </w:p>
    <w:p w14:paraId="09436BE2" w14:textId="4A5005CC" w:rsidR="000B1608" w:rsidRPr="008327B2" w:rsidRDefault="000B1608" w:rsidP="008327B2">
      <w:pPr>
        <w:spacing w:after="60" w:line="240" w:lineRule="auto"/>
        <w:rPr>
          <w:rFonts w:ascii="Arial" w:hAnsi="Arial" w:cs="Arial"/>
          <w:b/>
          <w:bCs/>
          <w:sz w:val="24"/>
          <w:szCs w:val="24"/>
        </w:rPr>
      </w:pPr>
      <w:r>
        <w:rPr>
          <w:rFonts w:ascii="Arial" w:hAnsi="Arial" w:cs="Arial"/>
          <w:b/>
          <w:bCs/>
          <w:sz w:val="24"/>
          <w:szCs w:val="24"/>
        </w:rPr>
        <w:t>Percentage of the population by broad age band, 2021</w:t>
      </w:r>
    </w:p>
    <w:p w14:paraId="3F7A3EBC" w14:textId="36B5DE7B" w:rsidR="00E62755" w:rsidRDefault="005C4750" w:rsidP="008327B2">
      <w:pPr>
        <w:spacing w:after="80"/>
        <w:rPr>
          <w:rFonts w:ascii="Arial" w:hAnsi="Arial" w:cs="Arial"/>
          <w:i/>
          <w:iCs/>
          <w:sz w:val="24"/>
          <w:szCs w:val="24"/>
        </w:rPr>
      </w:pPr>
      <w:r w:rsidRPr="005C4750">
        <w:rPr>
          <w:noProof/>
        </w:rPr>
        <w:drawing>
          <wp:inline distT="0" distB="0" distL="0" distR="0" wp14:anchorId="2889BDE3" wp14:editId="45E428CB">
            <wp:extent cx="6300470" cy="2917825"/>
            <wp:effectExtent l="19050" t="19050" r="24130" b="15875"/>
            <wp:docPr id="20" name="Picture 20" descr="Bar chart showing for each Greater Manchester district and England the proportion of the population in each area that were aged 0 to 15, 16 to 65 and 66 or more in 2021.  There was variation across Greater Manchester - for example, Manchester had a smaller proportion of older residents, but a higher proportion of those of worki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showing for each Greater Manchester district and England the proportion of the population in each area that were aged 0 to 15, 16 to 65 and 66 or more in 2021.  There was variation across Greater Manchester - for example, Manchester had a smaller proportion of older residents, but a higher proportion of those of working 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470" cy="2917825"/>
                    </a:xfrm>
                    <a:prstGeom prst="rect">
                      <a:avLst/>
                    </a:prstGeom>
                    <a:noFill/>
                    <a:ln>
                      <a:solidFill>
                        <a:schemeClr val="bg1">
                          <a:lumMod val="75000"/>
                        </a:schemeClr>
                      </a:solidFill>
                    </a:ln>
                  </pic:spPr>
                </pic:pic>
              </a:graphicData>
            </a:graphic>
          </wp:inline>
        </w:drawing>
      </w:r>
    </w:p>
    <w:p w14:paraId="4FC59AD2" w14:textId="77777777" w:rsidR="00E62755" w:rsidRPr="001A4B2A" w:rsidRDefault="00E62755" w:rsidP="008327B2">
      <w:pPr>
        <w:spacing w:after="0" w:line="240" w:lineRule="auto"/>
        <w:rPr>
          <w:rFonts w:ascii="Arial" w:hAnsi="Arial" w:cs="Arial"/>
          <w:color w:val="0000FF"/>
          <w:sz w:val="24"/>
          <w:szCs w:val="24"/>
          <w:u w:val="single"/>
        </w:rPr>
      </w:pPr>
      <w:r w:rsidRPr="00353139">
        <w:rPr>
          <w:rFonts w:ascii="Arial" w:hAnsi="Arial" w:cs="Arial"/>
          <w:sz w:val="24"/>
          <w:szCs w:val="24"/>
        </w:rPr>
        <w:t xml:space="preserve">Source: </w:t>
      </w:r>
      <w:r w:rsidRPr="00353139">
        <w:rPr>
          <w:rFonts w:ascii="Arial" w:hAnsi="Arial" w:cs="Arial"/>
          <w:color w:val="000000" w:themeColor="text1"/>
          <w:sz w:val="24"/>
          <w:szCs w:val="24"/>
        </w:rPr>
        <w:t xml:space="preserve">ONS, Census 2021, </w:t>
      </w:r>
      <w:hyperlink r:id="rId33" w:history="1">
        <w:r w:rsidRPr="006B28AB">
          <w:rPr>
            <w:rFonts w:ascii="Arial" w:hAnsi="Arial" w:cs="Arial"/>
            <w:color w:val="0000FF"/>
            <w:sz w:val="24"/>
            <w:szCs w:val="24"/>
            <w:u w:val="single"/>
          </w:rPr>
          <w:t>Year of age data table</w:t>
        </w:r>
      </w:hyperlink>
    </w:p>
    <w:p w14:paraId="308D7207" w14:textId="29C4C575" w:rsidR="00B2733A" w:rsidRDefault="00B2733A" w:rsidP="00B2733A">
      <w:pPr>
        <w:rPr>
          <w:rFonts w:ascii="Arial" w:hAnsi="Arial" w:cs="Arial"/>
          <w:sz w:val="24"/>
          <w:szCs w:val="24"/>
        </w:rPr>
      </w:pPr>
      <w:r>
        <w:rPr>
          <w:rFonts w:ascii="Arial" w:hAnsi="Arial" w:cs="Arial"/>
          <w:sz w:val="24"/>
          <w:szCs w:val="24"/>
        </w:rPr>
        <w:lastRenderedPageBreak/>
        <w:t>Across Greater Manchester, the increase in the number of people aged 66 or more accounted for a third (33.5%) of overall population growth</w:t>
      </w:r>
      <w:r w:rsidR="00C15E40">
        <w:rPr>
          <w:rFonts w:ascii="Arial" w:hAnsi="Arial" w:cs="Arial"/>
          <w:sz w:val="24"/>
          <w:szCs w:val="24"/>
        </w:rPr>
        <w:t xml:space="preserve"> between 2011 and 2021</w:t>
      </w:r>
      <w:r>
        <w:rPr>
          <w:rFonts w:ascii="Arial" w:hAnsi="Arial" w:cs="Arial"/>
          <w:sz w:val="24"/>
          <w:szCs w:val="24"/>
        </w:rPr>
        <w:t>, compared to nearly a half (48.6%) for England as a whole. However, growth in the older population was a much bigger factor in some districts, most notabl</w:t>
      </w:r>
      <w:r w:rsidR="008B271F">
        <w:rPr>
          <w:rFonts w:ascii="Arial" w:hAnsi="Arial" w:cs="Arial"/>
          <w:sz w:val="24"/>
          <w:szCs w:val="24"/>
        </w:rPr>
        <w:t>y</w:t>
      </w:r>
      <w:r>
        <w:rPr>
          <w:rFonts w:ascii="Arial" w:hAnsi="Arial" w:cs="Arial"/>
          <w:sz w:val="24"/>
          <w:szCs w:val="24"/>
        </w:rPr>
        <w:t xml:space="preserve"> Wigan</w:t>
      </w:r>
      <w:r w:rsidR="008B271F">
        <w:rPr>
          <w:rFonts w:ascii="Arial" w:hAnsi="Arial" w:cs="Arial"/>
          <w:sz w:val="24"/>
          <w:szCs w:val="24"/>
        </w:rPr>
        <w:t xml:space="preserve"> (the increase in people aged 66 or more was larger than </w:t>
      </w:r>
      <w:r w:rsidR="00814A63">
        <w:rPr>
          <w:rFonts w:ascii="Arial" w:hAnsi="Arial" w:cs="Arial"/>
          <w:sz w:val="24"/>
          <w:szCs w:val="24"/>
        </w:rPr>
        <w:t>that</w:t>
      </w:r>
      <w:r w:rsidR="008B271F">
        <w:rPr>
          <w:rFonts w:ascii="Arial" w:hAnsi="Arial" w:cs="Arial"/>
          <w:sz w:val="24"/>
          <w:szCs w:val="24"/>
        </w:rPr>
        <w:t xml:space="preserve"> in the overall population, compensated for by a reduction in the number of working-age people). At the other end of the age spectrum, growth in 0-15 year olds accounted for around a quarter </w:t>
      </w:r>
      <w:r w:rsidR="00C15E40">
        <w:rPr>
          <w:rFonts w:ascii="Arial" w:hAnsi="Arial" w:cs="Arial"/>
          <w:sz w:val="24"/>
          <w:szCs w:val="24"/>
        </w:rPr>
        <w:t xml:space="preserve">(27.4%) </w:t>
      </w:r>
      <w:r w:rsidR="008B271F">
        <w:rPr>
          <w:rFonts w:ascii="Arial" w:hAnsi="Arial" w:cs="Arial"/>
          <w:sz w:val="24"/>
          <w:szCs w:val="24"/>
        </w:rPr>
        <w:t>of Greater Manchester population change</w:t>
      </w:r>
      <w:r w:rsidR="00C15E40">
        <w:rPr>
          <w:rFonts w:ascii="Arial" w:hAnsi="Arial" w:cs="Arial"/>
          <w:sz w:val="24"/>
          <w:szCs w:val="24"/>
        </w:rPr>
        <w:t xml:space="preserve">, more than double the proportion for England (13.2%). Growth in the 0-15 age group was a particularly important driver of population change in </w:t>
      </w:r>
      <w:r w:rsidR="008B271F">
        <w:rPr>
          <w:rFonts w:ascii="Arial" w:hAnsi="Arial" w:cs="Arial"/>
          <w:sz w:val="24"/>
          <w:szCs w:val="24"/>
        </w:rPr>
        <w:t>Bolton, Manchester, Rochdale and Trafford</w:t>
      </w:r>
      <w:r w:rsidR="00C15E40">
        <w:rPr>
          <w:rFonts w:ascii="Arial" w:hAnsi="Arial" w:cs="Arial"/>
          <w:sz w:val="24"/>
          <w:szCs w:val="24"/>
        </w:rPr>
        <w:t>, accounting for more than a third of growth over the last decade</w:t>
      </w:r>
      <w:r w:rsidR="008B271F">
        <w:rPr>
          <w:rFonts w:ascii="Arial" w:hAnsi="Arial" w:cs="Arial"/>
          <w:sz w:val="24"/>
          <w:szCs w:val="24"/>
        </w:rPr>
        <w:t>.</w:t>
      </w:r>
      <w:r w:rsidR="00814A63">
        <w:rPr>
          <w:rFonts w:ascii="Arial" w:hAnsi="Arial" w:cs="Arial"/>
          <w:sz w:val="24"/>
          <w:szCs w:val="24"/>
        </w:rPr>
        <w:t xml:space="preserve"> </w:t>
      </w:r>
      <w:r w:rsidR="008B271F">
        <w:rPr>
          <w:rFonts w:ascii="Arial" w:hAnsi="Arial" w:cs="Arial"/>
          <w:sz w:val="24"/>
          <w:szCs w:val="24"/>
        </w:rPr>
        <w:t>The working-age (16-65) population accounted for nearly three quarters (71.0%) of population growth in Salford</w:t>
      </w:r>
      <w:r w:rsidR="00814A63">
        <w:rPr>
          <w:rFonts w:ascii="Arial" w:hAnsi="Arial" w:cs="Arial"/>
          <w:sz w:val="24"/>
          <w:szCs w:val="24"/>
        </w:rPr>
        <w:t>, whereas</w:t>
      </w:r>
      <w:r w:rsidR="008B271F">
        <w:rPr>
          <w:rFonts w:ascii="Arial" w:hAnsi="Arial" w:cs="Arial"/>
          <w:sz w:val="24"/>
          <w:szCs w:val="24"/>
        </w:rPr>
        <w:t xml:space="preserve"> the older (66+) population in Salford and Manchester accounted for a much lower share of overall growth (between 7% and 8%) than the other Greater Manchester districts.</w:t>
      </w:r>
    </w:p>
    <w:p w14:paraId="7A04F6EB" w14:textId="0B045E10" w:rsidR="004646D6" w:rsidRDefault="00B2733A" w:rsidP="008327B2">
      <w:pPr>
        <w:spacing w:line="240" w:lineRule="auto"/>
        <w:rPr>
          <w:rFonts w:ascii="Arial" w:hAnsi="Arial" w:cs="Arial"/>
          <w:b/>
          <w:bCs/>
          <w:sz w:val="24"/>
          <w:szCs w:val="24"/>
        </w:rPr>
      </w:pPr>
      <w:r>
        <w:rPr>
          <w:rFonts w:ascii="Arial" w:hAnsi="Arial" w:cs="Arial"/>
          <w:b/>
          <w:bCs/>
          <w:sz w:val="24"/>
          <w:szCs w:val="24"/>
        </w:rPr>
        <w:t>Contribution to p</w:t>
      </w:r>
      <w:r w:rsidR="004646D6" w:rsidRPr="007B50FA">
        <w:rPr>
          <w:rFonts w:ascii="Arial" w:hAnsi="Arial" w:cs="Arial"/>
          <w:b/>
          <w:bCs/>
          <w:sz w:val="24"/>
          <w:szCs w:val="24"/>
        </w:rPr>
        <w:t xml:space="preserve">opulation </w:t>
      </w:r>
      <w:r>
        <w:rPr>
          <w:rFonts w:ascii="Arial" w:hAnsi="Arial" w:cs="Arial"/>
          <w:b/>
          <w:bCs/>
          <w:sz w:val="24"/>
          <w:szCs w:val="24"/>
        </w:rPr>
        <w:t>growth</w:t>
      </w:r>
      <w:r w:rsidR="004646D6">
        <w:rPr>
          <w:rFonts w:ascii="Arial" w:hAnsi="Arial" w:cs="Arial"/>
          <w:b/>
          <w:bCs/>
          <w:sz w:val="24"/>
          <w:szCs w:val="24"/>
        </w:rPr>
        <w:t>,</w:t>
      </w:r>
      <w:r w:rsidR="004646D6" w:rsidRPr="007B50FA">
        <w:rPr>
          <w:rFonts w:ascii="Arial" w:hAnsi="Arial" w:cs="Arial"/>
          <w:b/>
          <w:bCs/>
          <w:sz w:val="24"/>
          <w:szCs w:val="24"/>
        </w:rPr>
        <w:t xml:space="preserve"> </w:t>
      </w:r>
      <w:r w:rsidR="004646D6">
        <w:rPr>
          <w:rFonts w:ascii="Arial" w:hAnsi="Arial" w:cs="Arial"/>
          <w:b/>
          <w:bCs/>
          <w:sz w:val="24"/>
          <w:szCs w:val="24"/>
        </w:rPr>
        <w:t xml:space="preserve">by age, </w:t>
      </w:r>
      <w:r w:rsidR="004646D6" w:rsidRPr="007B50FA">
        <w:rPr>
          <w:rFonts w:ascii="Arial" w:hAnsi="Arial" w:cs="Arial"/>
          <w:b/>
          <w:bCs/>
          <w:sz w:val="24"/>
          <w:szCs w:val="24"/>
        </w:rPr>
        <w:t>20</w:t>
      </w:r>
      <w:r>
        <w:rPr>
          <w:rFonts w:ascii="Arial" w:hAnsi="Arial" w:cs="Arial"/>
          <w:b/>
          <w:bCs/>
          <w:sz w:val="24"/>
          <w:szCs w:val="24"/>
        </w:rPr>
        <w:t>11-20</w:t>
      </w:r>
      <w:r w:rsidR="004646D6" w:rsidRPr="007B50FA">
        <w:rPr>
          <w:rFonts w:ascii="Arial" w:hAnsi="Arial" w:cs="Arial"/>
          <w:b/>
          <w:bCs/>
          <w:sz w:val="24"/>
          <w:szCs w:val="24"/>
        </w:rPr>
        <w:t>2</w:t>
      </w:r>
      <w:r w:rsidR="004646D6">
        <w:rPr>
          <w:rFonts w:ascii="Arial" w:hAnsi="Arial" w:cs="Arial"/>
          <w:b/>
          <w:bCs/>
          <w:sz w:val="24"/>
          <w:szCs w:val="24"/>
        </w:rPr>
        <w:t>1</w:t>
      </w:r>
    </w:p>
    <w:p w14:paraId="2FD7057E" w14:textId="157D9256" w:rsidR="004646D6" w:rsidRDefault="004646D6" w:rsidP="008327B2">
      <w:pPr>
        <w:rPr>
          <w:rFonts w:ascii="Arial" w:eastAsia="Times New Roman" w:hAnsi="Arial" w:cs="Arial"/>
          <w:color w:val="000000"/>
          <w:sz w:val="24"/>
          <w:szCs w:val="24"/>
          <w:lang w:eastAsia="en-GB"/>
        </w:rPr>
      </w:pPr>
      <w:r w:rsidRPr="004646D6">
        <w:rPr>
          <w:noProof/>
        </w:rPr>
        <w:drawing>
          <wp:inline distT="0" distB="0" distL="0" distR="0" wp14:anchorId="7F34037C" wp14:editId="05B5233E">
            <wp:extent cx="6300470" cy="2611120"/>
            <wp:effectExtent l="19050" t="19050" r="24130" b="17780"/>
            <wp:docPr id="32" name="Picture 32" descr="Bar chart showing percentage change in population between 2011 and 2021 for the broad age bands, 0-15, 16-65 and 66 and above.  Data are shown for the ten Greater Manchester districts, along with the Greater Manchester and England averages, and key findings are set out in the narrativ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showing percentage change in population between 2011 and 2021 for the broad age bands, 0-15, 16-65 and 66 and above.  Data are shown for the ten Greater Manchester districts, along with the Greater Manchester and England averages, and key findings are set out in the narrative abo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0470" cy="2611120"/>
                    </a:xfrm>
                    <a:prstGeom prst="rect">
                      <a:avLst/>
                    </a:prstGeom>
                    <a:noFill/>
                    <a:ln>
                      <a:solidFill>
                        <a:schemeClr val="bg1">
                          <a:lumMod val="75000"/>
                        </a:schemeClr>
                      </a:solidFill>
                    </a:ln>
                  </pic:spPr>
                </pic:pic>
              </a:graphicData>
            </a:graphic>
          </wp:inline>
        </w:drawing>
      </w:r>
    </w:p>
    <w:p w14:paraId="695E0355" w14:textId="607E509F" w:rsidR="00BD389F" w:rsidRPr="001A4B2A" w:rsidRDefault="00B2733A" w:rsidP="00BD389F">
      <w:pPr>
        <w:spacing w:after="0" w:line="240" w:lineRule="auto"/>
        <w:rPr>
          <w:rFonts w:ascii="Arial" w:hAnsi="Arial" w:cs="Arial"/>
          <w:color w:val="0000FF"/>
          <w:sz w:val="24"/>
          <w:szCs w:val="24"/>
          <w:u w:val="single"/>
        </w:rPr>
      </w:pPr>
      <w:r w:rsidRPr="001A4B2A">
        <w:rPr>
          <w:rFonts w:ascii="Arial" w:hAnsi="Arial" w:cs="Arial"/>
          <w:sz w:val="24"/>
          <w:szCs w:val="24"/>
        </w:rPr>
        <w:t xml:space="preserve">Source: </w:t>
      </w:r>
      <w:r w:rsidRPr="001A4B2A">
        <w:rPr>
          <w:rFonts w:ascii="Arial" w:hAnsi="Arial" w:cs="Arial"/>
          <w:color w:val="000000" w:themeColor="text1"/>
          <w:sz w:val="24"/>
          <w:szCs w:val="24"/>
        </w:rPr>
        <w:t>ONS, Census 2011</w:t>
      </w:r>
      <w:r w:rsidR="007D3E52" w:rsidRPr="001A4B2A">
        <w:rPr>
          <w:rFonts w:ascii="Arial" w:hAnsi="Arial" w:cs="Arial"/>
          <w:color w:val="000000" w:themeColor="text1"/>
          <w:sz w:val="24"/>
          <w:szCs w:val="24"/>
        </w:rPr>
        <w:t xml:space="preserve"> </w:t>
      </w:r>
      <w:hyperlink r:id="rId35" w:history="1">
        <w:r w:rsidR="00BD389F" w:rsidRPr="001A4B2A">
          <w:rPr>
            <w:rFonts w:ascii="Arial" w:hAnsi="Arial" w:cs="Arial"/>
            <w:color w:val="0000FF"/>
            <w:sz w:val="24"/>
            <w:szCs w:val="24"/>
            <w:u w:val="single"/>
          </w:rPr>
          <w:t>QS103EW – Age by single years</w:t>
        </w:r>
        <w:r w:rsidR="00BD389F" w:rsidRPr="006B28AB">
          <w:rPr>
            <w:rFonts w:ascii="Arial" w:hAnsi="Arial" w:cs="Arial"/>
            <w:color w:val="0000FF"/>
            <w:sz w:val="24"/>
            <w:szCs w:val="24"/>
            <w:u w:val="single"/>
          </w:rPr>
          <w:t>,</w:t>
        </w:r>
        <w:r w:rsidR="00BD389F" w:rsidRPr="001A4B2A">
          <w:rPr>
            <w:rFonts w:ascii="Arial" w:hAnsi="Arial" w:cs="Arial"/>
            <w:color w:val="0000FF"/>
            <w:sz w:val="24"/>
            <w:szCs w:val="24"/>
            <w:u w:val="single"/>
          </w:rPr>
          <w:t xml:space="preserve"> NOMIS</w:t>
        </w:r>
      </w:hyperlink>
      <w:r w:rsidRPr="001A4B2A">
        <w:rPr>
          <w:rFonts w:ascii="Arial" w:hAnsi="Arial" w:cs="Arial"/>
          <w:color w:val="000000" w:themeColor="text1"/>
          <w:sz w:val="24"/>
          <w:szCs w:val="24"/>
        </w:rPr>
        <w:t xml:space="preserve">, </w:t>
      </w:r>
      <w:r w:rsidRPr="001A4B2A">
        <w:rPr>
          <w:rFonts w:ascii="Arial" w:hAnsi="Arial" w:cs="Arial"/>
          <w:sz w:val="24"/>
          <w:szCs w:val="24"/>
        </w:rPr>
        <w:t>Census 2021</w:t>
      </w:r>
      <w:r w:rsidR="00BD389F" w:rsidRPr="001A4B2A">
        <w:rPr>
          <w:rFonts w:ascii="Arial" w:hAnsi="Arial" w:cs="Arial"/>
          <w:sz w:val="24"/>
          <w:szCs w:val="24"/>
        </w:rPr>
        <w:t xml:space="preserve"> </w:t>
      </w:r>
      <w:hyperlink r:id="rId36" w:history="1">
        <w:r w:rsidR="00BD389F" w:rsidRPr="006B28AB">
          <w:rPr>
            <w:rFonts w:ascii="Arial" w:hAnsi="Arial" w:cs="Arial"/>
            <w:color w:val="0000FF"/>
            <w:sz w:val="24"/>
            <w:szCs w:val="24"/>
            <w:u w:val="single"/>
          </w:rPr>
          <w:t>Single year of age data table</w:t>
        </w:r>
      </w:hyperlink>
    </w:p>
    <w:p w14:paraId="0B8E6A2D" w14:textId="2268310D" w:rsidR="00B2733A" w:rsidRPr="001A4B2A" w:rsidRDefault="00B2733A" w:rsidP="008327B2">
      <w:pPr>
        <w:spacing w:line="240" w:lineRule="auto"/>
        <w:rPr>
          <w:rFonts w:ascii="Arial" w:hAnsi="Arial" w:cs="Arial"/>
          <w:i/>
          <w:iCs/>
          <w:color w:val="000000" w:themeColor="text1"/>
          <w:sz w:val="24"/>
          <w:szCs w:val="24"/>
          <w:u w:val="single"/>
        </w:rPr>
      </w:pPr>
    </w:p>
    <w:p w14:paraId="56AF814D" w14:textId="71D5151A" w:rsidR="000B1608" w:rsidRDefault="00590600" w:rsidP="000B1608">
      <w:pPr>
        <w:rPr>
          <w:rFonts w:ascii="Arial" w:hAnsi="Arial" w:cs="Arial"/>
          <w:sz w:val="24"/>
          <w:szCs w:val="24"/>
        </w:rPr>
      </w:pPr>
      <w:r>
        <w:rPr>
          <w:rFonts w:ascii="Arial" w:hAnsi="Arial" w:cs="Arial"/>
          <w:sz w:val="24"/>
          <w:szCs w:val="24"/>
        </w:rPr>
        <w:t>T</w:t>
      </w:r>
      <w:r w:rsidR="000B1608">
        <w:rPr>
          <w:rFonts w:ascii="Arial" w:hAnsi="Arial" w:cs="Arial"/>
          <w:sz w:val="24"/>
          <w:szCs w:val="24"/>
        </w:rPr>
        <w:t xml:space="preserve">he average age of </w:t>
      </w:r>
      <w:r w:rsidR="00D151C9">
        <w:rPr>
          <w:rFonts w:ascii="Arial" w:hAnsi="Arial" w:cs="Arial"/>
          <w:sz w:val="24"/>
          <w:szCs w:val="24"/>
        </w:rPr>
        <w:t xml:space="preserve">Greater Manchester </w:t>
      </w:r>
      <w:r w:rsidR="000B1608">
        <w:rPr>
          <w:rFonts w:ascii="Arial" w:hAnsi="Arial" w:cs="Arial"/>
          <w:sz w:val="24"/>
          <w:szCs w:val="24"/>
        </w:rPr>
        <w:t xml:space="preserve">residents increased from 38.3 </w:t>
      </w:r>
      <w:r w:rsidR="00814A63">
        <w:rPr>
          <w:rFonts w:ascii="Arial" w:hAnsi="Arial" w:cs="Arial"/>
          <w:sz w:val="24"/>
          <w:szCs w:val="24"/>
        </w:rPr>
        <w:t xml:space="preserve">years </w:t>
      </w:r>
      <w:r w:rsidR="00D151C9">
        <w:rPr>
          <w:rFonts w:ascii="Arial" w:hAnsi="Arial" w:cs="Arial"/>
          <w:sz w:val="24"/>
          <w:szCs w:val="24"/>
        </w:rPr>
        <w:t xml:space="preserve">in 2011 </w:t>
      </w:r>
      <w:r w:rsidR="000B1608">
        <w:rPr>
          <w:rFonts w:ascii="Arial" w:hAnsi="Arial" w:cs="Arial"/>
          <w:sz w:val="24"/>
          <w:szCs w:val="24"/>
        </w:rPr>
        <w:t xml:space="preserve">to 39.0 </w:t>
      </w:r>
      <w:r w:rsidR="00D151C9">
        <w:rPr>
          <w:rFonts w:ascii="Arial" w:hAnsi="Arial" w:cs="Arial"/>
          <w:sz w:val="24"/>
          <w:szCs w:val="24"/>
        </w:rPr>
        <w:t>in 2021</w:t>
      </w:r>
      <w:r>
        <w:rPr>
          <w:rFonts w:ascii="Arial" w:hAnsi="Arial" w:cs="Arial"/>
          <w:sz w:val="24"/>
          <w:szCs w:val="24"/>
        </w:rPr>
        <w:t xml:space="preserve">; in comparison, England saw an increase from 39.8 </w:t>
      </w:r>
      <w:r w:rsidR="00814A63">
        <w:rPr>
          <w:rFonts w:ascii="Arial" w:hAnsi="Arial" w:cs="Arial"/>
          <w:sz w:val="24"/>
          <w:szCs w:val="24"/>
        </w:rPr>
        <w:t xml:space="preserve">years </w:t>
      </w:r>
      <w:r>
        <w:rPr>
          <w:rFonts w:ascii="Arial" w:hAnsi="Arial" w:cs="Arial"/>
          <w:sz w:val="24"/>
          <w:szCs w:val="24"/>
        </w:rPr>
        <w:t>to 41.1, a larger increase to an older average age.</w:t>
      </w:r>
      <w:r w:rsidR="008B5748">
        <w:rPr>
          <w:rFonts w:ascii="Arial" w:hAnsi="Arial" w:cs="Arial"/>
          <w:sz w:val="24"/>
          <w:szCs w:val="24"/>
        </w:rPr>
        <w:t xml:space="preserve"> </w:t>
      </w:r>
      <w:r>
        <w:rPr>
          <w:rFonts w:ascii="Arial" w:hAnsi="Arial" w:cs="Arial"/>
          <w:sz w:val="24"/>
          <w:szCs w:val="24"/>
        </w:rPr>
        <w:t>Unsurprisingly, the district-level data reflect the age profiles discussed above: the average age of Wigan residents rose from 40.1</w:t>
      </w:r>
      <w:r w:rsidR="00814A63">
        <w:rPr>
          <w:rFonts w:ascii="Arial" w:hAnsi="Arial" w:cs="Arial"/>
          <w:sz w:val="24"/>
          <w:szCs w:val="24"/>
        </w:rPr>
        <w:t xml:space="preserve"> years</w:t>
      </w:r>
      <w:r>
        <w:rPr>
          <w:rFonts w:ascii="Arial" w:hAnsi="Arial" w:cs="Arial"/>
          <w:sz w:val="24"/>
          <w:szCs w:val="24"/>
        </w:rPr>
        <w:t xml:space="preserve"> in 2011 to 41.8 in 2021</w:t>
      </w:r>
      <w:r w:rsidR="00E03E70">
        <w:rPr>
          <w:rFonts w:ascii="Arial" w:hAnsi="Arial" w:cs="Arial"/>
          <w:sz w:val="24"/>
          <w:szCs w:val="24"/>
        </w:rPr>
        <w:t xml:space="preserve">, </w:t>
      </w:r>
      <w:r>
        <w:rPr>
          <w:rFonts w:ascii="Arial" w:hAnsi="Arial" w:cs="Arial"/>
          <w:sz w:val="24"/>
          <w:szCs w:val="24"/>
        </w:rPr>
        <w:t xml:space="preserve">driven by growth in </w:t>
      </w:r>
      <w:r w:rsidR="00E03E70">
        <w:rPr>
          <w:rFonts w:ascii="Arial" w:hAnsi="Arial" w:cs="Arial"/>
          <w:sz w:val="24"/>
          <w:szCs w:val="24"/>
        </w:rPr>
        <w:t>its</w:t>
      </w:r>
      <w:r>
        <w:rPr>
          <w:rFonts w:ascii="Arial" w:hAnsi="Arial" w:cs="Arial"/>
          <w:sz w:val="24"/>
          <w:szCs w:val="24"/>
        </w:rPr>
        <w:t xml:space="preserve"> over-66 population</w:t>
      </w:r>
      <w:r w:rsidR="00E03E70">
        <w:rPr>
          <w:rFonts w:ascii="Arial" w:hAnsi="Arial" w:cs="Arial"/>
          <w:sz w:val="24"/>
          <w:szCs w:val="24"/>
        </w:rPr>
        <w:t xml:space="preserve">, and the largest increase amongst the </w:t>
      </w:r>
      <w:r w:rsidR="006B28AB">
        <w:rPr>
          <w:rFonts w:ascii="Arial" w:hAnsi="Arial" w:cs="Arial"/>
          <w:sz w:val="24"/>
          <w:szCs w:val="24"/>
        </w:rPr>
        <w:t>nine</w:t>
      </w:r>
      <w:r w:rsidR="00E03E70">
        <w:rPr>
          <w:rFonts w:ascii="Arial" w:hAnsi="Arial" w:cs="Arial"/>
          <w:sz w:val="24"/>
          <w:szCs w:val="24"/>
        </w:rPr>
        <w:t xml:space="preserve"> Greater Manchester districts</w:t>
      </w:r>
      <w:r w:rsidR="0096149A">
        <w:rPr>
          <w:rFonts w:ascii="Arial" w:hAnsi="Arial" w:cs="Arial"/>
          <w:sz w:val="24"/>
          <w:szCs w:val="24"/>
        </w:rPr>
        <w:t xml:space="preserve"> that saw </w:t>
      </w:r>
      <w:r w:rsidR="008B5748">
        <w:rPr>
          <w:rFonts w:ascii="Arial" w:hAnsi="Arial" w:cs="Arial"/>
          <w:sz w:val="24"/>
          <w:szCs w:val="24"/>
        </w:rPr>
        <w:t>their</w:t>
      </w:r>
      <w:r w:rsidR="0096149A">
        <w:rPr>
          <w:rFonts w:ascii="Arial" w:hAnsi="Arial" w:cs="Arial"/>
          <w:sz w:val="24"/>
          <w:szCs w:val="24"/>
        </w:rPr>
        <w:t xml:space="preserve"> average age </w:t>
      </w:r>
      <w:r w:rsidR="008B5748">
        <w:rPr>
          <w:rFonts w:ascii="Arial" w:hAnsi="Arial" w:cs="Arial"/>
          <w:sz w:val="24"/>
          <w:szCs w:val="24"/>
        </w:rPr>
        <w:t xml:space="preserve">go up </w:t>
      </w:r>
      <w:r w:rsidR="0096149A">
        <w:rPr>
          <w:rFonts w:ascii="Arial" w:hAnsi="Arial" w:cs="Arial"/>
          <w:sz w:val="24"/>
          <w:szCs w:val="24"/>
        </w:rPr>
        <w:t>over the period</w:t>
      </w:r>
      <w:r w:rsidR="00E03E70">
        <w:rPr>
          <w:rFonts w:ascii="Arial" w:hAnsi="Arial" w:cs="Arial"/>
          <w:sz w:val="24"/>
          <w:szCs w:val="24"/>
        </w:rPr>
        <w:t xml:space="preserve"> (</w:t>
      </w:r>
      <w:r>
        <w:rPr>
          <w:rFonts w:ascii="Arial" w:hAnsi="Arial" w:cs="Arial"/>
          <w:sz w:val="24"/>
          <w:szCs w:val="24"/>
        </w:rPr>
        <w:t xml:space="preserve">Stockport had a higher average age </w:t>
      </w:r>
      <w:r w:rsidR="00E03E70">
        <w:rPr>
          <w:rFonts w:ascii="Arial" w:hAnsi="Arial" w:cs="Arial"/>
          <w:sz w:val="24"/>
          <w:szCs w:val="24"/>
        </w:rPr>
        <w:t xml:space="preserve">at 42.2 years in 2021, </w:t>
      </w:r>
      <w:r w:rsidR="00110EFE">
        <w:rPr>
          <w:rFonts w:ascii="Arial" w:hAnsi="Arial" w:cs="Arial"/>
          <w:sz w:val="24"/>
          <w:szCs w:val="24"/>
        </w:rPr>
        <w:t xml:space="preserve">but a smaller increase from 41.3 in </w:t>
      </w:r>
      <w:r w:rsidR="00E03E70">
        <w:rPr>
          <w:rFonts w:ascii="Arial" w:hAnsi="Arial" w:cs="Arial"/>
          <w:sz w:val="24"/>
          <w:szCs w:val="24"/>
        </w:rPr>
        <w:t>20</w:t>
      </w:r>
      <w:r w:rsidR="0096149A">
        <w:rPr>
          <w:rFonts w:ascii="Arial" w:hAnsi="Arial" w:cs="Arial"/>
          <w:sz w:val="24"/>
          <w:szCs w:val="24"/>
        </w:rPr>
        <w:t>1</w:t>
      </w:r>
      <w:r w:rsidR="00E03E70">
        <w:rPr>
          <w:rFonts w:ascii="Arial" w:hAnsi="Arial" w:cs="Arial"/>
          <w:sz w:val="24"/>
          <w:szCs w:val="24"/>
        </w:rPr>
        <w:t>1)</w:t>
      </w:r>
      <w:r w:rsidR="001A4B2A">
        <w:rPr>
          <w:rFonts w:ascii="Arial" w:hAnsi="Arial" w:cs="Arial"/>
          <w:sz w:val="24"/>
          <w:szCs w:val="24"/>
        </w:rPr>
        <w:t xml:space="preserve">. </w:t>
      </w:r>
      <w:r w:rsidR="0096149A">
        <w:rPr>
          <w:rFonts w:ascii="Arial" w:hAnsi="Arial" w:cs="Arial"/>
          <w:sz w:val="24"/>
          <w:szCs w:val="24"/>
        </w:rPr>
        <w:t>Salford</w:t>
      </w:r>
      <w:r w:rsidR="001A4B2A">
        <w:rPr>
          <w:rFonts w:ascii="Arial" w:hAnsi="Arial" w:cs="Arial"/>
          <w:sz w:val="24"/>
          <w:szCs w:val="24"/>
        </w:rPr>
        <w:t xml:space="preserve"> was the only Greater Manchester district that</w:t>
      </w:r>
      <w:r w:rsidR="0096149A">
        <w:rPr>
          <w:rFonts w:ascii="Arial" w:hAnsi="Arial" w:cs="Arial"/>
          <w:sz w:val="24"/>
          <w:szCs w:val="24"/>
        </w:rPr>
        <w:t xml:space="preserve"> saw a </w:t>
      </w:r>
      <w:r w:rsidR="00E03E70">
        <w:rPr>
          <w:rFonts w:ascii="Arial" w:hAnsi="Arial" w:cs="Arial"/>
          <w:sz w:val="24"/>
          <w:szCs w:val="24"/>
        </w:rPr>
        <w:t>reduction in a</w:t>
      </w:r>
      <w:r>
        <w:rPr>
          <w:rFonts w:ascii="Arial" w:hAnsi="Arial" w:cs="Arial"/>
          <w:sz w:val="24"/>
          <w:szCs w:val="24"/>
        </w:rPr>
        <w:t>verage age</w:t>
      </w:r>
      <w:r w:rsidR="002D2258">
        <w:rPr>
          <w:rFonts w:ascii="Arial" w:hAnsi="Arial" w:cs="Arial"/>
          <w:sz w:val="24"/>
          <w:szCs w:val="24"/>
        </w:rPr>
        <w:t xml:space="preserve"> (</w:t>
      </w:r>
      <w:r>
        <w:rPr>
          <w:rFonts w:ascii="Arial" w:hAnsi="Arial" w:cs="Arial"/>
          <w:sz w:val="24"/>
          <w:szCs w:val="24"/>
        </w:rPr>
        <w:t xml:space="preserve">from 37.9 </w:t>
      </w:r>
      <w:r w:rsidR="002D2258">
        <w:rPr>
          <w:rFonts w:ascii="Arial" w:hAnsi="Arial" w:cs="Arial"/>
          <w:sz w:val="24"/>
          <w:szCs w:val="24"/>
        </w:rPr>
        <w:t xml:space="preserve">years </w:t>
      </w:r>
      <w:r w:rsidR="00E03E70">
        <w:rPr>
          <w:rFonts w:ascii="Arial" w:hAnsi="Arial" w:cs="Arial"/>
          <w:sz w:val="24"/>
          <w:szCs w:val="24"/>
        </w:rPr>
        <w:t xml:space="preserve">in 2011 </w:t>
      </w:r>
      <w:r>
        <w:rPr>
          <w:rFonts w:ascii="Arial" w:hAnsi="Arial" w:cs="Arial"/>
          <w:sz w:val="24"/>
          <w:szCs w:val="24"/>
        </w:rPr>
        <w:t xml:space="preserve">to 37.1 </w:t>
      </w:r>
      <w:r w:rsidR="00E03E70">
        <w:rPr>
          <w:rFonts w:ascii="Arial" w:hAnsi="Arial" w:cs="Arial"/>
          <w:sz w:val="24"/>
          <w:szCs w:val="24"/>
        </w:rPr>
        <w:t>in 2021</w:t>
      </w:r>
      <w:r w:rsidR="002D2258">
        <w:rPr>
          <w:rFonts w:ascii="Arial" w:hAnsi="Arial" w:cs="Arial"/>
          <w:sz w:val="24"/>
          <w:szCs w:val="24"/>
        </w:rPr>
        <w:t>)</w:t>
      </w:r>
      <w:r w:rsidR="001A4B2A">
        <w:rPr>
          <w:rFonts w:ascii="Arial" w:hAnsi="Arial" w:cs="Arial"/>
          <w:sz w:val="24"/>
          <w:szCs w:val="24"/>
        </w:rPr>
        <w:t>, but</w:t>
      </w:r>
      <w:r w:rsidR="00E03E70">
        <w:rPr>
          <w:rFonts w:ascii="Arial" w:hAnsi="Arial" w:cs="Arial"/>
          <w:sz w:val="24"/>
          <w:szCs w:val="24"/>
        </w:rPr>
        <w:t xml:space="preserve"> Manchester</w:t>
      </w:r>
      <w:r w:rsidR="00110EFE">
        <w:rPr>
          <w:rFonts w:ascii="Arial" w:hAnsi="Arial" w:cs="Arial"/>
          <w:sz w:val="24"/>
          <w:szCs w:val="24"/>
        </w:rPr>
        <w:t>’s population remain</w:t>
      </w:r>
      <w:r w:rsidR="001A4B2A">
        <w:rPr>
          <w:rFonts w:ascii="Arial" w:hAnsi="Arial" w:cs="Arial"/>
          <w:sz w:val="24"/>
          <w:szCs w:val="24"/>
        </w:rPr>
        <w:t>ed</w:t>
      </w:r>
      <w:r w:rsidR="00110EFE">
        <w:rPr>
          <w:rFonts w:ascii="Arial" w:hAnsi="Arial" w:cs="Arial"/>
          <w:sz w:val="24"/>
          <w:szCs w:val="24"/>
        </w:rPr>
        <w:t xml:space="preserve"> younger </w:t>
      </w:r>
      <w:r w:rsidR="001A4B2A">
        <w:rPr>
          <w:rFonts w:ascii="Arial" w:hAnsi="Arial" w:cs="Arial"/>
          <w:sz w:val="24"/>
          <w:szCs w:val="24"/>
        </w:rPr>
        <w:t xml:space="preserve">(34.3 years in 2021, up from </w:t>
      </w:r>
      <w:r w:rsidR="00110EFE">
        <w:rPr>
          <w:rFonts w:ascii="Arial" w:hAnsi="Arial" w:cs="Arial"/>
          <w:sz w:val="24"/>
          <w:szCs w:val="24"/>
        </w:rPr>
        <w:t>33.7 years in 201</w:t>
      </w:r>
      <w:r w:rsidR="001A4B2A">
        <w:rPr>
          <w:rFonts w:ascii="Arial" w:hAnsi="Arial" w:cs="Arial"/>
          <w:sz w:val="24"/>
          <w:szCs w:val="24"/>
        </w:rPr>
        <w:t>1)</w:t>
      </w:r>
      <w:r w:rsidR="00E03E70">
        <w:rPr>
          <w:rFonts w:ascii="Arial" w:hAnsi="Arial" w:cs="Arial"/>
          <w:sz w:val="24"/>
          <w:szCs w:val="24"/>
        </w:rPr>
        <w:t>.</w:t>
      </w:r>
    </w:p>
    <w:p w14:paraId="44225150" w14:textId="0E965353" w:rsidR="00E03E70" w:rsidRDefault="000B1608" w:rsidP="000B1608">
      <w:pPr>
        <w:rPr>
          <w:rFonts w:ascii="Arial" w:hAnsi="Arial" w:cs="Arial"/>
          <w:sz w:val="24"/>
          <w:szCs w:val="24"/>
        </w:rPr>
      </w:pPr>
      <w:r>
        <w:rPr>
          <w:rFonts w:ascii="Arial" w:hAnsi="Arial" w:cs="Arial"/>
          <w:sz w:val="24"/>
          <w:szCs w:val="24"/>
        </w:rPr>
        <w:t>Greater Manchester had 4.3 working</w:t>
      </w:r>
      <w:r w:rsidR="005433B0">
        <w:rPr>
          <w:rFonts w:ascii="Arial" w:hAnsi="Arial" w:cs="Arial"/>
          <w:sz w:val="24"/>
          <w:szCs w:val="24"/>
        </w:rPr>
        <w:t>-</w:t>
      </w:r>
      <w:r>
        <w:rPr>
          <w:rFonts w:ascii="Arial" w:hAnsi="Arial" w:cs="Arial"/>
          <w:sz w:val="24"/>
          <w:szCs w:val="24"/>
        </w:rPr>
        <w:t xml:space="preserve">age residents for every resident aged 66 and over in 2021, a reduction compared to 2011 (4.9); nationally, the ratio was 3.7 in 2021, also lower than 2011 (4.3). There </w:t>
      </w:r>
      <w:r w:rsidR="00E03E70">
        <w:rPr>
          <w:rFonts w:ascii="Arial" w:hAnsi="Arial" w:cs="Arial"/>
          <w:sz w:val="24"/>
          <w:szCs w:val="24"/>
        </w:rPr>
        <w:t>was</w:t>
      </w:r>
      <w:r>
        <w:rPr>
          <w:rFonts w:ascii="Arial" w:hAnsi="Arial" w:cs="Arial"/>
          <w:sz w:val="24"/>
          <w:szCs w:val="24"/>
        </w:rPr>
        <w:t xml:space="preserve"> considerable variance across the Greater Manchester districts, from 8.0 in 2021 in Manchester to 3.3 in Stockport.</w:t>
      </w:r>
    </w:p>
    <w:p w14:paraId="0CFC1085" w14:textId="710D17F4" w:rsidR="00BF1313" w:rsidRDefault="00E03E70" w:rsidP="008327B2">
      <w:pPr>
        <w:tabs>
          <w:tab w:val="left" w:pos="816"/>
        </w:tabs>
        <w:rPr>
          <w:rFonts w:ascii="Arial" w:hAnsi="Arial" w:cs="Arial"/>
          <w:color w:val="000000" w:themeColor="text1"/>
          <w:sz w:val="24"/>
          <w:szCs w:val="24"/>
        </w:rPr>
      </w:pPr>
      <w:r>
        <w:rPr>
          <w:rFonts w:ascii="Arial" w:eastAsia="Times New Roman" w:hAnsi="Arial" w:cs="Arial"/>
          <w:color w:val="000000" w:themeColor="text1"/>
          <w:sz w:val="24"/>
          <w:szCs w:val="24"/>
        </w:rPr>
        <w:lastRenderedPageBreak/>
        <w:t>It is important to caveat these figures in light of the likely impact of the COVID-19 pandemic on normal population and household patterns</w:t>
      </w:r>
      <w:r w:rsidR="00D058AE">
        <w:rPr>
          <w:rFonts w:ascii="Arial" w:eastAsia="Times New Roman" w:hAnsi="Arial" w:cs="Arial"/>
          <w:color w:val="000000" w:themeColor="text1"/>
          <w:sz w:val="24"/>
          <w:szCs w:val="24"/>
        </w:rPr>
        <w:t>, given that some people’s usual place of residence on Census day 2021 will have changed (particularly likely for young adults and older residents). For example, a</w:t>
      </w:r>
      <w:r w:rsidR="000B1608">
        <w:rPr>
          <w:rFonts w:ascii="Arial" w:eastAsia="Times New Roman" w:hAnsi="Arial" w:cs="Arial"/>
          <w:color w:val="000000" w:themeColor="text1"/>
          <w:sz w:val="24"/>
          <w:szCs w:val="24"/>
        </w:rPr>
        <w:t>nalysis by Manchester City Council suggests that residents were missing from the Census data in Manchester city centre and surrounding wards, particularly where there are houses in multiple occupation and student accommodation; this may also be an issue in other areas of Greater Manchester with similar household and population profiles.</w:t>
      </w:r>
      <w:bookmarkStart w:id="4" w:name="_Hlk134455342"/>
    </w:p>
    <w:bookmarkEnd w:id="4"/>
    <w:p w14:paraId="3254DE86" w14:textId="636490C5" w:rsidR="005C12B9" w:rsidRPr="00FF4411" w:rsidRDefault="007A3606" w:rsidP="00C97181">
      <w:pPr>
        <w:pStyle w:val="Heading3"/>
      </w:pPr>
      <w:r w:rsidRPr="00FF4411">
        <w:t>P</w:t>
      </w:r>
      <w:r w:rsidR="00965106" w:rsidRPr="00FF4411">
        <w:t xml:space="preserve">opulation </w:t>
      </w:r>
      <w:r w:rsidRPr="00FF4411">
        <w:t>and ethnicity</w:t>
      </w:r>
    </w:p>
    <w:p w14:paraId="43216611" w14:textId="06676852" w:rsidR="003D70D8" w:rsidRDefault="003D70D8" w:rsidP="004F08C5">
      <w:pPr>
        <w:rPr>
          <w:rFonts w:ascii="Arial" w:hAnsi="Arial" w:cs="Arial"/>
          <w:color w:val="000000" w:themeColor="text1"/>
          <w:sz w:val="24"/>
          <w:szCs w:val="24"/>
        </w:rPr>
      </w:pPr>
      <w:r>
        <w:rPr>
          <w:rFonts w:ascii="Arial" w:hAnsi="Arial" w:cs="Arial"/>
          <w:color w:val="000000" w:themeColor="text1"/>
          <w:sz w:val="24"/>
          <w:szCs w:val="24"/>
        </w:rPr>
        <w:t>P</w:t>
      </w:r>
      <w:r w:rsidR="0007208A">
        <w:rPr>
          <w:rFonts w:ascii="Arial" w:hAnsi="Arial" w:cs="Arial"/>
          <w:color w:val="000000" w:themeColor="text1"/>
          <w:sz w:val="24"/>
          <w:szCs w:val="24"/>
        </w:rPr>
        <w:t xml:space="preserve">opulation </w:t>
      </w:r>
      <w:r>
        <w:rPr>
          <w:rFonts w:ascii="Arial" w:hAnsi="Arial" w:cs="Arial"/>
          <w:color w:val="000000" w:themeColor="text1"/>
          <w:sz w:val="24"/>
          <w:szCs w:val="24"/>
        </w:rPr>
        <w:t>increases across</w:t>
      </w:r>
      <w:r w:rsidR="00965106">
        <w:rPr>
          <w:rFonts w:ascii="Arial" w:hAnsi="Arial" w:cs="Arial"/>
          <w:color w:val="000000" w:themeColor="text1"/>
          <w:sz w:val="24"/>
          <w:szCs w:val="24"/>
        </w:rPr>
        <w:t xml:space="preserve"> virtually all</w:t>
      </w:r>
      <w:r w:rsidR="0007208A">
        <w:rPr>
          <w:rFonts w:ascii="Arial" w:hAnsi="Arial" w:cs="Arial"/>
          <w:color w:val="000000" w:themeColor="text1"/>
          <w:sz w:val="24"/>
          <w:szCs w:val="24"/>
        </w:rPr>
        <w:t xml:space="preserve"> </w:t>
      </w:r>
      <w:r w:rsidR="00586A21">
        <w:rPr>
          <w:rFonts w:ascii="Arial" w:hAnsi="Arial" w:cs="Arial"/>
          <w:color w:val="000000" w:themeColor="text1"/>
          <w:sz w:val="24"/>
          <w:szCs w:val="24"/>
        </w:rPr>
        <w:t>ethnic</w:t>
      </w:r>
      <w:r w:rsidR="0007208A">
        <w:rPr>
          <w:rFonts w:ascii="Arial" w:hAnsi="Arial" w:cs="Arial"/>
          <w:color w:val="000000" w:themeColor="text1"/>
          <w:sz w:val="24"/>
          <w:szCs w:val="24"/>
        </w:rPr>
        <w:t xml:space="preserve"> </w:t>
      </w:r>
      <w:r w:rsidR="00D058AE">
        <w:rPr>
          <w:rFonts w:ascii="Arial" w:hAnsi="Arial" w:cs="Arial"/>
          <w:color w:val="000000" w:themeColor="text1"/>
          <w:sz w:val="24"/>
          <w:szCs w:val="24"/>
        </w:rPr>
        <w:t xml:space="preserve">minority </w:t>
      </w:r>
      <w:r w:rsidR="0007208A">
        <w:rPr>
          <w:rFonts w:ascii="Arial" w:hAnsi="Arial" w:cs="Arial"/>
          <w:color w:val="000000" w:themeColor="text1"/>
          <w:sz w:val="24"/>
          <w:szCs w:val="24"/>
        </w:rPr>
        <w:t xml:space="preserve">groups </w:t>
      </w:r>
      <w:r w:rsidR="00965106">
        <w:rPr>
          <w:rFonts w:ascii="Arial" w:hAnsi="Arial" w:cs="Arial"/>
          <w:color w:val="000000" w:themeColor="text1"/>
          <w:sz w:val="24"/>
          <w:szCs w:val="24"/>
        </w:rPr>
        <w:t>ha</w:t>
      </w:r>
      <w:r w:rsidR="0058519D">
        <w:rPr>
          <w:rFonts w:ascii="Arial" w:hAnsi="Arial" w:cs="Arial"/>
          <w:color w:val="000000" w:themeColor="text1"/>
          <w:sz w:val="24"/>
          <w:szCs w:val="24"/>
        </w:rPr>
        <w:t>ve</w:t>
      </w:r>
      <w:r w:rsidR="00965106">
        <w:rPr>
          <w:rFonts w:ascii="Arial" w:hAnsi="Arial" w:cs="Arial"/>
          <w:color w:val="000000" w:themeColor="text1"/>
          <w:sz w:val="24"/>
          <w:szCs w:val="24"/>
        </w:rPr>
        <w:t xml:space="preserve"> been</w:t>
      </w:r>
      <w:r w:rsidR="0007208A">
        <w:rPr>
          <w:rFonts w:ascii="Arial" w:hAnsi="Arial" w:cs="Arial"/>
          <w:color w:val="000000" w:themeColor="text1"/>
          <w:sz w:val="24"/>
          <w:szCs w:val="24"/>
        </w:rPr>
        <w:t xml:space="preserve"> a big factor in the growth of </w:t>
      </w:r>
      <w:r w:rsidR="005C12B9">
        <w:rPr>
          <w:rFonts w:ascii="Arial" w:hAnsi="Arial" w:cs="Arial"/>
          <w:color w:val="000000" w:themeColor="text1"/>
          <w:sz w:val="24"/>
          <w:szCs w:val="24"/>
        </w:rPr>
        <w:t>Greater Manchester</w:t>
      </w:r>
      <w:r w:rsidR="0007208A">
        <w:rPr>
          <w:rFonts w:ascii="Arial" w:hAnsi="Arial" w:cs="Arial"/>
          <w:color w:val="000000" w:themeColor="text1"/>
          <w:sz w:val="24"/>
          <w:szCs w:val="24"/>
        </w:rPr>
        <w:t>’s</w:t>
      </w:r>
      <w:r w:rsidR="005C12B9">
        <w:rPr>
          <w:rFonts w:ascii="Arial" w:hAnsi="Arial" w:cs="Arial"/>
          <w:color w:val="000000" w:themeColor="text1"/>
          <w:sz w:val="24"/>
          <w:szCs w:val="24"/>
        </w:rPr>
        <w:t xml:space="preserve"> </w:t>
      </w:r>
      <w:r w:rsidR="002B7E6B">
        <w:rPr>
          <w:rFonts w:ascii="Arial" w:hAnsi="Arial" w:cs="Arial"/>
          <w:color w:val="000000" w:themeColor="text1"/>
          <w:sz w:val="24"/>
          <w:szCs w:val="24"/>
        </w:rPr>
        <w:t xml:space="preserve">total </w:t>
      </w:r>
      <w:r w:rsidR="0007208A">
        <w:rPr>
          <w:rFonts w:ascii="Arial" w:hAnsi="Arial" w:cs="Arial"/>
          <w:color w:val="000000" w:themeColor="text1"/>
          <w:sz w:val="24"/>
          <w:szCs w:val="24"/>
        </w:rPr>
        <w:t>population</w:t>
      </w:r>
      <w:r w:rsidR="002F3395">
        <w:rPr>
          <w:rFonts w:ascii="Arial" w:hAnsi="Arial" w:cs="Arial"/>
          <w:color w:val="000000" w:themeColor="text1"/>
          <w:sz w:val="24"/>
          <w:szCs w:val="24"/>
        </w:rPr>
        <w:t xml:space="preserve">. </w:t>
      </w:r>
      <w:r w:rsidR="00965106">
        <w:rPr>
          <w:rFonts w:ascii="Arial" w:hAnsi="Arial" w:cs="Arial"/>
          <w:color w:val="000000" w:themeColor="text1"/>
          <w:sz w:val="24"/>
          <w:szCs w:val="24"/>
        </w:rPr>
        <w:t>In 2021, t</w:t>
      </w:r>
      <w:r w:rsidR="0007208A">
        <w:rPr>
          <w:rFonts w:ascii="Arial" w:hAnsi="Arial" w:cs="Arial"/>
          <w:color w:val="000000" w:themeColor="text1"/>
          <w:sz w:val="24"/>
          <w:szCs w:val="24"/>
        </w:rPr>
        <w:t xml:space="preserve">here </w:t>
      </w:r>
      <w:r w:rsidR="00965106">
        <w:rPr>
          <w:rFonts w:ascii="Arial" w:hAnsi="Arial" w:cs="Arial"/>
          <w:color w:val="000000" w:themeColor="text1"/>
          <w:sz w:val="24"/>
          <w:szCs w:val="24"/>
        </w:rPr>
        <w:t>were</w:t>
      </w:r>
      <w:r w:rsidR="0007208A">
        <w:rPr>
          <w:rFonts w:ascii="Arial" w:hAnsi="Arial" w:cs="Arial"/>
          <w:color w:val="000000" w:themeColor="text1"/>
          <w:sz w:val="24"/>
          <w:szCs w:val="24"/>
        </w:rPr>
        <w:t xml:space="preserve"> </w:t>
      </w:r>
      <w:r w:rsidR="005433B0">
        <w:rPr>
          <w:rFonts w:ascii="Arial" w:hAnsi="Arial" w:cs="Arial"/>
          <w:color w:val="000000" w:themeColor="text1"/>
          <w:sz w:val="24"/>
          <w:szCs w:val="24"/>
        </w:rPr>
        <w:t>some 281,000</w:t>
      </w:r>
      <w:r w:rsidR="005C12B9">
        <w:rPr>
          <w:rFonts w:ascii="Arial" w:hAnsi="Arial" w:cs="Arial"/>
          <w:color w:val="000000" w:themeColor="text1"/>
          <w:sz w:val="24"/>
          <w:szCs w:val="24"/>
        </w:rPr>
        <w:t xml:space="preserve"> more </w:t>
      </w:r>
      <w:r w:rsidR="00E44E67">
        <w:rPr>
          <w:rFonts w:ascii="Arial" w:hAnsi="Arial" w:cs="Arial"/>
          <w:color w:val="000000" w:themeColor="text1"/>
          <w:sz w:val="24"/>
          <w:szCs w:val="24"/>
        </w:rPr>
        <w:t xml:space="preserve">residents from </w:t>
      </w:r>
      <w:r w:rsidR="00E44E67" w:rsidRPr="00E44E67">
        <w:rPr>
          <w:rFonts w:ascii="Arial" w:hAnsi="Arial" w:cs="Arial"/>
          <w:color w:val="000000" w:themeColor="text1"/>
          <w:sz w:val="24"/>
          <w:szCs w:val="24"/>
        </w:rPr>
        <w:t xml:space="preserve">Asian, Black, Mixed and </w:t>
      </w:r>
      <w:r w:rsidR="00965C3D">
        <w:rPr>
          <w:rFonts w:ascii="Arial" w:hAnsi="Arial" w:cs="Arial"/>
          <w:color w:val="000000" w:themeColor="text1"/>
          <w:sz w:val="24"/>
          <w:szCs w:val="24"/>
        </w:rPr>
        <w:t>‘</w:t>
      </w:r>
      <w:r w:rsidR="00E44E67" w:rsidRPr="00E44E67">
        <w:rPr>
          <w:rFonts w:ascii="Arial" w:hAnsi="Arial" w:cs="Arial"/>
          <w:color w:val="000000" w:themeColor="text1"/>
          <w:sz w:val="24"/>
          <w:szCs w:val="24"/>
        </w:rPr>
        <w:t>Other</w:t>
      </w:r>
      <w:r w:rsidR="00965C3D">
        <w:rPr>
          <w:rFonts w:ascii="Arial" w:hAnsi="Arial" w:cs="Arial"/>
          <w:color w:val="000000" w:themeColor="text1"/>
          <w:sz w:val="24"/>
          <w:szCs w:val="24"/>
        </w:rPr>
        <w:t>’</w:t>
      </w:r>
      <w:r w:rsidR="00E44E67" w:rsidRPr="00E44E67">
        <w:rPr>
          <w:rFonts w:ascii="Arial" w:hAnsi="Arial" w:cs="Arial"/>
          <w:color w:val="000000" w:themeColor="text1"/>
          <w:sz w:val="24"/>
          <w:szCs w:val="24"/>
        </w:rPr>
        <w:t xml:space="preserve"> populations</w:t>
      </w:r>
      <w:r w:rsidR="00E44E67">
        <w:rPr>
          <w:rFonts w:ascii="Arial" w:hAnsi="Arial" w:cs="Arial"/>
          <w:color w:val="000000" w:themeColor="text1"/>
          <w:sz w:val="24"/>
          <w:szCs w:val="24"/>
        </w:rPr>
        <w:t xml:space="preserve"> </w:t>
      </w:r>
      <w:r w:rsidR="00D058AE">
        <w:rPr>
          <w:rFonts w:ascii="Arial" w:hAnsi="Arial" w:cs="Arial"/>
          <w:color w:val="000000" w:themeColor="text1"/>
          <w:sz w:val="24"/>
          <w:szCs w:val="24"/>
        </w:rPr>
        <w:t>in Greater Manchester</w:t>
      </w:r>
      <w:r w:rsidR="00965106">
        <w:rPr>
          <w:rFonts w:ascii="Arial" w:hAnsi="Arial" w:cs="Arial"/>
          <w:color w:val="000000" w:themeColor="text1"/>
          <w:sz w:val="24"/>
          <w:szCs w:val="24"/>
        </w:rPr>
        <w:t xml:space="preserve"> than in </w:t>
      </w:r>
      <w:r w:rsidR="005C12B9">
        <w:rPr>
          <w:rFonts w:ascii="Arial" w:hAnsi="Arial" w:cs="Arial"/>
          <w:color w:val="000000" w:themeColor="text1"/>
          <w:sz w:val="24"/>
          <w:szCs w:val="24"/>
        </w:rPr>
        <w:t>2011</w:t>
      </w:r>
      <w:r w:rsidR="002B7E6B">
        <w:rPr>
          <w:rFonts w:ascii="Arial" w:hAnsi="Arial" w:cs="Arial"/>
          <w:color w:val="000000" w:themeColor="text1"/>
          <w:sz w:val="24"/>
          <w:szCs w:val="24"/>
        </w:rPr>
        <w:t xml:space="preserve">, an increase of </w:t>
      </w:r>
      <w:r w:rsidR="0076618C">
        <w:rPr>
          <w:rFonts w:ascii="Arial" w:hAnsi="Arial" w:cs="Arial"/>
          <w:color w:val="000000" w:themeColor="text1"/>
          <w:sz w:val="24"/>
          <w:szCs w:val="24"/>
        </w:rPr>
        <w:t>51.9</w:t>
      </w:r>
      <w:r w:rsidR="00965106" w:rsidRPr="008D43D3">
        <w:rPr>
          <w:rFonts w:ascii="Arial" w:hAnsi="Arial" w:cs="Arial"/>
          <w:color w:val="000000" w:themeColor="text1"/>
          <w:sz w:val="24"/>
          <w:szCs w:val="24"/>
        </w:rPr>
        <w:t>%</w:t>
      </w:r>
      <w:r w:rsidR="005C12B9" w:rsidRPr="008D43D3">
        <w:rPr>
          <w:rFonts w:ascii="Arial" w:hAnsi="Arial" w:cs="Arial"/>
          <w:color w:val="000000" w:themeColor="text1"/>
          <w:sz w:val="24"/>
          <w:szCs w:val="24"/>
        </w:rPr>
        <w:t>.</w:t>
      </w:r>
      <w:r w:rsidR="005C12B9">
        <w:rPr>
          <w:rFonts w:ascii="Arial" w:hAnsi="Arial" w:cs="Arial"/>
          <w:color w:val="000000" w:themeColor="text1"/>
          <w:sz w:val="24"/>
          <w:szCs w:val="24"/>
        </w:rPr>
        <w:t xml:space="preserve"> In contrast</w:t>
      </w:r>
      <w:r w:rsidR="00965106">
        <w:rPr>
          <w:rFonts w:ascii="Arial" w:hAnsi="Arial" w:cs="Arial"/>
          <w:color w:val="000000" w:themeColor="text1"/>
          <w:sz w:val="24"/>
          <w:szCs w:val="24"/>
        </w:rPr>
        <w:t>,</w:t>
      </w:r>
      <w:r w:rsidR="005C12B9">
        <w:rPr>
          <w:rFonts w:ascii="Arial" w:hAnsi="Arial" w:cs="Arial"/>
          <w:color w:val="000000" w:themeColor="text1"/>
          <w:sz w:val="24"/>
          <w:szCs w:val="24"/>
        </w:rPr>
        <w:t xml:space="preserve"> </w:t>
      </w:r>
      <w:r w:rsidR="002B7E6B">
        <w:rPr>
          <w:rFonts w:ascii="Arial" w:hAnsi="Arial" w:cs="Arial"/>
          <w:color w:val="000000" w:themeColor="text1"/>
          <w:sz w:val="24"/>
          <w:szCs w:val="24"/>
        </w:rPr>
        <w:t xml:space="preserve">Greater Manchester’s </w:t>
      </w:r>
      <w:r w:rsidR="00556963">
        <w:rPr>
          <w:rFonts w:ascii="Arial" w:hAnsi="Arial" w:cs="Arial"/>
          <w:color w:val="000000" w:themeColor="text1"/>
          <w:sz w:val="24"/>
          <w:szCs w:val="24"/>
        </w:rPr>
        <w:t>W</w:t>
      </w:r>
      <w:r w:rsidR="005C12B9">
        <w:rPr>
          <w:rFonts w:ascii="Arial" w:hAnsi="Arial" w:cs="Arial"/>
          <w:color w:val="000000" w:themeColor="text1"/>
          <w:sz w:val="24"/>
          <w:szCs w:val="24"/>
        </w:rPr>
        <w:t xml:space="preserve">hite British population decreased by </w:t>
      </w:r>
      <w:r w:rsidR="002B7E6B">
        <w:rPr>
          <w:rFonts w:ascii="Arial" w:hAnsi="Arial" w:cs="Arial"/>
          <w:color w:val="000000" w:themeColor="text1"/>
          <w:sz w:val="24"/>
          <w:szCs w:val="24"/>
        </w:rPr>
        <w:t xml:space="preserve">nearly 96,000 (4.5%) over the period. </w:t>
      </w:r>
      <w:r w:rsidR="00965106">
        <w:rPr>
          <w:rFonts w:ascii="Arial" w:hAnsi="Arial" w:cs="Arial"/>
          <w:color w:val="000000" w:themeColor="text1"/>
          <w:sz w:val="24"/>
          <w:szCs w:val="24"/>
        </w:rPr>
        <w:t xml:space="preserve">The </w:t>
      </w:r>
      <w:r w:rsidR="00845A3B">
        <w:rPr>
          <w:rFonts w:ascii="Arial" w:hAnsi="Arial" w:cs="Arial"/>
          <w:color w:val="000000" w:themeColor="text1"/>
          <w:sz w:val="24"/>
          <w:szCs w:val="24"/>
        </w:rPr>
        <w:t xml:space="preserve">Asian population </w:t>
      </w:r>
      <w:r w:rsidR="00C42B37">
        <w:rPr>
          <w:rFonts w:ascii="Arial" w:hAnsi="Arial" w:cs="Arial"/>
          <w:color w:val="000000" w:themeColor="text1"/>
          <w:sz w:val="24"/>
          <w:szCs w:val="24"/>
        </w:rPr>
        <w:t>grew</w:t>
      </w:r>
      <w:r w:rsidR="00845A3B">
        <w:rPr>
          <w:rFonts w:ascii="Arial" w:hAnsi="Arial" w:cs="Arial"/>
          <w:color w:val="000000" w:themeColor="text1"/>
          <w:sz w:val="24"/>
          <w:szCs w:val="24"/>
        </w:rPr>
        <w:t xml:space="preserve"> </w:t>
      </w:r>
      <w:r w:rsidR="00C414AF">
        <w:rPr>
          <w:rFonts w:ascii="Arial" w:hAnsi="Arial" w:cs="Arial"/>
          <w:color w:val="000000" w:themeColor="text1"/>
          <w:sz w:val="24"/>
          <w:szCs w:val="24"/>
        </w:rPr>
        <w:t>the most</w:t>
      </w:r>
      <w:r w:rsidR="005433B0">
        <w:rPr>
          <w:rFonts w:ascii="Arial" w:hAnsi="Arial" w:cs="Arial"/>
          <w:color w:val="000000" w:themeColor="text1"/>
          <w:sz w:val="24"/>
          <w:szCs w:val="24"/>
        </w:rPr>
        <w:t xml:space="preserve"> </w:t>
      </w:r>
      <w:r w:rsidR="00455370">
        <w:rPr>
          <w:rFonts w:ascii="Arial" w:hAnsi="Arial" w:cs="Arial"/>
          <w:color w:val="000000" w:themeColor="text1"/>
          <w:sz w:val="24"/>
          <w:szCs w:val="24"/>
        </w:rPr>
        <w:t xml:space="preserve">(up </w:t>
      </w:r>
      <w:r>
        <w:rPr>
          <w:rFonts w:ascii="Arial" w:hAnsi="Arial" w:cs="Arial"/>
          <w:color w:val="000000" w:themeColor="text1"/>
          <w:sz w:val="24"/>
          <w:szCs w:val="24"/>
        </w:rPr>
        <w:t>117,</w:t>
      </w:r>
      <w:r w:rsidR="00E65C83">
        <w:rPr>
          <w:rFonts w:ascii="Arial" w:hAnsi="Arial" w:cs="Arial"/>
          <w:color w:val="000000" w:themeColor="text1"/>
          <w:sz w:val="24"/>
          <w:szCs w:val="24"/>
        </w:rPr>
        <w:t>000</w:t>
      </w:r>
      <w:r w:rsidR="00455370">
        <w:rPr>
          <w:rFonts w:ascii="Arial" w:hAnsi="Arial" w:cs="Arial"/>
          <w:color w:val="000000" w:themeColor="text1"/>
          <w:sz w:val="24"/>
          <w:szCs w:val="24"/>
        </w:rPr>
        <w:t>, or 4</w:t>
      </w:r>
      <w:r w:rsidR="00C414AF" w:rsidRPr="00455370">
        <w:rPr>
          <w:rFonts w:ascii="Arial" w:hAnsi="Arial" w:cs="Arial"/>
          <w:color w:val="000000" w:themeColor="text1"/>
          <w:sz w:val="24"/>
          <w:szCs w:val="24"/>
        </w:rPr>
        <w:t>3</w:t>
      </w:r>
      <w:r w:rsidR="002B7E6B" w:rsidRPr="00455370">
        <w:rPr>
          <w:rFonts w:ascii="Arial" w:hAnsi="Arial" w:cs="Arial"/>
          <w:color w:val="000000" w:themeColor="text1"/>
          <w:sz w:val="24"/>
          <w:szCs w:val="24"/>
        </w:rPr>
        <w:t>%)</w:t>
      </w:r>
      <w:r w:rsidR="008E2A85" w:rsidRPr="00455370">
        <w:rPr>
          <w:rFonts w:ascii="Arial" w:hAnsi="Arial" w:cs="Arial"/>
          <w:color w:val="000000" w:themeColor="text1"/>
          <w:sz w:val="24"/>
          <w:szCs w:val="24"/>
        </w:rPr>
        <w:t>,</w:t>
      </w:r>
      <w:r>
        <w:rPr>
          <w:rFonts w:ascii="Arial" w:hAnsi="Arial" w:cs="Arial"/>
          <w:color w:val="000000" w:themeColor="text1"/>
          <w:sz w:val="24"/>
          <w:szCs w:val="24"/>
        </w:rPr>
        <w:t xml:space="preserve"> followed by</w:t>
      </w:r>
      <w:r w:rsidR="00965106">
        <w:rPr>
          <w:rFonts w:ascii="Arial" w:hAnsi="Arial" w:cs="Arial"/>
          <w:color w:val="000000" w:themeColor="text1"/>
          <w:sz w:val="24"/>
          <w:szCs w:val="24"/>
        </w:rPr>
        <w:t xml:space="preserve"> </w:t>
      </w:r>
      <w:r w:rsidR="00845A3B">
        <w:rPr>
          <w:rFonts w:ascii="Arial" w:hAnsi="Arial" w:cs="Arial"/>
          <w:color w:val="000000" w:themeColor="text1"/>
          <w:sz w:val="24"/>
          <w:szCs w:val="24"/>
        </w:rPr>
        <w:t xml:space="preserve">the </w:t>
      </w:r>
      <w:r w:rsidR="00F54CE8">
        <w:rPr>
          <w:rFonts w:ascii="Arial" w:hAnsi="Arial" w:cs="Arial"/>
          <w:color w:val="000000" w:themeColor="text1"/>
          <w:sz w:val="24"/>
          <w:szCs w:val="24"/>
        </w:rPr>
        <w:t>B</w:t>
      </w:r>
      <w:r w:rsidR="002B7E6B">
        <w:rPr>
          <w:rFonts w:ascii="Arial" w:hAnsi="Arial" w:cs="Arial"/>
          <w:color w:val="000000" w:themeColor="text1"/>
          <w:sz w:val="24"/>
          <w:szCs w:val="24"/>
        </w:rPr>
        <w:t xml:space="preserve">lack </w:t>
      </w:r>
      <w:r w:rsidR="00965106">
        <w:rPr>
          <w:rFonts w:ascii="Arial" w:hAnsi="Arial" w:cs="Arial"/>
          <w:color w:val="000000" w:themeColor="text1"/>
          <w:sz w:val="24"/>
          <w:szCs w:val="24"/>
        </w:rPr>
        <w:t xml:space="preserve">population </w:t>
      </w:r>
      <w:r w:rsidR="00455370">
        <w:rPr>
          <w:rFonts w:ascii="Arial" w:hAnsi="Arial" w:cs="Arial"/>
          <w:color w:val="000000" w:themeColor="text1"/>
          <w:sz w:val="24"/>
          <w:szCs w:val="24"/>
        </w:rPr>
        <w:t>(up</w:t>
      </w:r>
      <w:r w:rsidR="005433B0">
        <w:rPr>
          <w:rFonts w:ascii="Arial" w:hAnsi="Arial" w:cs="Arial"/>
          <w:color w:val="000000" w:themeColor="text1"/>
          <w:sz w:val="24"/>
          <w:szCs w:val="24"/>
        </w:rPr>
        <w:t xml:space="preserve"> 60,0</w:t>
      </w:r>
      <w:r w:rsidR="00E65C83">
        <w:rPr>
          <w:rFonts w:ascii="Arial" w:hAnsi="Arial" w:cs="Arial"/>
          <w:color w:val="000000" w:themeColor="text1"/>
          <w:sz w:val="24"/>
          <w:szCs w:val="24"/>
        </w:rPr>
        <w:t>00</w:t>
      </w:r>
      <w:r w:rsidR="00455370">
        <w:rPr>
          <w:rFonts w:ascii="Arial" w:hAnsi="Arial" w:cs="Arial"/>
          <w:color w:val="000000" w:themeColor="text1"/>
          <w:sz w:val="24"/>
          <w:szCs w:val="24"/>
        </w:rPr>
        <w:t xml:space="preserve">, </w:t>
      </w:r>
      <w:r w:rsidR="00C414AF" w:rsidRPr="00455370">
        <w:rPr>
          <w:rFonts w:ascii="Arial" w:hAnsi="Arial" w:cs="Arial"/>
          <w:color w:val="000000" w:themeColor="text1"/>
          <w:sz w:val="24"/>
          <w:szCs w:val="24"/>
        </w:rPr>
        <w:t>81</w:t>
      </w:r>
      <w:r w:rsidR="005433B0" w:rsidRPr="00455370">
        <w:rPr>
          <w:rFonts w:ascii="Arial" w:hAnsi="Arial" w:cs="Arial"/>
          <w:color w:val="000000" w:themeColor="text1"/>
          <w:sz w:val="24"/>
          <w:szCs w:val="24"/>
        </w:rPr>
        <w:t>%)</w:t>
      </w:r>
      <w:r w:rsidR="00805D0B" w:rsidRPr="00455370">
        <w:rPr>
          <w:rFonts w:ascii="Arial" w:hAnsi="Arial" w:cs="Arial"/>
          <w:color w:val="000000" w:themeColor="text1"/>
          <w:sz w:val="24"/>
          <w:szCs w:val="24"/>
        </w:rPr>
        <w:t>.</w:t>
      </w:r>
      <w:r>
        <w:rPr>
          <w:rFonts w:ascii="Arial" w:hAnsi="Arial" w:cs="Arial"/>
          <w:color w:val="000000" w:themeColor="text1"/>
          <w:sz w:val="24"/>
          <w:szCs w:val="24"/>
        </w:rPr>
        <w:t xml:space="preserve"> </w:t>
      </w:r>
      <w:r w:rsidR="00455370">
        <w:rPr>
          <w:rFonts w:ascii="Arial" w:hAnsi="Arial" w:cs="Arial"/>
          <w:color w:val="000000" w:themeColor="text1"/>
          <w:sz w:val="24"/>
          <w:szCs w:val="24"/>
        </w:rPr>
        <w:t xml:space="preserve">People born outside of the UK who arrived here over the last ten years </w:t>
      </w:r>
      <w:r>
        <w:rPr>
          <w:rFonts w:ascii="Arial" w:hAnsi="Arial" w:cs="Arial"/>
          <w:color w:val="000000" w:themeColor="text1"/>
          <w:sz w:val="24"/>
          <w:szCs w:val="24"/>
        </w:rPr>
        <w:t xml:space="preserve">accounted for </w:t>
      </w:r>
      <w:r w:rsidR="002B7E6B">
        <w:rPr>
          <w:rFonts w:ascii="Arial" w:hAnsi="Arial" w:cs="Arial"/>
          <w:color w:val="000000" w:themeColor="text1"/>
          <w:sz w:val="24"/>
          <w:szCs w:val="24"/>
        </w:rPr>
        <w:t>more than three quarters (</w:t>
      </w:r>
      <w:r>
        <w:rPr>
          <w:rFonts w:ascii="Arial" w:hAnsi="Arial" w:cs="Arial"/>
          <w:color w:val="000000" w:themeColor="text1"/>
          <w:sz w:val="24"/>
          <w:szCs w:val="24"/>
        </w:rPr>
        <w:t>77.4%</w:t>
      </w:r>
      <w:r w:rsidR="002B7E6B">
        <w:rPr>
          <w:rFonts w:ascii="Arial" w:hAnsi="Arial" w:cs="Arial"/>
          <w:color w:val="000000" w:themeColor="text1"/>
          <w:sz w:val="24"/>
          <w:szCs w:val="24"/>
        </w:rPr>
        <w:t>)</w:t>
      </w:r>
      <w:r>
        <w:rPr>
          <w:rFonts w:ascii="Arial" w:hAnsi="Arial" w:cs="Arial"/>
          <w:color w:val="000000" w:themeColor="text1"/>
          <w:sz w:val="24"/>
          <w:szCs w:val="24"/>
        </w:rPr>
        <w:t xml:space="preserve"> of the </w:t>
      </w:r>
      <w:r w:rsidR="00C42B37">
        <w:rPr>
          <w:rFonts w:ascii="Arial" w:hAnsi="Arial" w:cs="Arial"/>
          <w:color w:val="000000" w:themeColor="text1"/>
          <w:sz w:val="24"/>
          <w:szCs w:val="24"/>
        </w:rPr>
        <w:t>growth</w:t>
      </w:r>
      <w:r>
        <w:rPr>
          <w:rFonts w:ascii="Arial" w:hAnsi="Arial" w:cs="Arial"/>
          <w:color w:val="000000" w:themeColor="text1"/>
          <w:sz w:val="24"/>
          <w:szCs w:val="24"/>
        </w:rPr>
        <w:t xml:space="preserve"> in Greater</w:t>
      </w:r>
      <w:r w:rsidR="002B7E6B">
        <w:rPr>
          <w:rFonts w:ascii="Arial" w:hAnsi="Arial" w:cs="Arial"/>
          <w:color w:val="000000" w:themeColor="text1"/>
          <w:sz w:val="24"/>
          <w:szCs w:val="24"/>
        </w:rPr>
        <w:t xml:space="preserve"> </w:t>
      </w:r>
      <w:r>
        <w:rPr>
          <w:rFonts w:ascii="Arial" w:hAnsi="Arial" w:cs="Arial"/>
          <w:color w:val="000000" w:themeColor="text1"/>
          <w:sz w:val="24"/>
          <w:szCs w:val="24"/>
        </w:rPr>
        <w:t xml:space="preserve">Manchester’s </w:t>
      </w:r>
      <w:r w:rsidR="00586A21">
        <w:rPr>
          <w:rFonts w:ascii="Arial" w:hAnsi="Arial" w:cs="Arial"/>
          <w:color w:val="000000" w:themeColor="text1"/>
          <w:sz w:val="24"/>
          <w:szCs w:val="24"/>
        </w:rPr>
        <w:t>ethnic</w:t>
      </w:r>
      <w:r>
        <w:rPr>
          <w:rFonts w:ascii="Arial" w:hAnsi="Arial" w:cs="Arial"/>
          <w:color w:val="000000" w:themeColor="text1"/>
          <w:sz w:val="24"/>
          <w:szCs w:val="24"/>
        </w:rPr>
        <w:t xml:space="preserve"> </w:t>
      </w:r>
      <w:r w:rsidR="002B7E6B">
        <w:rPr>
          <w:rFonts w:ascii="Arial" w:hAnsi="Arial" w:cs="Arial"/>
          <w:color w:val="000000" w:themeColor="text1"/>
          <w:sz w:val="24"/>
          <w:szCs w:val="24"/>
        </w:rPr>
        <w:t xml:space="preserve">minority </w:t>
      </w:r>
      <w:r>
        <w:rPr>
          <w:rFonts w:ascii="Arial" w:hAnsi="Arial" w:cs="Arial"/>
          <w:color w:val="000000" w:themeColor="text1"/>
          <w:sz w:val="24"/>
          <w:szCs w:val="24"/>
        </w:rPr>
        <w:t>population since 2011, with the remaining increase (22.6%) due to natural change – births exceeding deaths.</w:t>
      </w:r>
    </w:p>
    <w:p w14:paraId="62ED30A6" w14:textId="438B7F3D" w:rsidR="006D57A0" w:rsidRDefault="006D57A0" w:rsidP="008327B2">
      <w:pPr>
        <w:rPr>
          <w:rFonts w:ascii="Arial" w:hAnsi="Arial" w:cs="Arial"/>
          <w:color w:val="000000" w:themeColor="text1"/>
          <w:sz w:val="24"/>
          <w:szCs w:val="24"/>
        </w:rPr>
      </w:pPr>
      <w:r>
        <w:rPr>
          <w:rFonts w:ascii="Arial" w:hAnsi="Arial" w:cs="Arial"/>
          <w:color w:val="000000" w:themeColor="text1"/>
          <w:sz w:val="24"/>
          <w:szCs w:val="24"/>
        </w:rPr>
        <w:t xml:space="preserve">The increase in Greater Manchester’s </w:t>
      </w:r>
      <w:r w:rsidR="00F54CE8" w:rsidRPr="00F54CE8">
        <w:rPr>
          <w:rFonts w:ascii="Arial" w:hAnsi="Arial" w:cs="Arial"/>
          <w:color w:val="000000" w:themeColor="text1"/>
          <w:sz w:val="24"/>
          <w:szCs w:val="24"/>
        </w:rPr>
        <w:t xml:space="preserve">Asian, Black, Mixed and </w:t>
      </w:r>
      <w:r w:rsidR="00965C3D">
        <w:rPr>
          <w:rFonts w:ascii="Arial" w:hAnsi="Arial" w:cs="Arial"/>
          <w:color w:val="000000" w:themeColor="text1"/>
          <w:sz w:val="24"/>
          <w:szCs w:val="24"/>
        </w:rPr>
        <w:t>‘</w:t>
      </w:r>
      <w:r w:rsidR="00F54CE8" w:rsidRPr="00F54CE8">
        <w:rPr>
          <w:rFonts w:ascii="Arial" w:hAnsi="Arial" w:cs="Arial"/>
          <w:color w:val="000000" w:themeColor="text1"/>
          <w:sz w:val="24"/>
          <w:szCs w:val="24"/>
        </w:rPr>
        <w:t>Other</w:t>
      </w:r>
      <w:r w:rsidR="00965C3D">
        <w:rPr>
          <w:rFonts w:ascii="Arial" w:hAnsi="Arial" w:cs="Arial"/>
          <w:color w:val="000000" w:themeColor="text1"/>
          <w:sz w:val="24"/>
          <w:szCs w:val="24"/>
        </w:rPr>
        <w:t>’</w:t>
      </w:r>
      <w:r w:rsidR="00F54CE8" w:rsidRPr="00F54CE8">
        <w:rPr>
          <w:rFonts w:ascii="Arial" w:hAnsi="Arial" w:cs="Arial"/>
          <w:color w:val="000000" w:themeColor="text1"/>
          <w:sz w:val="24"/>
          <w:szCs w:val="24"/>
        </w:rPr>
        <w:t xml:space="preserve"> populations</w:t>
      </w:r>
      <w:r w:rsidR="00F54CE8">
        <w:rPr>
          <w:rFonts w:ascii="Arial" w:hAnsi="Arial" w:cs="Arial"/>
          <w:color w:val="000000" w:themeColor="text1"/>
          <w:sz w:val="24"/>
          <w:szCs w:val="24"/>
        </w:rPr>
        <w:t xml:space="preserve"> </w:t>
      </w:r>
      <w:r>
        <w:rPr>
          <w:rFonts w:ascii="Arial" w:hAnsi="Arial" w:cs="Arial"/>
          <w:color w:val="000000" w:themeColor="text1"/>
          <w:sz w:val="24"/>
          <w:szCs w:val="24"/>
        </w:rPr>
        <w:t xml:space="preserve">between 2011 and 2021 was </w:t>
      </w:r>
      <w:r w:rsidR="00C414AF">
        <w:rPr>
          <w:rFonts w:ascii="Arial" w:hAnsi="Arial" w:cs="Arial"/>
          <w:color w:val="000000" w:themeColor="text1"/>
          <w:sz w:val="24"/>
          <w:szCs w:val="24"/>
        </w:rPr>
        <w:t xml:space="preserve">mainly </w:t>
      </w:r>
      <w:r>
        <w:rPr>
          <w:rFonts w:ascii="Arial" w:hAnsi="Arial" w:cs="Arial"/>
          <w:color w:val="000000" w:themeColor="text1"/>
          <w:sz w:val="24"/>
          <w:szCs w:val="24"/>
        </w:rPr>
        <w:t xml:space="preserve">driven by growth amongst </w:t>
      </w:r>
      <w:r w:rsidR="00D665D8">
        <w:rPr>
          <w:rFonts w:ascii="Arial" w:hAnsi="Arial" w:cs="Arial"/>
          <w:color w:val="000000" w:themeColor="text1"/>
          <w:sz w:val="24"/>
          <w:szCs w:val="24"/>
        </w:rPr>
        <w:t>0–15</w:t>
      </w:r>
      <w:r w:rsidR="00C15F34">
        <w:rPr>
          <w:rFonts w:ascii="Arial" w:hAnsi="Arial" w:cs="Arial"/>
          <w:color w:val="000000" w:themeColor="text1"/>
          <w:sz w:val="24"/>
          <w:szCs w:val="24"/>
        </w:rPr>
        <w:t xml:space="preserve"> </w:t>
      </w:r>
      <w:r w:rsidR="00D665D8">
        <w:rPr>
          <w:rFonts w:ascii="Arial" w:hAnsi="Arial" w:cs="Arial"/>
          <w:color w:val="000000" w:themeColor="text1"/>
          <w:sz w:val="24"/>
          <w:szCs w:val="24"/>
        </w:rPr>
        <w:t>year</w:t>
      </w:r>
      <w:r w:rsidR="00C15F34">
        <w:rPr>
          <w:rFonts w:ascii="Arial" w:hAnsi="Arial" w:cs="Arial"/>
          <w:color w:val="000000" w:themeColor="text1"/>
          <w:sz w:val="24"/>
          <w:szCs w:val="24"/>
        </w:rPr>
        <w:t xml:space="preserve"> </w:t>
      </w:r>
      <w:r w:rsidR="00D665D8">
        <w:rPr>
          <w:rFonts w:ascii="Arial" w:hAnsi="Arial" w:cs="Arial"/>
          <w:color w:val="000000" w:themeColor="text1"/>
          <w:sz w:val="24"/>
          <w:szCs w:val="24"/>
        </w:rPr>
        <w:t>olds</w:t>
      </w:r>
      <w:r>
        <w:rPr>
          <w:rFonts w:ascii="Arial" w:hAnsi="Arial" w:cs="Arial"/>
          <w:color w:val="000000" w:themeColor="text1"/>
          <w:sz w:val="24"/>
          <w:szCs w:val="24"/>
        </w:rPr>
        <w:t xml:space="preserve"> (up </w:t>
      </w:r>
      <w:r w:rsidR="00C414AF">
        <w:rPr>
          <w:rFonts w:ascii="Arial" w:hAnsi="Arial" w:cs="Arial"/>
          <w:color w:val="000000" w:themeColor="text1"/>
          <w:sz w:val="24"/>
          <w:szCs w:val="24"/>
        </w:rPr>
        <w:t>158.6</w:t>
      </w:r>
      <w:r w:rsidRPr="00353139">
        <w:rPr>
          <w:rFonts w:ascii="Arial" w:hAnsi="Arial" w:cs="Arial"/>
          <w:color w:val="000000" w:themeColor="text1"/>
          <w:sz w:val="24"/>
          <w:szCs w:val="24"/>
        </w:rPr>
        <w:t>%)</w:t>
      </w:r>
      <w:r>
        <w:rPr>
          <w:rFonts w:ascii="Arial" w:hAnsi="Arial" w:cs="Arial"/>
          <w:color w:val="000000" w:themeColor="text1"/>
          <w:sz w:val="24"/>
          <w:szCs w:val="24"/>
        </w:rPr>
        <w:t xml:space="preserve"> and the working</w:t>
      </w:r>
      <w:r w:rsidR="005433B0">
        <w:rPr>
          <w:rFonts w:ascii="Arial" w:hAnsi="Arial" w:cs="Arial"/>
          <w:color w:val="000000" w:themeColor="text1"/>
          <w:sz w:val="24"/>
          <w:szCs w:val="24"/>
        </w:rPr>
        <w:t>-</w:t>
      </w:r>
      <w:r>
        <w:rPr>
          <w:rFonts w:ascii="Arial" w:hAnsi="Arial" w:cs="Arial"/>
          <w:color w:val="000000" w:themeColor="text1"/>
          <w:sz w:val="24"/>
          <w:szCs w:val="24"/>
        </w:rPr>
        <w:t xml:space="preserve">age population (up </w:t>
      </w:r>
      <w:r w:rsidR="00C414AF">
        <w:rPr>
          <w:rFonts w:ascii="Arial" w:hAnsi="Arial" w:cs="Arial"/>
          <w:color w:val="000000" w:themeColor="text1"/>
          <w:sz w:val="24"/>
          <w:szCs w:val="24"/>
        </w:rPr>
        <w:t>258.6</w:t>
      </w:r>
      <w:r w:rsidRPr="00353139">
        <w:rPr>
          <w:rFonts w:ascii="Arial" w:hAnsi="Arial" w:cs="Arial"/>
          <w:color w:val="000000" w:themeColor="text1"/>
          <w:sz w:val="24"/>
          <w:szCs w:val="24"/>
        </w:rPr>
        <w:t>%).</w:t>
      </w:r>
      <w:r>
        <w:rPr>
          <w:rFonts w:ascii="Arial" w:hAnsi="Arial" w:cs="Arial"/>
          <w:color w:val="000000" w:themeColor="text1"/>
          <w:sz w:val="24"/>
          <w:szCs w:val="24"/>
        </w:rPr>
        <w:t xml:space="preserve"> </w:t>
      </w:r>
      <w:r w:rsidR="00C414AF">
        <w:rPr>
          <w:rFonts w:ascii="Arial" w:hAnsi="Arial" w:cs="Arial"/>
          <w:color w:val="000000" w:themeColor="text1"/>
          <w:sz w:val="24"/>
          <w:szCs w:val="24"/>
        </w:rPr>
        <w:t>T</w:t>
      </w:r>
      <w:r>
        <w:rPr>
          <w:rFonts w:ascii="Arial" w:hAnsi="Arial" w:cs="Arial"/>
          <w:color w:val="000000" w:themeColor="text1"/>
          <w:sz w:val="24"/>
          <w:szCs w:val="24"/>
        </w:rPr>
        <w:t xml:space="preserve">here was less growth amongst older ethnic minority residents (up </w:t>
      </w:r>
      <w:r w:rsidR="00C414AF">
        <w:rPr>
          <w:rFonts w:ascii="Arial" w:hAnsi="Arial" w:cs="Arial"/>
          <w:color w:val="000000" w:themeColor="text1"/>
          <w:sz w:val="24"/>
          <w:szCs w:val="24"/>
        </w:rPr>
        <w:t>19.0</w:t>
      </w:r>
      <w:r w:rsidRPr="00353139">
        <w:rPr>
          <w:rFonts w:ascii="Arial" w:hAnsi="Arial" w:cs="Arial"/>
          <w:color w:val="000000" w:themeColor="text1"/>
          <w:sz w:val="24"/>
          <w:szCs w:val="24"/>
        </w:rPr>
        <w:t>%),</w:t>
      </w:r>
      <w:r>
        <w:rPr>
          <w:rFonts w:ascii="Arial" w:hAnsi="Arial" w:cs="Arial"/>
          <w:color w:val="000000" w:themeColor="text1"/>
          <w:sz w:val="24"/>
          <w:szCs w:val="24"/>
        </w:rPr>
        <w:t xml:space="preserve"> in contrast to </w:t>
      </w:r>
      <w:r w:rsidR="00965C3D">
        <w:rPr>
          <w:rFonts w:ascii="Arial" w:hAnsi="Arial" w:cs="Arial"/>
          <w:color w:val="000000" w:themeColor="text1"/>
          <w:sz w:val="24"/>
          <w:szCs w:val="24"/>
        </w:rPr>
        <w:t>the W</w:t>
      </w:r>
      <w:r>
        <w:rPr>
          <w:rFonts w:ascii="Arial" w:hAnsi="Arial" w:cs="Arial"/>
          <w:color w:val="000000" w:themeColor="text1"/>
          <w:sz w:val="24"/>
          <w:szCs w:val="24"/>
        </w:rPr>
        <w:t xml:space="preserve">hite British </w:t>
      </w:r>
      <w:r w:rsidR="00965C3D">
        <w:rPr>
          <w:rFonts w:ascii="Arial" w:hAnsi="Arial" w:cs="Arial"/>
          <w:color w:val="000000" w:themeColor="text1"/>
          <w:sz w:val="24"/>
          <w:szCs w:val="24"/>
        </w:rPr>
        <w:t>population</w:t>
      </w:r>
      <w:r>
        <w:rPr>
          <w:rFonts w:ascii="Arial" w:hAnsi="Arial" w:cs="Arial"/>
          <w:color w:val="000000" w:themeColor="text1"/>
          <w:sz w:val="24"/>
          <w:szCs w:val="24"/>
        </w:rPr>
        <w:t xml:space="preserve">, where the increase in residents aged 66 and over (up </w:t>
      </w:r>
      <w:r w:rsidR="00F62E22" w:rsidRPr="00353139">
        <w:rPr>
          <w:rFonts w:ascii="Arial" w:hAnsi="Arial" w:cs="Arial"/>
          <w:color w:val="000000" w:themeColor="text1"/>
          <w:sz w:val="24"/>
          <w:szCs w:val="24"/>
        </w:rPr>
        <w:t>81.0</w:t>
      </w:r>
      <w:r w:rsidRPr="00353139">
        <w:rPr>
          <w:rFonts w:ascii="Arial" w:hAnsi="Arial" w:cs="Arial"/>
          <w:color w:val="000000" w:themeColor="text1"/>
          <w:sz w:val="24"/>
          <w:szCs w:val="24"/>
        </w:rPr>
        <w:t>%)</w:t>
      </w:r>
      <w:r>
        <w:rPr>
          <w:rFonts w:ascii="Arial" w:hAnsi="Arial" w:cs="Arial"/>
          <w:color w:val="000000" w:themeColor="text1"/>
          <w:sz w:val="24"/>
          <w:szCs w:val="24"/>
        </w:rPr>
        <w:t xml:space="preserve"> has been the main driver of population growth.</w:t>
      </w:r>
    </w:p>
    <w:p w14:paraId="04EA719B" w14:textId="129E140C" w:rsidR="003C7BA1" w:rsidRPr="008D43D3" w:rsidRDefault="003D70D8" w:rsidP="008327B2">
      <w:pPr>
        <w:rPr>
          <w:sz w:val="24"/>
          <w:szCs w:val="24"/>
        </w:rPr>
      </w:pPr>
      <w:r>
        <w:rPr>
          <w:rFonts w:ascii="Arial" w:hAnsi="Arial" w:cs="Arial"/>
          <w:color w:val="000000" w:themeColor="text1"/>
          <w:sz w:val="24"/>
          <w:szCs w:val="24"/>
        </w:rPr>
        <w:t>Across the ten Greater Manchester districts</w:t>
      </w:r>
      <w:r w:rsidR="00E65C83" w:rsidRPr="00E65C83">
        <w:rPr>
          <w:rFonts w:ascii="Arial" w:hAnsi="Arial" w:cs="Arial"/>
          <w:color w:val="000000" w:themeColor="text1"/>
          <w:sz w:val="24"/>
          <w:szCs w:val="24"/>
        </w:rPr>
        <w:t xml:space="preserve"> </w:t>
      </w:r>
      <w:r w:rsidR="00E65C83">
        <w:rPr>
          <w:rFonts w:ascii="Arial" w:hAnsi="Arial" w:cs="Arial"/>
          <w:color w:val="000000" w:themeColor="text1"/>
          <w:sz w:val="24"/>
          <w:szCs w:val="24"/>
        </w:rPr>
        <w:t>between 2011 and 2021</w:t>
      </w:r>
      <w:r>
        <w:rPr>
          <w:rFonts w:ascii="Arial" w:hAnsi="Arial" w:cs="Arial"/>
          <w:color w:val="000000" w:themeColor="text1"/>
          <w:sz w:val="24"/>
          <w:szCs w:val="24"/>
        </w:rPr>
        <w:t xml:space="preserve">, Manchester saw the </w:t>
      </w:r>
      <w:r w:rsidR="002B7E6B">
        <w:rPr>
          <w:rFonts w:ascii="Arial" w:hAnsi="Arial" w:cs="Arial"/>
          <w:color w:val="000000" w:themeColor="text1"/>
          <w:sz w:val="24"/>
          <w:szCs w:val="24"/>
        </w:rPr>
        <w:t xml:space="preserve">largest </w:t>
      </w:r>
      <w:r>
        <w:rPr>
          <w:rFonts w:ascii="Arial" w:hAnsi="Arial" w:cs="Arial"/>
          <w:color w:val="000000" w:themeColor="text1"/>
          <w:sz w:val="24"/>
          <w:szCs w:val="24"/>
        </w:rPr>
        <w:t xml:space="preserve">increase in the </w:t>
      </w:r>
      <w:r w:rsidR="00E65C83">
        <w:rPr>
          <w:rFonts w:ascii="Arial" w:hAnsi="Arial" w:cs="Arial"/>
          <w:color w:val="000000" w:themeColor="text1"/>
          <w:sz w:val="24"/>
          <w:szCs w:val="24"/>
        </w:rPr>
        <w:t xml:space="preserve">actual </w:t>
      </w:r>
      <w:r>
        <w:rPr>
          <w:rFonts w:ascii="Arial" w:hAnsi="Arial" w:cs="Arial"/>
          <w:color w:val="000000" w:themeColor="text1"/>
          <w:sz w:val="24"/>
          <w:szCs w:val="24"/>
        </w:rPr>
        <w:t xml:space="preserve">number of residents from </w:t>
      </w:r>
      <w:r w:rsidR="00F54CE8" w:rsidRPr="00F54CE8">
        <w:rPr>
          <w:rFonts w:ascii="Arial" w:hAnsi="Arial" w:cs="Arial"/>
          <w:color w:val="000000" w:themeColor="text1"/>
          <w:sz w:val="24"/>
          <w:szCs w:val="24"/>
        </w:rPr>
        <w:t xml:space="preserve">Asian, Black, Mixed and </w:t>
      </w:r>
      <w:r w:rsidR="00965C3D">
        <w:rPr>
          <w:rFonts w:ascii="Arial" w:hAnsi="Arial" w:cs="Arial"/>
          <w:color w:val="000000" w:themeColor="text1"/>
          <w:sz w:val="24"/>
          <w:szCs w:val="24"/>
        </w:rPr>
        <w:t>‘</w:t>
      </w:r>
      <w:r w:rsidR="00F54CE8" w:rsidRPr="00F54CE8">
        <w:rPr>
          <w:rFonts w:ascii="Arial" w:hAnsi="Arial" w:cs="Arial"/>
          <w:color w:val="000000" w:themeColor="text1"/>
          <w:sz w:val="24"/>
          <w:szCs w:val="24"/>
        </w:rPr>
        <w:t>Other</w:t>
      </w:r>
      <w:r w:rsidR="00965C3D">
        <w:rPr>
          <w:rFonts w:ascii="Arial" w:hAnsi="Arial" w:cs="Arial"/>
          <w:color w:val="000000" w:themeColor="text1"/>
          <w:sz w:val="24"/>
          <w:szCs w:val="24"/>
        </w:rPr>
        <w:t>’</w:t>
      </w:r>
      <w:r w:rsidR="00F54CE8" w:rsidRPr="00F54CE8">
        <w:rPr>
          <w:rFonts w:ascii="Arial" w:hAnsi="Arial" w:cs="Arial"/>
          <w:color w:val="000000" w:themeColor="text1"/>
          <w:sz w:val="24"/>
          <w:szCs w:val="24"/>
        </w:rPr>
        <w:t xml:space="preserve"> populations </w:t>
      </w:r>
      <w:r w:rsidR="00353139">
        <w:rPr>
          <w:rFonts w:ascii="Arial" w:hAnsi="Arial" w:cs="Arial"/>
          <w:color w:val="000000" w:themeColor="text1"/>
          <w:sz w:val="24"/>
          <w:szCs w:val="24"/>
        </w:rPr>
        <w:t>(up 78,</w:t>
      </w:r>
      <w:r w:rsidR="00E65C83">
        <w:rPr>
          <w:rFonts w:ascii="Arial" w:hAnsi="Arial" w:cs="Arial"/>
          <w:color w:val="000000" w:themeColor="text1"/>
          <w:sz w:val="24"/>
          <w:szCs w:val="24"/>
        </w:rPr>
        <w:t>000</w:t>
      </w:r>
      <w:r w:rsidR="00353139">
        <w:rPr>
          <w:rFonts w:ascii="Arial" w:hAnsi="Arial" w:cs="Arial"/>
          <w:color w:val="000000" w:themeColor="text1"/>
          <w:sz w:val="24"/>
          <w:szCs w:val="24"/>
        </w:rPr>
        <w:t xml:space="preserve">), </w:t>
      </w:r>
      <w:r w:rsidR="00F73EB2">
        <w:rPr>
          <w:rFonts w:ascii="Arial" w:hAnsi="Arial" w:cs="Arial"/>
          <w:color w:val="000000" w:themeColor="text1"/>
          <w:sz w:val="24"/>
          <w:szCs w:val="24"/>
        </w:rPr>
        <w:t>but the smallest percentage rise</w:t>
      </w:r>
      <w:r w:rsidR="00353139">
        <w:rPr>
          <w:rFonts w:ascii="Arial" w:hAnsi="Arial" w:cs="Arial"/>
          <w:color w:val="000000" w:themeColor="text1"/>
          <w:sz w:val="24"/>
          <w:szCs w:val="24"/>
        </w:rPr>
        <w:t xml:space="preserve"> (</w:t>
      </w:r>
      <w:r w:rsidR="00F73EB2">
        <w:rPr>
          <w:rFonts w:ascii="Arial" w:hAnsi="Arial" w:cs="Arial"/>
          <w:color w:val="000000" w:themeColor="text1"/>
          <w:sz w:val="24"/>
          <w:szCs w:val="24"/>
        </w:rPr>
        <w:t>38.3</w:t>
      </w:r>
      <w:r w:rsidR="002B7E6B" w:rsidRPr="005433B0">
        <w:rPr>
          <w:rFonts w:ascii="Arial" w:hAnsi="Arial" w:cs="Arial"/>
          <w:color w:val="000000" w:themeColor="text1"/>
          <w:sz w:val="24"/>
          <w:szCs w:val="24"/>
        </w:rPr>
        <w:t>%)</w:t>
      </w:r>
      <w:r w:rsidR="005C12B9">
        <w:rPr>
          <w:rFonts w:ascii="Arial" w:hAnsi="Arial" w:cs="Arial"/>
          <w:color w:val="000000" w:themeColor="text1"/>
          <w:sz w:val="24"/>
          <w:szCs w:val="24"/>
        </w:rPr>
        <w:t>.</w:t>
      </w:r>
      <w:bookmarkStart w:id="5" w:name="_Hlk128643792"/>
      <w:r w:rsidR="00C97181">
        <w:rPr>
          <w:rFonts w:ascii="Arial" w:hAnsi="Arial" w:cs="Arial"/>
          <w:color w:val="000000" w:themeColor="text1"/>
          <w:sz w:val="24"/>
          <w:szCs w:val="24"/>
        </w:rPr>
        <w:t xml:space="preserve"> </w:t>
      </w:r>
      <w:r w:rsidR="00F73EB2">
        <w:rPr>
          <w:rFonts w:ascii="Arial" w:hAnsi="Arial" w:cs="Arial"/>
          <w:color w:val="000000" w:themeColor="text1"/>
          <w:sz w:val="24"/>
          <w:szCs w:val="24"/>
        </w:rPr>
        <w:t xml:space="preserve">Salford’s ethnic </w:t>
      </w:r>
      <w:r w:rsidR="00353139">
        <w:rPr>
          <w:rFonts w:ascii="Arial" w:hAnsi="Arial" w:cs="Arial"/>
          <w:color w:val="000000" w:themeColor="text1"/>
          <w:sz w:val="24"/>
          <w:szCs w:val="24"/>
        </w:rPr>
        <w:t xml:space="preserve">minority </w:t>
      </w:r>
      <w:r w:rsidR="00F73EB2">
        <w:rPr>
          <w:rFonts w:ascii="Arial" w:hAnsi="Arial" w:cs="Arial"/>
          <w:color w:val="000000" w:themeColor="text1"/>
          <w:sz w:val="24"/>
          <w:szCs w:val="24"/>
        </w:rPr>
        <w:t>population increased the most in percentage terms (</w:t>
      </w:r>
      <w:r w:rsidR="00353139">
        <w:rPr>
          <w:rFonts w:ascii="Arial" w:hAnsi="Arial" w:cs="Arial"/>
          <w:color w:val="000000" w:themeColor="text1"/>
          <w:sz w:val="24"/>
          <w:szCs w:val="24"/>
        </w:rPr>
        <w:t xml:space="preserve">up </w:t>
      </w:r>
      <w:r w:rsidR="009F3B9A">
        <w:rPr>
          <w:rFonts w:ascii="Arial" w:hAnsi="Arial" w:cs="Arial"/>
          <w:color w:val="000000" w:themeColor="text1"/>
          <w:sz w:val="24"/>
          <w:szCs w:val="24"/>
        </w:rPr>
        <w:t>92.7%</w:t>
      </w:r>
      <w:r w:rsidR="00353139">
        <w:rPr>
          <w:rFonts w:ascii="Arial" w:hAnsi="Arial" w:cs="Arial"/>
          <w:color w:val="000000" w:themeColor="text1"/>
          <w:sz w:val="24"/>
          <w:szCs w:val="24"/>
        </w:rPr>
        <w:t xml:space="preserve">, </w:t>
      </w:r>
      <w:r w:rsidR="00D665D8">
        <w:rPr>
          <w:rFonts w:ascii="Arial" w:hAnsi="Arial" w:cs="Arial"/>
          <w:color w:val="000000" w:themeColor="text1"/>
          <w:sz w:val="24"/>
          <w:szCs w:val="24"/>
        </w:rPr>
        <w:t>3</w:t>
      </w:r>
      <w:r w:rsidR="00E65C83">
        <w:rPr>
          <w:rFonts w:ascii="Arial" w:hAnsi="Arial" w:cs="Arial"/>
          <w:color w:val="000000" w:themeColor="text1"/>
          <w:sz w:val="24"/>
          <w:szCs w:val="24"/>
        </w:rPr>
        <w:t>4,000</w:t>
      </w:r>
      <w:r w:rsidR="00353139">
        <w:rPr>
          <w:rFonts w:ascii="Arial" w:hAnsi="Arial" w:cs="Arial"/>
          <w:color w:val="000000" w:themeColor="text1"/>
          <w:sz w:val="24"/>
          <w:szCs w:val="24"/>
        </w:rPr>
        <w:t>).</w:t>
      </w:r>
    </w:p>
    <w:p w14:paraId="2FB5D4EF" w14:textId="2C238ADE" w:rsidR="00084AFF" w:rsidRPr="00084AFF" w:rsidRDefault="000D108F" w:rsidP="00C97181">
      <w:pPr>
        <w:pStyle w:val="Heading3"/>
      </w:pPr>
      <w:r w:rsidRPr="004F08C5">
        <w:t>Reflections</w:t>
      </w:r>
    </w:p>
    <w:bookmarkEnd w:id="5"/>
    <w:p w14:paraId="0332B59E" w14:textId="6E914C86" w:rsidR="00EA7487" w:rsidRDefault="00F070DE" w:rsidP="008327B2">
      <w:pPr>
        <w:rPr>
          <w:rFonts w:ascii="Arial" w:hAnsi="Arial" w:cs="Arial"/>
          <w:sz w:val="24"/>
          <w:szCs w:val="24"/>
        </w:rPr>
      </w:pPr>
      <w:r>
        <w:rPr>
          <w:rFonts w:ascii="Arial" w:hAnsi="Arial" w:cs="Arial"/>
          <w:sz w:val="24"/>
          <w:szCs w:val="24"/>
        </w:rPr>
        <w:t xml:space="preserve">The population growth </w:t>
      </w:r>
      <w:r w:rsidR="00EF0CB8">
        <w:rPr>
          <w:rFonts w:ascii="Arial" w:hAnsi="Arial" w:cs="Arial"/>
          <w:sz w:val="24"/>
          <w:szCs w:val="24"/>
        </w:rPr>
        <w:t>seen</w:t>
      </w:r>
      <w:r>
        <w:rPr>
          <w:rFonts w:ascii="Arial" w:hAnsi="Arial" w:cs="Arial"/>
          <w:sz w:val="24"/>
          <w:szCs w:val="24"/>
        </w:rPr>
        <w:t xml:space="preserve"> in Greater Manchester between 2011 and 2021 (particularly in Manchester and Salford</w:t>
      </w:r>
      <w:r w:rsidR="00370A8F">
        <w:rPr>
          <w:rFonts w:ascii="Arial" w:hAnsi="Arial" w:cs="Arial"/>
          <w:sz w:val="24"/>
          <w:szCs w:val="24"/>
        </w:rPr>
        <w:t>)</w:t>
      </w:r>
      <w:r>
        <w:rPr>
          <w:rFonts w:ascii="Arial" w:hAnsi="Arial" w:cs="Arial"/>
          <w:sz w:val="24"/>
          <w:szCs w:val="24"/>
        </w:rPr>
        <w:t xml:space="preserve"> is a continuation of trends experienced in the </w:t>
      </w:r>
      <w:r w:rsidR="00B913E2">
        <w:rPr>
          <w:rFonts w:ascii="Arial" w:hAnsi="Arial" w:cs="Arial"/>
          <w:sz w:val="24"/>
          <w:szCs w:val="24"/>
        </w:rPr>
        <w:t xml:space="preserve">two </w:t>
      </w:r>
      <w:r>
        <w:rPr>
          <w:rFonts w:ascii="Arial" w:hAnsi="Arial" w:cs="Arial"/>
          <w:sz w:val="24"/>
          <w:szCs w:val="24"/>
        </w:rPr>
        <w:t>decades</w:t>
      </w:r>
      <w:r w:rsidR="00B913E2">
        <w:rPr>
          <w:rFonts w:ascii="Arial" w:hAnsi="Arial" w:cs="Arial"/>
          <w:sz w:val="24"/>
          <w:szCs w:val="24"/>
        </w:rPr>
        <w:t xml:space="preserve"> either</w:t>
      </w:r>
      <w:r>
        <w:rPr>
          <w:rFonts w:ascii="Arial" w:hAnsi="Arial" w:cs="Arial"/>
          <w:sz w:val="24"/>
          <w:szCs w:val="24"/>
        </w:rPr>
        <w:t xml:space="preserve"> side of the </w:t>
      </w:r>
      <w:r w:rsidR="003329D4">
        <w:rPr>
          <w:rFonts w:ascii="Arial" w:hAnsi="Arial" w:cs="Arial"/>
          <w:sz w:val="24"/>
          <w:szCs w:val="24"/>
        </w:rPr>
        <w:t>Millennium</w:t>
      </w:r>
      <w:r>
        <w:rPr>
          <w:rFonts w:ascii="Arial" w:hAnsi="Arial" w:cs="Arial"/>
          <w:sz w:val="24"/>
          <w:szCs w:val="24"/>
        </w:rPr>
        <w:t xml:space="preserve">. </w:t>
      </w:r>
      <w:r w:rsidR="00EF0CB8">
        <w:rPr>
          <w:rFonts w:ascii="Arial" w:hAnsi="Arial" w:cs="Arial"/>
          <w:sz w:val="24"/>
          <w:szCs w:val="24"/>
        </w:rPr>
        <w:t xml:space="preserve">A generation ago, </w:t>
      </w:r>
      <w:r>
        <w:rPr>
          <w:rFonts w:ascii="Arial" w:hAnsi="Arial" w:cs="Arial"/>
          <w:sz w:val="24"/>
          <w:szCs w:val="24"/>
        </w:rPr>
        <w:t xml:space="preserve">urban core regeneration was focused </w:t>
      </w:r>
      <w:r w:rsidR="00C42B37">
        <w:rPr>
          <w:rFonts w:ascii="Arial" w:hAnsi="Arial" w:cs="Arial"/>
          <w:sz w:val="24"/>
          <w:szCs w:val="24"/>
        </w:rPr>
        <w:t xml:space="preserve">largely </w:t>
      </w:r>
      <w:r w:rsidR="00AC7C87">
        <w:rPr>
          <w:rFonts w:ascii="Arial" w:hAnsi="Arial" w:cs="Arial"/>
          <w:sz w:val="24"/>
          <w:szCs w:val="24"/>
        </w:rPr>
        <w:t>on</w:t>
      </w:r>
      <w:r>
        <w:rPr>
          <w:rFonts w:ascii="Arial" w:hAnsi="Arial" w:cs="Arial"/>
          <w:sz w:val="24"/>
          <w:szCs w:val="24"/>
        </w:rPr>
        <w:t xml:space="preserve"> Manchester </w:t>
      </w:r>
      <w:r w:rsidR="00EF0CB8">
        <w:rPr>
          <w:rFonts w:ascii="Arial" w:hAnsi="Arial" w:cs="Arial"/>
          <w:sz w:val="24"/>
          <w:szCs w:val="24"/>
        </w:rPr>
        <w:t>city centre, but this h</w:t>
      </w:r>
      <w:r>
        <w:rPr>
          <w:rFonts w:ascii="Arial" w:hAnsi="Arial" w:cs="Arial"/>
          <w:sz w:val="24"/>
          <w:szCs w:val="24"/>
        </w:rPr>
        <w:t xml:space="preserve">as </w:t>
      </w:r>
      <w:r w:rsidR="00EF0CB8">
        <w:rPr>
          <w:rFonts w:ascii="Arial" w:hAnsi="Arial" w:cs="Arial"/>
          <w:sz w:val="24"/>
          <w:szCs w:val="24"/>
        </w:rPr>
        <w:t>extended into</w:t>
      </w:r>
      <w:r>
        <w:rPr>
          <w:rFonts w:ascii="Arial" w:hAnsi="Arial" w:cs="Arial"/>
          <w:sz w:val="24"/>
          <w:szCs w:val="24"/>
        </w:rPr>
        <w:t xml:space="preserve"> Salford</w:t>
      </w:r>
      <w:r w:rsidR="00EF0CB8">
        <w:rPr>
          <w:rFonts w:ascii="Arial" w:hAnsi="Arial" w:cs="Arial"/>
          <w:sz w:val="24"/>
          <w:szCs w:val="24"/>
        </w:rPr>
        <w:t xml:space="preserve">, which has </w:t>
      </w:r>
      <w:r w:rsidR="00353139">
        <w:rPr>
          <w:rFonts w:ascii="Arial" w:hAnsi="Arial" w:cs="Arial"/>
          <w:sz w:val="24"/>
          <w:szCs w:val="24"/>
        </w:rPr>
        <w:t>seen</w:t>
      </w:r>
      <w:r w:rsidR="00EF0CB8">
        <w:rPr>
          <w:rFonts w:ascii="Arial" w:hAnsi="Arial" w:cs="Arial"/>
          <w:sz w:val="24"/>
          <w:szCs w:val="24"/>
        </w:rPr>
        <w:t xml:space="preserve"> </w:t>
      </w:r>
      <w:r>
        <w:rPr>
          <w:rFonts w:ascii="Arial" w:hAnsi="Arial" w:cs="Arial"/>
          <w:sz w:val="24"/>
          <w:szCs w:val="24"/>
        </w:rPr>
        <w:t>high</w:t>
      </w:r>
      <w:r w:rsidR="00EF0CB8">
        <w:rPr>
          <w:rFonts w:ascii="Arial" w:hAnsi="Arial" w:cs="Arial"/>
          <w:sz w:val="24"/>
          <w:szCs w:val="24"/>
        </w:rPr>
        <w:t xml:space="preserve"> population</w:t>
      </w:r>
      <w:r>
        <w:rPr>
          <w:rFonts w:ascii="Arial" w:hAnsi="Arial" w:cs="Arial"/>
          <w:sz w:val="24"/>
          <w:szCs w:val="24"/>
        </w:rPr>
        <w:t xml:space="preserve"> growth </w:t>
      </w:r>
      <w:r w:rsidR="006D57A0">
        <w:rPr>
          <w:rFonts w:ascii="Arial" w:hAnsi="Arial" w:cs="Arial"/>
          <w:sz w:val="24"/>
          <w:szCs w:val="24"/>
        </w:rPr>
        <w:t>in the last decade (for example, the population of</w:t>
      </w:r>
      <w:r w:rsidR="000A6832">
        <w:rPr>
          <w:rFonts w:ascii="Arial" w:hAnsi="Arial" w:cs="Arial"/>
          <w:sz w:val="24"/>
          <w:szCs w:val="24"/>
        </w:rPr>
        <w:t xml:space="preserve"> Ordsall</w:t>
      </w:r>
      <w:r w:rsidR="006D7C51">
        <w:rPr>
          <w:rFonts w:ascii="Arial" w:hAnsi="Arial" w:cs="Arial"/>
          <w:sz w:val="24"/>
          <w:szCs w:val="24"/>
        </w:rPr>
        <w:t xml:space="preserve"> ward</w:t>
      </w:r>
      <w:r w:rsidR="006D57A0">
        <w:rPr>
          <w:rFonts w:ascii="Arial" w:hAnsi="Arial" w:cs="Arial"/>
          <w:sz w:val="24"/>
          <w:szCs w:val="24"/>
        </w:rPr>
        <w:t xml:space="preserve"> </w:t>
      </w:r>
      <w:r w:rsidR="000A6832">
        <w:rPr>
          <w:rFonts w:ascii="Arial" w:hAnsi="Arial" w:cs="Arial"/>
          <w:sz w:val="24"/>
          <w:szCs w:val="24"/>
        </w:rPr>
        <w:t>increas</w:t>
      </w:r>
      <w:r w:rsidR="006D57A0">
        <w:rPr>
          <w:rFonts w:ascii="Arial" w:hAnsi="Arial" w:cs="Arial"/>
          <w:sz w:val="24"/>
          <w:szCs w:val="24"/>
        </w:rPr>
        <w:t>ed</w:t>
      </w:r>
      <w:r w:rsidR="000A6832">
        <w:rPr>
          <w:rFonts w:ascii="Arial" w:hAnsi="Arial" w:cs="Arial"/>
          <w:sz w:val="24"/>
          <w:szCs w:val="24"/>
        </w:rPr>
        <w:t xml:space="preserve"> by </w:t>
      </w:r>
      <w:r w:rsidR="006D57A0">
        <w:rPr>
          <w:rFonts w:ascii="Arial" w:hAnsi="Arial" w:cs="Arial"/>
          <w:sz w:val="24"/>
          <w:szCs w:val="24"/>
        </w:rPr>
        <w:t>some</w:t>
      </w:r>
      <w:r w:rsidR="000A6832">
        <w:rPr>
          <w:rFonts w:ascii="Arial" w:hAnsi="Arial" w:cs="Arial"/>
          <w:sz w:val="24"/>
          <w:szCs w:val="24"/>
        </w:rPr>
        <w:t xml:space="preserve"> 85%</w:t>
      </w:r>
      <w:r w:rsidR="006D57A0">
        <w:rPr>
          <w:rFonts w:ascii="Arial" w:hAnsi="Arial" w:cs="Arial"/>
          <w:sz w:val="24"/>
          <w:szCs w:val="24"/>
        </w:rPr>
        <w:t xml:space="preserve"> between 2011 and 2021)</w:t>
      </w:r>
      <w:r w:rsidRPr="009A2F81">
        <w:rPr>
          <w:rFonts w:ascii="Arial" w:hAnsi="Arial" w:cs="Arial"/>
          <w:sz w:val="24"/>
          <w:szCs w:val="24"/>
        </w:rPr>
        <w:t>.</w:t>
      </w:r>
      <w:r w:rsidR="00EF0CB8">
        <w:rPr>
          <w:rFonts w:ascii="Arial" w:hAnsi="Arial" w:cs="Arial"/>
          <w:sz w:val="24"/>
          <w:szCs w:val="24"/>
        </w:rPr>
        <w:t xml:space="preserve"> </w:t>
      </w:r>
      <w:r w:rsidRPr="009A2F81">
        <w:rPr>
          <w:rFonts w:ascii="Arial" w:hAnsi="Arial" w:cs="Arial"/>
          <w:sz w:val="24"/>
          <w:szCs w:val="24"/>
        </w:rPr>
        <w:t xml:space="preserve">The scale of </w:t>
      </w:r>
      <w:r w:rsidR="00370A8F" w:rsidRPr="009A2F81">
        <w:rPr>
          <w:rFonts w:ascii="Arial" w:hAnsi="Arial" w:cs="Arial"/>
          <w:sz w:val="24"/>
          <w:szCs w:val="24"/>
        </w:rPr>
        <w:t xml:space="preserve">population growth across </w:t>
      </w:r>
      <w:r w:rsidR="006612C1" w:rsidRPr="009A2F81">
        <w:rPr>
          <w:rFonts w:ascii="Arial" w:hAnsi="Arial" w:cs="Arial"/>
          <w:sz w:val="24"/>
          <w:szCs w:val="24"/>
        </w:rPr>
        <w:t>Greater Manchester</w:t>
      </w:r>
      <w:r w:rsidR="00370A8F" w:rsidRPr="009A2F81">
        <w:rPr>
          <w:rFonts w:ascii="Arial" w:hAnsi="Arial" w:cs="Arial"/>
          <w:sz w:val="24"/>
          <w:szCs w:val="24"/>
        </w:rPr>
        <w:t xml:space="preserve"> since the early 1990s outstripped </w:t>
      </w:r>
      <w:r w:rsidR="00EF0CB8">
        <w:rPr>
          <w:rFonts w:ascii="Arial" w:hAnsi="Arial" w:cs="Arial"/>
          <w:sz w:val="24"/>
          <w:szCs w:val="24"/>
        </w:rPr>
        <w:t>earlier</w:t>
      </w:r>
      <w:r w:rsidR="00370A8F">
        <w:rPr>
          <w:rFonts w:ascii="Arial" w:hAnsi="Arial" w:cs="Arial"/>
          <w:sz w:val="24"/>
          <w:szCs w:val="24"/>
        </w:rPr>
        <w:t xml:space="preserve"> population losses </w:t>
      </w:r>
      <w:r w:rsidR="00EF0CB8">
        <w:rPr>
          <w:rFonts w:ascii="Arial" w:hAnsi="Arial" w:cs="Arial"/>
          <w:sz w:val="24"/>
          <w:szCs w:val="24"/>
        </w:rPr>
        <w:t>in</w:t>
      </w:r>
      <w:r w:rsidR="00370A8F">
        <w:rPr>
          <w:rFonts w:ascii="Arial" w:hAnsi="Arial" w:cs="Arial"/>
          <w:sz w:val="24"/>
          <w:szCs w:val="24"/>
        </w:rPr>
        <w:t xml:space="preserve"> the 1970s and 1980s, providing continued evidence of the attractiveness of </w:t>
      </w:r>
      <w:r w:rsidR="006612C1">
        <w:rPr>
          <w:rFonts w:ascii="Arial" w:hAnsi="Arial" w:cs="Arial"/>
          <w:sz w:val="24"/>
          <w:szCs w:val="24"/>
        </w:rPr>
        <w:t>Greater Manchester</w:t>
      </w:r>
      <w:r w:rsidR="00370A8F">
        <w:rPr>
          <w:rFonts w:ascii="Arial" w:hAnsi="Arial" w:cs="Arial"/>
          <w:sz w:val="24"/>
          <w:szCs w:val="24"/>
        </w:rPr>
        <w:t xml:space="preserve"> as a place to live and work</w:t>
      </w:r>
      <w:r w:rsidR="006D57A0">
        <w:rPr>
          <w:rFonts w:ascii="Arial" w:hAnsi="Arial" w:cs="Arial"/>
          <w:sz w:val="24"/>
          <w:szCs w:val="24"/>
        </w:rPr>
        <w:t>.</w:t>
      </w:r>
    </w:p>
    <w:p w14:paraId="543F58FC" w14:textId="2F7071EF" w:rsidR="00EA7487" w:rsidRDefault="002F3395" w:rsidP="00353139">
      <w:pPr>
        <w:spacing w:after="0"/>
        <w:rPr>
          <w:rFonts w:ascii="Arial" w:hAnsi="Arial" w:cs="Arial"/>
          <w:sz w:val="24"/>
          <w:szCs w:val="24"/>
        </w:rPr>
      </w:pPr>
      <w:r>
        <w:rPr>
          <w:rFonts w:ascii="Arial" w:hAnsi="Arial" w:cs="Arial"/>
          <w:sz w:val="24"/>
          <w:szCs w:val="24"/>
        </w:rPr>
        <w:t xml:space="preserve">For </w:t>
      </w:r>
      <w:r w:rsidR="00EF0CB8">
        <w:rPr>
          <w:rFonts w:ascii="Arial" w:hAnsi="Arial" w:cs="Arial"/>
          <w:sz w:val="24"/>
          <w:szCs w:val="24"/>
        </w:rPr>
        <w:t>Greater Manchester</w:t>
      </w:r>
      <w:r>
        <w:rPr>
          <w:rFonts w:ascii="Arial" w:hAnsi="Arial" w:cs="Arial"/>
          <w:sz w:val="24"/>
          <w:szCs w:val="24"/>
        </w:rPr>
        <w:t xml:space="preserve"> as a whole</w:t>
      </w:r>
      <w:r w:rsidR="006D57A0">
        <w:rPr>
          <w:rFonts w:ascii="Arial" w:hAnsi="Arial" w:cs="Arial"/>
          <w:sz w:val="24"/>
          <w:szCs w:val="24"/>
        </w:rPr>
        <w:t>,</w:t>
      </w:r>
      <w:r>
        <w:rPr>
          <w:rFonts w:ascii="Arial" w:hAnsi="Arial" w:cs="Arial"/>
          <w:sz w:val="24"/>
          <w:szCs w:val="24"/>
        </w:rPr>
        <w:t xml:space="preserve"> the key</w:t>
      </w:r>
      <w:r w:rsidR="00EF0CB8">
        <w:rPr>
          <w:rFonts w:ascii="Arial" w:hAnsi="Arial" w:cs="Arial"/>
          <w:sz w:val="24"/>
          <w:szCs w:val="24"/>
        </w:rPr>
        <w:t xml:space="preserve"> population trends are </w:t>
      </w:r>
      <w:r>
        <w:rPr>
          <w:rFonts w:ascii="Arial" w:hAnsi="Arial" w:cs="Arial"/>
          <w:sz w:val="24"/>
          <w:szCs w:val="24"/>
        </w:rPr>
        <w:t xml:space="preserve">similar to </w:t>
      </w:r>
      <w:r w:rsidR="00EF0CB8">
        <w:rPr>
          <w:rFonts w:ascii="Arial" w:hAnsi="Arial" w:cs="Arial"/>
          <w:sz w:val="24"/>
          <w:szCs w:val="24"/>
        </w:rPr>
        <w:t xml:space="preserve">those nationally – </w:t>
      </w:r>
      <w:r w:rsidR="006D57A0">
        <w:rPr>
          <w:rFonts w:ascii="Arial" w:hAnsi="Arial" w:cs="Arial"/>
          <w:sz w:val="24"/>
          <w:szCs w:val="24"/>
        </w:rPr>
        <w:t xml:space="preserve">an overall ageing population, </w:t>
      </w:r>
      <w:r w:rsidR="00C43F58">
        <w:rPr>
          <w:rFonts w:ascii="Arial" w:hAnsi="Arial" w:cs="Arial"/>
          <w:sz w:val="24"/>
          <w:szCs w:val="24"/>
        </w:rPr>
        <w:t xml:space="preserve">but with </w:t>
      </w:r>
      <w:r w:rsidR="00EF0CB8">
        <w:rPr>
          <w:rFonts w:ascii="Arial" w:hAnsi="Arial" w:cs="Arial"/>
          <w:sz w:val="24"/>
          <w:szCs w:val="24"/>
        </w:rPr>
        <w:t xml:space="preserve">population growth amongst nearly all </w:t>
      </w:r>
      <w:r w:rsidR="00586A21">
        <w:rPr>
          <w:rFonts w:ascii="Arial" w:hAnsi="Arial" w:cs="Arial"/>
          <w:sz w:val="24"/>
          <w:szCs w:val="24"/>
        </w:rPr>
        <w:t xml:space="preserve">ethnic </w:t>
      </w:r>
      <w:r w:rsidR="006D57A0">
        <w:rPr>
          <w:rFonts w:ascii="Arial" w:hAnsi="Arial" w:cs="Arial"/>
          <w:sz w:val="24"/>
          <w:szCs w:val="24"/>
        </w:rPr>
        <w:t>minority groups</w:t>
      </w:r>
      <w:r w:rsidR="00C43F58">
        <w:rPr>
          <w:rFonts w:ascii="Arial" w:hAnsi="Arial" w:cs="Arial"/>
          <w:sz w:val="24"/>
          <w:szCs w:val="24"/>
        </w:rPr>
        <w:t xml:space="preserve"> that is concentrated amongst </w:t>
      </w:r>
      <w:r w:rsidR="00DD06E5">
        <w:rPr>
          <w:rFonts w:ascii="Arial" w:hAnsi="Arial" w:cs="Arial"/>
          <w:sz w:val="24"/>
          <w:szCs w:val="24"/>
        </w:rPr>
        <w:t>working</w:t>
      </w:r>
      <w:r w:rsidR="00C43F58">
        <w:rPr>
          <w:rFonts w:ascii="Arial" w:hAnsi="Arial" w:cs="Arial"/>
          <w:sz w:val="24"/>
          <w:szCs w:val="24"/>
        </w:rPr>
        <w:t>-</w:t>
      </w:r>
      <w:r w:rsidR="00DD06E5">
        <w:rPr>
          <w:rFonts w:ascii="Arial" w:hAnsi="Arial" w:cs="Arial"/>
          <w:sz w:val="24"/>
          <w:szCs w:val="24"/>
        </w:rPr>
        <w:t xml:space="preserve">age </w:t>
      </w:r>
      <w:r w:rsidR="006D57A0">
        <w:rPr>
          <w:rFonts w:ascii="Arial" w:hAnsi="Arial" w:cs="Arial"/>
          <w:sz w:val="24"/>
          <w:szCs w:val="24"/>
        </w:rPr>
        <w:t xml:space="preserve">residents </w:t>
      </w:r>
      <w:r>
        <w:rPr>
          <w:rFonts w:ascii="Arial" w:hAnsi="Arial" w:cs="Arial"/>
          <w:sz w:val="24"/>
          <w:szCs w:val="24"/>
        </w:rPr>
        <w:t>(</w:t>
      </w:r>
      <w:r w:rsidR="006D57A0">
        <w:rPr>
          <w:rFonts w:ascii="Arial" w:hAnsi="Arial" w:cs="Arial"/>
          <w:sz w:val="24"/>
          <w:szCs w:val="24"/>
        </w:rPr>
        <w:t>largely</w:t>
      </w:r>
      <w:r>
        <w:rPr>
          <w:rFonts w:ascii="Arial" w:hAnsi="Arial" w:cs="Arial"/>
          <w:sz w:val="24"/>
          <w:szCs w:val="24"/>
        </w:rPr>
        <w:t xml:space="preserve"> through</w:t>
      </w:r>
      <w:r w:rsidR="00EF0CB8">
        <w:rPr>
          <w:rFonts w:ascii="Arial" w:hAnsi="Arial" w:cs="Arial"/>
          <w:sz w:val="24"/>
          <w:szCs w:val="24"/>
        </w:rPr>
        <w:t xml:space="preserve"> </w:t>
      </w:r>
      <w:r>
        <w:rPr>
          <w:rFonts w:ascii="Arial" w:hAnsi="Arial" w:cs="Arial"/>
          <w:sz w:val="24"/>
          <w:szCs w:val="24"/>
        </w:rPr>
        <w:t xml:space="preserve">net </w:t>
      </w:r>
      <w:r w:rsidR="00EF0CB8">
        <w:rPr>
          <w:rFonts w:ascii="Arial" w:hAnsi="Arial" w:cs="Arial"/>
          <w:sz w:val="24"/>
          <w:szCs w:val="24"/>
        </w:rPr>
        <w:t>international migration</w:t>
      </w:r>
      <w:r>
        <w:rPr>
          <w:rFonts w:ascii="Arial" w:hAnsi="Arial" w:cs="Arial"/>
          <w:sz w:val="24"/>
          <w:szCs w:val="24"/>
        </w:rPr>
        <w:t>)</w:t>
      </w:r>
      <w:r w:rsidR="00C43F58">
        <w:rPr>
          <w:rFonts w:ascii="Arial" w:hAnsi="Arial" w:cs="Arial"/>
          <w:sz w:val="24"/>
          <w:szCs w:val="24"/>
        </w:rPr>
        <w:t>. I</w:t>
      </w:r>
      <w:r w:rsidR="00EF0CB8">
        <w:rPr>
          <w:rFonts w:ascii="Arial" w:hAnsi="Arial" w:cs="Arial"/>
          <w:sz w:val="24"/>
          <w:szCs w:val="24"/>
        </w:rPr>
        <w:t>n Manchester, Oldham and Salford, increases in the working</w:t>
      </w:r>
      <w:r w:rsidR="005433B0">
        <w:rPr>
          <w:rFonts w:ascii="Arial" w:hAnsi="Arial" w:cs="Arial"/>
          <w:sz w:val="24"/>
          <w:szCs w:val="24"/>
        </w:rPr>
        <w:t>-</w:t>
      </w:r>
      <w:r w:rsidR="00EF0CB8">
        <w:rPr>
          <w:rFonts w:ascii="Arial" w:hAnsi="Arial" w:cs="Arial"/>
          <w:sz w:val="24"/>
          <w:szCs w:val="24"/>
        </w:rPr>
        <w:t xml:space="preserve">age population have been greater than </w:t>
      </w:r>
      <w:r w:rsidR="006D0401">
        <w:rPr>
          <w:rFonts w:ascii="Arial" w:hAnsi="Arial" w:cs="Arial"/>
          <w:sz w:val="24"/>
          <w:szCs w:val="24"/>
        </w:rPr>
        <w:t xml:space="preserve">increases </w:t>
      </w:r>
      <w:r w:rsidR="00E65C83">
        <w:rPr>
          <w:rFonts w:ascii="Arial" w:hAnsi="Arial" w:cs="Arial"/>
          <w:sz w:val="24"/>
          <w:szCs w:val="24"/>
        </w:rPr>
        <w:t>in</w:t>
      </w:r>
      <w:r w:rsidR="006D0401">
        <w:rPr>
          <w:rFonts w:ascii="Arial" w:hAnsi="Arial" w:cs="Arial"/>
          <w:sz w:val="24"/>
          <w:szCs w:val="24"/>
        </w:rPr>
        <w:t xml:space="preserve"> th</w:t>
      </w:r>
      <w:r w:rsidR="00EF0CB8">
        <w:rPr>
          <w:rFonts w:ascii="Arial" w:hAnsi="Arial" w:cs="Arial"/>
          <w:sz w:val="24"/>
          <w:szCs w:val="24"/>
        </w:rPr>
        <w:t xml:space="preserve">ose </w:t>
      </w:r>
      <w:r w:rsidR="00C43F58">
        <w:rPr>
          <w:rFonts w:ascii="Arial" w:hAnsi="Arial" w:cs="Arial"/>
          <w:sz w:val="24"/>
          <w:szCs w:val="24"/>
        </w:rPr>
        <w:t xml:space="preserve">aged </w:t>
      </w:r>
      <w:r w:rsidR="006D0401">
        <w:rPr>
          <w:rFonts w:ascii="Arial" w:hAnsi="Arial" w:cs="Arial"/>
          <w:sz w:val="24"/>
          <w:szCs w:val="24"/>
        </w:rPr>
        <w:t xml:space="preserve">66 </w:t>
      </w:r>
      <w:r w:rsidR="00C43F58">
        <w:rPr>
          <w:rFonts w:ascii="Arial" w:hAnsi="Arial" w:cs="Arial"/>
          <w:sz w:val="24"/>
          <w:szCs w:val="24"/>
        </w:rPr>
        <w:t>and over</w:t>
      </w:r>
      <w:r w:rsidR="00EF0CB8">
        <w:rPr>
          <w:rFonts w:ascii="Arial" w:hAnsi="Arial" w:cs="Arial"/>
          <w:sz w:val="24"/>
          <w:szCs w:val="24"/>
        </w:rPr>
        <w:t xml:space="preserve">, but </w:t>
      </w:r>
      <w:r w:rsidR="00C43F58">
        <w:rPr>
          <w:rFonts w:ascii="Arial" w:hAnsi="Arial" w:cs="Arial"/>
          <w:sz w:val="24"/>
          <w:szCs w:val="24"/>
        </w:rPr>
        <w:t>for the other</w:t>
      </w:r>
      <w:r w:rsidR="00EF0CB8">
        <w:rPr>
          <w:rFonts w:ascii="Arial" w:hAnsi="Arial" w:cs="Arial"/>
          <w:sz w:val="24"/>
          <w:szCs w:val="24"/>
        </w:rPr>
        <w:t xml:space="preserve"> Greater Manchester</w:t>
      </w:r>
      <w:r w:rsidR="00C43F58">
        <w:rPr>
          <w:rFonts w:ascii="Arial" w:hAnsi="Arial" w:cs="Arial"/>
          <w:sz w:val="24"/>
          <w:szCs w:val="24"/>
        </w:rPr>
        <w:t xml:space="preserve"> districts,</w:t>
      </w:r>
      <w:r w:rsidR="000A6832">
        <w:rPr>
          <w:rFonts w:ascii="Arial" w:hAnsi="Arial" w:cs="Arial"/>
          <w:sz w:val="24"/>
          <w:szCs w:val="24"/>
        </w:rPr>
        <w:t xml:space="preserve"> the reverse is the case</w:t>
      </w:r>
      <w:r w:rsidR="00EF0CB8">
        <w:rPr>
          <w:rFonts w:ascii="Arial" w:hAnsi="Arial" w:cs="Arial"/>
          <w:sz w:val="24"/>
          <w:szCs w:val="24"/>
        </w:rPr>
        <w:t>. The reduction in the ratio of working</w:t>
      </w:r>
      <w:r w:rsidR="005433B0">
        <w:rPr>
          <w:rFonts w:ascii="Arial" w:hAnsi="Arial" w:cs="Arial"/>
          <w:sz w:val="24"/>
          <w:szCs w:val="24"/>
        </w:rPr>
        <w:t>-</w:t>
      </w:r>
      <w:r w:rsidR="00EF0CB8">
        <w:rPr>
          <w:rFonts w:ascii="Arial" w:hAnsi="Arial" w:cs="Arial"/>
          <w:sz w:val="24"/>
          <w:szCs w:val="24"/>
        </w:rPr>
        <w:t xml:space="preserve">age to </w:t>
      </w:r>
      <w:r w:rsidR="00C42B37">
        <w:rPr>
          <w:rFonts w:ascii="Arial" w:hAnsi="Arial" w:cs="Arial"/>
          <w:sz w:val="24"/>
          <w:szCs w:val="24"/>
        </w:rPr>
        <w:t>older</w:t>
      </w:r>
      <w:r w:rsidR="00EF0CB8">
        <w:rPr>
          <w:rFonts w:ascii="Arial" w:hAnsi="Arial" w:cs="Arial"/>
          <w:sz w:val="24"/>
          <w:szCs w:val="24"/>
        </w:rPr>
        <w:t xml:space="preserve"> residents has implications in terms of the ability to </w:t>
      </w:r>
      <w:r w:rsidR="00C42B37">
        <w:rPr>
          <w:rFonts w:ascii="Arial" w:hAnsi="Arial" w:cs="Arial"/>
          <w:sz w:val="24"/>
          <w:szCs w:val="24"/>
        </w:rPr>
        <w:t>deliver and fund</w:t>
      </w:r>
      <w:r w:rsidR="00EF0CB8">
        <w:rPr>
          <w:rFonts w:ascii="Arial" w:hAnsi="Arial" w:cs="Arial"/>
          <w:sz w:val="24"/>
          <w:szCs w:val="24"/>
        </w:rPr>
        <w:t xml:space="preserve"> services for </w:t>
      </w:r>
      <w:r w:rsidR="00C43F58">
        <w:rPr>
          <w:rFonts w:ascii="Arial" w:hAnsi="Arial" w:cs="Arial"/>
          <w:sz w:val="24"/>
          <w:szCs w:val="24"/>
        </w:rPr>
        <w:t>older people</w:t>
      </w:r>
      <w:r w:rsidR="00EF0CB8">
        <w:rPr>
          <w:rFonts w:ascii="Arial" w:hAnsi="Arial" w:cs="Arial"/>
          <w:sz w:val="24"/>
          <w:szCs w:val="24"/>
        </w:rPr>
        <w:t>.</w:t>
      </w:r>
    </w:p>
    <w:sectPr w:rsidR="00EA7487" w:rsidSect="005C12B9">
      <w:headerReference w:type="default" r:id="rId37"/>
      <w:footerReference w:type="default" r:id="rId38"/>
      <w:footerReference w:type="first" r:id="rId39"/>
      <w:pgSz w:w="11906" w:h="16838" w:code="9"/>
      <w:pgMar w:top="851" w:right="1133" w:bottom="709" w:left="851" w:header="709" w:footer="9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8C927" w14:textId="77777777" w:rsidR="00DC4CE1" w:rsidRDefault="00DC4CE1">
      <w:pPr>
        <w:spacing w:after="0" w:line="240" w:lineRule="auto"/>
      </w:pPr>
      <w:r>
        <w:separator/>
      </w:r>
    </w:p>
  </w:endnote>
  <w:endnote w:type="continuationSeparator" w:id="0">
    <w:p w14:paraId="42B6254C" w14:textId="77777777" w:rsidR="00DC4CE1" w:rsidRDefault="00DC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EndPr/>
    <w:sdtContent>
      <w:p w14:paraId="5D5BCE77" w14:textId="77777777" w:rsidR="00E07B85" w:rsidRPr="00D31BB7" w:rsidRDefault="002F4BA4" w:rsidP="00915B8A">
        <w:pPr>
          <w:pStyle w:val="PageNumber1"/>
        </w:pPr>
        <w:r w:rsidRPr="00783EF6">
          <w:fldChar w:fldCharType="begin"/>
        </w:r>
        <w:r w:rsidRPr="00783EF6">
          <w:instrText xml:space="preserve"> PAGE   \* MERGEFORMAT </w:instrText>
        </w:r>
        <w:r w:rsidRPr="00783EF6">
          <w:fldChar w:fldCharType="separate"/>
        </w:r>
        <w:r w:rsidRPr="00783EF6">
          <w:t>2</w:t>
        </w:r>
        <w:r w:rsidRPr="00783E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37260"/>
      <w:docPartObj>
        <w:docPartGallery w:val="Page Numbers (Bottom of Page)"/>
        <w:docPartUnique/>
      </w:docPartObj>
    </w:sdtPr>
    <w:sdtEndPr>
      <w:rPr>
        <w:rStyle w:val="PagenumberChar"/>
        <w:rFonts w:ascii="Arial" w:hAnsi="Arial"/>
        <w:b/>
        <w:color w:val="2C5060" w:themeColor="accent1"/>
        <w:sz w:val="28"/>
        <w:szCs w:val="24"/>
      </w:rPr>
    </w:sdtEndPr>
    <w:sdtContent>
      <w:p w14:paraId="494B75DB" w14:textId="77777777" w:rsidR="00B7462D" w:rsidRPr="00B7462D" w:rsidRDefault="00B7462D">
        <w:pPr>
          <w:pStyle w:val="Footer"/>
          <w:jc w:val="right"/>
          <w:rPr>
            <w:rStyle w:val="PagenumberChar"/>
          </w:rPr>
        </w:pPr>
        <w:r w:rsidRPr="00B7462D">
          <w:rPr>
            <w:rStyle w:val="PagenumberChar"/>
          </w:rPr>
          <w:fldChar w:fldCharType="begin"/>
        </w:r>
        <w:r w:rsidRPr="00B7462D">
          <w:rPr>
            <w:rStyle w:val="PagenumberChar"/>
          </w:rPr>
          <w:instrText xml:space="preserve"> PAGE   \* MERGEFORMAT </w:instrText>
        </w:r>
        <w:r w:rsidRPr="00B7462D">
          <w:rPr>
            <w:rStyle w:val="PagenumberChar"/>
          </w:rPr>
          <w:fldChar w:fldCharType="separate"/>
        </w:r>
        <w:r w:rsidRPr="00B7462D">
          <w:rPr>
            <w:rStyle w:val="PagenumberChar"/>
          </w:rPr>
          <w:t>2</w:t>
        </w:r>
        <w:r w:rsidRPr="00B7462D">
          <w:rPr>
            <w:rStyle w:val="PagenumberChar"/>
          </w:rPr>
          <w:fldChar w:fldCharType="end"/>
        </w:r>
      </w:p>
    </w:sdtContent>
  </w:sdt>
  <w:p w14:paraId="6EF5408D" w14:textId="77777777" w:rsidR="00B7462D" w:rsidRDefault="00B74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3E73" w14:textId="77777777" w:rsidR="00DC4CE1" w:rsidRDefault="00DC4CE1">
      <w:pPr>
        <w:spacing w:after="0" w:line="240" w:lineRule="auto"/>
      </w:pPr>
      <w:r>
        <w:separator/>
      </w:r>
    </w:p>
  </w:footnote>
  <w:footnote w:type="continuationSeparator" w:id="0">
    <w:p w14:paraId="1627C1A8" w14:textId="77777777" w:rsidR="00DC4CE1" w:rsidRDefault="00DC4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8BFD" w14:textId="77777777" w:rsidR="007222D5" w:rsidRDefault="00965C3D" w:rsidP="00380C6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7721"/>
    <w:multiLevelType w:val="hybridMultilevel"/>
    <w:tmpl w:val="C9CE6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D3CF0"/>
    <w:multiLevelType w:val="hybridMultilevel"/>
    <w:tmpl w:val="3E9A2D08"/>
    <w:lvl w:ilvl="0" w:tplc="FCB44B0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D93365"/>
    <w:multiLevelType w:val="hybridMultilevel"/>
    <w:tmpl w:val="CD189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9D50BD"/>
    <w:multiLevelType w:val="hybridMultilevel"/>
    <w:tmpl w:val="3238FE7E"/>
    <w:lvl w:ilvl="0" w:tplc="F67C8BB2">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30F729E7"/>
    <w:multiLevelType w:val="hybridMultilevel"/>
    <w:tmpl w:val="72CE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933F8"/>
    <w:multiLevelType w:val="hybridMultilevel"/>
    <w:tmpl w:val="1FD8226E"/>
    <w:lvl w:ilvl="0" w:tplc="54269294">
      <w:start w:val="1"/>
      <w:numFmt w:val="bullet"/>
      <w:pStyle w:val="ListParagraph"/>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387109A6"/>
    <w:multiLevelType w:val="hybridMultilevel"/>
    <w:tmpl w:val="D5608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EB1617"/>
    <w:multiLevelType w:val="hybridMultilevel"/>
    <w:tmpl w:val="1236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20384A"/>
    <w:multiLevelType w:val="multilevel"/>
    <w:tmpl w:val="A1D6F89C"/>
    <w:lvl w:ilvl="0">
      <w:start w:val="4"/>
      <w:numFmt w:val="decimal"/>
      <w:lvlText w:val="%1"/>
      <w:lvlJc w:val="left"/>
      <w:pPr>
        <w:ind w:left="1530" w:hanging="851"/>
      </w:pPr>
      <w:rPr>
        <w:rFonts w:hint="default"/>
        <w:lang w:val="en-US" w:eastAsia="en-US" w:bidi="ar-SA"/>
      </w:rPr>
    </w:lvl>
    <w:lvl w:ilvl="1">
      <w:start w:val="1"/>
      <w:numFmt w:val="decimal"/>
      <w:lvlText w:val="%1.%2"/>
      <w:lvlJc w:val="left"/>
      <w:pPr>
        <w:ind w:left="1530" w:hanging="851"/>
        <w:jc w:val="right"/>
      </w:pPr>
      <w:rPr>
        <w:rFonts w:ascii="Arial" w:eastAsia="Arial" w:hAnsi="Arial" w:cs="Arial" w:hint="default"/>
        <w:b/>
        <w:bCs/>
        <w:color w:val="565555"/>
        <w:spacing w:val="-1"/>
        <w:w w:val="100"/>
        <w:sz w:val="24"/>
        <w:szCs w:val="24"/>
        <w:lang w:val="en-US" w:eastAsia="en-US" w:bidi="ar-SA"/>
      </w:rPr>
    </w:lvl>
    <w:lvl w:ilvl="2">
      <w:start w:val="1"/>
      <w:numFmt w:val="upperLetter"/>
      <w:lvlText w:val="%3."/>
      <w:lvlJc w:val="left"/>
      <w:pPr>
        <w:ind w:left="1387" w:hanging="480"/>
      </w:pPr>
      <w:rPr>
        <w:rFonts w:ascii="Arial" w:eastAsia="Arial" w:hAnsi="Arial" w:cs="Arial" w:hint="default"/>
        <w:w w:val="100"/>
        <w:sz w:val="24"/>
        <w:szCs w:val="24"/>
        <w:lang w:val="en-US" w:eastAsia="en-US" w:bidi="ar-SA"/>
      </w:rPr>
    </w:lvl>
    <w:lvl w:ilvl="3">
      <w:start w:val="1"/>
      <w:numFmt w:val="decimal"/>
      <w:lvlText w:val="%4."/>
      <w:lvlJc w:val="left"/>
      <w:pPr>
        <w:ind w:left="1387" w:hanging="480"/>
      </w:pPr>
      <w:rPr>
        <w:rFonts w:ascii="Arial" w:eastAsia="Arial" w:hAnsi="Arial" w:cs="Arial" w:hint="default"/>
        <w:spacing w:val="-1"/>
        <w:w w:val="100"/>
        <w:sz w:val="24"/>
        <w:szCs w:val="24"/>
        <w:lang w:val="en-US" w:eastAsia="en-US" w:bidi="ar-SA"/>
      </w:rPr>
    </w:lvl>
    <w:lvl w:ilvl="4">
      <w:numFmt w:val="bullet"/>
      <w:lvlText w:val="•"/>
      <w:lvlJc w:val="left"/>
      <w:pPr>
        <w:ind w:left="4768" w:hanging="480"/>
      </w:pPr>
      <w:rPr>
        <w:rFonts w:hint="default"/>
        <w:lang w:val="en-US" w:eastAsia="en-US" w:bidi="ar-SA"/>
      </w:rPr>
    </w:lvl>
    <w:lvl w:ilvl="5">
      <w:numFmt w:val="bullet"/>
      <w:lvlText w:val="•"/>
      <w:lvlJc w:val="left"/>
      <w:pPr>
        <w:ind w:left="5844" w:hanging="480"/>
      </w:pPr>
      <w:rPr>
        <w:rFonts w:hint="default"/>
        <w:lang w:val="en-US" w:eastAsia="en-US" w:bidi="ar-SA"/>
      </w:rPr>
    </w:lvl>
    <w:lvl w:ilvl="6">
      <w:numFmt w:val="bullet"/>
      <w:lvlText w:val="•"/>
      <w:lvlJc w:val="left"/>
      <w:pPr>
        <w:ind w:left="6920" w:hanging="480"/>
      </w:pPr>
      <w:rPr>
        <w:rFonts w:hint="default"/>
        <w:lang w:val="en-US" w:eastAsia="en-US" w:bidi="ar-SA"/>
      </w:rPr>
    </w:lvl>
    <w:lvl w:ilvl="7">
      <w:numFmt w:val="bullet"/>
      <w:lvlText w:val="•"/>
      <w:lvlJc w:val="left"/>
      <w:pPr>
        <w:ind w:left="7997" w:hanging="480"/>
      </w:pPr>
      <w:rPr>
        <w:rFonts w:hint="default"/>
        <w:lang w:val="en-US" w:eastAsia="en-US" w:bidi="ar-SA"/>
      </w:rPr>
    </w:lvl>
    <w:lvl w:ilvl="8">
      <w:numFmt w:val="bullet"/>
      <w:lvlText w:val="•"/>
      <w:lvlJc w:val="left"/>
      <w:pPr>
        <w:ind w:left="9073" w:hanging="480"/>
      </w:pPr>
      <w:rPr>
        <w:rFonts w:hint="default"/>
        <w:lang w:val="en-US" w:eastAsia="en-US" w:bidi="ar-SA"/>
      </w:rPr>
    </w:lvl>
  </w:abstractNum>
  <w:abstractNum w:abstractNumId="9" w15:restartNumberingAfterBreak="0">
    <w:nsid w:val="3D9B2B84"/>
    <w:multiLevelType w:val="hybridMultilevel"/>
    <w:tmpl w:val="850CBABC"/>
    <w:lvl w:ilvl="0" w:tplc="626675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25C96"/>
    <w:multiLevelType w:val="hybridMultilevel"/>
    <w:tmpl w:val="FC4A5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6B5DBB"/>
    <w:multiLevelType w:val="hybridMultilevel"/>
    <w:tmpl w:val="6AA826A2"/>
    <w:lvl w:ilvl="0" w:tplc="9B5E12D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5B4633"/>
    <w:multiLevelType w:val="hybridMultilevel"/>
    <w:tmpl w:val="8EFE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FE5656"/>
    <w:multiLevelType w:val="hybridMultilevel"/>
    <w:tmpl w:val="D56085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21F0070"/>
    <w:multiLevelType w:val="hybridMultilevel"/>
    <w:tmpl w:val="008EC902"/>
    <w:lvl w:ilvl="0" w:tplc="C5249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E800FA"/>
    <w:multiLevelType w:val="hybridMultilevel"/>
    <w:tmpl w:val="068C8D68"/>
    <w:lvl w:ilvl="0" w:tplc="61FA0E7A">
      <w:start w:val="1"/>
      <w:numFmt w:val="bullet"/>
      <w:lvlText w:val=""/>
      <w:lvlJc w:val="left"/>
      <w:pPr>
        <w:ind w:left="502"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82603D"/>
    <w:multiLevelType w:val="hybridMultilevel"/>
    <w:tmpl w:val="C9CE68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6B02D9"/>
    <w:multiLevelType w:val="multilevel"/>
    <w:tmpl w:val="C8F607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9F74F15"/>
    <w:multiLevelType w:val="hybridMultilevel"/>
    <w:tmpl w:val="836EBBDC"/>
    <w:lvl w:ilvl="0" w:tplc="2BFCC4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65302846">
    <w:abstractNumId w:val="15"/>
  </w:num>
  <w:num w:numId="2" w16cid:durableId="181867866">
    <w:abstractNumId w:val="12"/>
  </w:num>
  <w:num w:numId="3" w16cid:durableId="1455128242">
    <w:abstractNumId w:val="4"/>
  </w:num>
  <w:num w:numId="4" w16cid:durableId="1173253089">
    <w:abstractNumId w:val="14"/>
  </w:num>
  <w:num w:numId="5" w16cid:durableId="349530051">
    <w:abstractNumId w:val="0"/>
  </w:num>
  <w:num w:numId="6" w16cid:durableId="1827822742">
    <w:abstractNumId w:val="14"/>
  </w:num>
  <w:num w:numId="7" w16cid:durableId="1105419359">
    <w:abstractNumId w:val="17"/>
  </w:num>
  <w:num w:numId="8" w16cid:durableId="188371055">
    <w:abstractNumId w:val="6"/>
  </w:num>
  <w:num w:numId="9" w16cid:durableId="1150514636">
    <w:abstractNumId w:val="14"/>
  </w:num>
  <w:num w:numId="10" w16cid:durableId="1445811392">
    <w:abstractNumId w:val="14"/>
  </w:num>
  <w:num w:numId="11" w16cid:durableId="2079933146">
    <w:abstractNumId w:val="14"/>
  </w:num>
  <w:num w:numId="12" w16cid:durableId="1609311781">
    <w:abstractNumId w:val="13"/>
  </w:num>
  <w:num w:numId="13" w16cid:durableId="768698567">
    <w:abstractNumId w:val="14"/>
  </w:num>
  <w:num w:numId="14" w16cid:durableId="226310108">
    <w:abstractNumId w:val="14"/>
  </w:num>
  <w:num w:numId="15" w16cid:durableId="2010253138">
    <w:abstractNumId w:val="7"/>
  </w:num>
  <w:num w:numId="16" w16cid:durableId="488135360">
    <w:abstractNumId w:val="14"/>
  </w:num>
  <w:num w:numId="17" w16cid:durableId="2040425884">
    <w:abstractNumId w:val="14"/>
  </w:num>
  <w:num w:numId="18" w16cid:durableId="1144783836">
    <w:abstractNumId w:val="14"/>
  </w:num>
  <w:num w:numId="19" w16cid:durableId="746268739">
    <w:abstractNumId w:val="14"/>
  </w:num>
  <w:num w:numId="20" w16cid:durableId="1200343">
    <w:abstractNumId w:val="8"/>
  </w:num>
  <w:num w:numId="21" w16cid:durableId="532772013">
    <w:abstractNumId w:val="9"/>
  </w:num>
  <w:num w:numId="22" w16cid:durableId="1549301583">
    <w:abstractNumId w:val="16"/>
  </w:num>
  <w:num w:numId="23" w16cid:durableId="1910068747">
    <w:abstractNumId w:val="18"/>
  </w:num>
  <w:num w:numId="24" w16cid:durableId="1965844683">
    <w:abstractNumId w:val="9"/>
  </w:num>
  <w:num w:numId="25" w16cid:durableId="812794020">
    <w:abstractNumId w:val="9"/>
  </w:num>
  <w:num w:numId="26" w16cid:durableId="499856079">
    <w:abstractNumId w:val="1"/>
  </w:num>
  <w:num w:numId="27" w16cid:durableId="1946687220">
    <w:abstractNumId w:val="19"/>
  </w:num>
  <w:num w:numId="28" w16cid:durableId="1393502799">
    <w:abstractNumId w:val="2"/>
  </w:num>
  <w:num w:numId="29" w16cid:durableId="560748380">
    <w:abstractNumId w:val="11"/>
  </w:num>
  <w:num w:numId="30" w16cid:durableId="959847194">
    <w:abstractNumId w:val="10"/>
  </w:num>
  <w:num w:numId="31" w16cid:durableId="1850831573">
    <w:abstractNumId w:val="3"/>
  </w:num>
  <w:num w:numId="32" w16cid:durableId="1358041450">
    <w:abstractNumId w:val="5"/>
  </w:num>
  <w:num w:numId="33" w16cid:durableId="1059208707">
    <w:abstractNumId w:val="5"/>
  </w:num>
  <w:num w:numId="34" w16cid:durableId="693766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E1"/>
    <w:rsid w:val="000027A9"/>
    <w:rsid w:val="00004A0C"/>
    <w:rsid w:val="00021772"/>
    <w:rsid w:val="00023577"/>
    <w:rsid w:val="00036399"/>
    <w:rsid w:val="00043426"/>
    <w:rsid w:val="00050005"/>
    <w:rsid w:val="0005311C"/>
    <w:rsid w:val="00054FAA"/>
    <w:rsid w:val="0005556B"/>
    <w:rsid w:val="00056D2F"/>
    <w:rsid w:val="000658FE"/>
    <w:rsid w:val="000676E7"/>
    <w:rsid w:val="0007208A"/>
    <w:rsid w:val="000729BA"/>
    <w:rsid w:val="00073A0B"/>
    <w:rsid w:val="00081107"/>
    <w:rsid w:val="00084AFF"/>
    <w:rsid w:val="00095D00"/>
    <w:rsid w:val="000A5F95"/>
    <w:rsid w:val="000A6832"/>
    <w:rsid w:val="000B0DA5"/>
    <w:rsid w:val="000B1608"/>
    <w:rsid w:val="000B2EA3"/>
    <w:rsid w:val="000B677B"/>
    <w:rsid w:val="000C014E"/>
    <w:rsid w:val="000C3CF8"/>
    <w:rsid w:val="000D108F"/>
    <w:rsid w:val="000D13E0"/>
    <w:rsid w:val="000D454C"/>
    <w:rsid w:val="000D4753"/>
    <w:rsid w:val="000E6C9D"/>
    <w:rsid w:val="000F28B8"/>
    <w:rsid w:val="000F4084"/>
    <w:rsid w:val="001106C5"/>
    <w:rsid w:val="00110EFE"/>
    <w:rsid w:val="00114EF1"/>
    <w:rsid w:val="001216DA"/>
    <w:rsid w:val="00136029"/>
    <w:rsid w:val="00136747"/>
    <w:rsid w:val="00140846"/>
    <w:rsid w:val="0014396B"/>
    <w:rsid w:val="0015241F"/>
    <w:rsid w:val="001527B5"/>
    <w:rsid w:val="00153C30"/>
    <w:rsid w:val="0015466A"/>
    <w:rsid w:val="00164414"/>
    <w:rsid w:val="00165004"/>
    <w:rsid w:val="00170BE8"/>
    <w:rsid w:val="00174AA9"/>
    <w:rsid w:val="00175458"/>
    <w:rsid w:val="00177B61"/>
    <w:rsid w:val="00183F03"/>
    <w:rsid w:val="00190DBF"/>
    <w:rsid w:val="00195957"/>
    <w:rsid w:val="001A0FA0"/>
    <w:rsid w:val="001A4B2A"/>
    <w:rsid w:val="001A5E19"/>
    <w:rsid w:val="001B7289"/>
    <w:rsid w:val="001C2E20"/>
    <w:rsid w:val="001C7150"/>
    <w:rsid w:val="001D3D57"/>
    <w:rsid w:val="001D5079"/>
    <w:rsid w:val="001E15C9"/>
    <w:rsid w:val="001E788D"/>
    <w:rsid w:val="001F03FD"/>
    <w:rsid w:val="001F1E8A"/>
    <w:rsid w:val="001F59BF"/>
    <w:rsid w:val="00207897"/>
    <w:rsid w:val="00207FBA"/>
    <w:rsid w:val="0021042D"/>
    <w:rsid w:val="002204FA"/>
    <w:rsid w:val="00224535"/>
    <w:rsid w:val="00225FB6"/>
    <w:rsid w:val="00227616"/>
    <w:rsid w:val="002276E1"/>
    <w:rsid w:val="00233782"/>
    <w:rsid w:val="002368E5"/>
    <w:rsid w:val="00247A7C"/>
    <w:rsid w:val="00263C79"/>
    <w:rsid w:val="002658B5"/>
    <w:rsid w:val="002719B2"/>
    <w:rsid w:val="0028074E"/>
    <w:rsid w:val="002856AA"/>
    <w:rsid w:val="00292EE7"/>
    <w:rsid w:val="00295385"/>
    <w:rsid w:val="00297F57"/>
    <w:rsid w:val="002A4BEB"/>
    <w:rsid w:val="002A6D0B"/>
    <w:rsid w:val="002B2BAB"/>
    <w:rsid w:val="002B7E6B"/>
    <w:rsid w:val="002D06E4"/>
    <w:rsid w:val="002D2258"/>
    <w:rsid w:val="002D4AD9"/>
    <w:rsid w:val="002F3395"/>
    <w:rsid w:val="002F4BA4"/>
    <w:rsid w:val="00302442"/>
    <w:rsid w:val="003148C2"/>
    <w:rsid w:val="00316B7E"/>
    <w:rsid w:val="003202AC"/>
    <w:rsid w:val="00320BDD"/>
    <w:rsid w:val="00325C96"/>
    <w:rsid w:val="00331753"/>
    <w:rsid w:val="003323AE"/>
    <w:rsid w:val="003329D4"/>
    <w:rsid w:val="00333602"/>
    <w:rsid w:val="00343194"/>
    <w:rsid w:val="00344B78"/>
    <w:rsid w:val="00345E94"/>
    <w:rsid w:val="00347672"/>
    <w:rsid w:val="0035195C"/>
    <w:rsid w:val="00353139"/>
    <w:rsid w:val="00354699"/>
    <w:rsid w:val="00354CA0"/>
    <w:rsid w:val="00362921"/>
    <w:rsid w:val="0036569F"/>
    <w:rsid w:val="00366F3F"/>
    <w:rsid w:val="00370A8F"/>
    <w:rsid w:val="00372E31"/>
    <w:rsid w:val="00380A3D"/>
    <w:rsid w:val="00380C64"/>
    <w:rsid w:val="00381D6E"/>
    <w:rsid w:val="00391B2D"/>
    <w:rsid w:val="003A2416"/>
    <w:rsid w:val="003A60F3"/>
    <w:rsid w:val="003A713B"/>
    <w:rsid w:val="003C09C9"/>
    <w:rsid w:val="003C1A1C"/>
    <w:rsid w:val="003C1AC9"/>
    <w:rsid w:val="003C3BFF"/>
    <w:rsid w:val="003C691E"/>
    <w:rsid w:val="003C73C6"/>
    <w:rsid w:val="003C7BA1"/>
    <w:rsid w:val="003D5C2C"/>
    <w:rsid w:val="003D70D8"/>
    <w:rsid w:val="003E1F5E"/>
    <w:rsid w:val="003E4876"/>
    <w:rsid w:val="003E60AD"/>
    <w:rsid w:val="003E7929"/>
    <w:rsid w:val="003F15AA"/>
    <w:rsid w:val="003F3E8F"/>
    <w:rsid w:val="003F673E"/>
    <w:rsid w:val="003F7EFA"/>
    <w:rsid w:val="00407693"/>
    <w:rsid w:val="00414249"/>
    <w:rsid w:val="0041454A"/>
    <w:rsid w:val="00414B81"/>
    <w:rsid w:val="00423EE2"/>
    <w:rsid w:val="00430E15"/>
    <w:rsid w:val="00432BDD"/>
    <w:rsid w:val="00434625"/>
    <w:rsid w:val="00444D39"/>
    <w:rsid w:val="00445820"/>
    <w:rsid w:val="00452CE3"/>
    <w:rsid w:val="0045344D"/>
    <w:rsid w:val="00453DE7"/>
    <w:rsid w:val="00454873"/>
    <w:rsid w:val="00455370"/>
    <w:rsid w:val="0046154C"/>
    <w:rsid w:val="00463609"/>
    <w:rsid w:val="004646D6"/>
    <w:rsid w:val="00464951"/>
    <w:rsid w:val="00464A66"/>
    <w:rsid w:val="004715A3"/>
    <w:rsid w:val="00476456"/>
    <w:rsid w:val="00481543"/>
    <w:rsid w:val="0048474E"/>
    <w:rsid w:val="00490B6A"/>
    <w:rsid w:val="00494EDF"/>
    <w:rsid w:val="004A1B04"/>
    <w:rsid w:val="004A4FBF"/>
    <w:rsid w:val="004A776E"/>
    <w:rsid w:val="004B7704"/>
    <w:rsid w:val="004C2FF5"/>
    <w:rsid w:val="004C43D4"/>
    <w:rsid w:val="004C5190"/>
    <w:rsid w:val="004C5FE1"/>
    <w:rsid w:val="004E281E"/>
    <w:rsid w:val="004E2D6B"/>
    <w:rsid w:val="004F08C5"/>
    <w:rsid w:val="004F121A"/>
    <w:rsid w:val="004F1584"/>
    <w:rsid w:val="00513346"/>
    <w:rsid w:val="00515AF1"/>
    <w:rsid w:val="00517A5A"/>
    <w:rsid w:val="0052512D"/>
    <w:rsid w:val="00525513"/>
    <w:rsid w:val="00531D15"/>
    <w:rsid w:val="005433B0"/>
    <w:rsid w:val="0054786E"/>
    <w:rsid w:val="00556963"/>
    <w:rsid w:val="005579FE"/>
    <w:rsid w:val="0056200D"/>
    <w:rsid w:val="00563042"/>
    <w:rsid w:val="005636C0"/>
    <w:rsid w:val="0056636E"/>
    <w:rsid w:val="00571CDA"/>
    <w:rsid w:val="0057306F"/>
    <w:rsid w:val="0058343C"/>
    <w:rsid w:val="0058519D"/>
    <w:rsid w:val="00585D0B"/>
    <w:rsid w:val="00586A21"/>
    <w:rsid w:val="00590600"/>
    <w:rsid w:val="00595CDF"/>
    <w:rsid w:val="005B26A2"/>
    <w:rsid w:val="005B2746"/>
    <w:rsid w:val="005B7FFD"/>
    <w:rsid w:val="005C12B9"/>
    <w:rsid w:val="005C1907"/>
    <w:rsid w:val="005C4750"/>
    <w:rsid w:val="005D28C3"/>
    <w:rsid w:val="005D4514"/>
    <w:rsid w:val="005E2B5C"/>
    <w:rsid w:val="005E2C84"/>
    <w:rsid w:val="005E3BAE"/>
    <w:rsid w:val="005F05B5"/>
    <w:rsid w:val="005F2BF8"/>
    <w:rsid w:val="00600B2E"/>
    <w:rsid w:val="00605083"/>
    <w:rsid w:val="00610D1B"/>
    <w:rsid w:val="00611155"/>
    <w:rsid w:val="0061520D"/>
    <w:rsid w:val="0063577F"/>
    <w:rsid w:val="00650DCA"/>
    <w:rsid w:val="00656E04"/>
    <w:rsid w:val="00657EE7"/>
    <w:rsid w:val="006608D8"/>
    <w:rsid w:val="006612C1"/>
    <w:rsid w:val="006711E6"/>
    <w:rsid w:val="00671B89"/>
    <w:rsid w:val="00683114"/>
    <w:rsid w:val="006856CD"/>
    <w:rsid w:val="0068756C"/>
    <w:rsid w:val="00687DE3"/>
    <w:rsid w:val="006910BD"/>
    <w:rsid w:val="00696FEC"/>
    <w:rsid w:val="00697A15"/>
    <w:rsid w:val="006A3DF6"/>
    <w:rsid w:val="006A5FF1"/>
    <w:rsid w:val="006B1298"/>
    <w:rsid w:val="006B28AB"/>
    <w:rsid w:val="006C5AF4"/>
    <w:rsid w:val="006C64E9"/>
    <w:rsid w:val="006D0401"/>
    <w:rsid w:val="006D2F18"/>
    <w:rsid w:val="006D2F82"/>
    <w:rsid w:val="006D57A0"/>
    <w:rsid w:val="006D7C51"/>
    <w:rsid w:val="006E151D"/>
    <w:rsid w:val="006E69FC"/>
    <w:rsid w:val="006F437D"/>
    <w:rsid w:val="007178B0"/>
    <w:rsid w:val="00723902"/>
    <w:rsid w:val="00735548"/>
    <w:rsid w:val="0074222F"/>
    <w:rsid w:val="007518C4"/>
    <w:rsid w:val="007569B5"/>
    <w:rsid w:val="0076034D"/>
    <w:rsid w:val="00760D00"/>
    <w:rsid w:val="00761353"/>
    <w:rsid w:val="00764C0C"/>
    <w:rsid w:val="0076618C"/>
    <w:rsid w:val="007705A1"/>
    <w:rsid w:val="0077185F"/>
    <w:rsid w:val="007744C6"/>
    <w:rsid w:val="00775B78"/>
    <w:rsid w:val="007820B8"/>
    <w:rsid w:val="00786AB1"/>
    <w:rsid w:val="00786AE3"/>
    <w:rsid w:val="007903B4"/>
    <w:rsid w:val="00793510"/>
    <w:rsid w:val="00796432"/>
    <w:rsid w:val="007A0847"/>
    <w:rsid w:val="007A3606"/>
    <w:rsid w:val="007A3996"/>
    <w:rsid w:val="007A4339"/>
    <w:rsid w:val="007A4BE3"/>
    <w:rsid w:val="007B1163"/>
    <w:rsid w:val="007B2BBF"/>
    <w:rsid w:val="007B4CA1"/>
    <w:rsid w:val="007B50FA"/>
    <w:rsid w:val="007B780F"/>
    <w:rsid w:val="007C39A3"/>
    <w:rsid w:val="007C60E5"/>
    <w:rsid w:val="007D3E52"/>
    <w:rsid w:val="007D3E9F"/>
    <w:rsid w:val="007E1DDA"/>
    <w:rsid w:val="007E2B3C"/>
    <w:rsid w:val="007E4D9A"/>
    <w:rsid w:val="007F1A95"/>
    <w:rsid w:val="00803E0C"/>
    <w:rsid w:val="00805D0B"/>
    <w:rsid w:val="00810F41"/>
    <w:rsid w:val="008135A3"/>
    <w:rsid w:val="00814A63"/>
    <w:rsid w:val="00822D4C"/>
    <w:rsid w:val="008327B2"/>
    <w:rsid w:val="00833AEE"/>
    <w:rsid w:val="00843555"/>
    <w:rsid w:val="00845A3B"/>
    <w:rsid w:val="0084678B"/>
    <w:rsid w:val="008550C4"/>
    <w:rsid w:val="00863851"/>
    <w:rsid w:val="008677DA"/>
    <w:rsid w:val="008724AF"/>
    <w:rsid w:val="00874018"/>
    <w:rsid w:val="00881BB7"/>
    <w:rsid w:val="0089763E"/>
    <w:rsid w:val="008B1B04"/>
    <w:rsid w:val="008B209C"/>
    <w:rsid w:val="008B271F"/>
    <w:rsid w:val="008B3FB1"/>
    <w:rsid w:val="008B5748"/>
    <w:rsid w:val="008C2822"/>
    <w:rsid w:val="008C6E08"/>
    <w:rsid w:val="008D43D3"/>
    <w:rsid w:val="008E23E3"/>
    <w:rsid w:val="008E2A85"/>
    <w:rsid w:val="008E5462"/>
    <w:rsid w:val="008F0C38"/>
    <w:rsid w:val="008F2B63"/>
    <w:rsid w:val="008F5D83"/>
    <w:rsid w:val="008F6134"/>
    <w:rsid w:val="00901587"/>
    <w:rsid w:val="00904A5D"/>
    <w:rsid w:val="00915093"/>
    <w:rsid w:val="00920E83"/>
    <w:rsid w:val="0092481A"/>
    <w:rsid w:val="00927BAA"/>
    <w:rsid w:val="0093420C"/>
    <w:rsid w:val="00935923"/>
    <w:rsid w:val="00957DCE"/>
    <w:rsid w:val="00957F33"/>
    <w:rsid w:val="0096149A"/>
    <w:rsid w:val="00965106"/>
    <w:rsid w:val="00965C3D"/>
    <w:rsid w:val="00970483"/>
    <w:rsid w:val="00970C0D"/>
    <w:rsid w:val="00970C44"/>
    <w:rsid w:val="00971712"/>
    <w:rsid w:val="00974A1E"/>
    <w:rsid w:val="00974B21"/>
    <w:rsid w:val="00980BCA"/>
    <w:rsid w:val="00981DF3"/>
    <w:rsid w:val="00983EB3"/>
    <w:rsid w:val="009853F5"/>
    <w:rsid w:val="00987B91"/>
    <w:rsid w:val="0099173E"/>
    <w:rsid w:val="00991C6F"/>
    <w:rsid w:val="009942C1"/>
    <w:rsid w:val="009A2F81"/>
    <w:rsid w:val="009A4785"/>
    <w:rsid w:val="009B35F4"/>
    <w:rsid w:val="009C566C"/>
    <w:rsid w:val="009D20C6"/>
    <w:rsid w:val="009F0A0A"/>
    <w:rsid w:val="009F3B9A"/>
    <w:rsid w:val="009F43F3"/>
    <w:rsid w:val="009F54C9"/>
    <w:rsid w:val="00A038F6"/>
    <w:rsid w:val="00A12D7F"/>
    <w:rsid w:val="00A16485"/>
    <w:rsid w:val="00A2741C"/>
    <w:rsid w:val="00A31CA8"/>
    <w:rsid w:val="00A34AFB"/>
    <w:rsid w:val="00A34ECE"/>
    <w:rsid w:val="00A43AC8"/>
    <w:rsid w:val="00A46CB9"/>
    <w:rsid w:val="00A500EA"/>
    <w:rsid w:val="00A52C51"/>
    <w:rsid w:val="00A60839"/>
    <w:rsid w:val="00A637E1"/>
    <w:rsid w:val="00A6514A"/>
    <w:rsid w:val="00A65281"/>
    <w:rsid w:val="00A65DAD"/>
    <w:rsid w:val="00A733C4"/>
    <w:rsid w:val="00A8020C"/>
    <w:rsid w:val="00A83478"/>
    <w:rsid w:val="00A84BEA"/>
    <w:rsid w:val="00A9145E"/>
    <w:rsid w:val="00A92E06"/>
    <w:rsid w:val="00AA25A6"/>
    <w:rsid w:val="00AA3649"/>
    <w:rsid w:val="00AA3DCE"/>
    <w:rsid w:val="00AB0344"/>
    <w:rsid w:val="00AB1DF1"/>
    <w:rsid w:val="00AB3FD1"/>
    <w:rsid w:val="00AC7C87"/>
    <w:rsid w:val="00AD3FAE"/>
    <w:rsid w:val="00AF050F"/>
    <w:rsid w:val="00AF5891"/>
    <w:rsid w:val="00B034B9"/>
    <w:rsid w:val="00B1054F"/>
    <w:rsid w:val="00B10927"/>
    <w:rsid w:val="00B17200"/>
    <w:rsid w:val="00B2659A"/>
    <w:rsid w:val="00B2733A"/>
    <w:rsid w:val="00B34CCE"/>
    <w:rsid w:val="00B351E1"/>
    <w:rsid w:val="00B57275"/>
    <w:rsid w:val="00B623D3"/>
    <w:rsid w:val="00B6524D"/>
    <w:rsid w:val="00B672DD"/>
    <w:rsid w:val="00B720E5"/>
    <w:rsid w:val="00B7462D"/>
    <w:rsid w:val="00B76D1E"/>
    <w:rsid w:val="00B913E2"/>
    <w:rsid w:val="00BA412A"/>
    <w:rsid w:val="00BA6F56"/>
    <w:rsid w:val="00BB103D"/>
    <w:rsid w:val="00BB76C9"/>
    <w:rsid w:val="00BC51A1"/>
    <w:rsid w:val="00BC6A40"/>
    <w:rsid w:val="00BD389F"/>
    <w:rsid w:val="00BE04EC"/>
    <w:rsid w:val="00BE0ED6"/>
    <w:rsid w:val="00BE2A44"/>
    <w:rsid w:val="00BE38A3"/>
    <w:rsid w:val="00BE46AF"/>
    <w:rsid w:val="00BE6BC3"/>
    <w:rsid w:val="00BF1313"/>
    <w:rsid w:val="00BF47B6"/>
    <w:rsid w:val="00BF5BE4"/>
    <w:rsid w:val="00BF6FA2"/>
    <w:rsid w:val="00C00029"/>
    <w:rsid w:val="00C05B88"/>
    <w:rsid w:val="00C06570"/>
    <w:rsid w:val="00C123F7"/>
    <w:rsid w:val="00C1244A"/>
    <w:rsid w:val="00C148BD"/>
    <w:rsid w:val="00C15E40"/>
    <w:rsid w:val="00C15EDB"/>
    <w:rsid w:val="00C15F34"/>
    <w:rsid w:val="00C23ECB"/>
    <w:rsid w:val="00C33072"/>
    <w:rsid w:val="00C414AF"/>
    <w:rsid w:val="00C42A84"/>
    <w:rsid w:val="00C42B37"/>
    <w:rsid w:val="00C43F58"/>
    <w:rsid w:val="00C440AD"/>
    <w:rsid w:val="00C44504"/>
    <w:rsid w:val="00C46C0E"/>
    <w:rsid w:val="00C5606F"/>
    <w:rsid w:val="00C56D42"/>
    <w:rsid w:val="00C6523C"/>
    <w:rsid w:val="00C667F3"/>
    <w:rsid w:val="00C74E01"/>
    <w:rsid w:val="00C91354"/>
    <w:rsid w:val="00C9692D"/>
    <w:rsid w:val="00C97181"/>
    <w:rsid w:val="00CA0993"/>
    <w:rsid w:val="00CB22B0"/>
    <w:rsid w:val="00CB5D13"/>
    <w:rsid w:val="00CB5E5A"/>
    <w:rsid w:val="00CC449B"/>
    <w:rsid w:val="00CD4F7C"/>
    <w:rsid w:val="00CD6947"/>
    <w:rsid w:val="00CE2140"/>
    <w:rsid w:val="00CE536B"/>
    <w:rsid w:val="00CF03F0"/>
    <w:rsid w:val="00CF05B6"/>
    <w:rsid w:val="00CF190B"/>
    <w:rsid w:val="00D02AA6"/>
    <w:rsid w:val="00D058AE"/>
    <w:rsid w:val="00D06E83"/>
    <w:rsid w:val="00D151C9"/>
    <w:rsid w:val="00D2344A"/>
    <w:rsid w:val="00D304C2"/>
    <w:rsid w:val="00D326BF"/>
    <w:rsid w:val="00D356FE"/>
    <w:rsid w:val="00D40155"/>
    <w:rsid w:val="00D4034D"/>
    <w:rsid w:val="00D47A88"/>
    <w:rsid w:val="00D50EFE"/>
    <w:rsid w:val="00D558B7"/>
    <w:rsid w:val="00D55CBD"/>
    <w:rsid w:val="00D61A64"/>
    <w:rsid w:val="00D665D8"/>
    <w:rsid w:val="00D66FB9"/>
    <w:rsid w:val="00D67763"/>
    <w:rsid w:val="00D777A5"/>
    <w:rsid w:val="00D822C4"/>
    <w:rsid w:val="00D87B99"/>
    <w:rsid w:val="00D87E8B"/>
    <w:rsid w:val="00DA1A93"/>
    <w:rsid w:val="00DA206D"/>
    <w:rsid w:val="00DB06F0"/>
    <w:rsid w:val="00DB455A"/>
    <w:rsid w:val="00DB7F81"/>
    <w:rsid w:val="00DC2203"/>
    <w:rsid w:val="00DC2F4A"/>
    <w:rsid w:val="00DC39DE"/>
    <w:rsid w:val="00DC4CE1"/>
    <w:rsid w:val="00DD06E5"/>
    <w:rsid w:val="00DD4515"/>
    <w:rsid w:val="00DD7E44"/>
    <w:rsid w:val="00DE0ABA"/>
    <w:rsid w:val="00DE3C65"/>
    <w:rsid w:val="00E029D9"/>
    <w:rsid w:val="00E03E70"/>
    <w:rsid w:val="00E07798"/>
    <w:rsid w:val="00E128A3"/>
    <w:rsid w:val="00E136BD"/>
    <w:rsid w:val="00E17F99"/>
    <w:rsid w:val="00E249A9"/>
    <w:rsid w:val="00E316C3"/>
    <w:rsid w:val="00E32CC4"/>
    <w:rsid w:val="00E33592"/>
    <w:rsid w:val="00E33B9A"/>
    <w:rsid w:val="00E355AC"/>
    <w:rsid w:val="00E35D28"/>
    <w:rsid w:val="00E44E67"/>
    <w:rsid w:val="00E4609E"/>
    <w:rsid w:val="00E57DB9"/>
    <w:rsid w:val="00E62755"/>
    <w:rsid w:val="00E65C83"/>
    <w:rsid w:val="00E65E0E"/>
    <w:rsid w:val="00E76A31"/>
    <w:rsid w:val="00E82BDE"/>
    <w:rsid w:val="00E863B0"/>
    <w:rsid w:val="00E865BC"/>
    <w:rsid w:val="00E873A0"/>
    <w:rsid w:val="00E9328F"/>
    <w:rsid w:val="00E97A2D"/>
    <w:rsid w:val="00EA55F9"/>
    <w:rsid w:val="00EA6250"/>
    <w:rsid w:val="00EA7487"/>
    <w:rsid w:val="00EB71DE"/>
    <w:rsid w:val="00EC312D"/>
    <w:rsid w:val="00EC5589"/>
    <w:rsid w:val="00ED16CA"/>
    <w:rsid w:val="00ED7BD0"/>
    <w:rsid w:val="00EE5508"/>
    <w:rsid w:val="00EE677D"/>
    <w:rsid w:val="00EF0BAA"/>
    <w:rsid w:val="00EF0CB8"/>
    <w:rsid w:val="00EF6671"/>
    <w:rsid w:val="00F01244"/>
    <w:rsid w:val="00F035D8"/>
    <w:rsid w:val="00F0441A"/>
    <w:rsid w:val="00F04E5E"/>
    <w:rsid w:val="00F063E8"/>
    <w:rsid w:val="00F070DE"/>
    <w:rsid w:val="00F16596"/>
    <w:rsid w:val="00F201E8"/>
    <w:rsid w:val="00F24C3A"/>
    <w:rsid w:val="00F253D2"/>
    <w:rsid w:val="00F3030D"/>
    <w:rsid w:val="00F32D75"/>
    <w:rsid w:val="00F3330A"/>
    <w:rsid w:val="00F34DDA"/>
    <w:rsid w:val="00F373D3"/>
    <w:rsid w:val="00F47DA3"/>
    <w:rsid w:val="00F54CE8"/>
    <w:rsid w:val="00F55087"/>
    <w:rsid w:val="00F605E1"/>
    <w:rsid w:val="00F62E22"/>
    <w:rsid w:val="00F655D6"/>
    <w:rsid w:val="00F73EB2"/>
    <w:rsid w:val="00F73EE9"/>
    <w:rsid w:val="00F80D2F"/>
    <w:rsid w:val="00F86498"/>
    <w:rsid w:val="00F950A8"/>
    <w:rsid w:val="00F9547F"/>
    <w:rsid w:val="00FA57C1"/>
    <w:rsid w:val="00FA7331"/>
    <w:rsid w:val="00FB1782"/>
    <w:rsid w:val="00FB39AE"/>
    <w:rsid w:val="00FB5DE6"/>
    <w:rsid w:val="00FC2396"/>
    <w:rsid w:val="00FD513D"/>
    <w:rsid w:val="00FE0284"/>
    <w:rsid w:val="00FE22C8"/>
    <w:rsid w:val="00FF1E5C"/>
    <w:rsid w:val="00FF4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39F2"/>
  <w15:chartTrackingRefBased/>
  <w15:docId w15:val="{709031E1-063B-444E-9FAA-36E984554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6C9"/>
  </w:style>
  <w:style w:type="paragraph" w:styleId="Heading1">
    <w:name w:val="heading 1"/>
    <w:basedOn w:val="Normal"/>
    <w:next w:val="Normal"/>
    <w:link w:val="Heading1Char"/>
    <w:autoRedefine/>
    <w:uiPriority w:val="9"/>
    <w:qFormat/>
    <w:rsid w:val="001A4B2A"/>
    <w:pPr>
      <w:keepNext/>
      <w:keepLines/>
      <w:spacing w:before="300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4F08C5"/>
    <w:pPr>
      <w:spacing w:before="240" w:after="240" w:line="240" w:lineRule="auto"/>
      <w:ind w:left="425" w:hanging="425"/>
      <w:outlineLvl w:val="1"/>
    </w:pPr>
    <w:rPr>
      <w:rFonts w:ascii="Arial" w:hAnsi="Arial" w:cs="Arial"/>
      <w:b/>
      <w:bCs/>
      <w:color w:val="2C5060" w:themeColor="accent1"/>
      <w:sz w:val="52"/>
      <w:szCs w:val="40"/>
    </w:rPr>
  </w:style>
  <w:style w:type="paragraph" w:styleId="Heading3">
    <w:name w:val="heading 3"/>
    <w:basedOn w:val="Normal"/>
    <w:next w:val="Normal"/>
    <w:link w:val="Heading3Char"/>
    <w:autoRedefine/>
    <w:uiPriority w:val="9"/>
    <w:unhideWhenUsed/>
    <w:qFormat/>
    <w:rsid w:val="00C97181"/>
    <w:pPr>
      <w:spacing w:before="240" w:line="240" w:lineRule="auto"/>
      <w:outlineLvl w:val="2"/>
    </w:pPr>
    <w:rPr>
      <w:rFonts w:ascii="Arial" w:hAnsi="Arial" w:cs="Arial"/>
      <w:b/>
      <w:bCs/>
      <w:color w:val="595959" w:themeColor="text1" w:themeTint="A6"/>
      <w:sz w:val="28"/>
      <w:szCs w:val="28"/>
    </w:rPr>
  </w:style>
  <w:style w:type="paragraph" w:styleId="Heading4">
    <w:name w:val="heading 4"/>
    <w:basedOn w:val="Normal"/>
    <w:next w:val="Normal"/>
    <w:link w:val="Heading4Char"/>
    <w:autoRedefine/>
    <w:uiPriority w:val="9"/>
    <w:unhideWhenUsed/>
    <w:qFormat/>
    <w:rsid w:val="00333602"/>
    <w:pPr>
      <w:spacing w:after="240" w:line="240" w:lineRule="auto"/>
      <w:outlineLvl w:val="3"/>
    </w:pPr>
    <w:rPr>
      <w:rFonts w:ascii="Arial" w:hAnsi="Arial" w:cs="Arial"/>
      <w:b/>
      <w:sz w:val="28"/>
    </w:rPr>
  </w:style>
  <w:style w:type="paragraph" w:styleId="Heading5">
    <w:name w:val="heading 5"/>
    <w:basedOn w:val="Normal"/>
    <w:next w:val="Normal"/>
    <w:link w:val="Heading5Char"/>
    <w:autoRedefine/>
    <w:uiPriority w:val="9"/>
    <w:unhideWhenUsed/>
    <w:qFormat/>
    <w:rsid w:val="00915093"/>
    <w:pPr>
      <w:outlineLvl w:val="4"/>
    </w:pPr>
    <w:rPr>
      <w:rFonts w:cs="Arial"/>
      <w:b/>
      <w:bCs/>
      <w:color w:val="5C5B5A"/>
    </w:rPr>
  </w:style>
  <w:style w:type="character" w:default="1" w:styleId="DefaultParagraphFont">
    <w:name w:val="Default Paragraph Font"/>
    <w:uiPriority w:val="1"/>
    <w:semiHidden/>
    <w:unhideWhenUsed/>
    <w:rsid w:val="00BB76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B76C9"/>
  </w:style>
  <w:style w:type="character" w:customStyle="1" w:styleId="Heading1Char">
    <w:name w:val="Heading 1 Char"/>
    <w:basedOn w:val="DefaultParagraphFont"/>
    <w:link w:val="Heading1"/>
    <w:uiPriority w:val="9"/>
    <w:rsid w:val="001A4B2A"/>
    <w:rPr>
      <w:rFonts w:eastAsiaTheme="majorEastAsia" w:cs="Arial"/>
      <w:b/>
      <w:bCs/>
      <w:noProof/>
      <w:color w:val="FFFFFF" w:themeColor="background1"/>
      <w:sz w:val="72"/>
      <w:szCs w:val="40"/>
    </w:rPr>
  </w:style>
  <w:style w:type="table" w:styleId="TableGrid">
    <w:name w:val="Table Grid"/>
    <w:aliases w:val="Kate table"/>
    <w:basedOn w:val="TableNormal"/>
    <w:uiPriority w:val="39"/>
    <w:rsid w:val="00915093"/>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BC51A1"/>
    <w:pPr>
      <w:numPr>
        <w:numId w:val="32"/>
      </w:numPr>
      <w:spacing w:after="240"/>
      <w:ind w:left="357" w:hanging="357"/>
      <w:contextualSpacing/>
    </w:pPr>
    <w:rPr>
      <w:rFonts w:ascii="Arial" w:hAnsi="Arial" w:cs="Arial"/>
      <w:color w:val="000000" w:themeColor="text1"/>
      <w:sz w:val="24"/>
      <w:szCs w:val="24"/>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BC51A1"/>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15093"/>
    <w:rPr>
      <w:sz w:val="16"/>
      <w:szCs w:val="16"/>
    </w:rPr>
  </w:style>
  <w:style w:type="paragraph" w:styleId="CommentText">
    <w:name w:val="annotation text"/>
    <w:basedOn w:val="Normal"/>
    <w:link w:val="CommentTextChar"/>
    <w:uiPriority w:val="99"/>
    <w:unhideWhenUsed/>
    <w:rsid w:val="00915093"/>
    <w:pPr>
      <w:spacing w:line="240" w:lineRule="auto"/>
    </w:pPr>
    <w:rPr>
      <w:sz w:val="20"/>
      <w:szCs w:val="20"/>
    </w:rPr>
  </w:style>
  <w:style w:type="character" w:customStyle="1" w:styleId="CommentTextChar">
    <w:name w:val="Comment Text Char"/>
    <w:basedOn w:val="DefaultParagraphFont"/>
    <w:link w:val="CommentText"/>
    <w:uiPriority w:val="99"/>
    <w:rsid w:val="00915093"/>
    <w:rPr>
      <w:rFonts w:ascii="Arial" w:hAnsi="Arial"/>
      <w:sz w:val="20"/>
      <w:szCs w:val="20"/>
    </w:rPr>
  </w:style>
  <w:style w:type="paragraph" w:styleId="Header">
    <w:name w:val="header"/>
    <w:basedOn w:val="Normal"/>
    <w:link w:val="HeaderChar"/>
    <w:uiPriority w:val="99"/>
    <w:unhideWhenUsed/>
    <w:rsid w:val="0091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093"/>
    <w:rPr>
      <w:rFonts w:ascii="Arial" w:hAnsi="Arial"/>
      <w:sz w:val="24"/>
      <w:szCs w:val="24"/>
    </w:rPr>
  </w:style>
  <w:style w:type="character" w:styleId="Hyperlink">
    <w:name w:val="Hyperlink"/>
    <w:basedOn w:val="DefaultParagraphFont"/>
    <w:uiPriority w:val="99"/>
    <w:unhideWhenUsed/>
    <w:qFormat/>
    <w:rsid w:val="00915093"/>
    <w:rPr>
      <w:rFonts w:ascii="Arial" w:hAnsi="Arial"/>
      <w:b/>
      <w:color w:val="D5573B" w:themeColor="accent2"/>
      <w:u w:val="single"/>
    </w:rPr>
  </w:style>
  <w:style w:type="paragraph" w:customStyle="1" w:styleId="PageNumber1">
    <w:name w:val="Page Number1"/>
    <w:basedOn w:val="Footer"/>
    <w:link w:val="PagenumberChar"/>
    <w:qFormat/>
    <w:rsid w:val="00915093"/>
    <w:pPr>
      <w:jc w:val="right"/>
    </w:pPr>
    <w:rPr>
      <w:b/>
      <w:color w:val="2C5060" w:themeColor="accent1"/>
      <w:sz w:val="28"/>
    </w:rPr>
  </w:style>
  <w:style w:type="character" w:customStyle="1" w:styleId="PagenumberChar">
    <w:name w:val="Page number Char"/>
    <w:basedOn w:val="FooterChar"/>
    <w:link w:val="PageNumber1"/>
    <w:rsid w:val="00915093"/>
    <w:rPr>
      <w:rFonts w:ascii="Arial" w:hAnsi="Arial"/>
      <w:b/>
      <w:color w:val="2C5060" w:themeColor="accent1"/>
      <w:sz w:val="28"/>
      <w:szCs w:val="24"/>
    </w:rPr>
  </w:style>
  <w:style w:type="paragraph" w:styleId="Footer">
    <w:name w:val="footer"/>
    <w:basedOn w:val="Normal"/>
    <w:link w:val="FooterChar"/>
    <w:autoRedefine/>
    <w:uiPriority w:val="99"/>
    <w:unhideWhenUsed/>
    <w:qFormat/>
    <w:rsid w:val="00915093"/>
    <w:pPr>
      <w:tabs>
        <w:tab w:val="center" w:pos="4513"/>
        <w:tab w:val="right" w:pos="9026"/>
      </w:tabs>
      <w:spacing w:before="120" w:after="0" w:line="240" w:lineRule="auto"/>
    </w:pPr>
    <w:rPr>
      <w:color w:val="D5573B" w:themeColor="accent2"/>
    </w:rPr>
  </w:style>
  <w:style w:type="character" w:customStyle="1" w:styleId="FooterChar">
    <w:name w:val="Footer Char"/>
    <w:basedOn w:val="DefaultParagraphFont"/>
    <w:link w:val="Footer"/>
    <w:uiPriority w:val="99"/>
    <w:rsid w:val="00915093"/>
    <w:rPr>
      <w:rFonts w:ascii="Arial" w:hAnsi="Arial"/>
      <w:color w:val="D5573B" w:themeColor="accent2"/>
      <w:sz w:val="24"/>
      <w:szCs w:val="24"/>
    </w:rPr>
  </w:style>
  <w:style w:type="paragraph" w:styleId="Revision">
    <w:name w:val="Revision"/>
    <w:hidden/>
    <w:uiPriority w:val="99"/>
    <w:semiHidden/>
    <w:rsid w:val="006D2F18"/>
    <w:pPr>
      <w:spacing w:after="0" w:line="240" w:lineRule="auto"/>
    </w:pPr>
    <w:rPr>
      <w:rFonts w:ascii="Arial" w:hAnsi="Arial"/>
      <w:color w:val="000000" w:themeColor="text1"/>
      <w:sz w:val="24"/>
    </w:rPr>
  </w:style>
  <w:style w:type="character" w:styleId="FollowedHyperlink">
    <w:name w:val="FollowedHyperlink"/>
    <w:basedOn w:val="DefaultParagraphFont"/>
    <w:uiPriority w:val="99"/>
    <w:semiHidden/>
    <w:unhideWhenUsed/>
    <w:qFormat/>
    <w:rsid w:val="00915093"/>
    <w:rPr>
      <w:b/>
      <w:color w:val="323E4F" w:themeColor="text2" w:themeShade="BF"/>
      <w:u w:val="single"/>
    </w:rPr>
  </w:style>
  <w:style w:type="paragraph" w:styleId="CommentSubject">
    <w:name w:val="annotation subject"/>
    <w:basedOn w:val="CommentText"/>
    <w:next w:val="CommentText"/>
    <w:link w:val="CommentSubjectChar"/>
    <w:uiPriority w:val="99"/>
    <w:semiHidden/>
    <w:unhideWhenUsed/>
    <w:rsid w:val="00915093"/>
    <w:rPr>
      <w:b/>
      <w:bCs/>
    </w:rPr>
  </w:style>
  <w:style w:type="character" w:customStyle="1" w:styleId="CommentSubjectChar">
    <w:name w:val="Comment Subject Char"/>
    <w:basedOn w:val="CommentTextChar"/>
    <w:link w:val="CommentSubject"/>
    <w:uiPriority w:val="99"/>
    <w:semiHidden/>
    <w:rsid w:val="00915093"/>
    <w:rPr>
      <w:rFonts w:ascii="Arial" w:hAnsi="Arial"/>
      <w:b/>
      <w:bCs/>
      <w:sz w:val="20"/>
      <w:szCs w:val="20"/>
    </w:rPr>
  </w:style>
  <w:style w:type="character" w:customStyle="1" w:styleId="Heading2Char">
    <w:name w:val="Heading 2 Char"/>
    <w:basedOn w:val="DefaultParagraphFont"/>
    <w:link w:val="Heading2"/>
    <w:uiPriority w:val="9"/>
    <w:rsid w:val="004F08C5"/>
    <w:rPr>
      <w:rFonts w:ascii="Arial" w:hAnsi="Arial" w:cs="Arial"/>
      <w:b/>
      <w:bCs/>
      <w:color w:val="2C5060" w:themeColor="accent1"/>
      <w:sz w:val="52"/>
      <w:szCs w:val="40"/>
    </w:rPr>
  </w:style>
  <w:style w:type="character" w:customStyle="1" w:styleId="Heading3Char">
    <w:name w:val="Heading 3 Char"/>
    <w:basedOn w:val="DefaultParagraphFont"/>
    <w:link w:val="Heading3"/>
    <w:uiPriority w:val="9"/>
    <w:rsid w:val="00C97181"/>
    <w:rPr>
      <w:rFonts w:ascii="Arial" w:hAnsi="Arial" w:cs="Arial"/>
      <w:b/>
      <w:bCs/>
      <w:color w:val="595959" w:themeColor="text1" w:themeTint="A6"/>
      <w:sz w:val="28"/>
      <w:szCs w:val="28"/>
    </w:rPr>
  </w:style>
  <w:style w:type="character" w:customStyle="1" w:styleId="Heading4Char">
    <w:name w:val="Heading 4 Char"/>
    <w:basedOn w:val="DefaultParagraphFont"/>
    <w:link w:val="Heading4"/>
    <w:uiPriority w:val="9"/>
    <w:rsid w:val="00333602"/>
    <w:rPr>
      <w:rFonts w:ascii="Arial" w:hAnsi="Arial" w:cs="Arial"/>
      <w:b/>
      <w:sz w:val="28"/>
    </w:rPr>
  </w:style>
  <w:style w:type="character" w:customStyle="1" w:styleId="Heading5Char">
    <w:name w:val="Heading 5 Char"/>
    <w:basedOn w:val="DefaultParagraphFont"/>
    <w:link w:val="Heading5"/>
    <w:uiPriority w:val="9"/>
    <w:rsid w:val="00915093"/>
    <w:rPr>
      <w:rFonts w:ascii="Arial" w:hAnsi="Arial" w:cs="Arial"/>
      <w:b/>
      <w:bCs/>
      <w:color w:val="5C5B5A"/>
      <w:sz w:val="24"/>
      <w:szCs w:val="24"/>
    </w:rPr>
  </w:style>
  <w:style w:type="paragraph" w:styleId="NoSpacing">
    <w:name w:val="No Spacing"/>
    <w:link w:val="NoSpacingChar"/>
    <w:autoRedefine/>
    <w:uiPriority w:val="1"/>
    <w:qFormat/>
    <w:rsid w:val="00915093"/>
    <w:pPr>
      <w:spacing w:after="0" w:line="240" w:lineRule="auto"/>
    </w:pPr>
    <w:rPr>
      <w:rFonts w:ascii="Arial" w:hAnsi="Arial"/>
      <w:color w:val="262626" w:themeColor="text1" w:themeTint="D9"/>
      <w:sz w:val="24"/>
      <w:szCs w:val="24"/>
    </w:rPr>
  </w:style>
  <w:style w:type="paragraph" w:styleId="Title">
    <w:name w:val="Title"/>
    <w:basedOn w:val="Normal"/>
    <w:next w:val="Normal"/>
    <w:link w:val="TitleChar"/>
    <w:uiPriority w:val="10"/>
    <w:qFormat/>
    <w:rsid w:val="00915093"/>
    <w:pPr>
      <w:spacing w:after="280" w:line="780" w:lineRule="exact"/>
    </w:pPr>
    <w:rPr>
      <w:color w:val="FFFFFF" w:themeColor="background1"/>
      <w:sz w:val="65"/>
      <w:szCs w:val="65"/>
    </w:rPr>
  </w:style>
  <w:style w:type="character" w:customStyle="1" w:styleId="TitleChar">
    <w:name w:val="Title Char"/>
    <w:basedOn w:val="DefaultParagraphFont"/>
    <w:link w:val="Title"/>
    <w:uiPriority w:val="10"/>
    <w:rsid w:val="00915093"/>
    <w:rPr>
      <w:color w:val="FFFFFF" w:themeColor="background1"/>
      <w:sz w:val="65"/>
      <w:szCs w:val="65"/>
    </w:rPr>
  </w:style>
  <w:style w:type="paragraph" w:customStyle="1" w:styleId="Whitecoverelement">
    <w:name w:val="White cover element"/>
    <w:basedOn w:val="Normal"/>
    <w:link w:val="WhitecoverelementChar"/>
    <w:autoRedefine/>
    <w:rsid w:val="00915093"/>
    <w:rPr>
      <w:b/>
      <w:color w:val="FFFFFF" w:themeColor="background1"/>
      <w:sz w:val="36"/>
    </w:rPr>
  </w:style>
  <w:style w:type="character" w:customStyle="1" w:styleId="WhitecoverelementChar">
    <w:name w:val="White cover element Char"/>
    <w:basedOn w:val="DefaultParagraphFont"/>
    <w:link w:val="Whitecoverelement"/>
    <w:rsid w:val="00915093"/>
    <w:rPr>
      <w:rFonts w:ascii="Arial" w:hAnsi="Arial"/>
      <w:b/>
      <w:color w:val="FFFFFF" w:themeColor="background1"/>
      <w:sz w:val="36"/>
      <w:szCs w:val="24"/>
    </w:rPr>
  </w:style>
  <w:style w:type="paragraph" w:customStyle="1" w:styleId="Whitesmall">
    <w:name w:val="White small"/>
    <w:basedOn w:val="Normal"/>
    <w:link w:val="WhitesmallChar"/>
    <w:autoRedefine/>
    <w:rsid w:val="00915093"/>
    <w:rPr>
      <w:color w:val="FFFFFF" w:themeColor="background1"/>
      <w:sz w:val="32"/>
    </w:rPr>
  </w:style>
  <w:style w:type="character" w:customStyle="1" w:styleId="WhitesmallChar">
    <w:name w:val="White small Char"/>
    <w:basedOn w:val="DefaultParagraphFont"/>
    <w:link w:val="Whitesmall"/>
    <w:rsid w:val="00915093"/>
    <w:rPr>
      <w:rFonts w:ascii="Arial" w:hAnsi="Arial"/>
      <w:color w:val="FFFFFF" w:themeColor="background1"/>
      <w:sz w:val="32"/>
      <w:szCs w:val="24"/>
    </w:rPr>
  </w:style>
  <w:style w:type="character" w:styleId="FootnoteReference">
    <w:name w:val="footnote reference"/>
    <w:basedOn w:val="DefaultParagraphFont"/>
    <w:uiPriority w:val="99"/>
    <w:unhideWhenUsed/>
    <w:qFormat/>
    <w:rsid w:val="00915093"/>
    <w:rPr>
      <w:rFonts w:ascii="Arial" w:hAnsi="Arial"/>
      <w:sz w:val="24"/>
      <w:bdr w:val="none" w:sz="0" w:space="0" w:color="auto"/>
      <w:vertAlign w:val="superscript"/>
    </w:rPr>
  </w:style>
  <w:style w:type="paragraph" w:styleId="BalloonText">
    <w:name w:val="Balloon Text"/>
    <w:basedOn w:val="Normal"/>
    <w:link w:val="BalloonTextChar"/>
    <w:uiPriority w:val="99"/>
    <w:semiHidden/>
    <w:unhideWhenUsed/>
    <w:rsid w:val="00915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93"/>
    <w:rPr>
      <w:rFonts w:ascii="Segoe UI" w:hAnsi="Segoe UI" w:cs="Segoe UI"/>
      <w:sz w:val="18"/>
      <w:szCs w:val="18"/>
    </w:rPr>
  </w:style>
  <w:style w:type="paragraph" w:customStyle="1" w:styleId="Default">
    <w:name w:val="Default"/>
    <w:rsid w:val="00915093"/>
    <w:pPr>
      <w:autoSpaceDE w:val="0"/>
      <w:autoSpaceDN w:val="0"/>
      <w:adjustRightInd w:val="0"/>
      <w:spacing w:after="0" w:line="240" w:lineRule="auto"/>
    </w:pPr>
    <w:rPr>
      <w:rFonts w:ascii="FGAZL W+ Colfax" w:hAnsi="FGAZL W+ Colfax" w:cs="FGAZL W+ Colfax"/>
      <w:color w:val="000000"/>
      <w:sz w:val="24"/>
      <w:szCs w:val="24"/>
    </w:rPr>
  </w:style>
  <w:style w:type="character" w:styleId="EndnoteReference">
    <w:name w:val="endnote reference"/>
    <w:basedOn w:val="DefaultParagraphFont"/>
    <w:uiPriority w:val="99"/>
    <w:semiHidden/>
    <w:unhideWhenUsed/>
    <w:rsid w:val="00915093"/>
    <w:rPr>
      <w:vertAlign w:val="superscript"/>
    </w:rPr>
  </w:style>
  <w:style w:type="paragraph" w:styleId="EndnoteText">
    <w:name w:val="endnote text"/>
    <w:basedOn w:val="Normal"/>
    <w:link w:val="EndnoteTextChar"/>
    <w:uiPriority w:val="99"/>
    <w:semiHidden/>
    <w:unhideWhenUsed/>
    <w:rsid w:val="009150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5093"/>
    <w:rPr>
      <w:rFonts w:ascii="Arial" w:hAnsi="Arial"/>
      <w:sz w:val="20"/>
      <w:szCs w:val="20"/>
    </w:rPr>
  </w:style>
  <w:style w:type="character" w:customStyle="1" w:styleId="eop">
    <w:name w:val="eop"/>
    <w:basedOn w:val="DefaultParagraphFont"/>
    <w:rsid w:val="00915093"/>
  </w:style>
  <w:style w:type="paragraph" w:styleId="FootnoteText">
    <w:name w:val="footnote text"/>
    <w:basedOn w:val="Normal"/>
    <w:link w:val="FootnoteTextChar"/>
    <w:uiPriority w:val="99"/>
    <w:unhideWhenUsed/>
    <w:rsid w:val="00915093"/>
    <w:pPr>
      <w:spacing w:after="0" w:line="240" w:lineRule="auto"/>
    </w:pPr>
    <w:rPr>
      <w:sz w:val="20"/>
      <w:szCs w:val="20"/>
    </w:rPr>
  </w:style>
  <w:style w:type="character" w:customStyle="1" w:styleId="FootnoteTextChar">
    <w:name w:val="Footnote Text Char"/>
    <w:basedOn w:val="DefaultParagraphFont"/>
    <w:link w:val="FootnoteText"/>
    <w:uiPriority w:val="99"/>
    <w:rsid w:val="00915093"/>
    <w:rPr>
      <w:rFonts w:ascii="Arial" w:hAnsi="Arial"/>
      <w:sz w:val="20"/>
      <w:szCs w:val="20"/>
    </w:rPr>
  </w:style>
  <w:style w:type="paragraph" w:styleId="NormalWeb">
    <w:name w:val="Normal (Web)"/>
    <w:aliases w:val="Numbered paragraphs"/>
    <w:basedOn w:val="Normal"/>
    <w:autoRedefine/>
    <w:uiPriority w:val="99"/>
    <w:unhideWhenUsed/>
    <w:rsid w:val="00915093"/>
    <w:pPr>
      <w:numPr>
        <w:numId w:val="22"/>
      </w:numPr>
      <w:shd w:val="clear" w:color="auto" w:fill="FFFFFF"/>
      <w:spacing w:after="225"/>
    </w:pPr>
    <w:rPr>
      <w:rFonts w:eastAsia="Times New Roman"/>
      <w:lang w:eastAsia="en-GB"/>
    </w:rPr>
  </w:style>
  <w:style w:type="character" w:customStyle="1" w:styleId="normaltextrun">
    <w:name w:val="normaltextrun"/>
    <w:basedOn w:val="DefaultParagraphFont"/>
    <w:rsid w:val="00915093"/>
  </w:style>
  <w:style w:type="paragraph" w:customStyle="1" w:styleId="paragraph">
    <w:name w:val="paragraph"/>
    <w:basedOn w:val="Normal"/>
    <w:rsid w:val="00915093"/>
    <w:pPr>
      <w:spacing w:before="100" w:beforeAutospacing="1" w:after="100" w:afterAutospacing="1" w:line="240" w:lineRule="auto"/>
    </w:pPr>
    <w:rPr>
      <w:rFonts w:ascii="Times New Roman" w:eastAsia="Times New Roman" w:hAnsi="Times New Roman"/>
      <w:lang w:eastAsia="en-GB"/>
    </w:rPr>
  </w:style>
  <w:style w:type="table" w:styleId="PlainTable1">
    <w:name w:val="Plain Table 1"/>
    <w:basedOn w:val="TableNormal"/>
    <w:uiPriority w:val="41"/>
    <w:rsid w:val="00915093"/>
    <w:pPr>
      <w:spacing w:after="0" w:line="240" w:lineRule="auto"/>
    </w:pPr>
    <w:rPr>
      <w:rFonts w:ascii="Arial" w:hAnsi="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915093"/>
    <w:rPr>
      <w:b/>
      <w:bCs/>
    </w:rPr>
  </w:style>
  <w:style w:type="paragraph" w:styleId="Subtitle">
    <w:name w:val="Subtitle"/>
    <w:basedOn w:val="Normal"/>
    <w:next w:val="Normal"/>
    <w:link w:val="SubtitleChar"/>
    <w:uiPriority w:val="11"/>
    <w:qFormat/>
    <w:rsid w:val="00915093"/>
    <w:rPr>
      <w:b/>
      <w:bCs/>
      <w:color w:val="FFFFFF" w:themeColor="background1"/>
      <w:sz w:val="32"/>
      <w:szCs w:val="28"/>
    </w:rPr>
  </w:style>
  <w:style w:type="character" w:customStyle="1" w:styleId="SubtitleChar">
    <w:name w:val="Subtitle Char"/>
    <w:basedOn w:val="DefaultParagraphFont"/>
    <w:link w:val="Subtitle"/>
    <w:uiPriority w:val="11"/>
    <w:rsid w:val="00915093"/>
    <w:rPr>
      <w:rFonts w:ascii="Arial" w:hAnsi="Arial"/>
      <w:b/>
      <w:bCs/>
      <w:color w:val="FFFFFF" w:themeColor="background1"/>
      <w:sz w:val="32"/>
      <w:szCs w:val="28"/>
    </w:rPr>
  </w:style>
  <w:style w:type="paragraph" w:styleId="TOC1">
    <w:name w:val="toc 1"/>
    <w:basedOn w:val="Normal"/>
    <w:next w:val="Normal"/>
    <w:autoRedefine/>
    <w:uiPriority w:val="39"/>
    <w:unhideWhenUsed/>
    <w:rsid w:val="00915093"/>
    <w:pPr>
      <w:tabs>
        <w:tab w:val="right" w:leader="dot" w:pos="9016"/>
      </w:tabs>
      <w:spacing w:after="100"/>
    </w:pPr>
    <w:rPr>
      <w:rFonts w:eastAsiaTheme="minorEastAsia"/>
      <w:bCs/>
      <w:noProof/>
      <w:lang w:val="en-US"/>
    </w:rPr>
  </w:style>
  <w:style w:type="paragraph" w:styleId="TOC2">
    <w:name w:val="toc 2"/>
    <w:basedOn w:val="Normal"/>
    <w:next w:val="Normal"/>
    <w:autoRedefine/>
    <w:uiPriority w:val="39"/>
    <w:unhideWhenUsed/>
    <w:rsid w:val="00915093"/>
    <w:pPr>
      <w:spacing w:after="100"/>
    </w:pPr>
    <w:rPr>
      <w:rFonts w:eastAsiaTheme="minorEastAsia"/>
      <w:lang w:val="en-US"/>
    </w:rPr>
  </w:style>
  <w:style w:type="paragraph" w:styleId="TOC3">
    <w:name w:val="toc 3"/>
    <w:basedOn w:val="Normal"/>
    <w:next w:val="Normal"/>
    <w:autoRedefine/>
    <w:uiPriority w:val="39"/>
    <w:unhideWhenUsed/>
    <w:rsid w:val="00915093"/>
    <w:pPr>
      <w:spacing w:after="100"/>
    </w:pPr>
    <w:rPr>
      <w:rFonts w:eastAsiaTheme="minorEastAsia"/>
      <w:lang w:val="en-US"/>
    </w:rPr>
  </w:style>
  <w:style w:type="paragraph" w:styleId="TOCHeading">
    <w:name w:val="TOC Heading"/>
    <w:basedOn w:val="Heading1"/>
    <w:next w:val="Normal"/>
    <w:uiPriority w:val="39"/>
    <w:unhideWhenUsed/>
    <w:rsid w:val="00915093"/>
    <w:pPr>
      <w:outlineLvl w:val="9"/>
    </w:pPr>
    <w:rPr>
      <w:rFonts w:asciiTheme="majorHAnsi" w:hAnsiTheme="majorHAnsi" w:cstheme="majorBidi"/>
      <w:b w:val="0"/>
      <w:bCs w:val="0"/>
      <w:noProof w:val="0"/>
      <w:color w:val="213B47" w:themeColor="accent1" w:themeShade="BF"/>
      <w:sz w:val="32"/>
      <w:lang w:val="en-US"/>
    </w:rPr>
  </w:style>
  <w:style w:type="character" w:styleId="UnresolvedMention">
    <w:name w:val="Unresolved Mention"/>
    <w:basedOn w:val="DefaultParagraphFont"/>
    <w:uiPriority w:val="99"/>
    <w:semiHidden/>
    <w:unhideWhenUsed/>
    <w:rsid w:val="00915093"/>
    <w:rPr>
      <w:color w:val="605E5C"/>
      <w:shd w:val="clear" w:color="auto" w:fill="E1DFDD"/>
    </w:rPr>
  </w:style>
  <w:style w:type="table" w:customStyle="1" w:styleId="Katestable">
    <w:name w:val="Kate's table"/>
    <w:basedOn w:val="TableNormal"/>
    <w:uiPriority w:val="99"/>
    <w:rsid w:val="00915093"/>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lineimageindent">
    <w:name w:val="Inline image indent"/>
    <w:basedOn w:val="Normal"/>
    <w:link w:val="InlineimageindentChar"/>
    <w:autoRedefine/>
    <w:rsid w:val="00915093"/>
    <w:pPr>
      <w:ind w:left="709"/>
    </w:pPr>
    <w:rPr>
      <w:rFonts w:cs="Arial"/>
    </w:rPr>
  </w:style>
  <w:style w:type="character" w:customStyle="1" w:styleId="InlineimageindentChar">
    <w:name w:val="Inline image indent Char"/>
    <w:basedOn w:val="DefaultParagraphFont"/>
    <w:link w:val="Inlineimageindent"/>
    <w:rsid w:val="00915093"/>
    <w:rPr>
      <w:rFonts w:ascii="Arial" w:hAnsi="Arial" w:cs="Arial"/>
      <w:sz w:val="24"/>
      <w:szCs w:val="24"/>
    </w:rPr>
  </w:style>
  <w:style w:type="paragraph" w:styleId="BodyText">
    <w:name w:val="Body Text"/>
    <w:basedOn w:val="Normal"/>
    <w:link w:val="BodyTextChar"/>
    <w:uiPriority w:val="99"/>
    <w:unhideWhenUsed/>
    <w:rsid w:val="00915093"/>
    <w:pPr>
      <w:spacing w:after="120"/>
    </w:pPr>
  </w:style>
  <w:style w:type="character" w:customStyle="1" w:styleId="BodyTextChar">
    <w:name w:val="Body Text Char"/>
    <w:basedOn w:val="DefaultParagraphFont"/>
    <w:link w:val="BodyText"/>
    <w:uiPriority w:val="99"/>
    <w:rsid w:val="00915093"/>
    <w:rPr>
      <w:rFonts w:ascii="Arial" w:hAnsi="Arial"/>
      <w:sz w:val="24"/>
      <w:szCs w:val="24"/>
    </w:rPr>
  </w:style>
  <w:style w:type="character" w:customStyle="1" w:styleId="NoSpacingChar">
    <w:name w:val="No Spacing Char"/>
    <w:basedOn w:val="DefaultParagraphFont"/>
    <w:link w:val="NoSpacing"/>
    <w:uiPriority w:val="1"/>
    <w:rsid w:val="00915093"/>
    <w:rPr>
      <w:rFonts w:ascii="Arial" w:hAnsi="Arial"/>
      <w:color w:val="262626" w:themeColor="text1" w:themeTint="D9"/>
      <w:sz w:val="24"/>
      <w:szCs w:val="24"/>
    </w:rPr>
  </w:style>
  <w:style w:type="table" w:customStyle="1" w:styleId="KL-table">
    <w:name w:val="KL-table"/>
    <w:basedOn w:val="TableNormal"/>
    <w:uiPriority w:val="99"/>
    <w:rsid w:val="00915093"/>
    <w:pPr>
      <w:spacing w:after="0" w:line="240" w:lineRule="auto"/>
    </w:pPr>
    <w:rPr>
      <w:rFonts w:ascii="Arial" w:hAnsi="Arial"/>
      <w:sz w:val="24"/>
      <w:szCs w:val="24"/>
    </w:rPr>
    <w:tblPr/>
  </w:style>
  <w:style w:type="table" w:styleId="GridTable5Dark-Accent1">
    <w:name w:val="Grid Table 5 Dark Accent 1"/>
    <w:basedOn w:val="TableNormal"/>
    <w:uiPriority w:val="50"/>
    <w:rsid w:val="00A65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0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0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0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060" w:themeFill="accent1"/>
      </w:tcPr>
    </w:tblStylePr>
    <w:tblStylePr w:type="band1Vert">
      <w:tblPr/>
      <w:tcPr>
        <w:shd w:val="clear" w:color="auto" w:fill="99BFD0" w:themeFill="accent1" w:themeFillTint="66"/>
      </w:tcPr>
    </w:tblStylePr>
    <w:tblStylePr w:type="band1Horz">
      <w:tblPr/>
      <w:tcPr>
        <w:shd w:val="clear" w:color="auto" w:fill="99BFD0" w:themeFill="accent1" w:themeFillTint="66"/>
      </w:tcPr>
    </w:tblStylePr>
  </w:style>
  <w:style w:type="paragraph" w:customStyle="1" w:styleId="Frontpagesub-title">
    <w:name w:val="Front page sub-title"/>
    <w:basedOn w:val="Normal"/>
    <w:link w:val="Frontpagesub-titleChar"/>
    <w:autoRedefine/>
    <w:qFormat/>
    <w:rsid w:val="00354CA0"/>
    <w:pPr>
      <w:spacing w:before="1200" w:line="240" w:lineRule="auto"/>
      <w:contextualSpacing/>
    </w:pPr>
    <w:rPr>
      <w:color w:val="FFFFFF" w:themeColor="background1"/>
      <w:sz w:val="36"/>
      <w:szCs w:val="32"/>
    </w:rPr>
  </w:style>
  <w:style w:type="character" w:customStyle="1" w:styleId="Frontpagesub-titleChar">
    <w:name w:val="Front page sub-title Char"/>
    <w:basedOn w:val="DefaultParagraphFont"/>
    <w:link w:val="Frontpagesub-title"/>
    <w:rsid w:val="00354CA0"/>
    <w:rPr>
      <w:color w:val="FFFFFF" w:themeColor="background1"/>
      <w:sz w:val="36"/>
      <w:szCs w:val="32"/>
    </w:rPr>
  </w:style>
  <w:style w:type="paragraph" w:customStyle="1" w:styleId="pf0">
    <w:name w:val="pf0"/>
    <w:basedOn w:val="Normal"/>
    <w:rsid w:val="00DC4CE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DC4CE1"/>
    <w:rPr>
      <w:rFonts w:ascii="Segoe UI" w:hAnsi="Segoe UI" w:cs="Segoe UI" w:hint="default"/>
      <w:sz w:val="18"/>
      <w:szCs w:val="18"/>
    </w:rPr>
  </w:style>
  <w:style w:type="character" w:customStyle="1" w:styleId="ui-provider">
    <w:name w:val="ui-provider"/>
    <w:basedOn w:val="DefaultParagraphFont"/>
    <w:rsid w:val="00BC5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57391">
      <w:bodyDiv w:val="1"/>
      <w:marLeft w:val="0"/>
      <w:marRight w:val="0"/>
      <w:marTop w:val="0"/>
      <w:marBottom w:val="0"/>
      <w:divBdr>
        <w:top w:val="none" w:sz="0" w:space="0" w:color="auto"/>
        <w:left w:val="none" w:sz="0" w:space="0" w:color="auto"/>
        <w:bottom w:val="none" w:sz="0" w:space="0" w:color="auto"/>
        <w:right w:val="none" w:sz="0" w:space="0" w:color="auto"/>
      </w:divBdr>
    </w:div>
    <w:div w:id="519778416">
      <w:bodyDiv w:val="1"/>
      <w:marLeft w:val="0"/>
      <w:marRight w:val="0"/>
      <w:marTop w:val="0"/>
      <w:marBottom w:val="0"/>
      <w:divBdr>
        <w:top w:val="none" w:sz="0" w:space="0" w:color="auto"/>
        <w:left w:val="none" w:sz="0" w:space="0" w:color="auto"/>
        <w:bottom w:val="none" w:sz="0" w:space="0" w:color="auto"/>
        <w:right w:val="none" w:sz="0" w:space="0" w:color="auto"/>
      </w:divBdr>
    </w:div>
    <w:div w:id="916014568">
      <w:bodyDiv w:val="1"/>
      <w:marLeft w:val="0"/>
      <w:marRight w:val="0"/>
      <w:marTop w:val="0"/>
      <w:marBottom w:val="0"/>
      <w:divBdr>
        <w:top w:val="none" w:sz="0" w:space="0" w:color="auto"/>
        <w:left w:val="none" w:sz="0" w:space="0" w:color="auto"/>
        <w:bottom w:val="none" w:sz="0" w:space="0" w:color="auto"/>
        <w:right w:val="none" w:sz="0" w:space="0" w:color="auto"/>
      </w:divBdr>
    </w:div>
    <w:div w:id="1003581089">
      <w:bodyDiv w:val="1"/>
      <w:marLeft w:val="0"/>
      <w:marRight w:val="0"/>
      <w:marTop w:val="0"/>
      <w:marBottom w:val="0"/>
      <w:divBdr>
        <w:top w:val="none" w:sz="0" w:space="0" w:color="auto"/>
        <w:left w:val="none" w:sz="0" w:space="0" w:color="auto"/>
        <w:bottom w:val="none" w:sz="0" w:space="0" w:color="auto"/>
        <w:right w:val="none" w:sz="0" w:space="0" w:color="auto"/>
      </w:divBdr>
    </w:div>
    <w:div w:id="1057243879">
      <w:bodyDiv w:val="1"/>
      <w:marLeft w:val="0"/>
      <w:marRight w:val="0"/>
      <w:marTop w:val="0"/>
      <w:marBottom w:val="0"/>
      <w:divBdr>
        <w:top w:val="none" w:sz="0" w:space="0" w:color="auto"/>
        <w:left w:val="none" w:sz="0" w:space="0" w:color="auto"/>
        <w:bottom w:val="none" w:sz="0" w:space="0" w:color="auto"/>
        <w:right w:val="none" w:sz="0" w:space="0" w:color="auto"/>
      </w:divBdr>
    </w:div>
    <w:div w:id="1223370187">
      <w:bodyDiv w:val="1"/>
      <w:marLeft w:val="0"/>
      <w:marRight w:val="0"/>
      <w:marTop w:val="0"/>
      <w:marBottom w:val="0"/>
      <w:divBdr>
        <w:top w:val="none" w:sz="0" w:space="0" w:color="auto"/>
        <w:left w:val="none" w:sz="0" w:space="0" w:color="auto"/>
        <w:bottom w:val="none" w:sz="0" w:space="0" w:color="auto"/>
        <w:right w:val="none" w:sz="0" w:space="0" w:color="auto"/>
      </w:divBdr>
    </w:div>
    <w:div w:id="1255094799">
      <w:bodyDiv w:val="1"/>
      <w:marLeft w:val="0"/>
      <w:marRight w:val="0"/>
      <w:marTop w:val="0"/>
      <w:marBottom w:val="0"/>
      <w:divBdr>
        <w:top w:val="none" w:sz="0" w:space="0" w:color="auto"/>
        <w:left w:val="none" w:sz="0" w:space="0" w:color="auto"/>
        <w:bottom w:val="none" w:sz="0" w:space="0" w:color="auto"/>
        <w:right w:val="none" w:sz="0" w:space="0" w:color="auto"/>
      </w:divBdr>
    </w:div>
    <w:div w:id="1304697629">
      <w:bodyDiv w:val="1"/>
      <w:marLeft w:val="0"/>
      <w:marRight w:val="0"/>
      <w:marTop w:val="0"/>
      <w:marBottom w:val="0"/>
      <w:divBdr>
        <w:top w:val="none" w:sz="0" w:space="0" w:color="auto"/>
        <w:left w:val="none" w:sz="0" w:space="0" w:color="auto"/>
        <w:bottom w:val="none" w:sz="0" w:space="0" w:color="auto"/>
        <w:right w:val="none" w:sz="0" w:space="0" w:color="auto"/>
      </w:divBdr>
    </w:div>
    <w:div w:id="1309943224">
      <w:bodyDiv w:val="1"/>
      <w:marLeft w:val="0"/>
      <w:marRight w:val="0"/>
      <w:marTop w:val="0"/>
      <w:marBottom w:val="0"/>
      <w:divBdr>
        <w:top w:val="none" w:sz="0" w:space="0" w:color="auto"/>
        <w:left w:val="none" w:sz="0" w:space="0" w:color="auto"/>
        <w:bottom w:val="none" w:sz="0" w:space="0" w:color="auto"/>
        <w:right w:val="none" w:sz="0" w:space="0" w:color="auto"/>
      </w:divBdr>
    </w:div>
    <w:div w:id="1317535847">
      <w:bodyDiv w:val="1"/>
      <w:marLeft w:val="0"/>
      <w:marRight w:val="0"/>
      <w:marTop w:val="0"/>
      <w:marBottom w:val="0"/>
      <w:divBdr>
        <w:top w:val="none" w:sz="0" w:space="0" w:color="auto"/>
        <w:left w:val="none" w:sz="0" w:space="0" w:color="auto"/>
        <w:bottom w:val="none" w:sz="0" w:space="0" w:color="auto"/>
        <w:right w:val="none" w:sz="0" w:space="0" w:color="auto"/>
      </w:divBdr>
    </w:div>
    <w:div w:id="1327049529">
      <w:bodyDiv w:val="1"/>
      <w:marLeft w:val="0"/>
      <w:marRight w:val="0"/>
      <w:marTop w:val="0"/>
      <w:marBottom w:val="0"/>
      <w:divBdr>
        <w:top w:val="none" w:sz="0" w:space="0" w:color="auto"/>
        <w:left w:val="none" w:sz="0" w:space="0" w:color="auto"/>
        <w:bottom w:val="none" w:sz="0" w:space="0" w:color="auto"/>
        <w:right w:val="none" w:sz="0" w:space="0" w:color="auto"/>
      </w:divBdr>
    </w:div>
    <w:div w:id="1441799660">
      <w:bodyDiv w:val="1"/>
      <w:marLeft w:val="0"/>
      <w:marRight w:val="0"/>
      <w:marTop w:val="0"/>
      <w:marBottom w:val="0"/>
      <w:divBdr>
        <w:top w:val="none" w:sz="0" w:space="0" w:color="auto"/>
        <w:left w:val="none" w:sz="0" w:space="0" w:color="auto"/>
        <w:bottom w:val="none" w:sz="0" w:space="0" w:color="auto"/>
        <w:right w:val="none" w:sz="0" w:space="0" w:color="auto"/>
      </w:divBdr>
    </w:div>
    <w:div w:id="1452481678">
      <w:bodyDiv w:val="1"/>
      <w:marLeft w:val="0"/>
      <w:marRight w:val="0"/>
      <w:marTop w:val="0"/>
      <w:marBottom w:val="0"/>
      <w:divBdr>
        <w:top w:val="none" w:sz="0" w:space="0" w:color="auto"/>
        <w:left w:val="none" w:sz="0" w:space="0" w:color="auto"/>
        <w:bottom w:val="none" w:sz="0" w:space="0" w:color="auto"/>
        <w:right w:val="none" w:sz="0" w:space="0" w:color="auto"/>
      </w:divBdr>
    </w:div>
    <w:div w:id="1507746599">
      <w:bodyDiv w:val="1"/>
      <w:marLeft w:val="0"/>
      <w:marRight w:val="0"/>
      <w:marTop w:val="0"/>
      <w:marBottom w:val="0"/>
      <w:divBdr>
        <w:top w:val="none" w:sz="0" w:space="0" w:color="auto"/>
        <w:left w:val="none" w:sz="0" w:space="0" w:color="auto"/>
        <w:bottom w:val="none" w:sz="0" w:space="0" w:color="auto"/>
        <w:right w:val="none" w:sz="0" w:space="0" w:color="auto"/>
      </w:divBdr>
    </w:div>
    <w:div w:id="1528059358">
      <w:bodyDiv w:val="1"/>
      <w:marLeft w:val="0"/>
      <w:marRight w:val="0"/>
      <w:marTop w:val="0"/>
      <w:marBottom w:val="0"/>
      <w:divBdr>
        <w:top w:val="none" w:sz="0" w:space="0" w:color="auto"/>
        <w:left w:val="none" w:sz="0" w:space="0" w:color="auto"/>
        <w:bottom w:val="none" w:sz="0" w:space="0" w:color="auto"/>
        <w:right w:val="none" w:sz="0" w:space="0" w:color="auto"/>
      </w:divBdr>
    </w:div>
    <w:div w:id="1682775722">
      <w:bodyDiv w:val="1"/>
      <w:marLeft w:val="0"/>
      <w:marRight w:val="0"/>
      <w:marTop w:val="0"/>
      <w:marBottom w:val="0"/>
      <w:divBdr>
        <w:top w:val="none" w:sz="0" w:space="0" w:color="auto"/>
        <w:left w:val="none" w:sz="0" w:space="0" w:color="auto"/>
        <w:bottom w:val="none" w:sz="0" w:space="0" w:color="auto"/>
        <w:right w:val="none" w:sz="0" w:space="0" w:color="auto"/>
      </w:divBdr>
    </w:div>
    <w:div w:id="1789157926">
      <w:bodyDiv w:val="1"/>
      <w:marLeft w:val="0"/>
      <w:marRight w:val="0"/>
      <w:marTop w:val="0"/>
      <w:marBottom w:val="0"/>
      <w:divBdr>
        <w:top w:val="none" w:sz="0" w:space="0" w:color="auto"/>
        <w:left w:val="none" w:sz="0" w:space="0" w:color="auto"/>
        <w:bottom w:val="none" w:sz="0" w:space="0" w:color="auto"/>
        <w:right w:val="none" w:sz="0" w:space="0" w:color="auto"/>
      </w:divBdr>
    </w:div>
    <w:div w:id="1822386421">
      <w:bodyDiv w:val="1"/>
      <w:marLeft w:val="0"/>
      <w:marRight w:val="0"/>
      <w:marTop w:val="0"/>
      <w:marBottom w:val="0"/>
      <w:divBdr>
        <w:top w:val="none" w:sz="0" w:space="0" w:color="auto"/>
        <w:left w:val="none" w:sz="0" w:space="0" w:color="auto"/>
        <w:bottom w:val="none" w:sz="0" w:space="0" w:color="auto"/>
        <w:right w:val="none" w:sz="0" w:space="0" w:color="auto"/>
      </w:divBdr>
    </w:div>
    <w:div w:id="21148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misweb.co.uk/datasets/c2021ts007" TargetMode="External"/><Relationship Id="rId18" Type="http://schemas.openxmlformats.org/officeDocument/2006/relationships/hyperlink" Target="https://www.ethnicity-facts-figures.service.gov.uk/style-guide/writing-about-ethnicity" TargetMode="External"/><Relationship Id="rId26" Type="http://schemas.openxmlformats.org/officeDocument/2006/relationships/image" Target="media/image4.emf"/><Relationship Id="rId39" Type="http://schemas.openxmlformats.org/officeDocument/2006/relationships/footer" Target="footer2.xml"/><Relationship Id="rId21" Type="http://schemas.openxmlformats.org/officeDocument/2006/relationships/hyperlink" Target="https://www.nomisweb.co.uk/census/2011/ks102uk" TargetMode="External"/><Relationship Id="rId34" Type="http://schemas.openxmlformats.org/officeDocument/2006/relationships/image" Target="media/image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ns.gov.uk/datasets/TS007/editions/2021/versions/2" TargetMode="External"/><Relationship Id="rId20" Type="http://schemas.openxmlformats.org/officeDocument/2006/relationships/image" Target="media/image2.emf"/><Relationship Id="rId29" Type="http://schemas.openxmlformats.org/officeDocument/2006/relationships/hyperlink" Target="https://www.nomisweb.co.uk/query/construct/summary.asp?reset=yes&amp;mode=construct&amp;dataset=1801&amp;version=0&amp;anal=1&amp;initse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omisweb.co.uk/census/2011/ks102uk" TargetMode="External"/><Relationship Id="rId32" Type="http://schemas.openxmlformats.org/officeDocument/2006/relationships/image" Target="media/image5.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style-guide/a-to-z-of-gov-uk-style" TargetMode="External"/><Relationship Id="rId23" Type="http://schemas.openxmlformats.org/officeDocument/2006/relationships/image" Target="media/image3.jpeg"/><Relationship Id="rId28" Type="http://schemas.openxmlformats.org/officeDocument/2006/relationships/hyperlink" Target="https://www.nomisweb.co.uk/query/construct/summary.asp?reset=yes&amp;mode=construct&amp;dataset=38&amp;version=0&amp;anal=1&amp;initsel=" TargetMode="External"/><Relationship Id="rId36" Type="http://schemas.openxmlformats.org/officeDocument/2006/relationships/hyperlink" Target="https://www.ons.gov.uk/datasets/TS009/editions/2021/versions/2" TargetMode="External"/><Relationship Id="rId10" Type="http://schemas.openxmlformats.org/officeDocument/2006/relationships/endnotes" Target="endnotes.xml"/><Relationship Id="rId19" Type="http://schemas.openxmlformats.org/officeDocument/2006/relationships/hyperlink" Target="https://www.gov.uk/guidance/style-guide/a-to-z-of-gov-uk-style" TargetMode="External"/><Relationship Id="rId31" Type="http://schemas.openxmlformats.org/officeDocument/2006/relationships/hyperlink" Target="https://www.nomisweb.co.uk/datasets/c2021ts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hnicity-facts-figures.service.gov.uk/style-guide/writing-about-ethnicity" TargetMode="External"/><Relationship Id="rId22" Type="http://schemas.openxmlformats.org/officeDocument/2006/relationships/hyperlink" Target="https://www.nomisweb.co.uk/datasets/c2021ts001" TargetMode="External"/><Relationship Id="rId27" Type="http://schemas.openxmlformats.org/officeDocument/2006/relationships/hyperlink" Target="https://www.nomisweb.co.uk/query/construct/summary.asp?reset=yes&amp;mode=construct&amp;dataset=66&amp;version=0&amp;anal=1&amp;initsel=" TargetMode="External"/><Relationship Id="rId30" Type="http://schemas.openxmlformats.org/officeDocument/2006/relationships/hyperlink" Target="https://www.nomisweb.co.uk/census/2011/ks102uk" TargetMode="External"/><Relationship Id="rId35" Type="http://schemas.openxmlformats.org/officeDocument/2006/relationships/hyperlink" Target="https://www.nomisweb.co.uk/query/construct/summary.asp?reset=yes&amp;mode=construct&amp;dataset=503&amp;version=0&amp;anal=1&amp;initse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ns.gov.uk/datasets/TS007/editions/2021/versions/2" TargetMode="External"/><Relationship Id="rId17" Type="http://schemas.openxmlformats.org/officeDocument/2006/relationships/hyperlink" Target="https://www.nomisweb.co.uk/datasets/c2021ts007" TargetMode="External"/><Relationship Id="rId25" Type="http://schemas.openxmlformats.org/officeDocument/2006/relationships/hyperlink" Target="https://www.nomisweb.co.uk/datasets/c2021ts001" TargetMode="External"/><Relationship Id="rId33" Type="http://schemas.openxmlformats.org/officeDocument/2006/relationships/hyperlink" Target="https://www.ons.gov.uk/datasets/TS009/editions/2021/versions/2"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Corporate Colours - GMCA">
      <a:dk1>
        <a:sysClr val="windowText" lastClr="000000"/>
      </a:dk1>
      <a:lt1>
        <a:sysClr val="window" lastClr="FFFFFF"/>
      </a:lt1>
      <a:dk2>
        <a:srgbClr val="44546A"/>
      </a:dk2>
      <a:lt2>
        <a:srgbClr val="E7E6E6"/>
      </a:lt2>
      <a:accent1>
        <a:srgbClr val="2C5060"/>
      </a:accent1>
      <a:accent2>
        <a:srgbClr val="D5573B"/>
      </a:accent2>
      <a:accent3>
        <a:srgbClr val="8D9293"/>
      </a:accent3>
      <a:accent4>
        <a:srgbClr val="95A17E"/>
      </a:accent4>
      <a:accent5>
        <a:srgbClr val="D5C5C8"/>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18" ma:contentTypeDescription="Create a new document." ma:contentTypeScope="" ma:versionID="e7330d75805c6de7540ed961e9006a17">
  <xsd:schema xmlns:xsd="http://www.w3.org/2001/XMLSchema" xmlns:xs="http://www.w3.org/2001/XMLSchema" xmlns:p="http://schemas.microsoft.com/office/2006/metadata/properties" xmlns:ns1="http://schemas.microsoft.com/sharepoint/v3" xmlns:ns2="066e983a-f1d7-4d3c-91db-252f29f3e159" xmlns:ns3="2e35a3c0-6932-4795-bc29-a2b24e509738" targetNamespace="http://schemas.microsoft.com/office/2006/metadata/properties" ma:root="true" ma:fieldsID="7ef6cc727cb884e4b2fe2387fab48d28" ns1:_="" ns2:_="" ns3:_="">
    <xsd:import namespace="http://schemas.microsoft.com/sharepoint/v3"/>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1f7bd27-d9e4-4e62-be6c-eaf418590226}"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6e983a-f1d7-4d3c-91db-252f29f3e159">
      <Terms xmlns="http://schemas.microsoft.com/office/infopath/2007/PartnerControls"/>
    </lcf76f155ced4ddcb4097134ff3c332f>
    <_ip_UnifiedCompliancePolicyUIAction xmlns="http://schemas.microsoft.com/sharepoint/v3" xsi:nil="true"/>
    <TaxCatchAll xmlns="2e35a3c0-6932-4795-bc29-a2b24e509738"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F0EE-AFE3-4CE6-820D-B22B949A5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87E2-D33B-44BA-98B0-5EF3668E9A72}">
  <ds:schemaRefs>
    <ds:schemaRef ds:uri="http://schemas.microsoft.com/sharepoint/v3/contenttype/forms"/>
  </ds:schemaRefs>
</ds:datastoreItem>
</file>

<file path=customXml/itemProps3.xml><?xml version="1.0" encoding="utf-8"?>
<ds:datastoreItem xmlns:ds="http://schemas.openxmlformats.org/officeDocument/2006/customXml" ds:itemID="{081F4DF2-493F-49D8-95B0-ACA97CAD4612}">
  <ds:schemaRefs>
    <ds:schemaRef ds:uri="http://schemas.microsoft.com/office/2006/metadata/properties"/>
    <ds:schemaRef ds:uri="http://schemas.microsoft.com/office/infopath/2007/PartnerControls"/>
    <ds:schemaRef ds:uri="066e983a-f1d7-4d3c-91db-252f29f3e159"/>
    <ds:schemaRef ds:uri="http://schemas.microsoft.com/sharepoint/v3"/>
    <ds:schemaRef ds:uri="2e35a3c0-6932-4795-bc29-a2b24e509738"/>
  </ds:schemaRefs>
</ds:datastoreItem>
</file>

<file path=customXml/itemProps4.xml><?xml version="1.0" encoding="utf-8"?>
<ds:datastoreItem xmlns:ds="http://schemas.openxmlformats.org/officeDocument/2006/customXml" ds:itemID="{1FD1B3CA-8735-4730-992F-778E94FC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Ottiwell, David</dc:creator>
  <cp:keywords/>
  <dc:description/>
  <cp:lastModifiedBy>Markus, Francis</cp:lastModifiedBy>
  <cp:revision>3</cp:revision>
  <cp:lastPrinted>2023-05-19T08:35:00Z</cp:lastPrinted>
  <dcterms:created xsi:type="dcterms:W3CDTF">2023-05-19T08:58:00Z</dcterms:created>
  <dcterms:modified xsi:type="dcterms:W3CDTF">2023-05-19T09:37:00Z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