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44FB" w14:textId="7ADDCDAA" w:rsidR="000D108F" w:rsidRPr="00BD71FD" w:rsidRDefault="000D108F" w:rsidP="00BD71FD">
      <w:pPr>
        <w:pStyle w:val="Heading1"/>
      </w:pPr>
      <w:bookmarkStart w:id="0" w:name="_Toc61984578"/>
      <w:bookmarkStart w:id="1" w:name="_Toc61984580"/>
      <w:bookmarkStart w:id="2" w:name="_Toc61294764"/>
      <w:r w:rsidRPr="00BD71FD">
        <w:t>Census 2021 Briefin</w:t>
      </w:r>
      <w:r w:rsidR="002276E1" w:rsidRPr="00BD71FD">
        <w:t xml:space="preserve">g </w:t>
      </w:r>
    </w:p>
    <w:p w14:paraId="2A27E15B" w14:textId="56FD176E" w:rsidR="0042458F" w:rsidRDefault="0042458F" w:rsidP="0042458F"/>
    <w:p w14:paraId="4678B9B7" w14:textId="20798AC2" w:rsidR="0042458F" w:rsidRDefault="0042458F" w:rsidP="0042458F"/>
    <w:p w14:paraId="71CCEFD1" w14:textId="393396A9" w:rsidR="0042458F" w:rsidRPr="00BD71FD" w:rsidRDefault="0042458F" w:rsidP="00BD71FD">
      <w:pPr>
        <w:pStyle w:val="Heading1"/>
      </w:pPr>
      <w:r w:rsidRPr="00BD71FD">
        <w:t>Ageing</w:t>
      </w:r>
    </w:p>
    <w:p w14:paraId="04054387" w14:textId="77777777" w:rsidR="00320BDD" w:rsidRPr="00BD71FD" w:rsidRDefault="000D108F" w:rsidP="0015415A">
      <w:pPr>
        <w:pStyle w:val="Frontpagesub-title"/>
        <w:rPr>
          <w:rFonts w:ascii="Arial" w:hAnsi="Arial" w:cs="Arial"/>
        </w:rPr>
      </w:pPr>
      <w:r w:rsidRPr="00BD71FD">
        <w:rPr>
          <w:rFonts w:ascii="Arial" w:hAnsi="Arial" w:cs="Arial"/>
          <w:noProof/>
        </w:rPr>
        <w:drawing>
          <wp:anchor distT="0" distB="0" distL="114300" distR="114300" simplePos="0" relativeHeight="251660288" behindDoc="1" locked="1" layoutInCell="1" allowOverlap="0" wp14:anchorId="5627137D" wp14:editId="2DFC66BD">
            <wp:simplePos x="0" y="0"/>
            <wp:positionH relativeFrom="page">
              <wp:align>left</wp:align>
            </wp:positionH>
            <wp:positionV relativeFrom="page">
              <wp:align>bottom</wp:align>
            </wp:positionV>
            <wp:extent cx="7665720" cy="1084453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5720" cy="10844530"/>
                    </a:xfrm>
                    <a:prstGeom prst="rect">
                      <a:avLst/>
                    </a:prstGeom>
                  </pic:spPr>
                </pic:pic>
              </a:graphicData>
            </a:graphic>
            <wp14:sizeRelH relativeFrom="margin">
              <wp14:pctWidth>0</wp14:pctWidth>
            </wp14:sizeRelH>
            <wp14:sizeRelV relativeFrom="margin">
              <wp14:pctHeight>0</wp14:pctHeight>
            </wp14:sizeRelV>
          </wp:anchor>
        </w:drawing>
      </w:r>
      <w:bookmarkEnd w:id="0"/>
    </w:p>
    <w:sdt>
      <w:sdtPr>
        <w:rPr>
          <w:rFonts w:ascii="Arial" w:hAnsi="Arial" w:cs="Arial"/>
        </w:rPr>
        <w:id w:val="-1571263057"/>
        <w:docPartObj>
          <w:docPartGallery w:val="Cover Pages"/>
          <w:docPartUnique/>
        </w:docPartObj>
      </w:sdtPr>
      <w:sdtEndPr>
        <w:rPr>
          <w:highlight w:val="yellow"/>
        </w:rPr>
      </w:sdtEndPr>
      <w:sdtContent>
        <w:p w14:paraId="58FC4CB6" w14:textId="77777777" w:rsidR="00F16596" w:rsidRPr="00BD71FD" w:rsidRDefault="000D108F" w:rsidP="0015415A">
          <w:pPr>
            <w:pStyle w:val="Frontpagesub-title"/>
            <w:rPr>
              <w:rStyle w:val="Frontpagesub-titleChar"/>
              <w:rFonts w:ascii="Arial" w:hAnsi="Arial" w:cs="Arial"/>
              <w:b/>
              <w:bCs/>
            </w:rPr>
          </w:pPr>
          <w:r w:rsidRPr="00BD71FD">
            <w:rPr>
              <w:rStyle w:val="Frontpagesub-titleChar"/>
              <w:rFonts w:ascii="Arial" w:hAnsi="Arial" w:cs="Arial"/>
              <w:b/>
              <w:bCs/>
            </w:rPr>
            <w:t>GMCA</w:t>
          </w:r>
          <w:r w:rsidRPr="00BD71FD">
            <w:rPr>
              <w:rStyle w:val="Frontpagesub-titleChar"/>
              <w:rFonts w:ascii="Arial" w:hAnsi="Arial" w:cs="Arial"/>
            </w:rPr>
            <w:t xml:space="preserve"> </w:t>
          </w:r>
          <w:r w:rsidRPr="00BD71FD">
            <w:rPr>
              <w:rStyle w:val="Frontpagesub-titleChar"/>
              <w:rFonts w:ascii="Arial" w:hAnsi="Arial" w:cs="Arial"/>
              <w:b/>
              <w:bCs/>
            </w:rPr>
            <w:t>Research</w:t>
          </w:r>
        </w:p>
        <w:p w14:paraId="44DD08CE" w14:textId="37A35F9A" w:rsidR="00E873A0" w:rsidRPr="00BD71FD" w:rsidRDefault="001645E4" w:rsidP="0015415A">
          <w:pPr>
            <w:pStyle w:val="Frontpagesub-title"/>
            <w:rPr>
              <w:rFonts w:ascii="Arial" w:hAnsi="Arial" w:cs="Arial"/>
            </w:rPr>
          </w:pPr>
          <w:r w:rsidRPr="00BD71FD">
            <w:rPr>
              <w:rStyle w:val="Frontpagesub-titleChar"/>
              <w:rFonts w:ascii="Arial" w:hAnsi="Arial" w:cs="Arial"/>
            </w:rPr>
            <w:t>April</w:t>
          </w:r>
          <w:r w:rsidR="0042458F" w:rsidRPr="00BD71FD">
            <w:rPr>
              <w:rStyle w:val="Frontpagesub-titleChar"/>
              <w:rFonts w:ascii="Arial" w:hAnsi="Arial" w:cs="Arial"/>
            </w:rPr>
            <w:t xml:space="preserve"> 2023</w:t>
          </w:r>
        </w:p>
      </w:sdtContent>
    </w:sdt>
    <w:bookmarkEnd w:id="2" w:displacedByCustomXml="prev"/>
    <w:bookmarkEnd w:id="1" w:displacedByCustomXml="prev"/>
    <w:p w14:paraId="6EA792A9" w14:textId="77777777" w:rsidR="000D108F" w:rsidRPr="00E873A0" w:rsidRDefault="000D108F" w:rsidP="000D108F">
      <w:pPr>
        <w:rPr>
          <w:color w:val="FFFFFF" w:themeColor="background1"/>
          <w:sz w:val="36"/>
          <w:szCs w:val="36"/>
        </w:rPr>
      </w:pPr>
      <w:r>
        <w:rPr>
          <w:noProof/>
        </w:rPr>
        <w:lastRenderedPageBreak/>
        <mc:AlternateContent>
          <mc:Choice Requires="wps">
            <w:drawing>
              <wp:inline distT="0" distB="0" distL="0" distR="0" wp14:anchorId="52849C59" wp14:editId="13FC46B9">
                <wp:extent cx="6096000" cy="4969075"/>
                <wp:effectExtent l="0" t="0" r="19050" b="1714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969075"/>
                        </a:xfrm>
                        <a:prstGeom prst="rect">
                          <a:avLst/>
                        </a:prstGeom>
                        <a:solidFill>
                          <a:schemeClr val="accent1"/>
                        </a:solidFill>
                        <a:ln w="19050">
                          <a:solidFill>
                            <a:schemeClr val="accent1"/>
                          </a:solidFill>
                          <a:miter lim="800000"/>
                          <a:headEnd/>
                          <a:tailEnd/>
                        </a:ln>
                      </wps:spPr>
                      <wps:txbx>
                        <w:txbxContent>
                          <w:p w14:paraId="62FE3BBD" w14:textId="0606D9C4" w:rsidR="0042458F" w:rsidRPr="0060231A" w:rsidRDefault="0042458F" w:rsidP="0042458F">
                            <w:pPr>
                              <w:rPr>
                                <w:rFonts w:ascii="Arial" w:hAnsi="Arial" w:cs="Arial"/>
                                <w:color w:val="FFFFFF" w:themeColor="background1"/>
                                <w:sz w:val="24"/>
                                <w:szCs w:val="24"/>
                              </w:rPr>
                            </w:pPr>
                            <w:r w:rsidRPr="0060231A">
                              <w:rPr>
                                <w:rFonts w:ascii="Arial" w:hAnsi="Arial" w:cs="Arial"/>
                                <w:b/>
                                <w:bCs/>
                                <w:color w:val="FFFFFF" w:themeColor="background1"/>
                                <w:sz w:val="24"/>
                                <w:szCs w:val="24"/>
                              </w:rPr>
                              <w:t xml:space="preserve">Datalink: </w:t>
                            </w:r>
                            <w:r w:rsidRPr="0060231A">
                              <w:rPr>
                                <w:rFonts w:ascii="Arial" w:hAnsi="Arial" w:cs="Arial"/>
                                <w:color w:val="FFFFFF" w:themeColor="background1"/>
                                <w:sz w:val="24"/>
                                <w:szCs w:val="24"/>
                              </w:rPr>
                              <w:t xml:space="preserve">The data used in this briefing can be found at </w:t>
                            </w:r>
                            <w:hyperlink r:id="rId12" w:history="1">
                              <w:r w:rsidRPr="0060231A">
                                <w:rPr>
                                  <w:rStyle w:val="Hyperlink"/>
                                  <w:rFonts w:cs="Arial"/>
                                  <w:color w:val="FFFFFF" w:themeColor="background1"/>
                                  <w:sz w:val="24"/>
                                  <w:szCs w:val="28"/>
                                </w:rPr>
                                <w:t>Census - Office for National Statistics (ons.gov.uk).</w:t>
                              </w:r>
                            </w:hyperlink>
                          </w:p>
                          <w:p w14:paraId="0951C670" w14:textId="77777777" w:rsidR="0042458F" w:rsidRPr="0060231A" w:rsidRDefault="0042458F" w:rsidP="0042458F">
                            <w:pPr>
                              <w:rPr>
                                <w:rFonts w:ascii="Arial" w:hAnsi="Arial" w:cs="Arial"/>
                                <w:color w:val="FFFFFF" w:themeColor="background1"/>
                                <w:sz w:val="24"/>
                                <w:szCs w:val="24"/>
                              </w:rPr>
                            </w:pPr>
                            <w:r w:rsidRPr="0060231A">
                              <w:rPr>
                                <w:rFonts w:ascii="Arial" w:hAnsi="Arial" w:cs="Arial"/>
                                <w:b/>
                                <w:bCs/>
                                <w:color w:val="FFFFFF" w:themeColor="background1"/>
                                <w:sz w:val="24"/>
                                <w:szCs w:val="24"/>
                              </w:rPr>
                              <w:t>Definition</w:t>
                            </w:r>
                            <w:r w:rsidRPr="0060231A">
                              <w:rPr>
                                <w:rFonts w:ascii="Arial" w:hAnsi="Arial" w:cs="Arial"/>
                                <w:color w:val="FFFFFF" w:themeColor="background1"/>
                                <w:sz w:val="24"/>
                                <w:szCs w:val="24"/>
                              </w:rPr>
                              <w:t>: This report combines cross-cutting census release data, that relate to the thematic area of Ageing. Because of the difficulty of finding a consistent and inclusive definition for ‘older residents’, this report will refer to the following older age groups: those residents aged 55 and over, aged 65 and over, and  aged 75 and over. It also includes the Income Deprivation Affecting Older People Index (IDAOPI) for residents aged 60 and over which uses census data as its base.</w:t>
                            </w:r>
                          </w:p>
                          <w:p w14:paraId="62E5A11A" w14:textId="6782FD76" w:rsidR="000D108F" w:rsidRPr="0060231A" w:rsidRDefault="0042458F" w:rsidP="0042458F">
                            <w:pPr>
                              <w:rPr>
                                <w:rFonts w:ascii="Arial" w:hAnsi="Arial" w:cs="Arial"/>
                                <w:color w:val="FFFFFF" w:themeColor="background1"/>
                                <w:sz w:val="24"/>
                                <w:szCs w:val="28"/>
                              </w:rPr>
                            </w:pPr>
                            <w:r w:rsidRPr="0060231A">
                              <w:rPr>
                                <w:rFonts w:ascii="Arial" w:hAnsi="Arial" w:cs="Arial"/>
                                <w:b/>
                                <w:bCs/>
                                <w:color w:val="FFFFFF" w:themeColor="background1"/>
                                <w:sz w:val="24"/>
                                <w:szCs w:val="24"/>
                              </w:rPr>
                              <w:t xml:space="preserve">Census day: </w:t>
                            </w:r>
                            <w:r w:rsidRPr="0060231A">
                              <w:rPr>
                                <w:rFonts w:ascii="Arial" w:hAnsi="Arial" w:cs="Arial"/>
                                <w:color w:val="FFFFFF" w:themeColor="background1"/>
                                <w:sz w:val="24"/>
                                <w:szCs w:val="24"/>
                              </w:rPr>
                              <w:t>The 2021 census was held in England and Wales on 21 March 2021. Census 2021 was undertaken during the Covid-19 pandemic so may not show normal population and household patterns due to temporary changes in living circumstances during the pandemic for some households.</w:t>
                            </w:r>
                          </w:p>
                        </w:txbxContent>
                      </wps:txbx>
                      <wps:bodyPr rot="0" vert="horz" wrap="square" lIns="216000" tIns="216000" rIns="216000" bIns="216000" anchor="t" anchorCtr="0">
                        <a:spAutoFit/>
                      </wps:bodyPr>
                    </wps:wsp>
                  </a:graphicData>
                </a:graphic>
              </wp:inline>
            </w:drawing>
          </mc:Choice>
          <mc:Fallback>
            <w:pict>
              <v:shapetype w14:anchorId="52849C59" id="_x0000_t202" coordsize="21600,21600" o:spt="202" path="m,l,21600r21600,l21600,xe">
                <v:stroke joinstyle="miter"/>
                <v:path gradientshapeok="t" o:connecttype="rect"/>
              </v:shapetype>
              <v:shape id="Text Box 2" o:spid="_x0000_s1026" type="#_x0000_t202" style="width:480pt;height:3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" fillcolor="#2c5060 [3204]" strokecolor="#2c5060 [3204]" strokeweight="1.5pt">
                <v:textbox style="mso-fit-shape-to-text:t" inset="6mm,6mm,6mm,6mm">
                  <w:txbxContent>
                    <w:p w14:paraId="62FE3BBD" w14:textId="0606D9C4" w:rsidR="0042458F" w:rsidRPr="0060231A" w:rsidRDefault="0042458F" w:rsidP="0042458F">
                      <w:pPr>
                        <w:rPr>
                          <w:rFonts w:ascii="Arial" w:hAnsi="Arial" w:cs="Arial"/>
                          <w:color w:val="FFFFFF" w:themeColor="background1"/>
                          <w:sz w:val="24"/>
                          <w:szCs w:val="24"/>
                        </w:rPr>
                      </w:pPr>
                      <w:r w:rsidRPr="0060231A">
                        <w:rPr>
                          <w:rFonts w:ascii="Arial" w:hAnsi="Arial" w:cs="Arial"/>
                          <w:b/>
                          <w:bCs/>
                          <w:color w:val="FFFFFF" w:themeColor="background1"/>
                          <w:sz w:val="24"/>
                          <w:szCs w:val="24"/>
                        </w:rPr>
                        <w:t xml:space="preserve">Datalink: </w:t>
                      </w:r>
                      <w:r w:rsidRPr="0060231A">
                        <w:rPr>
                          <w:rFonts w:ascii="Arial" w:hAnsi="Arial" w:cs="Arial"/>
                          <w:color w:val="FFFFFF" w:themeColor="background1"/>
                          <w:sz w:val="24"/>
                          <w:szCs w:val="24"/>
                        </w:rPr>
                        <w:t xml:space="preserve">The data used in this briefing can be found at </w:t>
                      </w:r>
                      <w:hyperlink r:id="rId13" w:history="1">
                        <w:r w:rsidRPr="0060231A">
                          <w:rPr>
                            <w:rStyle w:val="Hyperlink"/>
                            <w:rFonts w:cs="Arial"/>
                            <w:color w:val="FFFFFF" w:themeColor="background1"/>
                            <w:sz w:val="24"/>
                            <w:szCs w:val="28"/>
                          </w:rPr>
                          <w:t>Census - Office for National Statistics (ons.gov.uk).</w:t>
                        </w:r>
                      </w:hyperlink>
                    </w:p>
                    <w:p w14:paraId="0951C670" w14:textId="77777777" w:rsidR="0042458F" w:rsidRPr="0060231A" w:rsidRDefault="0042458F" w:rsidP="0042458F">
                      <w:pPr>
                        <w:rPr>
                          <w:rFonts w:ascii="Arial" w:hAnsi="Arial" w:cs="Arial"/>
                          <w:color w:val="FFFFFF" w:themeColor="background1"/>
                          <w:sz w:val="24"/>
                          <w:szCs w:val="24"/>
                        </w:rPr>
                      </w:pPr>
                      <w:r w:rsidRPr="0060231A">
                        <w:rPr>
                          <w:rFonts w:ascii="Arial" w:hAnsi="Arial" w:cs="Arial"/>
                          <w:b/>
                          <w:bCs/>
                          <w:color w:val="FFFFFF" w:themeColor="background1"/>
                          <w:sz w:val="24"/>
                          <w:szCs w:val="24"/>
                        </w:rPr>
                        <w:t>Definition</w:t>
                      </w:r>
                      <w:r w:rsidRPr="0060231A">
                        <w:rPr>
                          <w:rFonts w:ascii="Arial" w:hAnsi="Arial" w:cs="Arial"/>
                          <w:color w:val="FFFFFF" w:themeColor="background1"/>
                          <w:sz w:val="24"/>
                          <w:szCs w:val="24"/>
                        </w:rPr>
                        <w:t>: This report combines cross-cutting census release data, that relate to the thematic area of Ageing. Because of the difficulty of finding a consistent and inclusive definition for ‘older residents’, this report will refer to the following older age groups: those residents aged 55 and over, aged 65 and over, and  aged 75 and over. It also includes the Income Deprivation Affecting Older People Index (IDAOPI) for residents aged 60 and over which uses census data as its base.</w:t>
                      </w:r>
                    </w:p>
                    <w:p w14:paraId="62E5A11A" w14:textId="6782FD76" w:rsidR="000D108F" w:rsidRPr="0060231A" w:rsidRDefault="0042458F" w:rsidP="0042458F">
                      <w:pPr>
                        <w:rPr>
                          <w:rFonts w:ascii="Arial" w:hAnsi="Arial" w:cs="Arial"/>
                          <w:color w:val="FFFFFF" w:themeColor="background1"/>
                          <w:sz w:val="24"/>
                          <w:szCs w:val="28"/>
                        </w:rPr>
                      </w:pPr>
                      <w:r w:rsidRPr="0060231A">
                        <w:rPr>
                          <w:rFonts w:ascii="Arial" w:hAnsi="Arial" w:cs="Arial"/>
                          <w:b/>
                          <w:bCs/>
                          <w:color w:val="FFFFFF" w:themeColor="background1"/>
                          <w:sz w:val="24"/>
                          <w:szCs w:val="24"/>
                        </w:rPr>
                        <w:t xml:space="preserve">Census day: </w:t>
                      </w:r>
                      <w:r w:rsidRPr="0060231A">
                        <w:rPr>
                          <w:rFonts w:ascii="Arial" w:hAnsi="Arial" w:cs="Arial"/>
                          <w:color w:val="FFFFFF" w:themeColor="background1"/>
                          <w:sz w:val="24"/>
                          <w:szCs w:val="24"/>
                        </w:rPr>
                        <w:t>The 2021 census was held in England and Wales on 21 March 2021. Census 2021 was undertaken during the Covid-19 pandemic so may not show normal population and household patterns due to temporary changes in living circumstances during the pandemic for some households.</w:t>
                      </w:r>
                    </w:p>
                  </w:txbxContent>
                </v:textbox>
                <w10:anchorlock/>
              </v:shape>
            </w:pict>
          </mc:Fallback>
        </mc:AlternateContent>
      </w:r>
    </w:p>
    <w:p w14:paraId="2DB5143A" w14:textId="7F361980" w:rsidR="007518C4" w:rsidRPr="00E70B35" w:rsidRDefault="000D108F" w:rsidP="00E70B35">
      <w:pPr>
        <w:pStyle w:val="Heading2"/>
        <w:rPr>
          <w:sz w:val="22"/>
          <w:szCs w:val="22"/>
        </w:rPr>
      </w:pPr>
      <w:r w:rsidRPr="00E70B35">
        <w:t>Key points</w:t>
      </w:r>
      <w:r w:rsidR="007518C4" w:rsidRPr="00E70B35">
        <w:t xml:space="preserve"> </w:t>
      </w:r>
      <w:r w:rsidR="00915093" w:rsidRPr="00E70B35">
        <w:br/>
      </w:r>
    </w:p>
    <w:p w14:paraId="717C3A5F" w14:textId="6F95C754" w:rsidR="0042458F" w:rsidRPr="009D0F2F" w:rsidRDefault="000078A3" w:rsidP="009D0F2F">
      <w:pPr>
        <w:pStyle w:val="ListParagraph"/>
        <w:numPr>
          <w:ilvl w:val="0"/>
          <w:numId w:val="26"/>
        </w:numPr>
        <w:rPr>
          <w:rFonts w:ascii="Arial" w:hAnsi="Arial" w:cs="Arial"/>
          <w:sz w:val="24"/>
          <w:szCs w:val="24"/>
        </w:rPr>
      </w:pPr>
      <w:r>
        <w:rPr>
          <w:rFonts w:ascii="Arial" w:hAnsi="Arial" w:cs="Arial"/>
          <w:sz w:val="24"/>
          <w:szCs w:val="24"/>
        </w:rPr>
        <w:t xml:space="preserve">The proportion of residents in Greater Manchester </w:t>
      </w:r>
      <w:r w:rsidR="0042458F" w:rsidRPr="009D0F2F">
        <w:rPr>
          <w:rFonts w:ascii="Arial" w:hAnsi="Arial" w:cs="Arial"/>
          <w:sz w:val="24"/>
          <w:szCs w:val="24"/>
        </w:rPr>
        <w:t xml:space="preserve">aged 55 and over increased </w:t>
      </w:r>
      <w:r>
        <w:rPr>
          <w:rFonts w:ascii="Arial" w:hAnsi="Arial" w:cs="Arial"/>
          <w:sz w:val="24"/>
          <w:szCs w:val="24"/>
        </w:rPr>
        <w:t xml:space="preserve">by </w:t>
      </w:r>
      <w:r w:rsidR="0042458F" w:rsidRPr="009D0F2F">
        <w:rPr>
          <w:rFonts w:ascii="Arial" w:hAnsi="Arial" w:cs="Arial"/>
          <w:sz w:val="24"/>
          <w:szCs w:val="24"/>
        </w:rPr>
        <w:t xml:space="preserve">1.9 percentage points </w:t>
      </w:r>
      <w:r>
        <w:rPr>
          <w:rFonts w:ascii="Arial" w:hAnsi="Arial" w:cs="Arial"/>
          <w:sz w:val="24"/>
          <w:szCs w:val="24"/>
        </w:rPr>
        <w:t xml:space="preserve">between </w:t>
      </w:r>
      <w:r w:rsidR="0042458F" w:rsidRPr="009D0F2F">
        <w:rPr>
          <w:rFonts w:ascii="Arial" w:hAnsi="Arial" w:cs="Arial"/>
          <w:sz w:val="24"/>
          <w:szCs w:val="24"/>
        </w:rPr>
        <w:t xml:space="preserve">2011 </w:t>
      </w:r>
      <w:r>
        <w:rPr>
          <w:rFonts w:ascii="Arial" w:hAnsi="Arial" w:cs="Arial"/>
          <w:sz w:val="24"/>
          <w:szCs w:val="24"/>
        </w:rPr>
        <w:t xml:space="preserve">and 2021 from </w:t>
      </w:r>
      <w:r w:rsidR="0042458F" w:rsidRPr="009D0F2F">
        <w:rPr>
          <w:rFonts w:ascii="Arial" w:hAnsi="Arial" w:cs="Arial"/>
          <w:sz w:val="24"/>
          <w:szCs w:val="24"/>
        </w:rPr>
        <w:t>25.5% to 27.4%</w:t>
      </w:r>
      <w:r>
        <w:rPr>
          <w:rFonts w:ascii="Arial" w:hAnsi="Arial" w:cs="Arial"/>
          <w:sz w:val="24"/>
          <w:szCs w:val="24"/>
        </w:rPr>
        <w:t>.</w:t>
      </w:r>
      <w:r w:rsidR="00B56BAC">
        <w:rPr>
          <w:rFonts w:ascii="Arial" w:hAnsi="Arial" w:cs="Arial"/>
          <w:sz w:val="24"/>
          <w:szCs w:val="24"/>
        </w:rPr>
        <w:t xml:space="preserve"> </w:t>
      </w:r>
      <w:r>
        <w:rPr>
          <w:rFonts w:ascii="Arial" w:hAnsi="Arial" w:cs="Arial"/>
          <w:sz w:val="24"/>
          <w:szCs w:val="24"/>
        </w:rPr>
        <w:t>This equates to approximately</w:t>
      </w:r>
      <w:r w:rsidR="0042458F" w:rsidRPr="009D0F2F">
        <w:rPr>
          <w:rFonts w:ascii="Arial" w:hAnsi="Arial" w:cs="Arial"/>
          <w:sz w:val="24"/>
          <w:szCs w:val="24"/>
        </w:rPr>
        <w:t xml:space="preserve"> 780,000 residents.</w:t>
      </w:r>
    </w:p>
    <w:p w14:paraId="45D849B2" w14:textId="7712E33D" w:rsidR="0042458F" w:rsidRPr="009D0F2F" w:rsidRDefault="000078A3" w:rsidP="009D0F2F">
      <w:pPr>
        <w:pStyle w:val="ListParagraph"/>
        <w:numPr>
          <w:ilvl w:val="0"/>
          <w:numId w:val="26"/>
        </w:numPr>
        <w:rPr>
          <w:rFonts w:ascii="Arial" w:hAnsi="Arial" w:cs="Arial"/>
          <w:sz w:val="24"/>
          <w:szCs w:val="24"/>
        </w:rPr>
      </w:pPr>
      <w:r>
        <w:rPr>
          <w:rFonts w:ascii="Arial" w:hAnsi="Arial" w:cs="Arial"/>
          <w:sz w:val="24"/>
          <w:szCs w:val="24"/>
        </w:rPr>
        <w:t xml:space="preserve">Some </w:t>
      </w:r>
      <w:r w:rsidR="0042458F" w:rsidRPr="009D0F2F">
        <w:rPr>
          <w:rFonts w:ascii="Arial" w:hAnsi="Arial" w:cs="Arial"/>
          <w:sz w:val="24"/>
          <w:szCs w:val="24"/>
        </w:rPr>
        <w:t>42.9% of residents aged 60 and over</w:t>
      </w:r>
      <w:r>
        <w:rPr>
          <w:rFonts w:ascii="Arial" w:hAnsi="Arial" w:cs="Arial"/>
          <w:sz w:val="24"/>
          <w:szCs w:val="24"/>
        </w:rPr>
        <w:t xml:space="preserve"> </w:t>
      </w:r>
      <w:r w:rsidR="0042458F" w:rsidRPr="009D0F2F">
        <w:rPr>
          <w:rFonts w:ascii="Arial" w:hAnsi="Arial" w:cs="Arial"/>
          <w:sz w:val="24"/>
          <w:szCs w:val="24"/>
        </w:rPr>
        <w:t>are now living in the top 30% most deprived Lower Super Output Areas (LSOAs) nationally. This represents an increase of 4.5 percentage points from 2011 (38.4%).</w:t>
      </w:r>
    </w:p>
    <w:p w14:paraId="158FFCD2" w14:textId="77777777" w:rsidR="0042458F" w:rsidRPr="009D0F2F" w:rsidRDefault="0042458F" w:rsidP="009D0F2F">
      <w:pPr>
        <w:pStyle w:val="ListParagraph"/>
        <w:numPr>
          <w:ilvl w:val="0"/>
          <w:numId w:val="26"/>
        </w:numPr>
        <w:rPr>
          <w:rFonts w:ascii="Arial" w:hAnsi="Arial" w:cs="Arial"/>
          <w:sz w:val="24"/>
          <w:szCs w:val="24"/>
        </w:rPr>
      </w:pPr>
      <w:r w:rsidRPr="009D0F2F">
        <w:rPr>
          <w:rFonts w:ascii="Arial" w:hAnsi="Arial" w:cs="Arial"/>
          <w:sz w:val="24"/>
          <w:szCs w:val="24"/>
        </w:rPr>
        <w:t xml:space="preserve">The proportion of males to females has increased – most prominently males aged 75 and over, with a 3.1 percentage point increase from 2011 in males to females. </w:t>
      </w:r>
    </w:p>
    <w:p w14:paraId="4FE2BEE2" w14:textId="207F08A4" w:rsidR="0042458F" w:rsidRPr="009D0F2F" w:rsidRDefault="0042458F" w:rsidP="009D0F2F">
      <w:pPr>
        <w:pStyle w:val="ListParagraph"/>
        <w:numPr>
          <w:ilvl w:val="0"/>
          <w:numId w:val="26"/>
        </w:numPr>
        <w:rPr>
          <w:rFonts w:ascii="Arial" w:hAnsi="Arial" w:cs="Arial"/>
          <w:sz w:val="24"/>
          <w:szCs w:val="24"/>
        </w:rPr>
      </w:pPr>
      <w:r w:rsidRPr="009D0F2F">
        <w:rPr>
          <w:rFonts w:ascii="Arial" w:hAnsi="Arial" w:cs="Arial"/>
          <w:sz w:val="24"/>
          <w:szCs w:val="24"/>
        </w:rPr>
        <w:t xml:space="preserve">The number of older residents recorded as Asian, Asian British or Asian Welsh has increased by 1.1%, </w:t>
      </w:r>
      <w:r w:rsidR="00590C62">
        <w:rPr>
          <w:rFonts w:ascii="Arial" w:hAnsi="Arial" w:cs="Arial"/>
          <w:sz w:val="24"/>
          <w:szCs w:val="24"/>
        </w:rPr>
        <w:t>reflecting change in</w:t>
      </w:r>
      <w:r w:rsidRPr="009D0F2F">
        <w:rPr>
          <w:rFonts w:ascii="Arial" w:hAnsi="Arial" w:cs="Arial"/>
          <w:sz w:val="24"/>
          <w:szCs w:val="24"/>
        </w:rPr>
        <w:t xml:space="preserve"> the </w:t>
      </w:r>
      <w:r w:rsidR="00590C62">
        <w:rPr>
          <w:rFonts w:ascii="Arial" w:hAnsi="Arial" w:cs="Arial"/>
          <w:sz w:val="24"/>
          <w:szCs w:val="24"/>
        </w:rPr>
        <w:t xml:space="preserve">overall </w:t>
      </w:r>
      <w:r w:rsidR="00640624">
        <w:rPr>
          <w:rFonts w:ascii="Arial" w:hAnsi="Arial" w:cs="Arial"/>
          <w:sz w:val="24"/>
          <w:szCs w:val="24"/>
        </w:rPr>
        <w:t>Greater Manchester</w:t>
      </w:r>
      <w:r w:rsidRPr="009D0F2F">
        <w:rPr>
          <w:rFonts w:ascii="Arial" w:hAnsi="Arial" w:cs="Arial"/>
          <w:sz w:val="24"/>
          <w:szCs w:val="24"/>
        </w:rPr>
        <w:t xml:space="preserve"> position (3.4% growth). There has been a slight increase in those recorded as White aged 75 and over. </w:t>
      </w:r>
    </w:p>
    <w:p w14:paraId="48C1BF97" w14:textId="358AD9AF" w:rsidR="0042458F" w:rsidRPr="009D0F2F" w:rsidRDefault="0042458F" w:rsidP="009D0F2F">
      <w:pPr>
        <w:pStyle w:val="ListParagraph"/>
        <w:numPr>
          <w:ilvl w:val="0"/>
          <w:numId w:val="26"/>
        </w:numPr>
        <w:rPr>
          <w:rFonts w:ascii="Arial" w:hAnsi="Arial" w:cs="Arial"/>
          <w:sz w:val="24"/>
          <w:szCs w:val="24"/>
        </w:rPr>
      </w:pPr>
      <w:r w:rsidRPr="009D0F2F">
        <w:rPr>
          <w:rFonts w:ascii="Arial" w:hAnsi="Arial" w:cs="Arial"/>
          <w:sz w:val="24"/>
          <w:szCs w:val="24"/>
        </w:rPr>
        <w:t xml:space="preserve">Bury and Wigan’s over 65 population increased significantly above the </w:t>
      </w:r>
      <w:r w:rsidR="00640624">
        <w:rPr>
          <w:rFonts w:ascii="Arial" w:hAnsi="Arial" w:cs="Arial"/>
          <w:sz w:val="24"/>
          <w:szCs w:val="24"/>
        </w:rPr>
        <w:t>Greater Manchester</w:t>
      </w:r>
      <w:r w:rsidRPr="009D0F2F">
        <w:rPr>
          <w:rFonts w:ascii="Arial" w:hAnsi="Arial" w:cs="Arial"/>
          <w:sz w:val="24"/>
          <w:szCs w:val="24"/>
        </w:rPr>
        <w:t xml:space="preserve"> position. In contrast, Manchester has recorded a decline in residents aged 75 and over – the only recorded population decrease for residents aged over 55 across </w:t>
      </w:r>
      <w:r w:rsidR="00640624">
        <w:rPr>
          <w:rFonts w:ascii="Arial" w:hAnsi="Arial" w:cs="Arial"/>
          <w:sz w:val="24"/>
          <w:szCs w:val="24"/>
        </w:rPr>
        <w:t>Greater Manchester</w:t>
      </w:r>
      <w:r w:rsidRPr="009D0F2F">
        <w:rPr>
          <w:rFonts w:ascii="Arial" w:hAnsi="Arial" w:cs="Arial"/>
          <w:sz w:val="24"/>
          <w:szCs w:val="24"/>
        </w:rPr>
        <w:t xml:space="preserve">. </w:t>
      </w:r>
    </w:p>
    <w:p w14:paraId="4BDFD561" w14:textId="77777777" w:rsidR="0042458F" w:rsidRPr="009D0F2F" w:rsidRDefault="0042458F" w:rsidP="009D0F2F">
      <w:pPr>
        <w:pStyle w:val="ListParagraph"/>
        <w:numPr>
          <w:ilvl w:val="0"/>
          <w:numId w:val="26"/>
        </w:numPr>
        <w:rPr>
          <w:rFonts w:ascii="Arial" w:hAnsi="Arial" w:cs="Arial"/>
          <w:sz w:val="24"/>
          <w:szCs w:val="24"/>
        </w:rPr>
      </w:pPr>
      <w:r w:rsidRPr="009D0F2F">
        <w:rPr>
          <w:rFonts w:ascii="Arial" w:hAnsi="Arial" w:cs="Arial"/>
          <w:sz w:val="24"/>
          <w:szCs w:val="24"/>
        </w:rPr>
        <w:t>Manchester also records the largest proportion of those living in top 30% most deprived LSOAs, equating to nearly a quarter of all residents aged 60 and over (23.5%).</w:t>
      </w:r>
    </w:p>
    <w:p w14:paraId="74D27E8C" w14:textId="76126921" w:rsidR="00852DD3" w:rsidRPr="0060231A" w:rsidRDefault="0042458F" w:rsidP="0060231A">
      <w:pPr>
        <w:rPr>
          <w:b/>
          <w:bCs/>
          <w:color w:val="2C5060" w:themeColor="accent1"/>
          <w:sz w:val="52"/>
          <w:szCs w:val="40"/>
        </w:rPr>
        <w:sectPr w:rsidR="00852DD3" w:rsidRPr="0060231A" w:rsidSect="00E97A2D">
          <w:headerReference w:type="default" r:id="rId14"/>
          <w:footerReference w:type="default" r:id="rId15"/>
          <w:footerReference w:type="first" r:id="rId16"/>
          <w:pgSz w:w="11906" w:h="16838" w:code="9"/>
          <w:pgMar w:top="1440" w:right="1440" w:bottom="1440" w:left="1440" w:header="709" w:footer="939" w:gutter="0"/>
          <w:cols w:space="708"/>
          <w:titlePg/>
          <w:docGrid w:linePitch="360"/>
        </w:sectPr>
      </w:pPr>
      <w:r>
        <w:br w:type="page"/>
      </w:r>
    </w:p>
    <w:p w14:paraId="647B4A71" w14:textId="41437E8A" w:rsidR="0042458F" w:rsidRDefault="003148C2" w:rsidP="00E70B35">
      <w:pPr>
        <w:pStyle w:val="Heading2"/>
      </w:pPr>
      <w:r w:rsidRPr="00F47DA3">
        <w:lastRenderedPageBreak/>
        <w:t xml:space="preserve">Main </w:t>
      </w:r>
      <w:r w:rsidR="000D108F" w:rsidRPr="00F47DA3">
        <w:t>Findings</w:t>
      </w:r>
    </w:p>
    <w:p w14:paraId="1B5EFC06" w14:textId="77777777" w:rsidR="0042458F" w:rsidRPr="005D53ED" w:rsidRDefault="0042458F" w:rsidP="000713EA">
      <w:pPr>
        <w:pStyle w:val="Heading3"/>
      </w:pPr>
      <w:r w:rsidRPr="005D53ED">
        <w:t>Population Change</w:t>
      </w:r>
    </w:p>
    <w:p w14:paraId="1BFF00B2" w14:textId="7FCCDF45" w:rsidR="0042458F" w:rsidRPr="0060231A" w:rsidRDefault="0042458F" w:rsidP="0042458F">
      <w:pPr>
        <w:rPr>
          <w:rFonts w:ascii="Arial" w:hAnsi="Arial" w:cs="Arial"/>
          <w:sz w:val="24"/>
          <w:szCs w:val="24"/>
        </w:rPr>
      </w:pPr>
      <w:r w:rsidRPr="0060231A">
        <w:rPr>
          <w:rFonts w:ascii="Arial" w:hAnsi="Arial" w:cs="Arial"/>
          <w:sz w:val="24"/>
          <w:szCs w:val="24"/>
        </w:rPr>
        <w:t xml:space="preserve">The census data has recorded an additional 102,000 residents aged 55 and over when compared to the 2011 position. </w:t>
      </w:r>
    </w:p>
    <w:p w14:paraId="13520327" w14:textId="4B09F1CF" w:rsidR="0042458F" w:rsidRPr="0060231A" w:rsidRDefault="0042458F" w:rsidP="0042458F">
      <w:pPr>
        <w:rPr>
          <w:rFonts w:ascii="Arial" w:hAnsi="Arial" w:cs="Arial"/>
          <w:sz w:val="24"/>
          <w:szCs w:val="24"/>
        </w:rPr>
      </w:pPr>
      <w:r w:rsidRPr="0060231A">
        <w:rPr>
          <w:rFonts w:ascii="Arial" w:hAnsi="Arial" w:cs="Arial"/>
          <w:sz w:val="24"/>
          <w:szCs w:val="24"/>
        </w:rPr>
        <w:t xml:space="preserve">The change in all age groups across </w:t>
      </w:r>
      <w:r w:rsidR="00640624">
        <w:rPr>
          <w:rFonts w:ascii="Arial" w:hAnsi="Arial" w:cs="Arial"/>
          <w:sz w:val="24"/>
          <w:szCs w:val="24"/>
        </w:rPr>
        <w:t>Greater Manchester</w:t>
      </w:r>
      <w:r w:rsidRPr="0060231A">
        <w:rPr>
          <w:rFonts w:ascii="Arial" w:hAnsi="Arial" w:cs="Arial"/>
          <w:sz w:val="24"/>
          <w:szCs w:val="24"/>
        </w:rPr>
        <w:t xml:space="preserve"> shows a 6.9 percentage point increase in between 2021 and 2011. The rate of increase for over 55s, over 65s and over 75s is significantly greater than that observed amongst all residents (15.3 percentage points across the three age groups)</w:t>
      </w:r>
    </w:p>
    <w:p w14:paraId="26DA3D35" w14:textId="58F93F49" w:rsidR="0042458F" w:rsidRPr="0060231A" w:rsidRDefault="0042458F" w:rsidP="0042458F">
      <w:pPr>
        <w:rPr>
          <w:rFonts w:ascii="Arial" w:hAnsi="Arial" w:cs="Arial"/>
          <w:sz w:val="24"/>
          <w:szCs w:val="24"/>
        </w:rPr>
      </w:pPr>
      <w:r w:rsidRPr="0060231A">
        <w:rPr>
          <w:rFonts w:ascii="Arial" w:hAnsi="Arial" w:cs="Arial"/>
          <w:sz w:val="24"/>
          <w:szCs w:val="24"/>
        </w:rPr>
        <w:t xml:space="preserve">The rate of change is not equal across the ten localities within </w:t>
      </w:r>
      <w:r w:rsidR="00640624">
        <w:rPr>
          <w:rFonts w:ascii="Arial" w:hAnsi="Arial" w:cs="Arial"/>
          <w:sz w:val="24"/>
          <w:szCs w:val="24"/>
        </w:rPr>
        <w:t>Greater Manchester</w:t>
      </w:r>
      <w:r w:rsidRPr="0060231A">
        <w:rPr>
          <w:rFonts w:ascii="Arial" w:hAnsi="Arial" w:cs="Arial"/>
          <w:sz w:val="24"/>
          <w:szCs w:val="24"/>
        </w:rPr>
        <w:t xml:space="preserve"> – amongst residents aged 75 and over, the rate of population changes ranges from a 4.0 percentage point decrease in Manchester to 32.9 percentage point growth in Wigan, demonstrating a level of additional complexity when exploring the Greater Manchester position.</w:t>
      </w:r>
    </w:p>
    <w:p w14:paraId="0213E18D" w14:textId="66DA03CF" w:rsidR="0042458F" w:rsidRPr="0060231A" w:rsidRDefault="0042458F" w:rsidP="009D0F2F">
      <w:pPr>
        <w:spacing w:after="0"/>
        <w:rPr>
          <w:rFonts w:ascii="Arial" w:hAnsi="Arial" w:cs="Arial"/>
          <w:b/>
          <w:bCs/>
          <w:sz w:val="24"/>
          <w:szCs w:val="28"/>
        </w:rPr>
      </w:pPr>
      <w:r w:rsidRPr="0060231A">
        <w:rPr>
          <w:rFonts w:ascii="Arial" w:hAnsi="Arial" w:cs="Arial"/>
          <w:b/>
          <w:bCs/>
          <w:sz w:val="24"/>
          <w:szCs w:val="28"/>
        </w:rPr>
        <w:t>Population change, by age group and district, between 2011 and 2021</w:t>
      </w:r>
    </w:p>
    <w:tbl>
      <w:tblPr>
        <w:tblStyle w:val="GridTable5Dark-Accent1"/>
        <w:tblW w:w="11395" w:type="dxa"/>
        <w:tblLook w:val="04A0" w:firstRow="1" w:lastRow="0" w:firstColumn="1" w:lastColumn="0" w:noHBand="0" w:noVBand="1"/>
      </w:tblPr>
      <w:tblGrid>
        <w:gridCol w:w="2830"/>
        <w:gridCol w:w="1084"/>
        <w:gridCol w:w="1084"/>
        <w:gridCol w:w="897"/>
        <w:gridCol w:w="1084"/>
        <w:gridCol w:w="1084"/>
        <w:gridCol w:w="897"/>
        <w:gridCol w:w="1084"/>
        <w:gridCol w:w="1084"/>
        <w:gridCol w:w="897"/>
      </w:tblGrid>
      <w:tr w:rsidR="0042458F" w:rsidRPr="0042458F" w14:paraId="2FB974B2" w14:textId="77777777" w:rsidTr="00606C0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4FC09CF0" w14:textId="77777777" w:rsidR="0042458F" w:rsidRPr="0042458F" w:rsidRDefault="0042458F" w:rsidP="00AB5873">
            <w:pPr>
              <w:rPr>
                <w:rFonts w:ascii="Arial" w:eastAsia="Times New Roman" w:hAnsi="Arial" w:cs="Arial"/>
                <w:sz w:val="24"/>
                <w:szCs w:val="24"/>
                <w:lang w:eastAsia="en-GB"/>
              </w:rPr>
            </w:pPr>
          </w:p>
        </w:tc>
        <w:tc>
          <w:tcPr>
            <w:tcW w:w="2435" w:type="dxa"/>
            <w:gridSpan w:val="3"/>
            <w:hideMark/>
          </w:tcPr>
          <w:p w14:paraId="2B517E4E" w14:textId="12BA0B3B" w:rsidR="0042458F" w:rsidRPr="0042458F" w:rsidRDefault="0042458F" w:rsidP="00AB587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eastAsia="en-GB"/>
              </w:rPr>
            </w:pPr>
            <w:r w:rsidRPr="0042458F">
              <w:rPr>
                <w:rFonts w:ascii="Arial" w:eastAsia="Times New Roman" w:hAnsi="Arial" w:cs="Arial"/>
                <w:sz w:val="24"/>
                <w:szCs w:val="24"/>
                <w:lang w:eastAsia="en-GB"/>
              </w:rPr>
              <w:t>Aged 55 and over</w:t>
            </w:r>
          </w:p>
        </w:tc>
        <w:tc>
          <w:tcPr>
            <w:tcW w:w="3065" w:type="dxa"/>
            <w:gridSpan w:val="3"/>
            <w:hideMark/>
          </w:tcPr>
          <w:p w14:paraId="70673C04" w14:textId="064D8950" w:rsidR="0042458F" w:rsidRPr="0042458F" w:rsidRDefault="0042458F" w:rsidP="00AB587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eastAsia="en-GB"/>
              </w:rPr>
            </w:pPr>
            <w:r w:rsidRPr="0042458F">
              <w:rPr>
                <w:rFonts w:ascii="Arial" w:eastAsia="Times New Roman" w:hAnsi="Arial" w:cs="Arial"/>
                <w:sz w:val="24"/>
                <w:szCs w:val="24"/>
                <w:lang w:eastAsia="en-GB"/>
              </w:rPr>
              <w:t>Aged 65 and over</w:t>
            </w:r>
          </w:p>
        </w:tc>
        <w:tc>
          <w:tcPr>
            <w:tcW w:w="3065" w:type="dxa"/>
            <w:gridSpan w:val="3"/>
            <w:hideMark/>
          </w:tcPr>
          <w:p w14:paraId="437662CF" w14:textId="67998259" w:rsidR="0042458F" w:rsidRPr="0042458F" w:rsidRDefault="0042458F" w:rsidP="00AB587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eastAsia="en-GB"/>
              </w:rPr>
            </w:pPr>
            <w:r w:rsidRPr="0042458F">
              <w:rPr>
                <w:rFonts w:ascii="Arial" w:eastAsia="Times New Roman" w:hAnsi="Arial" w:cs="Arial"/>
                <w:sz w:val="24"/>
                <w:szCs w:val="24"/>
                <w:lang w:eastAsia="en-GB"/>
              </w:rPr>
              <w:t>Aged 75 and over</w:t>
            </w:r>
          </w:p>
        </w:tc>
      </w:tr>
      <w:tr w:rsidR="00852DD3" w:rsidRPr="0042458F" w14:paraId="034365A1" w14:textId="77777777" w:rsidTr="00606C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hideMark/>
          </w:tcPr>
          <w:p w14:paraId="78BE8DCD" w14:textId="77777777" w:rsidR="0042458F" w:rsidRPr="0042458F" w:rsidRDefault="0042458F" w:rsidP="00AB5873">
            <w:pPr>
              <w:jc w:val="center"/>
              <w:rPr>
                <w:rFonts w:ascii="Arial" w:eastAsia="Times New Roman" w:hAnsi="Arial" w:cs="Arial"/>
                <w:b w:val="0"/>
                <w:bCs w:val="0"/>
                <w:sz w:val="24"/>
                <w:szCs w:val="24"/>
                <w:lang w:eastAsia="en-GB"/>
              </w:rPr>
            </w:pPr>
            <w:r w:rsidRPr="0042458F">
              <w:rPr>
                <w:rFonts w:ascii="Arial" w:eastAsia="Times New Roman" w:hAnsi="Arial" w:cs="Arial"/>
                <w:sz w:val="24"/>
                <w:szCs w:val="24"/>
                <w:lang w:eastAsia="en-GB"/>
              </w:rPr>
              <w:t>Local Authority</w:t>
            </w:r>
          </w:p>
        </w:tc>
        <w:tc>
          <w:tcPr>
            <w:tcW w:w="454" w:type="dxa"/>
            <w:hideMark/>
          </w:tcPr>
          <w:p w14:paraId="4152FA11"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2011</w:t>
            </w:r>
          </w:p>
        </w:tc>
        <w:tc>
          <w:tcPr>
            <w:tcW w:w="1084" w:type="dxa"/>
            <w:hideMark/>
          </w:tcPr>
          <w:p w14:paraId="27503D1D"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2021</w:t>
            </w:r>
          </w:p>
        </w:tc>
        <w:tc>
          <w:tcPr>
            <w:tcW w:w="897" w:type="dxa"/>
            <w:hideMark/>
          </w:tcPr>
          <w:p w14:paraId="4C453A55"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w:t>
            </w:r>
          </w:p>
        </w:tc>
        <w:tc>
          <w:tcPr>
            <w:tcW w:w="1084" w:type="dxa"/>
            <w:hideMark/>
          </w:tcPr>
          <w:p w14:paraId="16DB9C95"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2011</w:t>
            </w:r>
          </w:p>
        </w:tc>
        <w:tc>
          <w:tcPr>
            <w:tcW w:w="1084" w:type="dxa"/>
            <w:hideMark/>
          </w:tcPr>
          <w:p w14:paraId="0212C178"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2021</w:t>
            </w:r>
          </w:p>
        </w:tc>
        <w:tc>
          <w:tcPr>
            <w:tcW w:w="897" w:type="dxa"/>
            <w:hideMark/>
          </w:tcPr>
          <w:p w14:paraId="2494DB0F"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w:t>
            </w:r>
          </w:p>
        </w:tc>
        <w:tc>
          <w:tcPr>
            <w:tcW w:w="1084" w:type="dxa"/>
            <w:hideMark/>
          </w:tcPr>
          <w:p w14:paraId="7DA48658"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2011</w:t>
            </w:r>
          </w:p>
        </w:tc>
        <w:tc>
          <w:tcPr>
            <w:tcW w:w="1084" w:type="dxa"/>
            <w:hideMark/>
          </w:tcPr>
          <w:p w14:paraId="2BC2E225"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2021</w:t>
            </w:r>
          </w:p>
        </w:tc>
        <w:tc>
          <w:tcPr>
            <w:tcW w:w="897" w:type="dxa"/>
            <w:hideMark/>
          </w:tcPr>
          <w:p w14:paraId="6E6A68CD"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w:t>
            </w:r>
          </w:p>
        </w:tc>
      </w:tr>
      <w:tr w:rsidR="00852DD3" w:rsidRPr="0042458F" w14:paraId="599D4BFB" w14:textId="77777777" w:rsidTr="00606C0F">
        <w:trPr>
          <w:trHeight w:val="290"/>
        </w:trPr>
        <w:tc>
          <w:tcPr>
            <w:cnfStyle w:val="001000000000" w:firstRow="0" w:lastRow="0" w:firstColumn="1" w:lastColumn="0" w:oddVBand="0" w:evenVBand="0" w:oddHBand="0" w:evenHBand="0" w:firstRowFirstColumn="0" w:firstRowLastColumn="0" w:lastRowFirstColumn="0" w:lastRowLastColumn="0"/>
            <w:tcW w:w="2830" w:type="dxa"/>
            <w:hideMark/>
          </w:tcPr>
          <w:p w14:paraId="4B9E8D5B" w14:textId="77777777" w:rsidR="0042458F" w:rsidRPr="0042458F" w:rsidRDefault="0042458F" w:rsidP="00AB5873">
            <w:pPr>
              <w:jc w:val="center"/>
              <w:rPr>
                <w:rFonts w:ascii="Arial" w:eastAsia="Times New Roman" w:hAnsi="Arial" w:cs="Arial"/>
                <w:sz w:val="24"/>
                <w:szCs w:val="24"/>
                <w:lang w:eastAsia="en-GB"/>
              </w:rPr>
            </w:pPr>
            <w:r w:rsidRPr="0042458F">
              <w:rPr>
                <w:rFonts w:ascii="Arial" w:eastAsia="Times New Roman" w:hAnsi="Arial" w:cs="Arial"/>
                <w:sz w:val="24"/>
                <w:szCs w:val="24"/>
                <w:lang w:eastAsia="en-GB"/>
              </w:rPr>
              <w:t>Bolton</w:t>
            </w:r>
          </w:p>
        </w:tc>
        <w:tc>
          <w:tcPr>
            <w:tcW w:w="454" w:type="dxa"/>
            <w:noWrap/>
            <w:hideMark/>
          </w:tcPr>
          <w:p w14:paraId="1CA1BAEC"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74,729</w:t>
            </w:r>
          </w:p>
        </w:tc>
        <w:tc>
          <w:tcPr>
            <w:tcW w:w="1084" w:type="dxa"/>
            <w:noWrap/>
            <w:hideMark/>
          </w:tcPr>
          <w:p w14:paraId="038CB892"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86,141</w:t>
            </w:r>
          </w:p>
        </w:tc>
        <w:tc>
          <w:tcPr>
            <w:tcW w:w="897" w:type="dxa"/>
            <w:hideMark/>
          </w:tcPr>
          <w:p w14:paraId="48915B6E"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15.3%</w:t>
            </w:r>
          </w:p>
        </w:tc>
        <w:tc>
          <w:tcPr>
            <w:tcW w:w="1084" w:type="dxa"/>
            <w:noWrap/>
            <w:hideMark/>
          </w:tcPr>
          <w:p w14:paraId="0B6D731D"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42,540</w:t>
            </w:r>
          </w:p>
        </w:tc>
        <w:tc>
          <w:tcPr>
            <w:tcW w:w="1084" w:type="dxa"/>
            <w:noWrap/>
            <w:hideMark/>
          </w:tcPr>
          <w:p w14:paraId="00E5E573"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50,720</w:t>
            </w:r>
          </w:p>
        </w:tc>
        <w:tc>
          <w:tcPr>
            <w:tcW w:w="897" w:type="dxa"/>
            <w:hideMark/>
          </w:tcPr>
          <w:p w14:paraId="0EA00BF3"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19.2%</w:t>
            </w:r>
          </w:p>
        </w:tc>
        <w:tc>
          <w:tcPr>
            <w:tcW w:w="1084" w:type="dxa"/>
            <w:noWrap/>
            <w:hideMark/>
          </w:tcPr>
          <w:p w14:paraId="2CF73256"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18,987</w:t>
            </w:r>
          </w:p>
        </w:tc>
        <w:tc>
          <w:tcPr>
            <w:tcW w:w="1084" w:type="dxa"/>
            <w:noWrap/>
            <w:hideMark/>
          </w:tcPr>
          <w:p w14:paraId="2252D00B"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22,659</w:t>
            </w:r>
          </w:p>
        </w:tc>
        <w:tc>
          <w:tcPr>
            <w:tcW w:w="897" w:type="dxa"/>
            <w:hideMark/>
          </w:tcPr>
          <w:p w14:paraId="5E03FA11"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19.3%</w:t>
            </w:r>
          </w:p>
        </w:tc>
      </w:tr>
      <w:tr w:rsidR="00852DD3" w:rsidRPr="0042458F" w14:paraId="6BD488AF" w14:textId="77777777" w:rsidTr="00606C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hideMark/>
          </w:tcPr>
          <w:p w14:paraId="0278D0A0" w14:textId="77777777" w:rsidR="0042458F" w:rsidRPr="0042458F" w:rsidRDefault="0042458F" w:rsidP="00AB5873">
            <w:pPr>
              <w:jc w:val="center"/>
              <w:rPr>
                <w:rFonts w:ascii="Arial" w:eastAsia="Times New Roman" w:hAnsi="Arial" w:cs="Arial"/>
                <w:sz w:val="24"/>
                <w:szCs w:val="24"/>
                <w:lang w:eastAsia="en-GB"/>
              </w:rPr>
            </w:pPr>
            <w:r w:rsidRPr="0042458F">
              <w:rPr>
                <w:rFonts w:ascii="Arial" w:eastAsia="Times New Roman" w:hAnsi="Arial" w:cs="Arial"/>
                <w:sz w:val="24"/>
                <w:szCs w:val="24"/>
                <w:lang w:eastAsia="en-GB"/>
              </w:rPr>
              <w:t>Bury</w:t>
            </w:r>
          </w:p>
        </w:tc>
        <w:tc>
          <w:tcPr>
            <w:tcW w:w="454" w:type="dxa"/>
            <w:noWrap/>
            <w:hideMark/>
          </w:tcPr>
          <w:p w14:paraId="6FE847F0"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51,833</w:t>
            </w:r>
          </w:p>
        </w:tc>
        <w:tc>
          <w:tcPr>
            <w:tcW w:w="1084" w:type="dxa"/>
            <w:noWrap/>
            <w:hideMark/>
          </w:tcPr>
          <w:p w14:paraId="3D1CBCC6"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60,199</w:t>
            </w:r>
          </w:p>
        </w:tc>
        <w:tc>
          <w:tcPr>
            <w:tcW w:w="897" w:type="dxa"/>
            <w:hideMark/>
          </w:tcPr>
          <w:p w14:paraId="1282C8C8"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16.1%</w:t>
            </w:r>
          </w:p>
        </w:tc>
        <w:tc>
          <w:tcPr>
            <w:tcW w:w="1084" w:type="dxa"/>
            <w:noWrap/>
            <w:hideMark/>
          </w:tcPr>
          <w:p w14:paraId="3E5D53C2"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29,540</w:t>
            </w:r>
          </w:p>
        </w:tc>
        <w:tc>
          <w:tcPr>
            <w:tcW w:w="1084" w:type="dxa"/>
            <w:noWrap/>
            <w:hideMark/>
          </w:tcPr>
          <w:p w14:paraId="1D630EAC"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35,452</w:t>
            </w:r>
          </w:p>
        </w:tc>
        <w:tc>
          <w:tcPr>
            <w:tcW w:w="897" w:type="dxa"/>
            <w:hideMark/>
          </w:tcPr>
          <w:p w14:paraId="7C36A41D"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20.0%</w:t>
            </w:r>
          </w:p>
        </w:tc>
        <w:tc>
          <w:tcPr>
            <w:tcW w:w="1084" w:type="dxa"/>
            <w:noWrap/>
            <w:hideMark/>
          </w:tcPr>
          <w:p w14:paraId="5742DF40"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13,248</w:t>
            </w:r>
          </w:p>
        </w:tc>
        <w:tc>
          <w:tcPr>
            <w:tcW w:w="1084" w:type="dxa"/>
            <w:noWrap/>
            <w:hideMark/>
          </w:tcPr>
          <w:p w14:paraId="3B7B77B0"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16,051</w:t>
            </w:r>
          </w:p>
        </w:tc>
        <w:tc>
          <w:tcPr>
            <w:tcW w:w="897" w:type="dxa"/>
            <w:hideMark/>
          </w:tcPr>
          <w:p w14:paraId="0AAB61D3"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21.2%</w:t>
            </w:r>
          </w:p>
        </w:tc>
      </w:tr>
      <w:tr w:rsidR="00852DD3" w:rsidRPr="0042458F" w14:paraId="432F1006" w14:textId="77777777" w:rsidTr="00606C0F">
        <w:trPr>
          <w:trHeight w:val="290"/>
        </w:trPr>
        <w:tc>
          <w:tcPr>
            <w:cnfStyle w:val="001000000000" w:firstRow="0" w:lastRow="0" w:firstColumn="1" w:lastColumn="0" w:oddVBand="0" w:evenVBand="0" w:oddHBand="0" w:evenHBand="0" w:firstRowFirstColumn="0" w:firstRowLastColumn="0" w:lastRowFirstColumn="0" w:lastRowLastColumn="0"/>
            <w:tcW w:w="2830" w:type="dxa"/>
            <w:hideMark/>
          </w:tcPr>
          <w:p w14:paraId="538C81C8" w14:textId="77777777" w:rsidR="0042458F" w:rsidRPr="0042458F" w:rsidRDefault="0042458F" w:rsidP="00AB5873">
            <w:pPr>
              <w:jc w:val="center"/>
              <w:rPr>
                <w:rFonts w:ascii="Arial" w:eastAsia="Times New Roman" w:hAnsi="Arial" w:cs="Arial"/>
                <w:sz w:val="24"/>
                <w:szCs w:val="24"/>
                <w:lang w:eastAsia="en-GB"/>
              </w:rPr>
            </w:pPr>
            <w:r w:rsidRPr="0042458F">
              <w:rPr>
                <w:rFonts w:ascii="Arial" w:eastAsia="Times New Roman" w:hAnsi="Arial" w:cs="Arial"/>
                <w:sz w:val="24"/>
                <w:szCs w:val="24"/>
                <w:lang w:eastAsia="en-GB"/>
              </w:rPr>
              <w:t>Manchester</w:t>
            </w:r>
          </w:p>
        </w:tc>
        <w:tc>
          <w:tcPr>
            <w:tcW w:w="454" w:type="dxa"/>
            <w:noWrap/>
            <w:hideMark/>
          </w:tcPr>
          <w:p w14:paraId="505BB830"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85,413</w:t>
            </w:r>
          </w:p>
        </w:tc>
        <w:tc>
          <w:tcPr>
            <w:tcW w:w="1084" w:type="dxa"/>
            <w:noWrap/>
            <w:hideMark/>
          </w:tcPr>
          <w:p w14:paraId="69B5DDCE"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100,506</w:t>
            </w:r>
          </w:p>
        </w:tc>
        <w:tc>
          <w:tcPr>
            <w:tcW w:w="897" w:type="dxa"/>
            <w:hideMark/>
          </w:tcPr>
          <w:p w14:paraId="010B15E9"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17.7%</w:t>
            </w:r>
          </w:p>
        </w:tc>
        <w:tc>
          <w:tcPr>
            <w:tcW w:w="1084" w:type="dxa"/>
            <w:noWrap/>
            <w:hideMark/>
          </w:tcPr>
          <w:p w14:paraId="2154389B"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47,544</w:t>
            </w:r>
          </w:p>
        </w:tc>
        <w:tc>
          <w:tcPr>
            <w:tcW w:w="1084" w:type="dxa"/>
            <w:noWrap/>
            <w:hideMark/>
          </w:tcPr>
          <w:p w14:paraId="370C4530"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52,173</w:t>
            </w:r>
          </w:p>
        </w:tc>
        <w:tc>
          <w:tcPr>
            <w:tcW w:w="897" w:type="dxa"/>
            <w:hideMark/>
          </w:tcPr>
          <w:p w14:paraId="6CC70E3A"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9.7%</w:t>
            </w:r>
          </w:p>
        </w:tc>
        <w:tc>
          <w:tcPr>
            <w:tcW w:w="1084" w:type="dxa"/>
            <w:noWrap/>
            <w:hideMark/>
          </w:tcPr>
          <w:p w14:paraId="2B79A9AD"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22,777</w:t>
            </w:r>
          </w:p>
        </w:tc>
        <w:tc>
          <w:tcPr>
            <w:tcW w:w="1084" w:type="dxa"/>
            <w:noWrap/>
            <w:hideMark/>
          </w:tcPr>
          <w:p w14:paraId="756F2D2F"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21,873</w:t>
            </w:r>
          </w:p>
        </w:tc>
        <w:tc>
          <w:tcPr>
            <w:tcW w:w="897" w:type="dxa"/>
            <w:hideMark/>
          </w:tcPr>
          <w:p w14:paraId="45254E06"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-4.0%</w:t>
            </w:r>
          </w:p>
        </w:tc>
      </w:tr>
      <w:tr w:rsidR="00852DD3" w:rsidRPr="0042458F" w14:paraId="2670DDB2" w14:textId="77777777" w:rsidTr="00606C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hideMark/>
          </w:tcPr>
          <w:p w14:paraId="7F8699D5" w14:textId="77777777" w:rsidR="0042458F" w:rsidRPr="0042458F" w:rsidRDefault="0042458F" w:rsidP="00AB5873">
            <w:pPr>
              <w:jc w:val="center"/>
              <w:rPr>
                <w:rFonts w:ascii="Arial" w:eastAsia="Times New Roman" w:hAnsi="Arial" w:cs="Arial"/>
                <w:sz w:val="24"/>
                <w:szCs w:val="24"/>
                <w:lang w:eastAsia="en-GB"/>
              </w:rPr>
            </w:pPr>
            <w:r w:rsidRPr="0042458F">
              <w:rPr>
                <w:rFonts w:ascii="Arial" w:eastAsia="Times New Roman" w:hAnsi="Arial" w:cs="Arial"/>
                <w:sz w:val="24"/>
                <w:szCs w:val="24"/>
                <w:lang w:eastAsia="en-GB"/>
              </w:rPr>
              <w:t>Oldham</w:t>
            </w:r>
          </w:p>
        </w:tc>
        <w:tc>
          <w:tcPr>
            <w:tcW w:w="454" w:type="dxa"/>
            <w:noWrap/>
            <w:hideMark/>
          </w:tcPr>
          <w:p w14:paraId="69C8708B"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58,056</w:t>
            </w:r>
          </w:p>
        </w:tc>
        <w:tc>
          <w:tcPr>
            <w:tcW w:w="1084" w:type="dxa"/>
            <w:noWrap/>
            <w:hideMark/>
          </w:tcPr>
          <w:p w14:paraId="4992818D"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66,318</w:t>
            </w:r>
          </w:p>
        </w:tc>
        <w:tc>
          <w:tcPr>
            <w:tcW w:w="897" w:type="dxa"/>
            <w:hideMark/>
          </w:tcPr>
          <w:p w14:paraId="1480DE22"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14.2%</w:t>
            </w:r>
          </w:p>
        </w:tc>
        <w:tc>
          <w:tcPr>
            <w:tcW w:w="1084" w:type="dxa"/>
            <w:noWrap/>
            <w:hideMark/>
          </w:tcPr>
          <w:p w14:paraId="2ED68503"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32,953</w:t>
            </w:r>
          </w:p>
        </w:tc>
        <w:tc>
          <w:tcPr>
            <w:tcW w:w="1084" w:type="dxa"/>
            <w:noWrap/>
            <w:hideMark/>
          </w:tcPr>
          <w:p w14:paraId="76B98294"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38,615</w:t>
            </w:r>
          </w:p>
        </w:tc>
        <w:tc>
          <w:tcPr>
            <w:tcW w:w="897" w:type="dxa"/>
            <w:hideMark/>
          </w:tcPr>
          <w:p w14:paraId="45D35456"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17.2%</w:t>
            </w:r>
          </w:p>
        </w:tc>
        <w:tc>
          <w:tcPr>
            <w:tcW w:w="1084" w:type="dxa"/>
            <w:noWrap/>
            <w:hideMark/>
          </w:tcPr>
          <w:p w14:paraId="575748B9"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14,673</w:t>
            </w:r>
          </w:p>
        </w:tc>
        <w:tc>
          <w:tcPr>
            <w:tcW w:w="1084" w:type="dxa"/>
            <w:noWrap/>
            <w:hideMark/>
          </w:tcPr>
          <w:p w14:paraId="4A8DC71C"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17,158</w:t>
            </w:r>
          </w:p>
        </w:tc>
        <w:tc>
          <w:tcPr>
            <w:tcW w:w="897" w:type="dxa"/>
            <w:hideMark/>
          </w:tcPr>
          <w:p w14:paraId="3C1C5836"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16.9%</w:t>
            </w:r>
          </w:p>
        </w:tc>
      </w:tr>
      <w:tr w:rsidR="00852DD3" w:rsidRPr="0042458F" w14:paraId="5E00D173" w14:textId="77777777" w:rsidTr="00606C0F">
        <w:trPr>
          <w:trHeight w:val="290"/>
        </w:trPr>
        <w:tc>
          <w:tcPr>
            <w:cnfStyle w:val="001000000000" w:firstRow="0" w:lastRow="0" w:firstColumn="1" w:lastColumn="0" w:oddVBand="0" w:evenVBand="0" w:oddHBand="0" w:evenHBand="0" w:firstRowFirstColumn="0" w:firstRowLastColumn="0" w:lastRowFirstColumn="0" w:lastRowLastColumn="0"/>
            <w:tcW w:w="2830" w:type="dxa"/>
            <w:hideMark/>
          </w:tcPr>
          <w:p w14:paraId="52F5B37B" w14:textId="77777777" w:rsidR="0042458F" w:rsidRPr="0042458F" w:rsidRDefault="0042458F" w:rsidP="00AB5873">
            <w:pPr>
              <w:jc w:val="center"/>
              <w:rPr>
                <w:rFonts w:ascii="Arial" w:eastAsia="Times New Roman" w:hAnsi="Arial" w:cs="Arial"/>
                <w:sz w:val="24"/>
                <w:szCs w:val="24"/>
                <w:lang w:eastAsia="en-GB"/>
              </w:rPr>
            </w:pPr>
            <w:r w:rsidRPr="0042458F">
              <w:rPr>
                <w:rFonts w:ascii="Arial" w:eastAsia="Times New Roman" w:hAnsi="Arial" w:cs="Arial"/>
                <w:sz w:val="24"/>
                <w:szCs w:val="24"/>
                <w:lang w:eastAsia="en-GB"/>
              </w:rPr>
              <w:t>Rochdale</w:t>
            </w:r>
          </w:p>
        </w:tc>
        <w:tc>
          <w:tcPr>
            <w:tcW w:w="454" w:type="dxa"/>
            <w:noWrap/>
            <w:hideMark/>
          </w:tcPr>
          <w:p w14:paraId="36F349E7"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55,636</w:t>
            </w:r>
          </w:p>
        </w:tc>
        <w:tc>
          <w:tcPr>
            <w:tcW w:w="1084" w:type="dxa"/>
            <w:noWrap/>
            <w:hideMark/>
          </w:tcPr>
          <w:p w14:paraId="2E67030D"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63,739</w:t>
            </w:r>
          </w:p>
        </w:tc>
        <w:tc>
          <w:tcPr>
            <w:tcW w:w="897" w:type="dxa"/>
            <w:hideMark/>
          </w:tcPr>
          <w:p w14:paraId="40ECE549"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14.6%</w:t>
            </w:r>
          </w:p>
        </w:tc>
        <w:tc>
          <w:tcPr>
            <w:tcW w:w="1084" w:type="dxa"/>
            <w:noWrap/>
            <w:hideMark/>
          </w:tcPr>
          <w:p w14:paraId="5B24FA02"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30,816</w:t>
            </w:r>
          </w:p>
        </w:tc>
        <w:tc>
          <w:tcPr>
            <w:tcW w:w="1084" w:type="dxa"/>
            <w:noWrap/>
            <w:hideMark/>
          </w:tcPr>
          <w:p w14:paraId="34980C6C"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36,868</w:t>
            </w:r>
          </w:p>
        </w:tc>
        <w:tc>
          <w:tcPr>
            <w:tcW w:w="897" w:type="dxa"/>
            <w:hideMark/>
          </w:tcPr>
          <w:p w14:paraId="48216213"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19.6%</w:t>
            </w:r>
          </w:p>
        </w:tc>
        <w:tc>
          <w:tcPr>
            <w:tcW w:w="1084" w:type="dxa"/>
            <w:noWrap/>
            <w:hideMark/>
          </w:tcPr>
          <w:p w14:paraId="43BC60BF"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14,174</w:t>
            </w:r>
          </w:p>
        </w:tc>
        <w:tc>
          <w:tcPr>
            <w:tcW w:w="1084" w:type="dxa"/>
            <w:noWrap/>
            <w:hideMark/>
          </w:tcPr>
          <w:p w14:paraId="2CD8642B"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15,679</w:t>
            </w:r>
          </w:p>
        </w:tc>
        <w:tc>
          <w:tcPr>
            <w:tcW w:w="897" w:type="dxa"/>
            <w:hideMark/>
          </w:tcPr>
          <w:p w14:paraId="048784DD"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10.6%</w:t>
            </w:r>
          </w:p>
        </w:tc>
      </w:tr>
      <w:tr w:rsidR="00852DD3" w:rsidRPr="0042458F" w14:paraId="17DE661E" w14:textId="77777777" w:rsidTr="00606C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hideMark/>
          </w:tcPr>
          <w:p w14:paraId="60700756" w14:textId="77777777" w:rsidR="0042458F" w:rsidRPr="0042458F" w:rsidRDefault="0042458F" w:rsidP="00AB5873">
            <w:pPr>
              <w:jc w:val="center"/>
              <w:rPr>
                <w:rFonts w:ascii="Arial" w:eastAsia="Times New Roman" w:hAnsi="Arial" w:cs="Arial"/>
                <w:sz w:val="24"/>
                <w:szCs w:val="24"/>
                <w:lang w:eastAsia="en-GB"/>
              </w:rPr>
            </w:pPr>
            <w:r w:rsidRPr="0042458F">
              <w:rPr>
                <w:rFonts w:ascii="Arial" w:eastAsia="Times New Roman" w:hAnsi="Arial" w:cs="Arial"/>
                <w:sz w:val="24"/>
                <w:szCs w:val="24"/>
                <w:lang w:eastAsia="en-GB"/>
              </w:rPr>
              <w:t>Salford</w:t>
            </w:r>
          </w:p>
        </w:tc>
        <w:tc>
          <w:tcPr>
            <w:tcW w:w="454" w:type="dxa"/>
            <w:noWrap/>
            <w:hideMark/>
          </w:tcPr>
          <w:p w14:paraId="44D650EC"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57,127</w:t>
            </w:r>
          </w:p>
        </w:tc>
        <w:tc>
          <w:tcPr>
            <w:tcW w:w="1084" w:type="dxa"/>
            <w:noWrap/>
            <w:hideMark/>
          </w:tcPr>
          <w:p w14:paraId="6CEB500A"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63,633</w:t>
            </w:r>
          </w:p>
        </w:tc>
        <w:tc>
          <w:tcPr>
            <w:tcW w:w="897" w:type="dxa"/>
            <w:hideMark/>
          </w:tcPr>
          <w:p w14:paraId="1A6A7577"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11.4%</w:t>
            </w:r>
          </w:p>
        </w:tc>
        <w:tc>
          <w:tcPr>
            <w:tcW w:w="1084" w:type="dxa"/>
            <w:noWrap/>
            <w:hideMark/>
          </w:tcPr>
          <w:p w14:paraId="01290404"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33,206</w:t>
            </w:r>
          </w:p>
        </w:tc>
        <w:tc>
          <w:tcPr>
            <w:tcW w:w="1084" w:type="dxa"/>
            <w:noWrap/>
            <w:hideMark/>
          </w:tcPr>
          <w:p w14:paraId="1D8BC042"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35,920</w:t>
            </w:r>
          </w:p>
        </w:tc>
        <w:tc>
          <w:tcPr>
            <w:tcW w:w="897" w:type="dxa"/>
            <w:hideMark/>
          </w:tcPr>
          <w:p w14:paraId="155B5D4D"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8.2%</w:t>
            </w:r>
          </w:p>
        </w:tc>
        <w:tc>
          <w:tcPr>
            <w:tcW w:w="1084" w:type="dxa"/>
            <w:noWrap/>
            <w:hideMark/>
          </w:tcPr>
          <w:p w14:paraId="6D171039"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15,663</w:t>
            </w:r>
          </w:p>
        </w:tc>
        <w:tc>
          <w:tcPr>
            <w:tcW w:w="1084" w:type="dxa"/>
            <w:noWrap/>
            <w:hideMark/>
          </w:tcPr>
          <w:p w14:paraId="28D65A93"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16,271</w:t>
            </w:r>
          </w:p>
        </w:tc>
        <w:tc>
          <w:tcPr>
            <w:tcW w:w="897" w:type="dxa"/>
            <w:hideMark/>
          </w:tcPr>
          <w:p w14:paraId="425D7F03"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3.9%</w:t>
            </w:r>
          </w:p>
        </w:tc>
      </w:tr>
      <w:tr w:rsidR="00852DD3" w:rsidRPr="0042458F" w14:paraId="7871B117" w14:textId="77777777" w:rsidTr="00606C0F">
        <w:trPr>
          <w:trHeight w:val="290"/>
        </w:trPr>
        <w:tc>
          <w:tcPr>
            <w:cnfStyle w:val="001000000000" w:firstRow="0" w:lastRow="0" w:firstColumn="1" w:lastColumn="0" w:oddVBand="0" w:evenVBand="0" w:oddHBand="0" w:evenHBand="0" w:firstRowFirstColumn="0" w:firstRowLastColumn="0" w:lastRowFirstColumn="0" w:lastRowLastColumn="0"/>
            <w:tcW w:w="2830" w:type="dxa"/>
            <w:hideMark/>
          </w:tcPr>
          <w:p w14:paraId="4A004013" w14:textId="77777777" w:rsidR="0042458F" w:rsidRPr="0042458F" w:rsidRDefault="0042458F" w:rsidP="00AB5873">
            <w:pPr>
              <w:jc w:val="center"/>
              <w:rPr>
                <w:rFonts w:ascii="Arial" w:eastAsia="Times New Roman" w:hAnsi="Arial" w:cs="Arial"/>
                <w:sz w:val="24"/>
                <w:szCs w:val="24"/>
                <w:lang w:eastAsia="en-GB"/>
              </w:rPr>
            </w:pPr>
            <w:r w:rsidRPr="0042458F">
              <w:rPr>
                <w:rFonts w:ascii="Arial" w:eastAsia="Times New Roman" w:hAnsi="Arial" w:cs="Arial"/>
                <w:sz w:val="24"/>
                <w:szCs w:val="24"/>
                <w:lang w:eastAsia="en-GB"/>
              </w:rPr>
              <w:t>Stockport</w:t>
            </w:r>
          </w:p>
        </w:tc>
        <w:tc>
          <w:tcPr>
            <w:tcW w:w="454" w:type="dxa"/>
            <w:noWrap/>
            <w:hideMark/>
          </w:tcPr>
          <w:p w14:paraId="06A6F511"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86,466</w:t>
            </w:r>
          </w:p>
        </w:tc>
        <w:tc>
          <w:tcPr>
            <w:tcW w:w="1084" w:type="dxa"/>
            <w:noWrap/>
            <w:hideMark/>
          </w:tcPr>
          <w:p w14:paraId="4E1450B0"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97,435</w:t>
            </w:r>
          </w:p>
        </w:tc>
        <w:tc>
          <w:tcPr>
            <w:tcW w:w="897" w:type="dxa"/>
            <w:hideMark/>
          </w:tcPr>
          <w:p w14:paraId="7C683CA9"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12.7%</w:t>
            </w:r>
          </w:p>
        </w:tc>
        <w:tc>
          <w:tcPr>
            <w:tcW w:w="1084" w:type="dxa"/>
            <w:noWrap/>
            <w:hideMark/>
          </w:tcPr>
          <w:p w14:paraId="45EC1F99"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51,027</w:t>
            </w:r>
          </w:p>
        </w:tc>
        <w:tc>
          <w:tcPr>
            <w:tcW w:w="1084" w:type="dxa"/>
            <w:noWrap/>
            <w:hideMark/>
          </w:tcPr>
          <w:p w14:paraId="0E850255"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59,277</w:t>
            </w:r>
          </w:p>
        </w:tc>
        <w:tc>
          <w:tcPr>
            <w:tcW w:w="897" w:type="dxa"/>
            <w:hideMark/>
          </w:tcPr>
          <w:p w14:paraId="1FB730E0"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16.2%</w:t>
            </w:r>
          </w:p>
        </w:tc>
        <w:tc>
          <w:tcPr>
            <w:tcW w:w="1084" w:type="dxa"/>
            <w:noWrap/>
            <w:hideMark/>
          </w:tcPr>
          <w:p w14:paraId="51DACB7A"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24,512</w:t>
            </w:r>
          </w:p>
        </w:tc>
        <w:tc>
          <w:tcPr>
            <w:tcW w:w="1084" w:type="dxa"/>
            <w:noWrap/>
            <w:hideMark/>
          </w:tcPr>
          <w:p w14:paraId="51BCF9CF"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28,324</w:t>
            </w:r>
          </w:p>
        </w:tc>
        <w:tc>
          <w:tcPr>
            <w:tcW w:w="897" w:type="dxa"/>
            <w:hideMark/>
          </w:tcPr>
          <w:p w14:paraId="59C86904"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15.6%</w:t>
            </w:r>
          </w:p>
        </w:tc>
      </w:tr>
      <w:tr w:rsidR="00852DD3" w:rsidRPr="0042458F" w14:paraId="3FCC3F33" w14:textId="77777777" w:rsidTr="00606C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hideMark/>
          </w:tcPr>
          <w:p w14:paraId="3CA3BC1D" w14:textId="77777777" w:rsidR="0042458F" w:rsidRPr="0042458F" w:rsidRDefault="0042458F" w:rsidP="00AB5873">
            <w:pPr>
              <w:jc w:val="center"/>
              <w:rPr>
                <w:rFonts w:ascii="Arial" w:eastAsia="Times New Roman" w:hAnsi="Arial" w:cs="Arial"/>
                <w:sz w:val="24"/>
                <w:szCs w:val="24"/>
                <w:lang w:eastAsia="en-GB"/>
              </w:rPr>
            </w:pPr>
            <w:r w:rsidRPr="0042458F">
              <w:rPr>
                <w:rFonts w:ascii="Arial" w:eastAsia="Times New Roman" w:hAnsi="Arial" w:cs="Arial"/>
                <w:sz w:val="24"/>
                <w:szCs w:val="24"/>
                <w:lang w:eastAsia="en-GB"/>
              </w:rPr>
              <w:t>Tameside</w:t>
            </w:r>
          </w:p>
        </w:tc>
        <w:tc>
          <w:tcPr>
            <w:tcW w:w="454" w:type="dxa"/>
            <w:noWrap/>
            <w:hideMark/>
          </w:tcPr>
          <w:p w14:paraId="707468A4"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60,681</w:t>
            </w:r>
          </w:p>
        </w:tc>
        <w:tc>
          <w:tcPr>
            <w:tcW w:w="1084" w:type="dxa"/>
            <w:noWrap/>
            <w:hideMark/>
          </w:tcPr>
          <w:p w14:paraId="3CDF600D"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70,563</w:t>
            </w:r>
          </w:p>
        </w:tc>
        <w:tc>
          <w:tcPr>
            <w:tcW w:w="897" w:type="dxa"/>
            <w:hideMark/>
          </w:tcPr>
          <w:p w14:paraId="6074B1F4"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16.3%</w:t>
            </w:r>
          </w:p>
        </w:tc>
        <w:tc>
          <w:tcPr>
            <w:tcW w:w="1084" w:type="dxa"/>
            <w:noWrap/>
            <w:hideMark/>
          </w:tcPr>
          <w:p w14:paraId="77DBD8AB"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34,201</w:t>
            </w:r>
          </w:p>
        </w:tc>
        <w:tc>
          <w:tcPr>
            <w:tcW w:w="1084" w:type="dxa"/>
            <w:noWrap/>
            <w:hideMark/>
          </w:tcPr>
          <w:p w14:paraId="48142210"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40,513</w:t>
            </w:r>
          </w:p>
        </w:tc>
        <w:tc>
          <w:tcPr>
            <w:tcW w:w="897" w:type="dxa"/>
            <w:hideMark/>
          </w:tcPr>
          <w:p w14:paraId="476BA916"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18.5%</w:t>
            </w:r>
          </w:p>
        </w:tc>
        <w:tc>
          <w:tcPr>
            <w:tcW w:w="1084" w:type="dxa"/>
            <w:noWrap/>
            <w:hideMark/>
          </w:tcPr>
          <w:p w14:paraId="084292B4"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15,157</w:t>
            </w:r>
          </w:p>
        </w:tc>
        <w:tc>
          <w:tcPr>
            <w:tcW w:w="1084" w:type="dxa"/>
            <w:noWrap/>
            <w:hideMark/>
          </w:tcPr>
          <w:p w14:paraId="7D02B178"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17,706</w:t>
            </w:r>
          </w:p>
        </w:tc>
        <w:tc>
          <w:tcPr>
            <w:tcW w:w="897" w:type="dxa"/>
            <w:hideMark/>
          </w:tcPr>
          <w:p w14:paraId="6B5F3DA1"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16.8%</w:t>
            </w:r>
          </w:p>
        </w:tc>
      </w:tr>
      <w:tr w:rsidR="00852DD3" w:rsidRPr="0042458F" w14:paraId="065EB082" w14:textId="77777777" w:rsidTr="00606C0F">
        <w:trPr>
          <w:trHeight w:val="290"/>
        </w:trPr>
        <w:tc>
          <w:tcPr>
            <w:cnfStyle w:val="001000000000" w:firstRow="0" w:lastRow="0" w:firstColumn="1" w:lastColumn="0" w:oddVBand="0" w:evenVBand="0" w:oddHBand="0" w:evenHBand="0" w:firstRowFirstColumn="0" w:firstRowLastColumn="0" w:lastRowFirstColumn="0" w:lastRowLastColumn="0"/>
            <w:tcW w:w="2830" w:type="dxa"/>
            <w:hideMark/>
          </w:tcPr>
          <w:p w14:paraId="19A16F28" w14:textId="77777777" w:rsidR="0042458F" w:rsidRPr="0042458F" w:rsidRDefault="0042458F" w:rsidP="00AB5873">
            <w:pPr>
              <w:jc w:val="center"/>
              <w:rPr>
                <w:rFonts w:ascii="Arial" w:eastAsia="Times New Roman" w:hAnsi="Arial" w:cs="Arial"/>
                <w:sz w:val="24"/>
                <w:szCs w:val="24"/>
                <w:lang w:eastAsia="en-GB"/>
              </w:rPr>
            </w:pPr>
            <w:r w:rsidRPr="0042458F">
              <w:rPr>
                <w:rFonts w:ascii="Arial" w:eastAsia="Times New Roman" w:hAnsi="Arial" w:cs="Arial"/>
                <w:sz w:val="24"/>
                <w:szCs w:val="24"/>
                <w:lang w:eastAsia="en-GB"/>
              </w:rPr>
              <w:t>Trafford</w:t>
            </w:r>
          </w:p>
        </w:tc>
        <w:tc>
          <w:tcPr>
            <w:tcW w:w="454" w:type="dxa"/>
            <w:noWrap/>
            <w:hideMark/>
          </w:tcPr>
          <w:p w14:paraId="61320D06"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61,809</w:t>
            </w:r>
          </w:p>
        </w:tc>
        <w:tc>
          <w:tcPr>
            <w:tcW w:w="1084" w:type="dxa"/>
            <w:noWrap/>
            <w:hideMark/>
          </w:tcPr>
          <w:p w14:paraId="582A818F"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70,263</w:t>
            </w:r>
          </w:p>
        </w:tc>
        <w:tc>
          <w:tcPr>
            <w:tcW w:w="897" w:type="dxa"/>
            <w:hideMark/>
          </w:tcPr>
          <w:p w14:paraId="71B937BE"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13.7%</w:t>
            </w:r>
          </w:p>
        </w:tc>
        <w:tc>
          <w:tcPr>
            <w:tcW w:w="1084" w:type="dxa"/>
            <w:noWrap/>
            <w:hideMark/>
          </w:tcPr>
          <w:p w14:paraId="699C6A55"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36,273</w:t>
            </w:r>
          </w:p>
        </w:tc>
        <w:tc>
          <w:tcPr>
            <w:tcW w:w="1084" w:type="dxa"/>
            <w:noWrap/>
            <w:hideMark/>
          </w:tcPr>
          <w:p w14:paraId="30A837E4"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41,292</w:t>
            </w:r>
          </w:p>
        </w:tc>
        <w:tc>
          <w:tcPr>
            <w:tcW w:w="897" w:type="dxa"/>
            <w:hideMark/>
          </w:tcPr>
          <w:p w14:paraId="4074E6B7"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13.8%</w:t>
            </w:r>
          </w:p>
        </w:tc>
        <w:tc>
          <w:tcPr>
            <w:tcW w:w="1084" w:type="dxa"/>
            <w:noWrap/>
            <w:hideMark/>
          </w:tcPr>
          <w:p w14:paraId="5FC3DFDB"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17,948</w:t>
            </w:r>
          </w:p>
        </w:tc>
        <w:tc>
          <w:tcPr>
            <w:tcW w:w="1084" w:type="dxa"/>
            <w:noWrap/>
            <w:hideMark/>
          </w:tcPr>
          <w:p w14:paraId="786FCB8B"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19,806</w:t>
            </w:r>
          </w:p>
        </w:tc>
        <w:tc>
          <w:tcPr>
            <w:tcW w:w="897" w:type="dxa"/>
            <w:hideMark/>
          </w:tcPr>
          <w:p w14:paraId="73E07E6A"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10.4%</w:t>
            </w:r>
          </w:p>
        </w:tc>
      </w:tr>
      <w:tr w:rsidR="00852DD3" w:rsidRPr="0042458F" w14:paraId="3D50098C" w14:textId="77777777" w:rsidTr="00606C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hideMark/>
          </w:tcPr>
          <w:p w14:paraId="79A61269" w14:textId="77777777" w:rsidR="0042458F" w:rsidRPr="0042458F" w:rsidRDefault="0042458F" w:rsidP="00AB5873">
            <w:pPr>
              <w:jc w:val="center"/>
              <w:rPr>
                <w:rFonts w:ascii="Arial" w:eastAsia="Times New Roman" w:hAnsi="Arial" w:cs="Arial"/>
                <w:sz w:val="24"/>
                <w:szCs w:val="24"/>
                <w:lang w:eastAsia="en-GB"/>
              </w:rPr>
            </w:pPr>
            <w:r w:rsidRPr="0042458F">
              <w:rPr>
                <w:rFonts w:ascii="Arial" w:eastAsia="Times New Roman" w:hAnsi="Arial" w:cs="Arial"/>
                <w:sz w:val="24"/>
                <w:szCs w:val="24"/>
                <w:lang w:eastAsia="en-GB"/>
              </w:rPr>
              <w:t>Wigan</w:t>
            </w:r>
          </w:p>
        </w:tc>
        <w:tc>
          <w:tcPr>
            <w:tcW w:w="454" w:type="dxa"/>
            <w:noWrap/>
            <w:hideMark/>
          </w:tcPr>
          <w:p w14:paraId="731D4645"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91,160</w:t>
            </w:r>
          </w:p>
        </w:tc>
        <w:tc>
          <w:tcPr>
            <w:tcW w:w="1084" w:type="dxa"/>
            <w:noWrap/>
            <w:hideMark/>
          </w:tcPr>
          <w:p w14:paraId="451DB648"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106,579</w:t>
            </w:r>
          </w:p>
        </w:tc>
        <w:tc>
          <w:tcPr>
            <w:tcW w:w="897" w:type="dxa"/>
            <w:hideMark/>
          </w:tcPr>
          <w:p w14:paraId="1FE6D3AE"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16.9%</w:t>
            </w:r>
          </w:p>
        </w:tc>
        <w:tc>
          <w:tcPr>
            <w:tcW w:w="1084" w:type="dxa"/>
            <w:noWrap/>
            <w:hideMark/>
          </w:tcPr>
          <w:p w14:paraId="755386C9"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51,649</w:t>
            </w:r>
          </w:p>
        </w:tc>
        <w:tc>
          <w:tcPr>
            <w:tcW w:w="1084" w:type="dxa"/>
            <w:noWrap/>
            <w:hideMark/>
          </w:tcPr>
          <w:p w14:paraId="2066BF4A"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63,597</w:t>
            </w:r>
          </w:p>
        </w:tc>
        <w:tc>
          <w:tcPr>
            <w:tcW w:w="897" w:type="dxa"/>
            <w:hideMark/>
          </w:tcPr>
          <w:p w14:paraId="20C52D83"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23.1%</w:t>
            </w:r>
          </w:p>
        </w:tc>
        <w:tc>
          <w:tcPr>
            <w:tcW w:w="1084" w:type="dxa"/>
            <w:noWrap/>
            <w:hideMark/>
          </w:tcPr>
          <w:p w14:paraId="476FB3D6"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21,330</w:t>
            </w:r>
          </w:p>
        </w:tc>
        <w:tc>
          <w:tcPr>
            <w:tcW w:w="1084" w:type="dxa"/>
            <w:noWrap/>
            <w:hideMark/>
          </w:tcPr>
          <w:p w14:paraId="2352E9E4"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28,350</w:t>
            </w:r>
          </w:p>
        </w:tc>
        <w:tc>
          <w:tcPr>
            <w:tcW w:w="897" w:type="dxa"/>
            <w:hideMark/>
          </w:tcPr>
          <w:p w14:paraId="3EE39ECE" w14:textId="77777777" w:rsidR="0042458F" w:rsidRPr="0042458F" w:rsidRDefault="0042458F" w:rsidP="00AB58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2458F">
              <w:rPr>
                <w:rFonts w:ascii="Arial" w:eastAsia="Times New Roman" w:hAnsi="Arial" w:cs="Arial"/>
                <w:sz w:val="24"/>
                <w:szCs w:val="24"/>
                <w:lang w:eastAsia="en-GB"/>
              </w:rPr>
              <w:t>32.9%</w:t>
            </w:r>
          </w:p>
        </w:tc>
      </w:tr>
      <w:tr w:rsidR="00852DD3" w:rsidRPr="0042458F" w14:paraId="283489AB" w14:textId="77777777" w:rsidTr="00606C0F">
        <w:trPr>
          <w:trHeight w:val="300"/>
        </w:trPr>
        <w:tc>
          <w:tcPr>
            <w:cnfStyle w:val="001000000000" w:firstRow="0" w:lastRow="0" w:firstColumn="1" w:lastColumn="0" w:oddVBand="0" w:evenVBand="0" w:oddHBand="0" w:evenHBand="0" w:firstRowFirstColumn="0" w:firstRowLastColumn="0" w:lastRowFirstColumn="0" w:lastRowLastColumn="0"/>
            <w:tcW w:w="2830" w:type="dxa"/>
            <w:hideMark/>
          </w:tcPr>
          <w:p w14:paraId="428B08FD" w14:textId="77777777" w:rsidR="0042458F" w:rsidRPr="0042458F" w:rsidRDefault="0042458F" w:rsidP="00AB5873">
            <w:pPr>
              <w:jc w:val="center"/>
              <w:rPr>
                <w:rFonts w:ascii="Arial" w:eastAsia="Times New Roman" w:hAnsi="Arial" w:cs="Arial"/>
                <w:b w:val="0"/>
                <w:bCs w:val="0"/>
                <w:sz w:val="24"/>
                <w:szCs w:val="24"/>
                <w:lang w:eastAsia="en-GB"/>
              </w:rPr>
            </w:pPr>
            <w:r w:rsidRPr="0042458F">
              <w:rPr>
                <w:rFonts w:ascii="Arial" w:eastAsia="Times New Roman" w:hAnsi="Arial" w:cs="Arial"/>
                <w:sz w:val="24"/>
                <w:szCs w:val="24"/>
                <w:lang w:eastAsia="en-GB"/>
              </w:rPr>
              <w:t>Greater Manchester</w:t>
            </w:r>
          </w:p>
        </w:tc>
        <w:tc>
          <w:tcPr>
            <w:tcW w:w="454" w:type="dxa"/>
            <w:noWrap/>
            <w:hideMark/>
          </w:tcPr>
          <w:p w14:paraId="6AE4B689"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682,910</w:t>
            </w:r>
          </w:p>
        </w:tc>
        <w:tc>
          <w:tcPr>
            <w:tcW w:w="1084" w:type="dxa"/>
            <w:noWrap/>
            <w:hideMark/>
          </w:tcPr>
          <w:p w14:paraId="633BA3CC"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785,376</w:t>
            </w:r>
          </w:p>
        </w:tc>
        <w:tc>
          <w:tcPr>
            <w:tcW w:w="897" w:type="dxa"/>
            <w:hideMark/>
          </w:tcPr>
          <w:p w14:paraId="0207B709"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15.0%</w:t>
            </w:r>
          </w:p>
        </w:tc>
        <w:tc>
          <w:tcPr>
            <w:tcW w:w="1084" w:type="dxa"/>
            <w:noWrap/>
            <w:hideMark/>
          </w:tcPr>
          <w:p w14:paraId="7D057349"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389,749</w:t>
            </w:r>
          </w:p>
        </w:tc>
        <w:tc>
          <w:tcPr>
            <w:tcW w:w="1084" w:type="dxa"/>
            <w:noWrap/>
            <w:hideMark/>
          </w:tcPr>
          <w:p w14:paraId="5524BF5E"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454,427</w:t>
            </w:r>
          </w:p>
        </w:tc>
        <w:tc>
          <w:tcPr>
            <w:tcW w:w="897" w:type="dxa"/>
            <w:hideMark/>
          </w:tcPr>
          <w:p w14:paraId="7DCE4FB0"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16.6%</w:t>
            </w:r>
          </w:p>
        </w:tc>
        <w:tc>
          <w:tcPr>
            <w:tcW w:w="1084" w:type="dxa"/>
            <w:noWrap/>
            <w:hideMark/>
          </w:tcPr>
          <w:p w14:paraId="6ED40B45"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178,469</w:t>
            </w:r>
          </w:p>
        </w:tc>
        <w:tc>
          <w:tcPr>
            <w:tcW w:w="1084" w:type="dxa"/>
            <w:noWrap/>
            <w:hideMark/>
          </w:tcPr>
          <w:p w14:paraId="57C14B7A"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203,877</w:t>
            </w:r>
          </w:p>
        </w:tc>
        <w:tc>
          <w:tcPr>
            <w:tcW w:w="897" w:type="dxa"/>
            <w:hideMark/>
          </w:tcPr>
          <w:p w14:paraId="2D797970" w14:textId="77777777" w:rsidR="0042458F" w:rsidRPr="0042458F" w:rsidRDefault="0042458F" w:rsidP="00AB58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eastAsia="en-GB"/>
              </w:rPr>
            </w:pPr>
            <w:r w:rsidRPr="0042458F">
              <w:rPr>
                <w:rFonts w:ascii="Arial" w:eastAsia="Times New Roman" w:hAnsi="Arial" w:cs="Arial"/>
                <w:b/>
                <w:bCs/>
                <w:sz w:val="24"/>
                <w:szCs w:val="24"/>
                <w:lang w:eastAsia="en-GB"/>
              </w:rPr>
              <w:t>14.2%</w:t>
            </w:r>
          </w:p>
        </w:tc>
      </w:tr>
    </w:tbl>
    <w:p w14:paraId="02921FA5" w14:textId="7C5A684C" w:rsidR="0042458F" w:rsidRPr="009D0F2F" w:rsidRDefault="00606C0F" w:rsidP="007D512D">
      <w:pPr>
        <w:rPr>
          <w:rStyle w:val="Hyperlink"/>
          <w:rFonts w:cs="Arial"/>
          <w:color w:val="000000" w:themeColor="text1"/>
          <w:sz w:val="24"/>
          <w:szCs w:val="24"/>
        </w:rPr>
      </w:pPr>
      <w:r w:rsidRPr="009D0F2F">
        <w:rPr>
          <w:rFonts w:ascii="Arial" w:hAnsi="Arial" w:cs="Arial"/>
          <w:sz w:val="24"/>
          <w:szCs w:val="24"/>
        </w:rPr>
        <w:t>S</w:t>
      </w:r>
      <w:r w:rsidR="0042458F" w:rsidRPr="009D0F2F">
        <w:rPr>
          <w:rFonts w:ascii="Arial" w:hAnsi="Arial" w:cs="Arial"/>
          <w:sz w:val="24"/>
          <w:szCs w:val="24"/>
        </w:rPr>
        <w:t xml:space="preserve">ource: ONS, Nomis - </w:t>
      </w:r>
      <w:hyperlink r:id="rId17" w:history="1">
        <w:r w:rsidR="0042458F" w:rsidRPr="009D0F2F">
          <w:rPr>
            <w:rStyle w:val="Hyperlink"/>
            <w:rFonts w:cs="Arial"/>
            <w:color w:val="000000" w:themeColor="text1"/>
            <w:sz w:val="24"/>
            <w:szCs w:val="24"/>
          </w:rPr>
          <w:t>2021 Census</w:t>
        </w:r>
      </w:hyperlink>
    </w:p>
    <w:p w14:paraId="4A4DC88E" w14:textId="77777777" w:rsidR="00852DD3" w:rsidRDefault="00852DD3" w:rsidP="000713EA">
      <w:pPr>
        <w:pStyle w:val="Heading3"/>
        <w:sectPr w:rsidR="00852DD3" w:rsidSect="00852DD3">
          <w:pgSz w:w="16838" w:h="11906" w:orient="landscape" w:code="9"/>
          <w:pgMar w:top="1440" w:right="1440" w:bottom="1440" w:left="1440" w:header="709" w:footer="939" w:gutter="0"/>
          <w:cols w:space="708"/>
          <w:titlePg/>
          <w:docGrid w:linePitch="360"/>
        </w:sectPr>
      </w:pPr>
    </w:p>
    <w:p w14:paraId="3AD4AB19" w14:textId="77777777" w:rsidR="0042458F" w:rsidRPr="009A35DF" w:rsidRDefault="0042458F" w:rsidP="000713EA">
      <w:pPr>
        <w:pStyle w:val="Heading3"/>
      </w:pPr>
      <w:r>
        <w:lastRenderedPageBreak/>
        <w:t>Income Deprivation Affecting Older People</w:t>
      </w:r>
    </w:p>
    <w:p w14:paraId="2E5FC8A7" w14:textId="0CC8736E" w:rsidR="0042458F" w:rsidRPr="0060231A" w:rsidRDefault="0042458F" w:rsidP="0042458F">
      <w:pPr>
        <w:rPr>
          <w:rFonts w:ascii="Arial" w:hAnsi="Arial" w:cs="Arial"/>
          <w:sz w:val="24"/>
          <w:szCs w:val="24"/>
        </w:rPr>
      </w:pPr>
      <w:r w:rsidRPr="0060231A">
        <w:rPr>
          <w:rFonts w:ascii="Arial" w:hAnsi="Arial" w:cs="Arial"/>
          <w:sz w:val="24"/>
          <w:szCs w:val="24"/>
        </w:rPr>
        <w:t xml:space="preserve">The proportion of older residents experiencing income deprivation in </w:t>
      </w:r>
      <w:r w:rsidR="00640624">
        <w:rPr>
          <w:rFonts w:ascii="Arial" w:hAnsi="Arial" w:cs="Arial"/>
          <w:sz w:val="24"/>
          <w:szCs w:val="24"/>
        </w:rPr>
        <w:t>Greater Manchester</w:t>
      </w:r>
      <w:r w:rsidRPr="0060231A">
        <w:rPr>
          <w:rFonts w:ascii="Arial" w:hAnsi="Arial" w:cs="Arial"/>
          <w:sz w:val="24"/>
          <w:szCs w:val="24"/>
        </w:rPr>
        <w:t xml:space="preserve"> is growing. Income Deprivation Affecting Older People Index (IDAOPI) maps, at a Lower Layer Super Output Area (LSOA) level, the proportion of residents aged 60 and over, who experience income deprivation. </w:t>
      </w:r>
    </w:p>
    <w:p w14:paraId="6DA8A449" w14:textId="77777777" w:rsidR="0042458F" w:rsidRPr="0060231A" w:rsidRDefault="0042458F" w:rsidP="0042458F">
      <w:pPr>
        <w:rPr>
          <w:rFonts w:ascii="Arial" w:hAnsi="Arial" w:cs="Arial"/>
          <w:sz w:val="24"/>
          <w:szCs w:val="24"/>
        </w:rPr>
      </w:pPr>
      <w:r w:rsidRPr="0060231A">
        <w:rPr>
          <w:rFonts w:ascii="Arial" w:hAnsi="Arial" w:cs="Arial"/>
          <w:sz w:val="24"/>
          <w:szCs w:val="24"/>
        </w:rPr>
        <w:t>It shows that 42.9% of residents aged 60 and over across Greater Manchester are living in the top 30% most deprived LSOAs nationally. This is an increase of 4.5 percentage points when compared with the 2011 data (38.4%).</w:t>
      </w:r>
    </w:p>
    <w:p w14:paraId="68061301" w14:textId="6AC33656" w:rsidR="0042458F" w:rsidRPr="0060231A" w:rsidRDefault="0042458F" w:rsidP="0042458F">
      <w:pPr>
        <w:rPr>
          <w:rFonts w:ascii="Arial" w:hAnsi="Arial" w:cs="Arial"/>
          <w:b/>
          <w:bCs/>
          <w:sz w:val="28"/>
          <w:szCs w:val="28"/>
        </w:rPr>
      </w:pPr>
      <w:r w:rsidRPr="0060231A">
        <w:rPr>
          <w:rFonts w:ascii="Arial" w:hAnsi="Arial" w:cs="Arial"/>
          <w:b/>
          <w:bCs/>
          <w:sz w:val="24"/>
          <w:szCs w:val="24"/>
          <w:lang w:val="en-US"/>
        </w:rPr>
        <w:t>Proportion of most deprived decile (1-3), by district</w:t>
      </w:r>
    </w:p>
    <w:p w14:paraId="485A6335" w14:textId="5014E2F9" w:rsidR="009D0F2F" w:rsidRPr="009D0F2F" w:rsidRDefault="00696D12" w:rsidP="009D0F2F">
      <w:pPr>
        <w:tabs>
          <w:tab w:val="left" w:pos="7320"/>
        </w:tabs>
        <w:rPr>
          <w:rStyle w:val="Hyperlink"/>
          <w:rFonts w:cs="Arial"/>
          <w:i/>
          <w:iCs/>
          <w:sz w:val="24"/>
          <w:szCs w:val="24"/>
        </w:rPr>
      </w:pPr>
      <w:r w:rsidRPr="0060231A">
        <w:rPr>
          <w:rFonts w:ascii="Arial" w:hAnsi="Arial" w:cs="Arial"/>
          <w:b/>
          <w:bCs/>
          <w:noProof/>
          <w:sz w:val="24"/>
          <w:szCs w:val="24"/>
        </w:rPr>
        <w:drawing>
          <wp:inline distT="0" distB="0" distL="0" distR="0" wp14:anchorId="4C544FAF" wp14:editId="483013AF">
            <wp:extent cx="5723890" cy="2754630"/>
            <wp:effectExtent l="0" t="0" r="10160" b="7620"/>
            <wp:docPr id="1" name="Chart 1" descr="This chart shows, for each of the 10 Greater Manchester districts, what proportion of residents aged 60 or over reside in a Lower Level Super Output Area in the top 30% most deprived nationally. Districts are displayed in an order that displays Manchester first (given Manchester has the highest percentage, 23.5%) and then each district ranked in descending order, with Bury listed last (3.6%).">
              <a:extLst xmlns:a="http://schemas.openxmlformats.org/drawingml/2006/main">
                <a:ext uri="{FF2B5EF4-FFF2-40B4-BE49-F238E27FC236}">
                  <a16:creationId xmlns:a16="http://schemas.microsoft.com/office/drawing/2014/main" id="{7C92B989-90BC-D69E-CC90-D4B0E2AC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9D0F2F" w:rsidRPr="009D0F2F">
        <w:rPr>
          <w:rFonts w:ascii="Arial" w:hAnsi="Arial" w:cs="Arial"/>
          <w:i/>
          <w:iCs/>
          <w:sz w:val="24"/>
          <w:szCs w:val="24"/>
        </w:rPr>
        <w:t xml:space="preserve">Source: ONS, Nomis - </w:t>
      </w:r>
      <w:hyperlink r:id="rId19" w:history="1">
        <w:r w:rsidR="009D0F2F" w:rsidRPr="009C74DA">
          <w:rPr>
            <w:rStyle w:val="Hyperlink"/>
            <w:rFonts w:cs="Arial"/>
            <w:i/>
            <w:iCs/>
            <w:color w:val="2C5060" w:themeColor="accent1"/>
            <w:sz w:val="24"/>
            <w:szCs w:val="24"/>
          </w:rPr>
          <w:t>2021 Census</w:t>
        </w:r>
      </w:hyperlink>
      <w:r w:rsidR="009D0F2F" w:rsidRPr="009D0F2F">
        <w:rPr>
          <w:b/>
        </w:rPr>
        <w:t xml:space="preserve">, </w:t>
      </w:r>
      <w:r w:rsidR="009D0F2F" w:rsidRPr="009D0F2F">
        <w:rPr>
          <w:rFonts w:ascii="Arial" w:hAnsi="Arial" w:cs="Arial"/>
          <w:b/>
          <w:sz w:val="24"/>
          <w:szCs w:val="24"/>
        </w:rPr>
        <w:t xml:space="preserve">IDAOPI </w:t>
      </w:r>
      <w:r w:rsidR="000E4B38">
        <w:rPr>
          <w:rFonts w:ascii="Arial" w:hAnsi="Arial" w:cs="Arial"/>
          <w:b/>
          <w:sz w:val="24"/>
          <w:szCs w:val="24"/>
        </w:rPr>
        <w:t>–</w:t>
      </w:r>
      <w:r w:rsidR="000E4B38" w:rsidRPr="009C74DA">
        <w:rPr>
          <w:rStyle w:val="Hyperlink"/>
          <w:rFonts w:cs="Arial"/>
          <w:i/>
          <w:iCs/>
          <w:color w:val="2C5060" w:themeColor="accent1"/>
          <w:sz w:val="24"/>
          <w:szCs w:val="24"/>
        </w:rPr>
        <w:t xml:space="preserve"> </w:t>
      </w:r>
      <w:hyperlink r:id="rId20" w:history="1">
        <w:r w:rsidR="000E4B38" w:rsidRPr="009C74DA">
          <w:rPr>
            <w:rStyle w:val="Hyperlink"/>
            <w:rFonts w:cs="Arial"/>
            <w:i/>
            <w:iCs/>
            <w:color w:val="2C5060" w:themeColor="accent1"/>
            <w:sz w:val="24"/>
            <w:szCs w:val="24"/>
          </w:rPr>
          <w:t>data.gov</w:t>
        </w:r>
      </w:hyperlink>
    </w:p>
    <w:p w14:paraId="5F6313E1" w14:textId="77777777" w:rsidR="00E05032" w:rsidRDefault="00E05032" w:rsidP="000713EA">
      <w:pPr>
        <w:pStyle w:val="Heading3"/>
      </w:pPr>
    </w:p>
    <w:p w14:paraId="347F51B5" w14:textId="49C32B5B" w:rsidR="0042458F" w:rsidRPr="009A35DF" w:rsidRDefault="0042458F" w:rsidP="000713EA">
      <w:pPr>
        <w:pStyle w:val="Heading3"/>
      </w:pPr>
      <w:r>
        <w:t>Gender</w:t>
      </w:r>
    </w:p>
    <w:p w14:paraId="136E603A" w14:textId="6CF1C907" w:rsidR="0042458F" w:rsidRPr="0060231A" w:rsidRDefault="0042458F" w:rsidP="007D512D">
      <w:pPr>
        <w:rPr>
          <w:rFonts w:ascii="Arial" w:hAnsi="Arial" w:cs="Arial"/>
          <w:sz w:val="24"/>
          <w:szCs w:val="24"/>
        </w:rPr>
      </w:pPr>
      <w:r w:rsidRPr="0060231A">
        <w:rPr>
          <w:rFonts w:ascii="Arial" w:hAnsi="Arial" w:cs="Arial"/>
          <w:sz w:val="24"/>
          <w:szCs w:val="24"/>
        </w:rPr>
        <w:t>The proportion of males to females has increased within the older age groups counter to the overall population trend. This is most clearly reflected amongst residents aged 75 and over, where males now make up 42.6%, compared to 39.5% in 2011.</w:t>
      </w:r>
      <w:r w:rsidR="000078A3">
        <w:rPr>
          <w:rFonts w:ascii="Arial" w:hAnsi="Arial" w:cs="Arial"/>
          <w:sz w:val="24"/>
          <w:szCs w:val="24"/>
        </w:rPr>
        <w:t xml:space="preserve"> </w:t>
      </w:r>
      <w:r w:rsidRPr="0060231A">
        <w:rPr>
          <w:rFonts w:ascii="Arial" w:hAnsi="Arial" w:cs="Arial"/>
          <w:sz w:val="24"/>
          <w:szCs w:val="24"/>
        </w:rPr>
        <w:t xml:space="preserve">The trend is observed to a lesser degree for residents aged 55 and over, and those aged 65 and over (0.8 and 1.8 percentage point increase in males against females respectively). </w:t>
      </w:r>
    </w:p>
    <w:p w14:paraId="7F482982" w14:textId="27BB5803" w:rsidR="0042458F" w:rsidRPr="0060231A" w:rsidRDefault="0042458F" w:rsidP="007D512D">
      <w:pPr>
        <w:rPr>
          <w:rFonts w:ascii="Arial" w:hAnsi="Arial" w:cs="Arial"/>
          <w:sz w:val="24"/>
          <w:szCs w:val="24"/>
        </w:rPr>
      </w:pPr>
      <w:r w:rsidRPr="0060231A">
        <w:rPr>
          <w:rFonts w:ascii="Arial" w:hAnsi="Arial" w:cs="Arial"/>
          <w:sz w:val="24"/>
          <w:szCs w:val="24"/>
        </w:rPr>
        <w:t>This trend amongst residents aged 75 and over</w:t>
      </w:r>
      <w:r w:rsidR="000C3F44">
        <w:rPr>
          <w:rFonts w:ascii="Arial" w:hAnsi="Arial" w:cs="Arial"/>
          <w:sz w:val="24"/>
          <w:szCs w:val="24"/>
        </w:rPr>
        <w:t xml:space="preserve"> </w:t>
      </w:r>
      <w:r w:rsidR="00872CAC">
        <w:rPr>
          <w:rFonts w:ascii="Arial" w:hAnsi="Arial" w:cs="Arial"/>
          <w:sz w:val="24"/>
          <w:szCs w:val="24"/>
        </w:rPr>
        <w:t xml:space="preserve">is part of a wider pattern </w:t>
      </w:r>
      <w:r w:rsidRPr="0060231A">
        <w:rPr>
          <w:rFonts w:ascii="Arial" w:hAnsi="Arial" w:cs="Arial"/>
          <w:sz w:val="24"/>
          <w:szCs w:val="24"/>
        </w:rPr>
        <w:t xml:space="preserve">at a regional level (a 3.3 percentage point increase in males </w:t>
      </w:r>
      <w:r w:rsidR="00A26773">
        <w:rPr>
          <w:rFonts w:ascii="Arial" w:hAnsi="Arial" w:cs="Arial"/>
          <w:sz w:val="24"/>
          <w:szCs w:val="24"/>
        </w:rPr>
        <w:t>compared with</w:t>
      </w:r>
      <w:r w:rsidRPr="0060231A">
        <w:rPr>
          <w:rFonts w:ascii="Arial" w:hAnsi="Arial" w:cs="Arial"/>
          <w:sz w:val="24"/>
          <w:szCs w:val="24"/>
        </w:rPr>
        <w:t xml:space="preserve"> females across the North</w:t>
      </w:r>
      <w:r w:rsidR="00A26773">
        <w:rPr>
          <w:rFonts w:ascii="Arial" w:hAnsi="Arial" w:cs="Arial"/>
          <w:sz w:val="24"/>
          <w:szCs w:val="24"/>
        </w:rPr>
        <w:t xml:space="preserve"> </w:t>
      </w:r>
      <w:r w:rsidRPr="0060231A">
        <w:rPr>
          <w:rFonts w:ascii="Arial" w:hAnsi="Arial" w:cs="Arial"/>
          <w:sz w:val="24"/>
          <w:szCs w:val="24"/>
        </w:rPr>
        <w:t>West).</w:t>
      </w:r>
    </w:p>
    <w:p w14:paraId="34BCE0CA" w14:textId="77777777" w:rsidR="00A12CC3" w:rsidRDefault="00A12CC3" w:rsidP="007F2C2C">
      <w:pPr>
        <w:spacing w:after="0"/>
        <w:rPr>
          <w:rFonts w:ascii="Arial" w:hAnsi="Arial" w:cs="Arial"/>
          <w:b/>
          <w:bCs/>
          <w:sz w:val="24"/>
          <w:szCs w:val="28"/>
        </w:rPr>
      </w:pPr>
    </w:p>
    <w:p w14:paraId="509D3BC4" w14:textId="77777777" w:rsidR="00A12CC3" w:rsidRDefault="00A12CC3" w:rsidP="007F2C2C">
      <w:pPr>
        <w:spacing w:after="0"/>
        <w:rPr>
          <w:rFonts w:ascii="Arial" w:hAnsi="Arial" w:cs="Arial"/>
          <w:b/>
          <w:bCs/>
          <w:sz w:val="24"/>
          <w:szCs w:val="28"/>
        </w:rPr>
      </w:pPr>
    </w:p>
    <w:p w14:paraId="26755649" w14:textId="77777777" w:rsidR="00A12CC3" w:rsidRDefault="00A12CC3" w:rsidP="007F2C2C">
      <w:pPr>
        <w:spacing w:after="0"/>
        <w:rPr>
          <w:rFonts w:ascii="Arial" w:hAnsi="Arial" w:cs="Arial"/>
          <w:b/>
          <w:bCs/>
          <w:sz w:val="24"/>
          <w:szCs w:val="28"/>
        </w:rPr>
      </w:pPr>
    </w:p>
    <w:p w14:paraId="4895A5C5" w14:textId="3B0AC005" w:rsidR="007D512D" w:rsidRPr="0060231A" w:rsidRDefault="004855A5" w:rsidP="007F2C2C">
      <w:pPr>
        <w:spacing w:after="0"/>
        <w:rPr>
          <w:rFonts w:ascii="Arial" w:hAnsi="Arial" w:cs="Arial"/>
          <w:b/>
          <w:bCs/>
          <w:sz w:val="24"/>
          <w:szCs w:val="28"/>
        </w:rPr>
      </w:pPr>
      <w:r w:rsidRPr="0060231A">
        <w:rPr>
          <w:rFonts w:ascii="Arial" w:hAnsi="Arial" w:cs="Arial"/>
          <w:b/>
          <w:bCs/>
          <w:sz w:val="24"/>
          <w:szCs w:val="28"/>
        </w:rPr>
        <w:lastRenderedPageBreak/>
        <w:t>P</w:t>
      </w:r>
      <w:r w:rsidR="007D512D" w:rsidRPr="0060231A">
        <w:rPr>
          <w:rFonts w:ascii="Arial" w:hAnsi="Arial" w:cs="Arial"/>
          <w:b/>
          <w:bCs/>
          <w:sz w:val="24"/>
          <w:szCs w:val="28"/>
        </w:rPr>
        <w:t>roportion of males and females, by age group, between 2011 and 2021</w:t>
      </w:r>
    </w:p>
    <w:p w14:paraId="30054F22" w14:textId="4D352D06" w:rsidR="007D512D" w:rsidRPr="009D0F2F" w:rsidRDefault="00696D12" w:rsidP="007F2C2C">
      <w:pPr>
        <w:tabs>
          <w:tab w:val="left" w:pos="7320"/>
        </w:tabs>
        <w:spacing w:after="0"/>
        <w:rPr>
          <w:rStyle w:val="Hyperlink"/>
          <w:rFonts w:cs="Arial"/>
          <w:i/>
          <w:iCs/>
          <w:sz w:val="24"/>
          <w:szCs w:val="24"/>
        </w:rPr>
      </w:pPr>
      <w:bookmarkStart w:id="3" w:name="_Hlk131153337"/>
      <w:r w:rsidRPr="0060231A">
        <w:rPr>
          <w:rFonts w:ascii="Arial" w:hAnsi="Arial" w:cs="Arial"/>
          <w:noProof/>
          <w:sz w:val="24"/>
          <w:szCs w:val="28"/>
        </w:rPr>
        <w:drawing>
          <wp:inline distT="0" distB="0" distL="0" distR="0" wp14:anchorId="0C0D0F6E" wp14:editId="49087373">
            <wp:extent cx="5616575" cy="2232025"/>
            <wp:effectExtent l="0" t="0" r="3175" b="15875"/>
            <wp:docPr id="3" name="Chart 3" descr="This chart shows, for both the 2011 and 2021 census, the proportion (%) of males and females across Greater Manchester as a whole (with information shown for three complementary views of older populations: Aged 55 and over; Aged 65 and over; Aged 75 and over). The stacked bars show that there has been a growth in the proportion of males in all instances between 2011 and 2022, although females do remain in the majority in all instances.">
              <a:extLst xmlns:a="http://schemas.openxmlformats.org/drawingml/2006/main">
                <a:ext uri="{FF2B5EF4-FFF2-40B4-BE49-F238E27FC236}">
                  <a16:creationId xmlns:a16="http://schemas.microsoft.com/office/drawing/2014/main" id="{378B4266-A683-DEB9-86C8-4DD77CC9B6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7D512D" w:rsidRPr="009D0F2F">
        <w:rPr>
          <w:rFonts w:ascii="Arial" w:hAnsi="Arial" w:cs="Arial"/>
          <w:i/>
          <w:iCs/>
          <w:sz w:val="24"/>
          <w:szCs w:val="24"/>
        </w:rPr>
        <w:t xml:space="preserve">Source: ONS, Nomis - </w:t>
      </w:r>
      <w:hyperlink r:id="rId22" w:history="1">
        <w:r w:rsidR="007D512D" w:rsidRPr="009C74DA">
          <w:rPr>
            <w:rStyle w:val="Hyperlink"/>
            <w:rFonts w:cs="Arial"/>
            <w:i/>
            <w:iCs/>
            <w:color w:val="2C5060" w:themeColor="accent1"/>
            <w:sz w:val="24"/>
            <w:szCs w:val="24"/>
          </w:rPr>
          <w:t>2021 Census</w:t>
        </w:r>
      </w:hyperlink>
    </w:p>
    <w:bookmarkEnd w:id="3"/>
    <w:p w14:paraId="56B999A7" w14:textId="4D9C4861" w:rsidR="007D512D" w:rsidRPr="009A35DF" w:rsidRDefault="007D512D" w:rsidP="000713EA">
      <w:pPr>
        <w:pStyle w:val="Heading3"/>
      </w:pPr>
      <w:r>
        <w:t>Ethnicity</w:t>
      </w:r>
    </w:p>
    <w:p w14:paraId="29486E64" w14:textId="2D49697D" w:rsidR="007D512D" w:rsidRPr="0060231A" w:rsidRDefault="007D512D" w:rsidP="007D512D">
      <w:pPr>
        <w:rPr>
          <w:rFonts w:ascii="Arial" w:hAnsi="Arial" w:cs="Arial"/>
          <w:sz w:val="24"/>
          <w:szCs w:val="24"/>
        </w:rPr>
      </w:pPr>
      <w:r w:rsidRPr="0060231A">
        <w:rPr>
          <w:rFonts w:ascii="Arial" w:hAnsi="Arial" w:cs="Arial"/>
          <w:sz w:val="24"/>
          <w:szCs w:val="24"/>
        </w:rPr>
        <w:t xml:space="preserve">Amongst residents aged 55 and over, 91.8% identify as White, compared with 94.6% of the same age group in 2011 (a 2.8 percentage point reduction). This change is reflective of the entire </w:t>
      </w:r>
      <w:r w:rsidR="00640624">
        <w:rPr>
          <w:rFonts w:ascii="Arial" w:hAnsi="Arial" w:cs="Arial"/>
          <w:sz w:val="24"/>
          <w:szCs w:val="24"/>
        </w:rPr>
        <w:t>Greater Manchester</w:t>
      </w:r>
      <w:r w:rsidRPr="0060231A">
        <w:rPr>
          <w:rFonts w:ascii="Arial" w:hAnsi="Arial" w:cs="Arial"/>
          <w:sz w:val="24"/>
          <w:szCs w:val="24"/>
        </w:rPr>
        <w:t xml:space="preserve"> population, which also records a reduction, though more pronounced</w:t>
      </w:r>
      <w:r w:rsidR="00A26773">
        <w:rPr>
          <w:rFonts w:ascii="Arial" w:hAnsi="Arial" w:cs="Arial"/>
          <w:sz w:val="24"/>
          <w:szCs w:val="24"/>
        </w:rPr>
        <w:t>,</w:t>
      </w:r>
      <w:r w:rsidRPr="0060231A">
        <w:rPr>
          <w:rFonts w:ascii="Arial" w:hAnsi="Arial" w:cs="Arial"/>
          <w:sz w:val="24"/>
          <w:szCs w:val="24"/>
        </w:rPr>
        <w:t xml:space="preserve"> in those identifying as White. In 2011, Greater Manchester had 83.8% of all residents identifying as White, which has reduced to 76.8% in the 2021 records (a 7.0 percentage point decrease).</w:t>
      </w:r>
    </w:p>
    <w:p w14:paraId="08567E56" w14:textId="7685354B" w:rsidR="007D512D" w:rsidRPr="0060231A" w:rsidRDefault="007D512D" w:rsidP="007D512D">
      <w:pPr>
        <w:rPr>
          <w:rFonts w:ascii="Arial" w:hAnsi="Arial" w:cs="Arial"/>
          <w:sz w:val="24"/>
          <w:szCs w:val="24"/>
        </w:rPr>
      </w:pPr>
      <w:r w:rsidRPr="0060231A">
        <w:rPr>
          <w:rFonts w:ascii="Arial" w:hAnsi="Arial" w:cs="Arial"/>
          <w:sz w:val="24"/>
          <w:szCs w:val="24"/>
        </w:rPr>
        <w:t xml:space="preserve">Residents identifying as Asian, Asian British and Asian Welsh, have demonstrated an increase across all three older age groups, mirroring the rate of change observed across all age groups in GM (an increase of 3.4 percentage points). The largest increase within the three older age groups comes amongst residents aged 55 and over – a 1.7 percentage point increase from 2011. </w:t>
      </w:r>
    </w:p>
    <w:p w14:paraId="005A215F" w14:textId="632869E4" w:rsidR="007D512D" w:rsidRPr="0060231A" w:rsidRDefault="007D512D" w:rsidP="007F2C2C">
      <w:pPr>
        <w:tabs>
          <w:tab w:val="left" w:pos="7320"/>
        </w:tabs>
        <w:spacing w:after="0"/>
        <w:rPr>
          <w:rFonts w:ascii="Arial" w:hAnsi="Arial" w:cs="Arial"/>
          <w:b/>
          <w:bCs/>
          <w:szCs w:val="24"/>
        </w:rPr>
      </w:pPr>
      <w:r w:rsidRPr="0060231A">
        <w:rPr>
          <w:rFonts w:ascii="Arial" w:hAnsi="Arial" w:cs="Arial"/>
          <w:b/>
          <w:bCs/>
          <w:sz w:val="24"/>
          <w:szCs w:val="28"/>
        </w:rPr>
        <w:t>Ethnic group and age group (percentage of residents)</w:t>
      </w:r>
    </w:p>
    <w:p w14:paraId="1CBEE6C5" w14:textId="2E71619F" w:rsidR="007D512D" w:rsidRPr="005C34FA" w:rsidRDefault="00A12CC3" w:rsidP="005C34FA">
      <w:pPr>
        <w:spacing w:after="0"/>
        <w:rPr>
          <w:rStyle w:val="Hyperlink"/>
          <w:rFonts w:cs="Arial"/>
          <w:i/>
          <w:iCs/>
          <w:sz w:val="24"/>
          <w:szCs w:val="24"/>
        </w:rPr>
      </w:pPr>
      <w:r w:rsidRPr="0060231A">
        <w:rPr>
          <w:rFonts w:ascii="Arial" w:hAnsi="Arial" w:cs="Arial"/>
          <w:noProof/>
          <w:sz w:val="24"/>
          <w:szCs w:val="24"/>
        </w:rPr>
        <w:drawing>
          <wp:inline distT="0" distB="0" distL="0" distR="0" wp14:anchorId="4EBAD40C" wp14:editId="698D16CE">
            <wp:extent cx="5731510" cy="3024666"/>
            <wp:effectExtent l="0" t="0" r="2540" b="4445"/>
            <wp:docPr id="5" name="Chart 5" descr="This chart shows, for both the 2011 and 2021 census, the proportion (%) of residents who self-identified as White, compared to 3 other high level ethnic groupings (with information shown for three complementary views of older populations: Aged 55 and over; Aged 65 and over; Aged 75 and over). The visualisation shows  that there has been a growth in the proportion of non-White ethnicities across all sub groups, when comparing 2011 figures to 2022 figures. ">
              <a:extLst xmlns:a="http://schemas.openxmlformats.org/drawingml/2006/main">
                <a:ext uri="{FF2B5EF4-FFF2-40B4-BE49-F238E27FC236}">
                  <a16:creationId xmlns:a16="http://schemas.microsoft.com/office/drawing/2014/main" id="{735D03AF-B8E3-46D3-9F95-1994CF5170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7D512D" w:rsidRPr="005C34FA">
        <w:rPr>
          <w:rFonts w:ascii="Arial" w:hAnsi="Arial" w:cs="Arial"/>
          <w:i/>
          <w:iCs/>
          <w:sz w:val="24"/>
          <w:szCs w:val="24"/>
        </w:rPr>
        <w:t xml:space="preserve">Source: ONS, Nomis - </w:t>
      </w:r>
      <w:hyperlink r:id="rId24" w:history="1">
        <w:r w:rsidR="007D512D" w:rsidRPr="009C74DA">
          <w:rPr>
            <w:rStyle w:val="Hyperlink"/>
            <w:rFonts w:cs="Arial"/>
            <w:i/>
            <w:iCs/>
            <w:color w:val="2C5060" w:themeColor="accent1"/>
            <w:sz w:val="24"/>
            <w:szCs w:val="24"/>
          </w:rPr>
          <w:t>2021 Census</w:t>
        </w:r>
      </w:hyperlink>
    </w:p>
    <w:p w14:paraId="4703E28F" w14:textId="77777777" w:rsidR="007D512D" w:rsidRPr="006D2F18" w:rsidRDefault="007D512D" w:rsidP="000713EA">
      <w:pPr>
        <w:pStyle w:val="Heading3"/>
        <w:rPr>
          <w:i/>
          <w:iCs/>
          <w:sz w:val="20"/>
          <w:szCs w:val="20"/>
        </w:rPr>
      </w:pPr>
      <w:r>
        <w:lastRenderedPageBreak/>
        <w:t>Local Authority Ageing Trends</w:t>
      </w:r>
    </w:p>
    <w:p w14:paraId="7B175B31" w14:textId="77777777" w:rsidR="007D512D" w:rsidRPr="0060231A" w:rsidRDefault="007D512D" w:rsidP="007D512D">
      <w:pPr>
        <w:rPr>
          <w:rFonts w:ascii="Arial" w:hAnsi="Arial" w:cs="Arial"/>
          <w:sz w:val="24"/>
          <w:szCs w:val="24"/>
        </w:rPr>
      </w:pPr>
      <w:r w:rsidRPr="0060231A">
        <w:rPr>
          <w:rFonts w:ascii="Arial" w:hAnsi="Arial" w:cs="Arial"/>
          <w:sz w:val="24"/>
          <w:szCs w:val="24"/>
        </w:rPr>
        <w:t xml:space="preserve">Strong variation is evident in the data at a local authority level. </w:t>
      </w:r>
    </w:p>
    <w:p w14:paraId="3DE4103F" w14:textId="77777777" w:rsidR="007D512D" w:rsidRPr="0060231A" w:rsidRDefault="007D512D" w:rsidP="007D512D">
      <w:pPr>
        <w:rPr>
          <w:rFonts w:ascii="Arial" w:hAnsi="Arial" w:cs="Arial"/>
          <w:sz w:val="24"/>
          <w:szCs w:val="24"/>
        </w:rPr>
      </w:pPr>
      <w:r w:rsidRPr="0060231A">
        <w:rPr>
          <w:rFonts w:ascii="Arial" w:hAnsi="Arial" w:cs="Arial"/>
          <w:sz w:val="24"/>
          <w:szCs w:val="24"/>
        </w:rPr>
        <w:t xml:space="preserve">On deprivation, Manchester continues to record the highest proportion of residents in GM living in the top 30% most deprived LSOAs nationally, although this has decreased by 1.9 percentage points since 2011. Salford’s figure has also promisingly reduced by 3.1 percentage points. Conversely, Wigan has recorded an increase of 4.2 percentage points from 2011. </w:t>
      </w:r>
    </w:p>
    <w:p w14:paraId="2A4635EC" w14:textId="16B756C1" w:rsidR="007D512D" w:rsidRPr="0060231A" w:rsidRDefault="007D512D" w:rsidP="007D512D">
      <w:pPr>
        <w:rPr>
          <w:rFonts w:ascii="Arial" w:hAnsi="Arial" w:cs="Arial"/>
          <w:sz w:val="24"/>
          <w:szCs w:val="24"/>
        </w:rPr>
      </w:pPr>
      <w:r w:rsidRPr="0060231A">
        <w:rPr>
          <w:rFonts w:ascii="Arial" w:hAnsi="Arial" w:cs="Arial"/>
          <w:sz w:val="24"/>
          <w:szCs w:val="24"/>
        </w:rPr>
        <w:t>On gender, Salford saw a 4.6 percentage point increase in the proportion of males to females in residents aged 75 and over</w:t>
      </w:r>
      <w:r w:rsidR="0056653E">
        <w:rPr>
          <w:rFonts w:ascii="Arial" w:hAnsi="Arial" w:cs="Arial"/>
          <w:sz w:val="24"/>
          <w:szCs w:val="24"/>
        </w:rPr>
        <w:t>. This is</w:t>
      </w:r>
      <w:r w:rsidRPr="0060231A">
        <w:rPr>
          <w:rFonts w:ascii="Arial" w:hAnsi="Arial" w:cs="Arial"/>
          <w:sz w:val="24"/>
          <w:szCs w:val="24"/>
        </w:rPr>
        <w:t xml:space="preserve"> significantly higher than the </w:t>
      </w:r>
      <w:r w:rsidR="00640624">
        <w:rPr>
          <w:rFonts w:ascii="Arial" w:hAnsi="Arial" w:cs="Arial"/>
          <w:sz w:val="24"/>
          <w:szCs w:val="24"/>
        </w:rPr>
        <w:t>Greater Manchester</w:t>
      </w:r>
      <w:r w:rsidRPr="0060231A">
        <w:rPr>
          <w:rFonts w:ascii="Arial" w:hAnsi="Arial" w:cs="Arial"/>
          <w:sz w:val="24"/>
          <w:szCs w:val="24"/>
        </w:rPr>
        <w:t xml:space="preserve"> position (</w:t>
      </w:r>
      <w:r w:rsidR="0056653E">
        <w:rPr>
          <w:rFonts w:ascii="Arial" w:hAnsi="Arial" w:cs="Arial"/>
          <w:sz w:val="24"/>
          <w:szCs w:val="24"/>
        </w:rPr>
        <w:t xml:space="preserve">a </w:t>
      </w:r>
      <w:r w:rsidRPr="0060231A">
        <w:rPr>
          <w:rFonts w:ascii="Arial" w:hAnsi="Arial" w:cs="Arial"/>
          <w:sz w:val="24"/>
          <w:szCs w:val="24"/>
        </w:rPr>
        <w:t xml:space="preserve">3.3 percentage point shift). Across all residents, Salford is also the only locality which records a higher proportion of males to females based on the 2021 data. </w:t>
      </w:r>
    </w:p>
    <w:p w14:paraId="34A435FD" w14:textId="24D2B44C" w:rsidR="007D512D" w:rsidRPr="0060231A" w:rsidRDefault="007D512D" w:rsidP="007D512D">
      <w:pPr>
        <w:rPr>
          <w:rFonts w:ascii="Arial" w:hAnsi="Arial" w:cs="Arial"/>
          <w:b/>
          <w:bCs/>
          <w:color w:val="595959" w:themeColor="text1" w:themeTint="A6"/>
          <w:sz w:val="32"/>
          <w:szCs w:val="32"/>
        </w:rPr>
      </w:pPr>
      <w:r w:rsidRPr="0060231A">
        <w:rPr>
          <w:rFonts w:ascii="Arial" w:hAnsi="Arial" w:cs="Arial"/>
          <w:sz w:val="24"/>
          <w:szCs w:val="24"/>
        </w:rPr>
        <w:t xml:space="preserve">On ethnicity, Manchester records a far steeper reduction in residents aged 55 and over recorded as White – 9.3 percentage point decrease compared to 2.8 at a </w:t>
      </w:r>
      <w:r w:rsidR="00640624">
        <w:rPr>
          <w:rFonts w:ascii="Arial" w:hAnsi="Arial" w:cs="Arial"/>
          <w:sz w:val="24"/>
          <w:szCs w:val="24"/>
        </w:rPr>
        <w:t>Greater Manchester</w:t>
      </w:r>
      <w:r w:rsidRPr="0060231A">
        <w:rPr>
          <w:rFonts w:ascii="Arial" w:hAnsi="Arial" w:cs="Arial"/>
          <w:sz w:val="24"/>
          <w:szCs w:val="24"/>
        </w:rPr>
        <w:t xml:space="preserve"> level.</w:t>
      </w:r>
    </w:p>
    <w:p w14:paraId="1AB80773" w14:textId="77777777" w:rsidR="007D512D" w:rsidRDefault="007D512D" w:rsidP="007D512D">
      <w:pPr>
        <w:pStyle w:val="NoSpacing"/>
        <w:rPr>
          <w:b/>
          <w:bCs/>
          <w:color w:val="595959" w:themeColor="text1" w:themeTint="A6"/>
          <w:sz w:val="28"/>
          <w:szCs w:val="28"/>
        </w:rPr>
      </w:pPr>
    </w:p>
    <w:p w14:paraId="210286C5" w14:textId="77777777" w:rsidR="007D512D" w:rsidRPr="005C34FA" w:rsidRDefault="007D512D" w:rsidP="000713EA">
      <w:pPr>
        <w:pStyle w:val="Heading3"/>
      </w:pPr>
      <w:r w:rsidRPr="005C34FA">
        <w:t>Reflections</w:t>
      </w:r>
    </w:p>
    <w:p w14:paraId="78F8EBAF" w14:textId="25565D7C" w:rsidR="007D512D" w:rsidRPr="005C34FA" w:rsidRDefault="007D512D" w:rsidP="009D0F2F">
      <w:pPr>
        <w:pStyle w:val="ListParagraph"/>
        <w:rPr>
          <w:rFonts w:ascii="Arial" w:hAnsi="Arial" w:cs="Arial"/>
          <w:sz w:val="24"/>
          <w:szCs w:val="24"/>
        </w:rPr>
      </w:pPr>
      <w:r w:rsidRPr="005C34FA">
        <w:rPr>
          <w:rFonts w:ascii="Arial" w:hAnsi="Arial" w:cs="Arial"/>
          <w:sz w:val="24"/>
          <w:szCs w:val="24"/>
        </w:rPr>
        <w:t xml:space="preserve">Both nationally and locally there has been a growth in the proportion of older residents </w:t>
      </w:r>
      <w:r w:rsidR="00A24647">
        <w:rPr>
          <w:rFonts w:ascii="Arial" w:hAnsi="Arial" w:cs="Arial"/>
          <w:sz w:val="24"/>
          <w:szCs w:val="24"/>
        </w:rPr>
        <w:t xml:space="preserve">- </w:t>
      </w:r>
      <w:r w:rsidRPr="005C34FA">
        <w:rPr>
          <w:rFonts w:ascii="Arial" w:hAnsi="Arial" w:cs="Arial"/>
          <w:sz w:val="24"/>
          <w:szCs w:val="24"/>
        </w:rPr>
        <w:t xml:space="preserve">particularly those in the oldest age groups (aged 75 and over). </w:t>
      </w:r>
      <w:r w:rsidR="00E23E64">
        <w:rPr>
          <w:rFonts w:ascii="Arial" w:hAnsi="Arial" w:cs="Arial"/>
          <w:sz w:val="24"/>
          <w:szCs w:val="24"/>
        </w:rPr>
        <w:t>People aged over 55</w:t>
      </w:r>
      <w:r w:rsidRPr="005C34FA">
        <w:rPr>
          <w:rFonts w:ascii="Arial" w:hAnsi="Arial" w:cs="Arial"/>
          <w:sz w:val="24"/>
          <w:szCs w:val="24"/>
        </w:rPr>
        <w:t xml:space="preserve"> now represent 27.4% of the overall </w:t>
      </w:r>
      <w:r w:rsidR="00640624">
        <w:rPr>
          <w:rFonts w:ascii="Arial" w:hAnsi="Arial" w:cs="Arial"/>
          <w:sz w:val="24"/>
          <w:szCs w:val="24"/>
        </w:rPr>
        <w:t>Greater Manchester</w:t>
      </w:r>
      <w:r w:rsidRPr="005C34FA">
        <w:rPr>
          <w:rFonts w:ascii="Arial" w:hAnsi="Arial" w:cs="Arial"/>
          <w:sz w:val="24"/>
          <w:szCs w:val="24"/>
        </w:rPr>
        <w:t xml:space="preserve"> population and </w:t>
      </w:r>
      <w:r w:rsidR="002820F8">
        <w:rPr>
          <w:rFonts w:ascii="Arial" w:hAnsi="Arial" w:cs="Arial"/>
          <w:sz w:val="24"/>
          <w:szCs w:val="24"/>
        </w:rPr>
        <w:t>this proportion is forecast to grow</w:t>
      </w:r>
      <w:r w:rsidRPr="005C34FA">
        <w:rPr>
          <w:rFonts w:ascii="Arial" w:hAnsi="Arial" w:cs="Arial"/>
          <w:sz w:val="24"/>
          <w:szCs w:val="24"/>
        </w:rPr>
        <w:t>.</w:t>
      </w:r>
    </w:p>
    <w:p w14:paraId="00769AA7" w14:textId="0339A70B" w:rsidR="007D512D" w:rsidRPr="005C34FA" w:rsidRDefault="00174588" w:rsidP="009D0F2F">
      <w:pPr>
        <w:pStyle w:val="ListParagraph"/>
        <w:rPr>
          <w:rFonts w:ascii="Arial" w:hAnsi="Arial" w:cs="Arial"/>
          <w:sz w:val="24"/>
          <w:szCs w:val="24"/>
        </w:rPr>
      </w:pPr>
      <w:r w:rsidRPr="005C34FA">
        <w:rPr>
          <w:rFonts w:ascii="Arial" w:hAnsi="Arial" w:cs="Arial"/>
          <w:sz w:val="24"/>
          <w:szCs w:val="24"/>
        </w:rPr>
        <w:t>T</w:t>
      </w:r>
      <w:r w:rsidR="007D512D" w:rsidRPr="005C34FA">
        <w:rPr>
          <w:rFonts w:ascii="Arial" w:hAnsi="Arial" w:cs="Arial"/>
          <w:sz w:val="24"/>
          <w:szCs w:val="24"/>
        </w:rPr>
        <w:t>he census</w:t>
      </w:r>
      <w:r w:rsidRPr="005C34FA">
        <w:rPr>
          <w:rFonts w:ascii="Arial" w:hAnsi="Arial" w:cs="Arial"/>
          <w:sz w:val="24"/>
          <w:szCs w:val="24"/>
        </w:rPr>
        <w:t>, however,</w:t>
      </w:r>
      <w:r w:rsidR="007D512D" w:rsidRPr="005C34FA">
        <w:rPr>
          <w:rFonts w:ascii="Arial" w:hAnsi="Arial" w:cs="Arial"/>
          <w:sz w:val="24"/>
          <w:szCs w:val="24"/>
        </w:rPr>
        <w:t xml:space="preserve"> suggests </w:t>
      </w:r>
      <w:r w:rsidR="008521A0" w:rsidRPr="005C34FA">
        <w:rPr>
          <w:rFonts w:ascii="Arial" w:hAnsi="Arial" w:cs="Arial"/>
          <w:sz w:val="24"/>
          <w:szCs w:val="24"/>
        </w:rPr>
        <w:t xml:space="preserve">that </w:t>
      </w:r>
      <w:r w:rsidR="007D512D" w:rsidRPr="005C34FA">
        <w:rPr>
          <w:rFonts w:ascii="Arial" w:hAnsi="Arial" w:cs="Arial"/>
          <w:sz w:val="24"/>
          <w:szCs w:val="24"/>
        </w:rPr>
        <w:t>more</w:t>
      </w:r>
      <w:r w:rsidR="008521A0" w:rsidRPr="005C34FA">
        <w:rPr>
          <w:rFonts w:ascii="Arial" w:hAnsi="Arial" w:cs="Arial"/>
          <w:sz w:val="24"/>
          <w:szCs w:val="24"/>
        </w:rPr>
        <w:t xml:space="preserve"> older people</w:t>
      </w:r>
      <w:r w:rsidR="007D512D" w:rsidRPr="005C34FA">
        <w:rPr>
          <w:rFonts w:ascii="Arial" w:hAnsi="Arial" w:cs="Arial"/>
          <w:sz w:val="24"/>
          <w:szCs w:val="24"/>
        </w:rPr>
        <w:t xml:space="preserve"> are now living in </w:t>
      </w:r>
      <w:r w:rsidR="006E5FDA">
        <w:rPr>
          <w:rFonts w:ascii="Arial" w:hAnsi="Arial" w:cs="Arial"/>
          <w:sz w:val="24"/>
          <w:szCs w:val="24"/>
        </w:rPr>
        <w:t xml:space="preserve">conditions of </w:t>
      </w:r>
      <w:r w:rsidR="007D512D" w:rsidRPr="005C34FA">
        <w:rPr>
          <w:rFonts w:ascii="Arial" w:hAnsi="Arial" w:cs="Arial"/>
          <w:sz w:val="24"/>
          <w:szCs w:val="24"/>
        </w:rPr>
        <w:t xml:space="preserve">deprivation. </w:t>
      </w:r>
      <w:bookmarkStart w:id="4" w:name="_Hlk130986306"/>
      <w:r w:rsidR="006E5FDA">
        <w:rPr>
          <w:rFonts w:ascii="Arial" w:hAnsi="Arial" w:cs="Arial"/>
          <w:sz w:val="24"/>
          <w:szCs w:val="24"/>
        </w:rPr>
        <w:t>Some four in ten</w:t>
      </w:r>
      <w:r w:rsidR="007D512D" w:rsidRPr="005C34FA">
        <w:rPr>
          <w:rFonts w:ascii="Arial" w:hAnsi="Arial" w:cs="Arial"/>
          <w:sz w:val="24"/>
          <w:szCs w:val="24"/>
        </w:rPr>
        <w:t xml:space="preserve"> are now living in the top 30% most deprived Lower Super Output Areas (LSOAs)</w:t>
      </w:r>
      <w:r w:rsidR="00CB5CBD" w:rsidRPr="005C34FA">
        <w:rPr>
          <w:rFonts w:ascii="Arial" w:hAnsi="Arial" w:cs="Arial"/>
          <w:sz w:val="24"/>
          <w:szCs w:val="24"/>
        </w:rPr>
        <w:t xml:space="preserve"> across Greater Manchester, compared to </w:t>
      </w:r>
      <w:r w:rsidR="001C1649">
        <w:rPr>
          <w:rFonts w:ascii="Arial" w:hAnsi="Arial" w:cs="Arial"/>
          <w:sz w:val="24"/>
          <w:szCs w:val="24"/>
        </w:rPr>
        <w:t>two in ten</w:t>
      </w:r>
      <w:r w:rsidR="00CB5CBD" w:rsidRPr="005C34FA">
        <w:rPr>
          <w:rFonts w:ascii="Arial" w:hAnsi="Arial" w:cs="Arial"/>
          <w:sz w:val="24"/>
          <w:szCs w:val="24"/>
        </w:rPr>
        <w:t xml:space="preserve"> nationally, presenting challenges </w:t>
      </w:r>
      <w:r w:rsidR="005310E5" w:rsidRPr="005C34FA">
        <w:rPr>
          <w:rFonts w:ascii="Arial" w:hAnsi="Arial" w:cs="Arial"/>
          <w:sz w:val="24"/>
          <w:szCs w:val="24"/>
        </w:rPr>
        <w:t>for local authorities, particularly through the need to ensure access to eligible benefits and wider support which may be needed.</w:t>
      </w:r>
      <w:r w:rsidR="005310E5" w:rsidRPr="005C34FA">
        <w:rPr>
          <w:rFonts w:ascii="Arial" w:hAnsi="Arial" w:cs="Arial"/>
          <w:color w:val="FF0000"/>
          <w:sz w:val="24"/>
          <w:szCs w:val="24"/>
        </w:rPr>
        <w:t xml:space="preserve"> </w:t>
      </w:r>
    </w:p>
    <w:bookmarkEnd w:id="4"/>
    <w:p w14:paraId="38EE59E3" w14:textId="55CA1542" w:rsidR="00735548" w:rsidRPr="005C34FA" w:rsidRDefault="007D512D" w:rsidP="009D0F2F">
      <w:pPr>
        <w:pStyle w:val="ListParagraph"/>
        <w:rPr>
          <w:rFonts w:ascii="Arial" w:hAnsi="Arial" w:cs="Arial"/>
          <w:sz w:val="24"/>
          <w:szCs w:val="24"/>
        </w:rPr>
      </w:pPr>
      <w:r w:rsidRPr="005C34FA">
        <w:rPr>
          <w:rFonts w:ascii="Arial" w:hAnsi="Arial" w:cs="Arial"/>
          <w:sz w:val="24"/>
          <w:szCs w:val="24"/>
        </w:rPr>
        <w:t>The demographic make</w:t>
      </w:r>
      <w:r w:rsidR="001C1649">
        <w:rPr>
          <w:rFonts w:ascii="Arial" w:hAnsi="Arial" w:cs="Arial"/>
          <w:sz w:val="24"/>
          <w:szCs w:val="24"/>
        </w:rPr>
        <w:t>-</w:t>
      </w:r>
      <w:r w:rsidRPr="005C34FA">
        <w:rPr>
          <w:rFonts w:ascii="Arial" w:hAnsi="Arial" w:cs="Arial"/>
          <w:sz w:val="24"/>
          <w:szCs w:val="24"/>
        </w:rPr>
        <w:t>up of older residents is also shifting. We are witnessing more older males and ethnically diverse residents which may have specific implications for service provision across Greater Manchester</w:t>
      </w:r>
      <w:r w:rsidR="00E520D6" w:rsidRPr="005C34FA">
        <w:rPr>
          <w:rFonts w:ascii="Arial" w:hAnsi="Arial" w:cs="Arial"/>
          <w:sz w:val="24"/>
          <w:szCs w:val="24"/>
        </w:rPr>
        <w:t>.</w:t>
      </w:r>
      <w:r w:rsidRPr="005C34FA">
        <w:rPr>
          <w:rFonts w:ascii="Arial" w:hAnsi="Arial" w:cs="Arial"/>
          <w:sz w:val="24"/>
          <w:szCs w:val="24"/>
        </w:rPr>
        <w:t xml:space="preserve"> </w:t>
      </w:r>
    </w:p>
    <w:sectPr w:rsidR="00735548" w:rsidRPr="005C34FA" w:rsidSect="00852DD3">
      <w:pgSz w:w="11906" w:h="16838" w:code="9"/>
      <w:pgMar w:top="1440" w:right="1440" w:bottom="1440" w:left="1440" w:header="709" w:footer="9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DA20" w14:textId="77777777" w:rsidR="003400F1" w:rsidRDefault="003400F1">
      <w:pPr>
        <w:spacing w:after="0" w:line="240" w:lineRule="auto"/>
      </w:pPr>
      <w:r>
        <w:separator/>
      </w:r>
    </w:p>
  </w:endnote>
  <w:endnote w:type="continuationSeparator" w:id="0">
    <w:p w14:paraId="084DB7BF" w14:textId="77777777" w:rsidR="003400F1" w:rsidRDefault="0034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Content>
      <w:p w14:paraId="5D5BCE77" w14:textId="77777777" w:rsidR="00E07B85" w:rsidRPr="00D31BB7" w:rsidRDefault="002F4BA4"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37260"/>
      <w:docPartObj>
        <w:docPartGallery w:val="Page Numbers (Bottom of Page)"/>
        <w:docPartUnique/>
      </w:docPartObj>
    </w:sdtPr>
    <w:sdtEndPr>
      <w:rPr>
        <w:rStyle w:val="PagenumberChar"/>
        <w:rFonts w:ascii="Arial" w:hAnsi="Arial"/>
        <w:b/>
        <w:color w:val="2C5060" w:themeColor="accent1"/>
        <w:sz w:val="28"/>
        <w:szCs w:val="24"/>
      </w:rPr>
    </w:sdtEndPr>
    <w:sdtContent>
      <w:p w14:paraId="494B75DB" w14:textId="77777777" w:rsidR="00B7462D" w:rsidRPr="00B7462D" w:rsidRDefault="00B7462D">
        <w:pPr>
          <w:pStyle w:val="Footer"/>
          <w:jc w:val="right"/>
          <w:rPr>
            <w:rStyle w:val="PagenumberChar"/>
          </w:rPr>
        </w:pPr>
        <w:r w:rsidRPr="00B7462D">
          <w:rPr>
            <w:rStyle w:val="PagenumberChar"/>
          </w:rPr>
          <w:fldChar w:fldCharType="begin"/>
        </w:r>
        <w:r w:rsidRPr="00B7462D">
          <w:rPr>
            <w:rStyle w:val="PagenumberChar"/>
          </w:rPr>
          <w:instrText xml:space="preserve"> PAGE   \* MERGEFORMAT </w:instrText>
        </w:r>
        <w:r w:rsidRPr="00B7462D">
          <w:rPr>
            <w:rStyle w:val="PagenumberChar"/>
          </w:rPr>
          <w:fldChar w:fldCharType="separate"/>
        </w:r>
        <w:r w:rsidRPr="00B7462D">
          <w:rPr>
            <w:rStyle w:val="PagenumberChar"/>
          </w:rPr>
          <w:t>2</w:t>
        </w:r>
        <w:r w:rsidRPr="00B7462D">
          <w:rPr>
            <w:rStyle w:val="PagenumberChar"/>
          </w:rPr>
          <w:fldChar w:fldCharType="end"/>
        </w:r>
      </w:p>
    </w:sdtContent>
  </w:sdt>
  <w:p w14:paraId="6EF5408D" w14:textId="77777777" w:rsidR="00B7462D" w:rsidRDefault="00B74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98E5" w14:textId="77777777" w:rsidR="003400F1" w:rsidRDefault="003400F1">
      <w:pPr>
        <w:spacing w:after="0" w:line="240" w:lineRule="auto"/>
      </w:pPr>
      <w:r>
        <w:separator/>
      </w:r>
    </w:p>
  </w:footnote>
  <w:footnote w:type="continuationSeparator" w:id="0">
    <w:p w14:paraId="210E58F3" w14:textId="77777777" w:rsidR="003400F1" w:rsidRDefault="0034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8BFD" w14:textId="77777777" w:rsidR="007222D5" w:rsidRDefault="00000000" w:rsidP="00380C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7721"/>
    <w:multiLevelType w:val="hybridMultilevel"/>
    <w:tmpl w:val="C9CE6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63482F"/>
    <w:multiLevelType w:val="hybridMultilevel"/>
    <w:tmpl w:val="B792E226"/>
    <w:lvl w:ilvl="0" w:tplc="7AB4E93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729E7"/>
    <w:multiLevelType w:val="hybridMultilevel"/>
    <w:tmpl w:val="72CEB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7109A6"/>
    <w:multiLevelType w:val="hybridMultilevel"/>
    <w:tmpl w:val="D5608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EB1617"/>
    <w:multiLevelType w:val="hybridMultilevel"/>
    <w:tmpl w:val="12361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0384A"/>
    <w:multiLevelType w:val="multilevel"/>
    <w:tmpl w:val="A1D6F89C"/>
    <w:lvl w:ilvl="0">
      <w:start w:val="4"/>
      <w:numFmt w:val="decimal"/>
      <w:lvlText w:val="%1"/>
      <w:lvlJc w:val="left"/>
      <w:pPr>
        <w:ind w:left="1530" w:hanging="851"/>
      </w:pPr>
      <w:rPr>
        <w:rFonts w:hint="default"/>
        <w:lang w:val="en-US" w:eastAsia="en-US" w:bidi="ar-SA"/>
      </w:rPr>
    </w:lvl>
    <w:lvl w:ilvl="1">
      <w:start w:val="1"/>
      <w:numFmt w:val="decimal"/>
      <w:lvlText w:val="%1.%2"/>
      <w:lvlJc w:val="left"/>
      <w:pPr>
        <w:ind w:left="1530" w:hanging="851"/>
        <w:jc w:val="right"/>
      </w:pPr>
      <w:rPr>
        <w:rFonts w:ascii="Arial" w:eastAsia="Arial" w:hAnsi="Arial" w:cs="Arial" w:hint="default"/>
        <w:b/>
        <w:bCs/>
        <w:color w:val="565555"/>
        <w:spacing w:val="-1"/>
        <w:w w:val="100"/>
        <w:sz w:val="24"/>
        <w:szCs w:val="24"/>
        <w:lang w:val="en-US" w:eastAsia="en-US" w:bidi="ar-SA"/>
      </w:rPr>
    </w:lvl>
    <w:lvl w:ilvl="2">
      <w:start w:val="1"/>
      <w:numFmt w:val="upperLetter"/>
      <w:lvlText w:val="%3."/>
      <w:lvlJc w:val="left"/>
      <w:pPr>
        <w:ind w:left="1387" w:hanging="480"/>
      </w:pPr>
      <w:rPr>
        <w:rFonts w:ascii="Arial" w:eastAsia="Arial" w:hAnsi="Arial" w:cs="Arial" w:hint="default"/>
        <w:w w:val="100"/>
        <w:sz w:val="24"/>
        <w:szCs w:val="24"/>
        <w:lang w:val="en-US" w:eastAsia="en-US" w:bidi="ar-SA"/>
      </w:rPr>
    </w:lvl>
    <w:lvl w:ilvl="3">
      <w:start w:val="1"/>
      <w:numFmt w:val="decimal"/>
      <w:lvlText w:val="%4."/>
      <w:lvlJc w:val="left"/>
      <w:pPr>
        <w:ind w:left="1387" w:hanging="480"/>
      </w:pPr>
      <w:rPr>
        <w:rFonts w:ascii="Arial" w:eastAsia="Arial" w:hAnsi="Arial" w:cs="Arial" w:hint="default"/>
        <w:spacing w:val="-1"/>
        <w:w w:val="100"/>
        <w:sz w:val="24"/>
        <w:szCs w:val="24"/>
        <w:lang w:val="en-US" w:eastAsia="en-US" w:bidi="ar-SA"/>
      </w:rPr>
    </w:lvl>
    <w:lvl w:ilvl="4">
      <w:numFmt w:val="bullet"/>
      <w:lvlText w:val="•"/>
      <w:lvlJc w:val="left"/>
      <w:pPr>
        <w:ind w:left="4768" w:hanging="480"/>
      </w:pPr>
      <w:rPr>
        <w:rFonts w:hint="default"/>
        <w:lang w:val="en-US" w:eastAsia="en-US" w:bidi="ar-SA"/>
      </w:rPr>
    </w:lvl>
    <w:lvl w:ilvl="5">
      <w:numFmt w:val="bullet"/>
      <w:lvlText w:val="•"/>
      <w:lvlJc w:val="left"/>
      <w:pPr>
        <w:ind w:left="5844" w:hanging="480"/>
      </w:pPr>
      <w:rPr>
        <w:rFonts w:hint="default"/>
        <w:lang w:val="en-US" w:eastAsia="en-US" w:bidi="ar-SA"/>
      </w:rPr>
    </w:lvl>
    <w:lvl w:ilvl="6">
      <w:numFmt w:val="bullet"/>
      <w:lvlText w:val="•"/>
      <w:lvlJc w:val="left"/>
      <w:pPr>
        <w:ind w:left="6920" w:hanging="480"/>
      </w:pPr>
      <w:rPr>
        <w:rFonts w:hint="default"/>
        <w:lang w:val="en-US" w:eastAsia="en-US" w:bidi="ar-SA"/>
      </w:rPr>
    </w:lvl>
    <w:lvl w:ilvl="7">
      <w:numFmt w:val="bullet"/>
      <w:lvlText w:val="•"/>
      <w:lvlJc w:val="left"/>
      <w:pPr>
        <w:ind w:left="7997" w:hanging="480"/>
      </w:pPr>
      <w:rPr>
        <w:rFonts w:hint="default"/>
        <w:lang w:val="en-US" w:eastAsia="en-US" w:bidi="ar-SA"/>
      </w:rPr>
    </w:lvl>
    <w:lvl w:ilvl="8">
      <w:numFmt w:val="bullet"/>
      <w:lvlText w:val="•"/>
      <w:lvlJc w:val="left"/>
      <w:pPr>
        <w:ind w:left="9073" w:hanging="480"/>
      </w:pPr>
      <w:rPr>
        <w:rFonts w:hint="default"/>
        <w:lang w:val="en-US" w:eastAsia="en-US" w:bidi="ar-SA"/>
      </w:rPr>
    </w:lvl>
  </w:abstractNum>
  <w:abstractNum w:abstractNumId="6" w15:restartNumberingAfterBreak="0">
    <w:nsid w:val="3D9B2B84"/>
    <w:multiLevelType w:val="hybridMultilevel"/>
    <w:tmpl w:val="995A9C6C"/>
    <w:lvl w:ilvl="0" w:tplc="345C3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B4633"/>
    <w:multiLevelType w:val="hybridMultilevel"/>
    <w:tmpl w:val="8EFE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FE5656"/>
    <w:multiLevelType w:val="hybridMultilevel"/>
    <w:tmpl w:val="D56085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1F0070"/>
    <w:multiLevelType w:val="hybridMultilevel"/>
    <w:tmpl w:val="008EC902"/>
    <w:lvl w:ilvl="0" w:tplc="C52498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290661"/>
    <w:multiLevelType w:val="hybridMultilevel"/>
    <w:tmpl w:val="3B20A776"/>
    <w:lvl w:ilvl="0" w:tplc="D57A47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E800FA"/>
    <w:multiLevelType w:val="hybridMultilevel"/>
    <w:tmpl w:val="BDF28BE8"/>
    <w:lvl w:ilvl="0" w:tplc="E8744B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82603D"/>
    <w:multiLevelType w:val="hybridMultilevel"/>
    <w:tmpl w:val="C9CE68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6B02D9"/>
    <w:multiLevelType w:val="multilevel"/>
    <w:tmpl w:val="C8F60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5302846">
    <w:abstractNumId w:val="11"/>
  </w:num>
  <w:num w:numId="2" w16cid:durableId="181867866">
    <w:abstractNumId w:val="7"/>
  </w:num>
  <w:num w:numId="3" w16cid:durableId="1455128242">
    <w:abstractNumId w:val="2"/>
  </w:num>
  <w:num w:numId="4" w16cid:durableId="1173253089">
    <w:abstractNumId w:val="9"/>
  </w:num>
  <w:num w:numId="5" w16cid:durableId="349530051">
    <w:abstractNumId w:val="0"/>
  </w:num>
  <w:num w:numId="6" w16cid:durableId="1827822742">
    <w:abstractNumId w:val="9"/>
  </w:num>
  <w:num w:numId="7" w16cid:durableId="1105419359">
    <w:abstractNumId w:val="13"/>
  </w:num>
  <w:num w:numId="8" w16cid:durableId="188371055">
    <w:abstractNumId w:val="3"/>
  </w:num>
  <w:num w:numId="9" w16cid:durableId="1150514636">
    <w:abstractNumId w:val="9"/>
  </w:num>
  <w:num w:numId="10" w16cid:durableId="1445811392">
    <w:abstractNumId w:val="9"/>
  </w:num>
  <w:num w:numId="11" w16cid:durableId="2079933146">
    <w:abstractNumId w:val="9"/>
  </w:num>
  <w:num w:numId="12" w16cid:durableId="1609311781">
    <w:abstractNumId w:val="8"/>
  </w:num>
  <w:num w:numId="13" w16cid:durableId="768698567">
    <w:abstractNumId w:val="9"/>
  </w:num>
  <w:num w:numId="14" w16cid:durableId="226310108">
    <w:abstractNumId w:val="9"/>
  </w:num>
  <w:num w:numId="15" w16cid:durableId="2010253138">
    <w:abstractNumId w:val="4"/>
  </w:num>
  <w:num w:numId="16" w16cid:durableId="488135360">
    <w:abstractNumId w:val="9"/>
  </w:num>
  <w:num w:numId="17" w16cid:durableId="2040425884">
    <w:abstractNumId w:val="9"/>
  </w:num>
  <w:num w:numId="18" w16cid:durableId="1144783836">
    <w:abstractNumId w:val="9"/>
  </w:num>
  <w:num w:numId="19" w16cid:durableId="746268739">
    <w:abstractNumId w:val="9"/>
  </w:num>
  <w:num w:numId="20" w16cid:durableId="1200343">
    <w:abstractNumId w:val="5"/>
  </w:num>
  <w:num w:numId="21" w16cid:durableId="532772013">
    <w:abstractNumId w:val="6"/>
  </w:num>
  <w:num w:numId="22" w16cid:durableId="1549301583">
    <w:abstractNumId w:val="12"/>
  </w:num>
  <w:num w:numId="23" w16cid:durableId="1910068747">
    <w:abstractNumId w:val="14"/>
  </w:num>
  <w:num w:numId="24" w16cid:durableId="1965844683">
    <w:abstractNumId w:val="6"/>
  </w:num>
  <w:num w:numId="25" w16cid:durableId="812794020">
    <w:abstractNumId w:val="6"/>
  </w:num>
  <w:num w:numId="26" w16cid:durableId="847519569">
    <w:abstractNumId w:val="10"/>
  </w:num>
  <w:num w:numId="27" w16cid:durableId="633221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E1"/>
    <w:rsid w:val="000057C5"/>
    <w:rsid w:val="000078A3"/>
    <w:rsid w:val="000201A9"/>
    <w:rsid w:val="00043426"/>
    <w:rsid w:val="00054FAA"/>
    <w:rsid w:val="00056D2F"/>
    <w:rsid w:val="000713EA"/>
    <w:rsid w:val="000729BA"/>
    <w:rsid w:val="00073A0B"/>
    <w:rsid w:val="00081107"/>
    <w:rsid w:val="00095D00"/>
    <w:rsid w:val="000A2501"/>
    <w:rsid w:val="000A5F95"/>
    <w:rsid w:val="000B0DA5"/>
    <w:rsid w:val="000B48E0"/>
    <w:rsid w:val="000C3F44"/>
    <w:rsid w:val="000D108F"/>
    <w:rsid w:val="000E4B38"/>
    <w:rsid w:val="000F4084"/>
    <w:rsid w:val="001139AB"/>
    <w:rsid w:val="001260CE"/>
    <w:rsid w:val="00136029"/>
    <w:rsid w:val="001530CB"/>
    <w:rsid w:val="00153C30"/>
    <w:rsid w:val="0015415A"/>
    <w:rsid w:val="00161173"/>
    <w:rsid w:val="00164414"/>
    <w:rsid w:val="001645E4"/>
    <w:rsid w:val="0017449D"/>
    <w:rsid w:val="00174588"/>
    <w:rsid w:val="00175458"/>
    <w:rsid w:val="00183F03"/>
    <w:rsid w:val="001C1649"/>
    <w:rsid w:val="001D3A8A"/>
    <w:rsid w:val="001D5079"/>
    <w:rsid w:val="001E4DB3"/>
    <w:rsid w:val="001F59BF"/>
    <w:rsid w:val="00207897"/>
    <w:rsid w:val="00224535"/>
    <w:rsid w:val="002276E1"/>
    <w:rsid w:val="00235215"/>
    <w:rsid w:val="002546C0"/>
    <w:rsid w:val="002820F8"/>
    <w:rsid w:val="002866C8"/>
    <w:rsid w:val="002F4BA4"/>
    <w:rsid w:val="00302442"/>
    <w:rsid w:val="003148C2"/>
    <w:rsid w:val="00316B7E"/>
    <w:rsid w:val="00320BDD"/>
    <w:rsid w:val="00325C96"/>
    <w:rsid w:val="003268D6"/>
    <w:rsid w:val="00331753"/>
    <w:rsid w:val="003323AE"/>
    <w:rsid w:val="003400F1"/>
    <w:rsid w:val="00345E94"/>
    <w:rsid w:val="0035195C"/>
    <w:rsid w:val="0036569F"/>
    <w:rsid w:val="003735DE"/>
    <w:rsid w:val="00380A3D"/>
    <w:rsid w:val="00380C64"/>
    <w:rsid w:val="003A713B"/>
    <w:rsid w:val="003C1A1C"/>
    <w:rsid w:val="003C1AC9"/>
    <w:rsid w:val="003E1F5E"/>
    <w:rsid w:val="003E4876"/>
    <w:rsid w:val="00407693"/>
    <w:rsid w:val="0041454A"/>
    <w:rsid w:val="0042458F"/>
    <w:rsid w:val="00432BDD"/>
    <w:rsid w:val="00444D39"/>
    <w:rsid w:val="00452CE3"/>
    <w:rsid w:val="00453DE7"/>
    <w:rsid w:val="00476456"/>
    <w:rsid w:val="00481543"/>
    <w:rsid w:val="0048474E"/>
    <w:rsid w:val="004855A5"/>
    <w:rsid w:val="004B7704"/>
    <w:rsid w:val="004C2FF5"/>
    <w:rsid w:val="004C43D4"/>
    <w:rsid w:val="004C5FE1"/>
    <w:rsid w:val="004E2D6B"/>
    <w:rsid w:val="004F121A"/>
    <w:rsid w:val="004F1584"/>
    <w:rsid w:val="0052512D"/>
    <w:rsid w:val="005310E5"/>
    <w:rsid w:val="0056653E"/>
    <w:rsid w:val="00590C62"/>
    <w:rsid w:val="005B341C"/>
    <w:rsid w:val="005C1907"/>
    <w:rsid w:val="005C34FA"/>
    <w:rsid w:val="005E2B5C"/>
    <w:rsid w:val="0060231A"/>
    <w:rsid w:val="00605083"/>
    <w:rsid w:val="00606C0F"/>
    <w:rsid w:val="00610D1B"/>
    <w:rsid w:val="00640624"/>
    <w:rsid w:val="00650DCA"/>
    <w:rsid w:val="00663BCA"/>
    <w:rsid w:val="006732D8"/>
    <w:rsid w:val="006856CD"/>
    <w:rsid w:val="00687DE3"/>
    <w:rsid w:val="00696D12"/>
    <w:rsid w:val="006A3101"/>
    <w:rsid w:val="006A540C"/>
    <w:rsid w:val="006A5FF1"/>
    <w:rsid w:val="006B1298"/>
    <w:rsid w:val="006D2F18"/>
    <w:rsid w:val="006D2F82"/>
    <w:rsid w:val="006D683E"/>
    <w:rsid w:val="006E0B3F"/>
    <w:rsid w:val="006E5FDA"/>
    <w:rsid w:val="006E69FC"/>
    <w:rsid w:val="006F437D"/>
    <w:rsid w:val="00720A71"/>
    <w:rsid w:val="00735548"/>
    <w:rsid w:val="0074222F"/>
    <w:rsid w:val="007518C4"/>
    <w:rsid w:val="0076034D"/>
    <w:rsid w:val="0077185F"/>
    <w:rsid w:val="00786AE3"/>
    <w:rsid w:val="00796432"/>
    <w:rsid w:val="007D512D"/>
    <w:rsid w:val="007E1DDA"/>
    <w:rsid w:val="007E2B3C"/>
    <w:rsid w:val="007F2C2C"/>
    <w:rsid w:val="00815F93"/>
    <w:rsid w:val="00833AEE"/>
    <w:rsid w:val="00842E7B"/>
    <w:rsid w:val="008521A0"/>
    <w:rsid w:val="00852DD3"/>
    <w:rsid w:val="008550C4"/>
    <w:rsid w:val="008724AF"/>
    <w:rsid w:val="00872CAC"/>
    <w:rsid w:val="00881BB7"/>
    <w:rsid w:val="008C5BC4"/>
    <w:rsid w:val="008F0C38"/>
    <w:rsid w:val="008F6134"/>
    <w:rsid w:val="00904A5D"/>
    <w:rsid w:val="00915093"/>
    <w:rsid w:val="00920E83"/>
    <w:rsid w:val="0093420C"/>
    <w:rsid w:val="00957160"/>
    <w:rsid w:val="00970C0D"/>
    <w:rsid w:val="00983EB3"/>
    <w:rsid w:val="009A070E"/>
    <w:rsid w:val="009C566C"/>
    <w:rsid w:val="009C74DA"/>
    <w:rsid w:val="009D0F2F"/>
    <w:rsid w:val="00A12CC3"/>
    <w:rsid w:val="00A16485"/>
    <w:rsid w:val="00A24647"/>
    <w:rsid w:val="00A26773"/>
    <w:rsid w:val="00A31CA8"/>
    <w:rsid w:val="00A3406B"/>
    <w:rsid w:val="00A42AD6"/>
    <w:rsid w:val="00A46CB9"/>
    <w:rsid w:val="00A637E1"/>
    <w:rsid w:val="00A65281"/>
    <w:rsid w:val="00A65DAD"/>
    <w:rsid w:val="00A733C4"/>
    <w:rsid w:val="00A9145E"/>
    <w:rsid w:val="00AA25A6"/>
    <w:rsid w:val="00AA3649"/>
    <w:rsid w:val="00AA3DCE"/>
    <w:rsid w:val="00AB3FD1"/>
    <w:rsid w:val="00AD3FAE"/>
    <w:rsid w:val="00AF043D"/>
    <w:rsid w:val="00AF5891"/>
    <w:rsid w:val="00B1054F"/>
    <w:rsid w:val="00B17200"/>
    <w:rsid w:val="00B351E1"/>
    <w:rsid w:val="00B56BAC"/>
    <w:rsid w:val="00B706D2"/>
    <w:rsid w:val="00B7462D"/>
    <w:rsid w:val="00BA412A"/>
    <w:rsid w:val="00BD71FD"/>
    <w:rsid w:val="00BE2A44"/>
    <w:rsid w:val="00BE38A3"/>
    <w:rsid w:val="00BF5BE4"/>
    <w:rsid w:val="00C15EDB"/>
    <w:rsid w:val="00C20BE4"/>
    <w:rsid w:val="00C46C0E"/>
    <w:rsid w:val="00C5085F"/>
    <w:rsid w:val="00C77423"/>
    <w:rsid w:val="00C83612"/>
    <w:rsid w:val="00CA0993"/>
    <w:rsid w:val="00CA5ABD"/>
    <w:rsid w:val="00CB5CBD"/>
    <w:rsid w:val="00CC59A3"/>
    <w:rsid w:val="00CD4F7C"/>
    <w:rsid w:val="00CE536B"/>
    <w:rsid w:val="00CF190B"/>
    <w:rsid w:val="00D06E83"/>
    <w:rsid w:val="00D2344A"/>
    <w:rsid w:val="00D47A88"/>
    <w:rsid w:val="00D50EFE"/>
    <w:rsid w:val="00D558B7"/>
    <w:rsid w:val="00D777A5"/>
    <w:rsid w:val="00D87B99"/>
    <w:rsid w:val="00D87E8B"/>
    <w:rsid w:val="00DA1A93"/>
    <w:rsid w:val="00DC4CE1"/>
    <w:rsid w:val="00E05032"/>
    <w:rsid w:val="00E23E64"/>
    <w:rsid w:val="00E316C3"/>
    <w:rsid w:val="00E31A0D"/>
    <w:rsid w:val="00E41C70"/>
    <w:rsid w:val="00E45BAE"/>
    <w:rsid w:val="00E520D6"/>
    <w:rsid w:val="00E57DB9"/>
    <w:rsid w:val="00E65E0E"/>
    <w:rsid w:val="00E70B35"/>
    <w:rsid w:val="00E76A31"/>
    <w:rsid w:val="00E82BDE"/>
    <w:rsid w:val="00E873A0"/>
    <w:rsid w:val="00E90A90"/>
    <w:rsid w:val="00E92531"/>
    <w:rsid w:val="00E97A2D"/>
    <w:rsid w:val="00EA55F9"/>
    <w:rsid w:val="00ED2DC4"/>
    <w:rsid w:val="00ED472C"/>
    <w:rsid w:val="00EE5508"/>
    <w:rsid w:val="00F0441A"/>
    <w:rsid w:val="00F11FE7"/>
    <w:rsid w:val="00F132DA"/>
    <w:rsid w:val="00F16596"/>
    <w:rsid w:val="00F3030D"/>
    <w:rsid w:val="00F3330A"/>
    <w:rsid w:val="00F34DDA"/>
    <w:rsid w:val="00F47DA3"/>
    <w:rsid w:val="00F52A33"/>
    <w:rsid w:val="00F55087"/>
    <w:rsid w:val="00F605E1"/>
    <w:rsid w:val="00F84141"/>
    <w:rsid w:val="00FB5DE6"/>
    <w:rsid w:val="00FF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39F2"/>
  <w15:chartTrackingRefBased/>
  <w15:docId w15:val="{709031E1-063B-444E-9FAA-36E98455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C0"/>
  </w:style>
  <w:style w:type="paragraph" w:styleId="Heading1">
    <w:name w:val="heading 1"/>
    <w:basedOn w:val="Normal"/>
    <w:next w:val="Normal"/>
    <w:link w:val="Heading1Char"/>
    <w:autoRedefine/>
    <w:uiPriority w:val="9"/>
    <w:qFormat/>
    <w:rsid w:val="00BD71FD"/>
    <w:pPr>
      <w:keepNext/>
      <w:keepLines/>
      <w:spacing w:before="3000" w:after="0" w:line="240" w:lineRule="auto"/>
      <w:outlineLvl w:val="0"/>
    </w:pPr>
    <w:rPr>
      <w:rFonts w:ascii="Arial" w:eastAsiaTheme="majorEastAsia" w:hAnsi="Arial"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E70B35"/>
    <w:pPr>
      <w:spacing w:before="240" w:after="240" w:line="240" w:lineRule="auto"/>
      <w:outlineLvl w:val="1"/>
    </w:pPr>
    <w:rPr>
      <w:rFonts w:ascii="Arial" w:hAnsi="Arial" w:cs="Arial"/>
      <w:b/>
      <w:bCs/>
      <w:color w:val="2C5060" w:themeColor="accent1"/>
      <w:sz w:val="52"/>
      <w:szCs w:val="40"/>
    </w:rPr>
  </w:style>
  <w:style w:type="paragraph" w:styleId="Heading3">
    <w:name w:val="heading 3"/>
    <w:basedOn w:val="Normal"/>
    <w:next w:val="Normal"/>
    <w:link w:val="Heading3Char"/>
    <w:autoRedefine/>
    <w:uiPriority w:val="9"/>
    <w:unhideWhenUsed/>
    <w:qFormat/>
    <w:rsid w:val="000713EA"/>
    <w:pPr>
      <w:spacing w:after="240" w:line="240" w:lineRule="auto"/>
      <w:outlineLvl w:val="2"/>
    </w:pPr>
    <w:rPr>
      <w:rFonts w:ascii="Arial" w:hAnsi="Arial" w:cs="Arial"/>
      <w:b/>
      <w:bCs/>
      <w:sz w:val="36"/>
      <w:szCs w:val="28"/>
    </w:rPr>
  </w:style>
  <w:style w:type="paragraph" w:styleId="Heading4">
    <w:name w:val="heading 4"/>
    <w:basedOn w:val="Normal"/>
    <w:next w:val="Normal"/>
    <w:link w:val="Heading4Char"/>
    <w:autoRedefine/>
    <w:uiPriority w:val="9"/>
    <w:unhideWhenUsed/>
    <w:qFormat/>
    <w:rsid w:val="009A070E"/>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9A070E"/>
    <w:pPr>
      <w:outlineLvl w:val="4"/>
    </w:pPr>
    <w:rPr>
      <w:rFonts w:cs="Arial"/>
      <w:b/>
      <w:bCs/>
      <w:color w:val="5C5B5A"/>
    </w:rPr>
  </w:style>
  <w:style w:type="character" w:default="1" w:styleId="DefaultParagraphFont">
    <w:name w:val="Default Paragraph Font"/>
    <w:uiPriority w:val="1"/>
    <w:semiHidden/>
    <w:unhideWhenUsed/>
    <w:rsid w:val="002546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46C0"/>
  </w:style>
  <w:style w:type="character" w:customStyle="1" w:styleId="Heading1Char">
    <w:name w:val="Heading 1 Char"/>
    <w:basedOn w:val="DefaultParagraphFont"/>
    <w:link w:val="Heading1"/>
    <w:uiPriority w:val="9"/>
    <w:rsid w:val="00BD71FD"/>
    <w:rPr>
      <w:rFonts w:ascii="Arial" w:eastAsiaTheme="majorEastAsia" w:hAnsi="Arial" w:cs="Arial"/>
      <w:b/>
      <w:bCs/>
      <w:noProof/>
      <w:color w:val="FFFFFF" w:themeColor="background1"/>
      <w:sz w:val="72"/>
      <w:szCs w:val="40"/>
    </w:rPr>
  </w:style>
  <w:style w:type="table" w:styleId="TableGrid">
    <w:name w:val="Table Grid"/>
    <w:aliases w:val="Kate table"/>
    <w:basedOn w:val="TableNormal"/>
    <w:uiPriority w:val="39"/>
    <w:rsid w:val="009A070E"/>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9D0F2F"/>
    <w:pPr>
      <w:numPr>
        <w:numId w:val="27"/>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9D0F2F"/>
  </w:style>
  <w:style w:type="character" w:styleId="CommentReference">
    <w:name w:val="annotation reference"/>
    <w:basedOn w:val="DefaultParagraphFont"/>
    <w:uiPriority w:val="99"/>
    <w:semiHidden/>
    <w:unhideWhenUsed/>
    <w:rsid w:val="009A070E"/>
    <w:rPr>
      <w:sz w:val="16"/>
      <w:szCs w:val="16"/>
    </w:rPr>
  </w:style>
  <w:style w:type="paragraph" w:styleId="CommentText">
    <w:name w:val="annotation text"/>
    <w:basedOn w:val="Normal"/>
    <w:link w:val="CommentTextChar"/>
    <w:uiPriority w:val="99"/>
    <w:unhideWhenUsed/>
    <w:rsid w:val="009A070E"/>
    <w:pPr>
      <w:spacing w:line="240" w:lineRule="auto"/>
    </w:pPr>
    <w:rPr>
      <w:sz w:val="20"/>
      <w:szCs w:val="20"/>
    </w:rPr>
  </w:style>
  <w:style w:type="character" w:customStyle="1" w:styleId="CommentTextChar">
    <w:name w:val="Comment Text Char"/>
    <w:basedOn w:val="DefaultParagraphFont"/>
    <w:link w:val="CommentText"/>
    <w:uiPriority w:val="99"/>
    <w:rsid w:val="009A070E"/>
    <w:rPr>
      <w:rFonts w:ascii="Arial" w:hAnsi="Arial"/>
      <w:sz w:val="20"/>
      <w:szCs w:val="20"/>
    </w:rPr>
  </w:style>
  <w:style w:type="paragraph" w:styleId="Header">
    <w:name w:val="header"/>
    <w:basedOn w:val="Normal"/>
    <w:link w:val="HeaderChar"/>
    <w:uiPriority w:val="99"/>
    <w:unhideWhenUsed/>
    <w:rsid w:val="009A0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70E"/>
    <w:rPr>
      <w:rFonts w:ascii="Arial" w:hAnsi="Arial"/>
      <w:sz w:val="24"/>
      <w:szCs w:val="24"/>
    </w:rPr>
  </w:style>
  <w:style w:type="character" w:styleId="Hyperlink">
    <w:name w:val="Hyperlink"/>
    <w:basedOn w:val="DefaultParagraphFont"/>
    <w:uiPriority w:val="99"/>
    <w:unhideWhenUsed/>
    <w:qFormat/>
    <w:rsid w:val="009A070E"/>
    <w:rPr>
      <w:rFonts w:ascii="Arial" w:hAnsi="Arial"/>
      <w:b/>
      <w:color w:val="D5573B" w:themeColor="accent2"/>
      <w:u w:val="single"/>
    </w:rPr>
  </w:style>
  <w:style w:type="paragraph" w:customStyle="1" w:styleId="PageNumber1">
    <w:name w:val="Page Number1"/>
    <w:basedOn w:val="Footer"/>
    <w:link w:val="PagenumberChar"/>
    <w:qFormat/>
    <w:rsid w:val="009A070E"/>
    <w:pPr>
      <w:jc w:val="right"/>
    </w:pPr>
    <w:rPr>
      <w:b/>
      <w:color w:val="2C5060" w:themeColor="accent1"/>
      <w:sz w:val="28"/>
    </w:rPr>
  </w:style>
  <w:style w:type="character" w:customStyle="1" w:styleId="PagenumberChar">
    <w:name w:val="Page number Char"/>
    <w:basedOn w:val="FooterChar"/>
    <w:link w:val="PageNumber1"/>
    <w:rsid w:val="009A070E"/>
    <w:rPr>
      <w:rFonts w:ascii="Arial" w:hAnsi="Arial"/>
      <w:b/>
      <w:color w:val="2C5060" w:themeColor="accent1"/>
      <w:sz w:val="28"/>
      <w:szCs w:val="24"/>
    </w:rPr>
  </w:style>
  <w:style w:type="paragraph" w:styleId="Footer">
    <w:name w:val="footer"/>
    <w:basedOn w:val="Normal"/>
    <w:link w:val="FooterChar"/>
    <w:autoRedefine/>
    <w:uiPriority w:val="99"/>
    <w:unhideWhenUsed/>
    <w:qFormat/>
    <w:rsid w:val="009A070E"/>
    <w:pPr>
      <w:tabs>
        <w:tab w:val="center" w:pos="4513"/>
        <w:tab w:val="right" w:pos="9026"/>
      </w:tabs>
      <w:spacing w:before="120" w:after="0" w:line="240" w:lineRule="auto"/>
    </w:pPr>
    <w:rPr>
      <w:color w:val="D5573B" w:themeColor="accent2"/>
    </w:rPr>
  </w:style>
  <w:style w:type="character" w:customStyle="1" w:styleId="FooterChar">
    <w:name w:val="Footer Char"/>
    <w:basedOn w:val="DefaultParagraphFont"/>
    <w:link w:val="Footer"/>
    <w:uiPriority w:val="99"/>
    <w:rsid w:val="009A070E"/>
    <w:rPr>
      <w:rFonts w:ascii="Arial" w:hAnsi="Arial"/>
      <w:color w:val="D5573B" w:themeColor="accent2"/>
      <w:sz w:val="24"/>
      <w:szCs w:val="24"/>
    </w:rPr>
  </w:style>
  <w:style w:type="paragraph" w:styleId="Revision">
    <w:name w:val="Revision"/>
    <w:hidden/>
    <w:uiPriority w:val="99"/>
    <w:semiHidden/>
    <w:rsid w:val="009A070E"/>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qFormat/>
    <w:rsid w:val="009A070E"/>
    <w:rPr>
      <w:b/>
      <w:color w:val="323E4F" w:themeColor="text2" w:themeShade="BF"/>
      <w:u w:val="single"/>
    </w:rPr>
  </w:style>
  <w:style w:type="paragraph" w:styleId="CommentSubject">
    <w:name w:val="annotation subject"/>
    <w:basedOn w:val="CommentText"/>
    <w:next w:val="CommentText"/>
    <w:link w:val="CommentSubjectChar"/>
    <w:uiPriority w:val="99"/>
    <w:semiHidden/>
    <w:unhideWhenUsed/>
    <w:rsid w:val="009A070E"/>
    <w:rPr>
      <w:b/>
      <w:bCs/>
    </w:rPr>
  </w:style>
  <w:style w:type="character" w:customStyle="1" w:styleId="CommentSubjectChar">
    <w:name w:val="Comment Subject Char"/>
    <w:basedOn w:val="CommentTextChar"/>
    <w:link w:val="CommentSubject"/>
    <w:uiPriority w:val="99"/>
    <w:semiHidden/>
    <w:rsid w:val="009A070E"/>
    <w:rPr>
      <w:rFonts w:ascii="Arial" w:hAnsi="Arial"/>
      <w:b/>
      <w:bCs/>
      <w:sz w:val="20"/>
      <w:szCs w:val="20"/>
    </w:rPr>
  </w:style>
  <w:style w:type="character" w:customStyle="1" w:styleId="Heading2Char">
    <w:name w:val="Heading 2 Char"/>
    <w:basedOn w:val="DefaultParagraphFont"/>
    <w:link w:val="Heading2"/>
    <w:uiPriority w:val="9"/>
    <w:rsid w:val="00E70B35"/>
    <w:rPr>
      <w:rFonts w:ascii="Arial" w:hAnsi="Arial" w:cs="Arial"/>
      <w:b/>
      <w:bCs/>
      <w:color w:val="2C5060" w:themeColor="accent1"/>
      <w:sz w:val="52"/>
      <w:szCs w:val="40"/>
    </w:rPr>
  </w:style>
  <w:style w:type="character" w:customStyle="1" w:styleId="Heading3Char">
    <w:name w:val="Heading 3 Char"/>
    <w:basedOn w:val="DefaultParagraphFont"/>
    <w:link w:val="Heading3"/>
    <w:uiPriority w:val="9"/>
    <w:rsid w:val="000713EA"/>
    <w:rPr>
      <w:rFonts w:ascii="Arial" w:hAnsi="Arial" w:cs="Arial"/>
      <w:b/>
      <w:bCs/>
      <w:sz w:val="36"/>
      <w:szCs w:val="28"/>
    </w:rPr>
  </w:style>
  <w:style w:type="character" w:customStyle="1" w:styleId="Heading4Char">
    <w:name w:val="Heading 4 Char"/>
    <w:basedOn w:val="DefaultParagraphFont"/>
    <w:link w:val="Heading4"/>
    <w:uiPriority w:val="9"/>
    <w:rsid w:val="009A070E"/>
    <w:rPr>
      <w:rFonts w:ascii="Arial" w:hAnsi="Arial" w:cstheme="minorHAnsi"/>
      <w:b/>
      <w:color w:val="5C5B5A"/>
      <w:sz w:val="28"/>
      <w:szCs w:val="24"/>
    </w:rPr>
  </w:style>
  <w:style w:type="character" w:customStyle="1" w:styleId="Heading5Char">
    <w:name w:val="Heading 5 Char"/>
    <w:basedOn w:val="DefaultParagraphFont"/>
    <w:link w:val="Heading5"/>
    <w:uiPriority w:val="9"/>
    <w:rsid w:val="009A070E"/>
    <w:rPr>
      <w:rFonts w:ascii="Arial" w:hAnsi="Arial" w:cs="Arial"/>
      <w:b/>
      <w:bCs/>
      <w:color w:val="5C5B5A"/>
      <w:sz w:val="24"/>
      <w:szCs w:val="24"/>
    </w:rPr>
  </w:style>
  <w:style w:type="paragraph" w:styleId="NoSpacing">
    <w:name w:val="No Spacing"/>
    <w:link w:val="NoSpacingChar"/>
    <w:autoRedefine/>
    <w:uiPriority w:val="1"/>
    <w:qFormat/>
    <w:rsid w:val="009A070E"/>
    <w:pPr>
      <w:spacing w:after="0" w:line="240" w:lineRule="auto"/>
    </w:pPr>
    <w:rPr>
      <w:rFonts w:ascii="Arial" w:hAnsi="Arial"/>
      <w:color w:val="262626" w:themeColor="text1" w:themeTint="D9"/>
      <w:sz w:val="24"/>
      <w:szCs w:val="24"/>
    </w:rPr>
  </w:style>
  <w:style w:type="paragraph" w:styleId="Title">
    <w:name w:val="Title"/>
    <w:basedOn w:val="Normal"/>
    <w:next w:val="Normal"/>
    <w:link w:val="TitleChar"/>
    <w:uiPriority w:val="10"/>
    <w:qFormat/>
    <w:rsid w:val="009A070E"/>
    <w:pPr>
      <w:spacing w:after="280" w:line="780" w:lineRule="exact"/>
    </w:pPr>
    <w:rPr>
      <w:color w:val="FFFFFF" w:themeColor="background1"/>
      <w:sz w:val="65"/>
      <w:szCs w:val="65"/>
    </w:rPr>
  </w:style>
  <w:style w:type="character" w:customStyle="1" w:styleId="TitleChar">
    <w:name w:val="Title Char"/>
    <w:basedOn w:val="DefaultParagraphFont"/>
    <w:link w:val="Title"/>
    <w:uiPriority w:val="10"/>
    <w:rsid w:val="009A070E"/>
    <w:rPr>
      <w:color w:val="FFFFFF" w:themeColor="background1"/>
      <w:sz w:val="65"/>
      <w:szCs w:val="65"/>
    </w:rPr>
  </w:style>
  <w:style w:type="paragraph" w:customStyle="1" w:styleId="Whitecoverelement">
    <w:name w:val="White cover element"/>
    <w:basedOn w:val="Normal"/>
    <w:link w:val="WhitecoverelementChar"/>
    <w:autoRedefine/>
    <w:rsid w:val="009A070E"/>
    <w:rPr>
      <w:b/>
      <w:color w:val="FFFFFF" w:themeColor="background1"/>
      <w:sz w:val="36"/>
    </w:rPr>
  </w:style>
  <w:style w:type="character" w:customStyle="1" w:styleId="WhitecoverelementChar">
    <w:name w:val="White cover element Char"/>
    <w:basedOn w:val="DefaultParagraphFont"/>
    <w:link w:val="Whitecoverelement"/>
    <w:rsid w:val="009A070E"/>
    <w:rPr>
      <w:rFonts w:ascii="Arial" w:hAnsi="Arial"/>
      <w:b/>
      <w:color w:val="FFFFFF" w:themeColor="background1"/>
      <w:sz w:val="36"/>
      <w:szCs w:val="24"/>
    </w:rPr>
  </w:style>
  <w:style w:type="paragraph" w:customStyle="1" w:styleId="Whitesmall">
    <w:name w:val="White small"/>
    <w:basedOn w:val="Normal"/>
    <w:link w:val="WhitesmallChar"/>
    <w:autoRedefine/>
    <w:rsid w:val="009A070E"/>
    <w:rPr>
      <w:color w:val="FFFFFF" w:themeColor="background1"/>
      <w:sz w:val="32"/>
    </w:rPr>
  </w:style>
  <w:style w:type="character" w:customStyle="1" w:styleId="WhitesmallChar">
    <w:name w:val="White small Char"/>
    <w:basedOn w:val="DefaultParagraphFont"/>
    <w:link w:val="Whitesmall"/>
    <w:rsid w:val="009A070E"/>
    <w:rPr>
      <w:rFonts w:ascii="Arial" w:hAnsi="Arial"/>
      <w:color w:val="FFFFFF" w:themeColor="background1"/>
      <w:sz w:val="32"/>
      <w:szCs w:val="24"/>
    </w:rPr>
  </w:style>
  <w:style w:type="character" w:styleId="FootnoteReference">
    <w:name w:val="footnote reference"/>
    <w:basedOn w:val="DefaultParagraphFont"/>
    <w:uiPriority w:val="99"/>
    <w:unhideWhenUsed/>
    <w:qFormat/>
    <w:rsid w:val="009A070E"/>
    <w:rPr>
      <w:rFonts w:ascii="Arial" w:hAnsi="Arial"/>
      <w:sz w:val="24"/>
      <w:bdr w:val="none" w:sz="0" w:space="0" w:color="auto"/>
      <w:vertAlign w:val="superscript"/>
    </w:rPr>
  </w:style>
  <w:style w:type="paragraph" w:styleId="BalloonText">
    <w:name w:val="Balloon Text"/>
    <w:basedOn w:val="Normal"/>
    <w:link w:val="BalloonTextChar"/>
    <w:uiPriority w:val="99"/>
    <w:semiHidden/>
    <w:unhideWhenUsed/>
    <w:rsid w:val="009A0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0E"/>
    <w:rPr>
      <w:rFonts w:ascii="Segoe UI" w:hAnsi="Segoe UI" w:cs="Segoe UI"/>
      <w:sz w:val="18"/>
      <w:szCs w:val="18"/>
    </w:rPr>
  </w:style>
  <w:style w:type="paragraph" w:customStyle="1" w:styleId="Default">
    <w:name w:val="Default"/>
    <w:rsid w:val="009A070E"/>
    <w:pPr>
      <w:autoSpaceDE w:val="0"/>
      <w:autoSpaceDN w:val="0"/>
      <w:adjustRightInd w:val="0"/>
      <w:spacing w:after="0" w:line="240" w:lineRule="auto"/>
    </w:pPr>
    <w:rPr>
      <w:rFonts w:ascii="FGAZL W+ Colfax" w:hAnsi="FGAZL W+ Colfax" w:cs="FGAZL W+ Colfax"/>
      <w:color w:val="000000"/>
      <w:sz w:val="24"/>
      <w:szCs w:val="24"/>
    </w:rPr>
  </w:style>
  <w:style w:type="character" w:styleId="EndnoteReference">
    <w:name w:val="endnote reference"/>
    <w:basedOn w:val="DefaultParagraphFont"/>
    <w:uiPriority w:val="99"/>
    <w:semiHidden/>
    <w:unhideWhenUsed/>
    <w:rsid w:val="009A070E"/>
    <w:rPr>
      <w:vertAlign w:val="superscript"/>
    </w:rPr>
  </w:style>
  <w:style w:type="paragraph" w:styleId="EndnoteText">
    <w:name w:val="endnote text"/>
    <w:basedOn w:val="Normal"/>
    <w:link w:val="EndnoteTextChar"/>
    <w:uiPriority w:val="99"/>
    <w:semiHidden/>
    <w:unhideWhenUsed/>
    <w:rsid w:val="009A07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070E"/>
    <w:rPr>
      <w:rFonts w:ascii="Arial" w:hAnsi="Arial"/>
      <w:sz w:val="20"/>
      <w:szCs w:val="20"/>
    </w:rPr>
  </w:style>
  <w:style w:type="character" w:customStyle="1" w:styleId="eop">
    <w:name w:val="eop"/>
    <w:basedOn w:val="DefaultParagraphFont"/>
    <w:rsid w:val="009A070E"/>
  </w:style>
  <w:style w:type="paragraph" w:styleId="FootnoteText">
    <w:name w:val="footnote text"/>
    <w:basedOn w:val="Normal"/>
    <w:link w:val="FootnoteTextChar"/>
    <w:uiPriority w:val="99"/>
    <w:unhideWhenUsed/>
    <w:rsid w:val="009A070E"/>
    <w:pPr>
      <w:spacing w:after="0" w:line="240" w:lineRule="auto"/>
    </w:pPr>
    <w:rPr>
      <w:sz w:val="20"/>
      <w:szCs w:val="20"/>
    </w:rPr>
  </w:style>
  <w:style w:type="character" w:customStyle="1" w:styleId="FootnoteTextChar">
    <w:name w:val="Footnote Text Char"/>
    <w:basedOn w:val="DefaultParagraphFont"/>
    <w:link w:val="FootnoteText"/>
    <w:uiPriority w:val="99"/>
    <w:rsid w:val="009A070E"/>
    <w:rPr>
      <w:rFonts w:ascii="Arial" w:hAnsi="Arial"/>
      <w:sz w:val="20"/>
      <w:szCs w:val="20"/>
    </w:rPr>
  </w:style>
  <w:style w:type="paragraph" w:styleId="NormalWeb">
    <w:name w:val="Normal (Web)"/>
    <w:aliases w:val="Numbered paragraphs"/>
    <w:basedOn w:val="Normal"/>
    <w:autoRedefine/>
    <w:uiPriority w:val="99"/>
    <w:unhideWhenUsed/>
    <w:rsid w:val="009A070E"/>
    <w:pPr>
      <w:numPr>
        <w:numId w:val="22"/>
      </w:numPr>
      <w:shd w:val="clear" w:color="auto" w:fill="FFFFFF"/>
      <w:spacing w:after="225"/>
    </w:pPr>
    <w:rPr>
      <w:rFonts w:eastAsia="Times New Roman"/>
      <w:lang w:eastAsia="en-GB"/>
    </w:rPr>
  </w:style>
  <w:style w:type="character" w:customStyle="1" w:styleId="normaltextrun">
    <w:name w:val="normaltextrun"/>
    <w:basedOn w:val="DefaultParagraphFont"/>
    <w:rsid w:val="009A070E"/>
  </w:style>
  <w:style w:type="paragraph" w:customStyle="1" w:styleId="paragraph">
    <w:name w:val="paragraph"/>
    <w:basedOn w:val="Normal"/>
    <w:rsid w:val="009A070E"/>
    <w:pPr>
      <w:spacing w:before="100" w:beforeAutospacing="1" w:after="100" w:afterAutospacing="1" w:line="240" w:lineRule="auto"/>
    </w:pPr>
    <w:rPr>
      <w:rFonts w:ascii="Times New Roman" w:eastAsia="Times New Roman" w:hAnsi="Times New Roman"/>
      <w:lang w:eastAsia="en-GB"/>
    </w:rPr>
  </w:style>
  <w:style w:type="table" w:styleId="PlainTable1">
    <w:name w:val="Plain Table 1"/>
    <w:basedOn w:val="TableNormal"/>
    <w:uiPriority w:val="41"/>
    <w:rsid w:val="009A070E"/>
    <w:pPr>
      <w:spacing w:after="0" w:line="240" w:lineRule="auto"/>
    </w:pPr>
    <w:rPr>
      <w:rFonts w:ascii="Arial" w:hAnsi="Arial"/>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rsid w:val="009A070E"/>
    <w:rPr>
      <w:b/>
      <w:bCs/>
    </w:rPr>
  </w:style>
  <w:style w:type="paragraph" w:styleId="Subtitle">
    <w:name w:val="Subtitle"/>
    <w:basedOn w:val="Normal"/>
    <w:next w:val="Normal"/>
    <w:link w:val="SubtitleChar"/>
    <w:uiPriority w:val="11"/>
    <w:qFormat/>
    <w:rsid w:val="009A070E"/>
    <w:rPr>
      <w:b/>
      <w:bCs/>
      <w:color w:val="FFFFFF" w:themeColor="background1"/>
      <w:sz w:val="32"/>
      <w:szCs w:val="28"/>
    </w:rPr>
  </w:style>
  <w:style w:type="character" w:customStyle="1" w:styleId="SubtitleChar">
    <w:name w:val="Subtitle Char"/>
    <w:basedOn w:val="DefaultParagraphFont"/>
    <w:link w:val="Subtitle"/>
    <w:uiPriority w:val="11"/>
    <w:rsid w:val="009A070E"/>
    <w:rPr>
      <w:rFonts w:ascii="Arial" w:hAnsi="Arial"/>
      <w:b/>
      <w:bCs/>
      <w:color w:val="FFFFFF" w:themeColor="background1"/>
      <w:sz w:val="32"/>
      <w:szCs w:val="28"/>
    </w:rPr>
  </w:style>
  <w:style w:type="paragraph" w:styleId="TOC1">
    <w:name w:val="toc 1"/>
    <w:basedOn w:val="Normal"/>
    <w:next w:val="Normal"/>
    <w:autoRedefine/>
    <w:uiPriority w:val="39"/>
    <w:unhideWhenUsed/>
    <w:rsid w:val="009A070E"/>
    <w:pPr>
      <w:tabs>
        <w:tab w:val="right" w:leader="dot" w:pos="9016"/>
      </w:tabs>
      <w:spacing w:after="100"/>
    </w:pPr>
    <w:rPr>
      <w:rFonts w:eastAsiaTheme="minorEastAsia"/>
      <w:bCs/>
      <w:noProof/>
      <w:lang w:val="en-US"/>
    </w:rPr>
  </w:style>
  <w:style w:type="paragraph" w:styleId="TOC2">
    <w:name w:val="toc 2"/>
    <w:basedOn w:val="Normal"/>
    <w:next w:val="Normal"/>
    <w:autoRedefine/>
    <w:uiPriority w:val="39"/>
    <w:unhideWhenUsed/>
    <w:rsid w:val="009A070E"/>
    <w:pPr>
      <w:spacing w:after="100"/>
    </w:pPr>
    <w:rPr>
      <w:rFonts w:eastAsiaTheme="minorEastAsia"/>
      <w:lang w:val="en-US"/>
    </w:rPr>
  </w:style>
  <w:style w:type="paragraph" w:styleId="TOC3">
    <w:name w:val="toc 3"/>
    <w:basedOn w:val="Normal"/>
    <w:next w:val="Normal"/>
    <w:autoRedefine/>
    <w:uiPriority w:val="39"/>
    <w:unhideWhenUsed/>
    <w:rsid w:val="009A070E"/>
    <w:pPr>
      <w:spacing w:after="100"/>
    </w:pPr>
    <w:rPr>
      <w:rFonts w:eastAsiaTheme="minorEastAsia"/>
      <w:lang w:val="en-US"/>
    </w:rPr>
  </w:style>
  <w:style w:type="paragraph" w:styleId="TOCHeading">
    <w:name w:val="TOC Heading"/>
    <w:basedOn w:val="Heading1"/>
    <w:next w:val="Normal"/>
    <w:uiPriority w:val="39"/>
    <w:unhideWhenUsed/>
    <w:rsid w:val="009A070E"/>
    <w:pPr>
      <w:outlineLvl w:val="9"/>
    </w:pPr>
    <w:rPr>
      <w:rFonts w:asciiTheme="majorHAnsi" w:hAnsiTheme="majorHAnsi" w:cstheme="majorBidi"/>
      <w:b w:val="0"/>
      <w:bCs w:val="0"/>
      <w:noProof w:val="0"/>
      <w:color w:val="213B47" w:themeColor="accent1" w:themeShade="BF"/>
      <w:sz w:val="32"/>
      <w:lang w:val="en-US"/>
    </w:rPr>
  </w:style>
  <w:style w:type="character" w:styleId="UnresolvedMention">
    <w:name w:val="Unresolved Mention"/>
    <w:basedOn w:val="DefaultParagraphFont"/>
    <w:uiPriority w:val="99"/>
    <w:semiHidden/>
    <w:unhideWhenUsed/>
    <w:rsid w:val="009A070E"/>
    <w:rPr>
      <w:color w:val="605E5C"/>
      <w:shd w:val="clear" w:color="auto" w:fill="E1DFDD"/>
    </w:rPr>
  </w:style>
  <w:style w:type="table" w:customStyle="1" w:styleId="Katestable">
    <w:name w:val="Kate's table"/>
    <w:basedOn w:val="TableNormal"/>
    <w:uiPriority w:val="99"/>
    <w:rsid w:val="009A070E"/>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imageindent">
    <w:name w:val="Inline image indent"/>
    <w:basedOn w:val="Normal"/>
    <w:link w:val="InlineimageindentChar"/>
    <w:autoRedefine/>
    <w:rsid w:val="009A070E"/>
    <w:pPr>
      <w:ind w:left="709"/>
    </w:pPr>
    <w:rPr>
      <w:rFonts w:cs="Arial"/>
    </w:rPr>
  </w:style>
  <w:style w:type="character" w:customStyle="1" w:styleId="InlineimageindentChar">
    <w:name w:val="Inline image indent Char"/>
    <w:basedOn w:val="DefaultParagraphFont"/>
    <w:link w:val="Inlineimageindent"/>
    <w:rsid w:val="009A070E"/>
    <w:rPr>
      <w:rFonts w:ascii="Arial" w:hAnsi="Arial" w:cs="Arial"/>
      <w:sz w:val="24"/>
      <w:szCs w:val="24"/>
    </w:rPr>
  </w:style>
  <w:style w:type="paragraph" w:styleId="BodyText">
    <w:name w:val="Body Text"/>
    <w:basedOn w:val="Normal"/>
    <w:link w:val="BodyTextChar"/>
    <w:uiPriority w:val="99"/>
    <w:semiHidden/>
    <w:unhideWhenUsed/>
    <w:rsid w:val="009A070E"/>
    <w:pPr>
      <w:spacing w:after="120"/>
    </w:pPr>
  </w:style>
  <w:style w:type="character" w:customStyle="1" w:styleId="BodyTextChar">
    <w:name w:val="Body Text Char"/>
    <w:basedOn w:val="DefaultParagraphFont"/>
    <w:link w:val="BodyText"/>
    <w:uiPriority w:val="99"/>
    <w:semiHidden/>
    <w:rsid w:val="009A070E"/>
    <w:rPr>
      <w:rFonts w:ascii="Arial" w:hAnsi="Arial"/>
      <w:sz w:val="24"/>
      <w:szCs w:val="24"/>
    </w:rPr>
  </w:style>
  <w:style w:type="character" w:customStyle="1" w:styleId="NoSpacingChar">
    <w:name w:val="No Spacing Char"/>
    <w:basedOn w:val="DefaultParagraphFont"/>
    <w:link w:val="NoSpacing"/>
    <w:uiPriority w:val="1"/>
    <w:rsid w:val="009A070E"/>
    <w:rPr>
      <w:rFonts w:ascii="Arial" w:hAnsi="Arial"/>
      <w:color w:val="262626" w:themeColor="text1" w:themeTint="D9"/>
      <w:sz w:val="24"/>
      <w:szCs w:val="24"/>
    </w:rPr>
  </w:style>
  <w:style w:type="table" w:customStyle="1" w:styleId="KL-table">
    <w:name w:val="KL-table"/>
    <w:basedOn w:val="TableNormal"/>
    <w:uiPriority w:val="99"/>
    <w:rsid w:val="009A070E"/>
    <w:pPr>
      <w:spacing w:after="0" w:line="240" w:lineRule="auto"/>
    </w:pPr>
    <w:rPr>
      <w:rFonts w:ascii="Arial" w:hAnsi="Arial"/>
      <w:sz w:val="24"/>
      <w:szCs w:val="24"/>
    </w:rPr>
    <w:tblPr/>
  </w:style>
  <w:style w:type="table" w:styleId="GridTable5Dark-Accent1">
    <w:name w:val="Grid Table 5 Dark Accent 1"/>
    <w:basedOn w:val="TableNormal"/>
    <w:uiPriority w:val="50"/>
    <w:rsid w:val="009A07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F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50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50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50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5060" w:themeFill="accent1"/>
      </w:tcPr>
    </w:tblStylePr>
    <w:tblStylePr w:type="band1Vert">
      <w:tblPr/>
      <w:tcPr>
        <w:shd w:val="clear" w:color="auto" w:fill="99BFD0" w:themeFill="accent1" w:themeFillTint="66"/>
      </w:tcPr>
    </w:tblStylePr>
    <w:tblStylePr w:type="band1Horz">
      <w:tblPr/>
      <w:tcPr>
        <w:shd w:val="clear" w:color="auto" w:fill="99BFD0" w:themeFill="accent1" w:themeFillTint="66"/>
      </w:tcPr>
    </w:tblStylePr>
  </w:style>
  <w:style w:type="paragraph" w:customStyle="1" w:styleId="Frontpagesub-title">
    <w:name w:val="Front page sub-title"/>
    <w:basedOn w:val="Normal"/>
    <w:link w:val="Frontpagesub-titleChar"/>
    <w:autoRedefine/>
    <w:qFormat/>
    <w:rsid w:val="0015415A"/>
    <w:pPr>
      <w:spacing w:before="1200" w:line="240" w:lineRule="auto"/>
      <w:contextualSpacing/>
    </w:pPr>
    <w:rPr>
      <w:color w:val="FFFFFF" w:themeColor="background1"/>
      <w:sz w:val="36"/>
      <w:szCs w:val="32"/>
    </w:rPr>
  </w:style>
  <w:style w:type="character" w:customStyle="1" w:styleId="Frontpagesub-titleChar">
    <w:name w:val="Front page sub-title Char"/>
    <w:basedOn w:val="DefaultParagraphFont"/>
    <w:link w:val="Frontpagesub-title"/>
    <w:rsid w:val="0015415A"/>
    <w:rPr>
      <w:color w:val="FFFFFF" w:themeColor="background1"/>
      <w:sz w:val="36"/>
      <w:szCs w:val="32"/>
    </w:rPr>
  </w:style>
  <w:style w:type="paragraph" w:customStyle="1" w:styleId="pf0">
    <w:name w:val="pf0"/>
    <w:basedOn w:val="Normal"/>
    <w:rsid w:val="00DC4CE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DC4C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7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releases/housingcensus2021inenglandandwales" TargetMode="Externa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hyperlink" Target="https://www.ons.gov.uk/releases/housingcensus2021inenglandandwales" TargetMode="External"/><Relationship Id="rId17" Type="http://schemas.openxmlformats.org/officeDocument/2006/relationships/hyperlink" Target="https://www.nomisweb.co.uk/sources/census_202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ata.gov.uk/dataset/025f9f5b-168d-4a6b-baad-1a5fb50b2b0c/income-deprivation-affecting-older-people-idaop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omisweb.co.uk/sources/census_2021"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hyperlink" Target="https://www.nomisweb.co.uk/sources/census_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nomisweb.co.uk/sources/census_202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mfs.local\gmca\gmca_data\Secure%20Folders\Research\Work\Projects\Reform\PSR2302_Ageing\2023-02-20,%20Census%20Group%20(Ageing)\Version%201%20-%20Ageing\IDAPOI\File_3_-_IoD2019_Supplementary_Indices_-_IDACI_and_IDAOPI%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fs.local\gmca\gmca_data\Secure%20Folders\Research\Work\Projects\Reform\PSR2302_Ageing\2023-02-20,%20Census%20Group%20(Ageing)\Version%203%20-%20Corrected\Truncated%20-%20Website\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gmfs.local\gmca\gmca_data\Secure%20Folders\Research\Work\Projects\Reform\PSR2302_Ageing\2023-02-20,%20Census%20Group%20(Ageing)\2023-03-22,%20Online%20version\Final\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IDAOPI_Districts!$B$15</c:f>
              <c:strCache>
                <c:ptCount val="1"/>
                <c:pt idx="0">
                  <c:v>Most deprived Deciles (1 - 3)</c:v>
                </c:pt>
              </c:strCache>
            </c:strRef>
          </c:tx>
          <c:spPr>
            <a:solidFill>
              <a:srgbClr val="2D516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IDAOPI_Districts!$A$16:$A$25</c:f>
              <c:strCache>
                <c:ptCount val="10"/>
                <c:pt idx="0">
                  <c:v>Manchester</c:v>
                </c:pt>
                <c:pt idx="1">
                  <c:v>Wigan</c:v>
                </c:pt>
                <c:pt idx="2">
                  <c:v>Bolton</c:v>
                </c:pt>
                <c:pt idx="3">
                  <c:v>Tameside</c:v>
                </c:pt>
                <c:pt idx="4">
                  <c:v>Salford</c:v>
                </c:pt>
                <c:pt idx="5">
                  <c:v>Oldham</c:v>
                </c:pt>
                <c:pt idx="6">
                  <c:v>Stockport</c:v>
                </c:pt>
                <c:pt idx="7">
                  <c:v>Rochdale</c:v>
                </c:pt>
                <c:pt idx="8">
                  <c:v>Bury</c:v>
                </c:pt>
                <c:pt idx="9">
                  <c:v>Trafford</c:v>
                </c:pt>
              </c:strCache>
            </c:strRef>
          </c:cat>
          <c:val>
            <c:numRef>
              <c:f>IDAOPI_Districts!$B$16:$B$25</c:f>
              <c:numCache>
                <c:formatCode>0.0%</c:formatCode>
                <c:ptCount val="10"/>
                <c:pt idx="0">
                  <c:v>0.23530820291186297</c:v>
                </c:pt>
                <c:pt idx="1">
                  <c:v>0.16301800581744527</c:v>
                </c:pt>
                <c:pt idx="2">
                  <c:v>0.13501811572869193</c:v>
                </c:pt>
                <c:pt idx="3">
                  <c:v>9.3985892106409785E-2</c:v>
                </c:pt>
                <c:pt idx="4">
                  <c:v>7.7719027599499113E-2</c:v>
                </c:pt>
                <c:pt idx="5">
                  <c:v>7.5387339009464149E-2</c:v>
                </c:pt>
                <c:pt idx="6">
                  <c:v>7.0900604904396841E-2</c:v>
                </c:pt>
                <c:pt idx="7">
                  <c:v>6.994673229938253E-2</c:v>
                </c:pt>
                <c:pt idx="8">
                  <c:v>4.2629862100639446E-2</c:v>
                </c:pt>
                <c:pt idx="9">
                  <c:v>3.6086217522207961E-2</c:v>
                </c:pt>
              </c:numCache>
            </c:numRef>
          </c:val>
          <c:extLst>
            <c:ext xmlns:c16="http://schemas.microsoft.com/office/drawing/2014/chart" uri="{C3380CC4-5D6E-409C-BE32-E72D297353CC}">
              <c16:uniqueId val="{00000000-CEEC-4976-B8E0-16570683A9A2}"/>
            </c:ext>
          </c:extLst>
        </c:ser>
        <c:dLbls>
          <c:showLegendKey val="0"/>
          <c:showVal val="0"/>
          <c:showCatName val="0"/>
          <c:showSerName val="0"/>
          <c:showPercent val="0"/>
          <c:showBubbleSize val="0"/>
        </c:dLbls>
        <c:gapWidth val="30"/>
        <c:overlap val="-27"/>
        <c:axId val="955709119"/>
        <c:axId val="955696223"/>
      </c:barChart>
      <c:catAx>
        <c:axId val="955709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55696223"/>
        <c:crosses val="autoZero"/>
        <c:auto val="1"/>
        <c:lblAlgn val="ctr"/>
        <c:lblOffset val="100"/>
        <c:noMultiLvlLbl val="0"/>
      </c:catAx>
      <c:valAx>
        <c:axId val="955696223"/>
        <c:scaling>
          <c:orientation val="minMax"/>
          <c:max val="0.30000000000000004"/>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557091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Tableau_Gender!$C$9</c:f>
              <c:strCache>
                <c:ptCount val="1"/>
                <c:pt idx="0">
                  <c:v>Male</c:v>
                </c:pt>
              </c:strCache>
            </c:strRef>
          </c:tx>
          <c:spPr>
            <a:solidFill>
              <a:srgbClr val="2D516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Tableau_Gender!$A$10:$B$15</c:f>
              <c:multiLvlStrCache>
                <c:ptCount val="6"/>
                <c:lvl>
                  <c:pt idx="0">
                    <c:v>2011</c:v>
                  </c:pt>
                  <c:pt idx="1">
                    <c:v>2021</c:v>
                  </c:pt>
                  <c:pt idx="2">
                    <c:v>2011</c:v>
                  </c:pt>
                  <c:pt idx="3">
                    <c:v>2021</c:v>
                  </c:pt>
                  <c:pt idx="4">
                    <c:v>2011</c:v>
                  </c:pt>
                  <c:pt idx="5">
                    <c:v>2021</c:v>
                  </c:pt>
                </c:lvl>
                <c:lvl>
                  <c:pt idx="0">
                    <c:v>Aged 55 and over</c:v>
                  </c:pt>
                  <c:pt idx="2">
                    <c:v>Aged 65 and over</c:v>
                  </c:pt>
                  <c:pt idx="4">
                    <c:v>Aged 75 and over</c:v>
                  </c:pt>
                </c:lvl>
              </c:multiLvlStrCache>
            </c:multiLvlStrRef>
          </c:cat>
          <c:val>
            <c:numRef>
              <c:f>Tableau_Gender!$C$10:$C$15</c:f>
              <c:numCache>
                <c:formatCode>0.0%</c:formatCode>
                <c:ptCount val="6"/>
                <c:pt idx="0">
                  <c:v>0.4672431213483475</c:v>
                </c:pt>
                <c:pt idx="1">
                  <c:v>0.47523479199771829</c:v>
                </c:pt>
                <c:pt idx="2">
                  <c:v>0.44052197696466189</c:v>
                </c:pt>
                <c:pt idx="3">
                  <c:v>0.45903962572646434</c:v>
                </c:pt>
                <c:pt idx="4">
                  <c:v>0.39516666760053565</c:v>
                </c:pt>
                <c:pt idx="5">
                  <c:v>0.42634529642872909</c:v>
                </c:pt>
              </c:numCache>
            </c:numRef>
          </c:val>
          <c:extLst>
            <c:ext xmlns:c16="http://schemas.microsoft.com/office/drawing/2014/chart" uri="{C3380CC4-5D6E-409C-BE32-E72D297353CC}">
              <c16:uniqueId val="{00000000-619A-4E44-A0F3-7BF01575B762}"/>
            </c:ext>
          </c:extLst>
        </c:ser>
        <c:ser>
          <c:idx val="1"/>
          <c:order val="1"/>
          <c:tx>
            <c:strRef>
              <c:f>Tableau_Gender!$D$9</c:f>
              <c:strCache>
                <c:ptCount val="1"/>
                <c:pt idx="0">
                  <c:v>Female</c:v>
                </c:pt>
              </c:strCache>
            </c:strRef>
          </c:tx>
          <c:spPr>
            <a:solidFill>
              <a:srgbClr val="D5573B"/>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Tableau_Gender!$A$10:$B$15</c:f>
              <c:multiLvlStrCache>
                <c:ptCount val="6"/>
                <c:lvl>
                  <c:pt idx="0">
                    <c:v>2011</c:v>
                  </c:pt>
                  <c:pt idx="1">
                    <c:v>2021</c:v>
                  </c:pt>
                  <c:pt idx="2">
                    <c:v>2011</c:v>
                  </c:pt>
                  <c:pt idx="3">
                    <c:v>2021</c:v>
                  </c:pt>
                  <c:pt idx="4">
                    <c:v>2011</c:v>
                  </c:pt>
                  <c:pt idx="5">
                    <c:v>2021</c:v>
                  </c:pt>
                </c:lvl>
                <c:lvl>
                  <c:pt idx="0">
                    <c:v>Aged 55 and over</c:v>
                  </c:pt>
                  <c:pt idx="2">
                    <c:v>Aged 65 and over</c:v>
                  </c:pt>
                  <c:pt idx="4">
                    <c:v>Aged 75 and over</c:v>
                  </c:pt>
                </c:lvl>
              </c:multiLvlStrCache>
            </c:multiLvlStrRef>
          </c:cat>
          <c:val>
            <c:numRef>
              <c:f>Tableau_Gender!$D$10:$D$15</c:f>
              <c:numCache>
                <c:formatCode>0.0%</c:formatCode>
                <c:ptCount val="6"/>
                <c:pt idx="0">
                  <c:v>0.53275687865165244</c:v>
                </c:pt>
                <c:pt idx="1">
                  <c:v>0.52476520800228166</c:v>
                </c:pt>
                <c:pt idx="2">
                  <c:v>0.55947802303533811</c:v>
                </c:pt>
                <c:pt idx="3">
                  <c:v>0.54096037427353572</c:v>
                </c:pt>
                <c:pt idx="4">
                  <c:v>0.60483333239946435</c:v>
                </c:pt>
                <c:pt idx="5">
                  <c:v>0.57365470357127091</c:v>
                </c:pt>
              </c:numCache>
            </c:numRef>
          </c:val>
          <c:extLst>
            <c:ext xmlns:c16="http://schemas.microsoft.com/office/drawing/2014/chart" uri="{C3380CC4-5D6E-409C-BE32-E72D297353CC}">
              <c16:uniqueId val="{00000001-619A-4E44-A0F3-7BF01575B762}"/>
            </c:ext>
          </c:extLst>
        </c:ser>
        <c:dLbls>
          <c:showLegendKey val="0"/>
          <c:showVal val="0"/>
          <c:showCatName val="0"/>
          <c:showSerName val="0"/>
          <c:showPercent val="0"/>
          <c:showBubbleSize val="0"/>
        </c:dLbls>
        <c:gapWidth val="30"/>
        <c:overlap val="100"/>
        <c:axId val="25469040"/>
        <c:axId val="25469456"/>
      </c:barChart>
      <c:catAx>
        <c:axId val="2546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mn-lt"/>
                <a:ea typeface="+mn-ea"/>
                <a:cs typeface="+mn-cs"/>
              </a:defRPr>
            </a:pPr>
            <a:endParaRPr lang="en-US"/>
          </a:p>
        </c:txPr>
        <c:crossAx val="25469456"/>
        <c:crosses val="autoZero"/>
        <c:auto val="1"/>
        <c:lblAlgn val="ctr"/>
        <c:lblOffset val="100"/>
        <c:noMultiLvlLbl val="0"/>
      </c:catAx>
      <c:valAx>
        <c:axId val="2546945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mn-lt"/>
                <a:ea typeface="+mn-ea"/>
                <a:cs typeface="+mn-cs"/>
              </a:defRPr>
            </a:pPr>
            <a:endParaRPr lang="en-US"/>
          </a:p>
        </c:txPr>
        <c:crossAx val="2546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51261016615348"/>
          <c:y val="4.4852191641182468E-2"/>
          <c:w val="0.77508241907886055"/>
          <c:h val="0.60446882341954455"/>
        </c:manualLayout>
      </c:layout>
      <c:barChart>
        <c:barDir val="bar"/>
        <c:grouping val="stacked"/>
        <c:varyColors val="0"/>
        <c:ser>
          <c:idx val="5"/>
          <c:order val="0"/>
          <c:tx>
            <c:strRef>
              <c:f>Tableau_Ethnicity!$C$19</c:f>
              <c:strCache>
                <c:ptCount val="1"/>
                <c:pt idx="0">
                  <c:v>Asian, Asian British or Asian Welsh</c:v>
                </c:pt>
              </c:strCache>
            </c:strRef>
          </c:tx>
          <c:spPr>
            <a:solidFill>
              <a:srgbClr val="D5C5C8"/>
            </a:solidFill>
          </c:spPr>
          <c:invertIfNegative val="0"/>
          <c:cat>
            <c:multiLvlStrRef>
              <c:f>Tableau_Ethnicity!$A$49:$B$54</c:f>
              <c:multiLvlStrCache>
                <c:ptCount val="6"/>
                <c:lvl>
                  <c:pt idx="0">
                    <c:v>2011</c:v>
                  </c:pt>
                  <c:pt idx="1">
                    <c:v>2021</c:v>
                  </c:pt>
                  <c:pt idx="2">
                    <c:v>2011</c:v>
                  </c:pt>
                  <c:pt idx="3">
                    <c:v>2021</c:v>
                  </c:pt>
                  <c:pt idx="4">
                    <c:v>2011</c:v>
                  </c:pt>
                  <c:pt idx="5">
                    <c:v>2021</c:v>
                  </c:pt>
                </c:lvl>
                <c:lvl>
                  <c:pt idx="0">
                    <c:v>Aged 75 and over</c:v>
                  </c:pt>
                  <c:pt idx="2">
                    <c:v>Aged 65 and over</c:v>
                  </c:pt>
                  <c:pt idx="4">
                    <c:v>Aged 55 and over</c:v>
                  </c:pt>
                </c:lvl>
              </c:multiLvlStrCache>
            </c:multiLvlStrRef>
          </c:cat>
          <c:val>
            <c:numRef>
              <c:f>Tableau_Ethnicity!$C$49:$C$54</c:f>
              <c:numCache>
                <c:formatCode>0.0%</c:formatCode>
                <c:ptCount val="6"/>
                <c:pt idx="0">
                  <c:v>2.4497251623531259E-2</c:v>
                </c:pt>
                <c:pt idx="1">
                  <c:v>2.8670502801718723E-2</c:v>
                </c:pt>
                <c:pt idx="2">
                  <c:v>3.0147607819391454E-2</c:v>
                </c:pt>
                <c:pt idx="3">
                  <c:v>4.126102105062681E-2</c:v>
                </c:pt>
                <c:pt idx="4">
                  <c:v>3.8003543658754448E-2</c:v>
                </c:pt>
                <c:pt idx="5">
                  <c:v>5.5393002241298013E-2</c:v>
                </c:pt>
              </c:numCache>
            </c:numRef>
          </c:val>
          <c:extLst>
            <c:ext xmlns:c16="http://schemas.microsoft.com/office/drawing/2014/chart" uri="{C3380CC4-5D6E-409C-BE32-E72D297353CC}">
              <c16:uniqueId val="{00000000-64D2-4489-B41C-A80D33F2AAB8}"/>
            </c:ext>
          </c:extLst>
        </c:ser>
        <c:ser>
          <c:idx val="6"/>
          <c:order val="1"/>
          <c:tx>
            <c:strRef>
              <c:f>Tableau_Ethnicity!$D$19</c:f>
              <c:strCache>
                <c:ptCount val="1"/>
                <c:pt idx="0">
                  <c:v>Black, Black British, Black Welsh, Caribbean or African</c:v>
                </c:pt>
              </c:strCache>
            </c:strRef>
          </c:tx>
          <c:spPr>
            <a:solidFill>
              <a:srgbClr val="D5573B"/>
            </a:solidFill>
          </c:spPr>
          <c:invertIfNegative val="0"/>
          <c:cat>
            <c:multiLvlStrRef>
              <c:f>Tableau_Ethnicity!$A$49:$B$54</c:f>
              <c:multiLvlStrCache>
                <c:ptCount val="6"/>
                <c:lvl>
                  <c:pt idx="0">
                    <c:v>2011</c:v>
                  </c:pt>
                  <c:pt idx="1">
                    <c:v>2021</c:v>
                  </c:pt>
                  <c:pt idx="2">
                    <c:v>2011</c:v>
                  </c:pt>
                  <c:pt idx="3">
                    <c:v>2021</c:v>
                  </c:pt>
                  <c:pt idx="4">
                    <c:v>2011</c:v>
                  </c:pt>
                  <c:pt idx="5">
                    <c:v>2021</c:v>
                  </c:pt>
                </c:lvl>
                <c:lvl>
                  <c:pt idx="0">
                    <c:v>Aged 75 and over</c:v>
                  </c:pt>
                  <c:pt idx="2">
                    <c:v>Aged 65 and over</c:v>
                  </c:pt>
                  <c:pt idx="4">
                    <c:v>Aged 55 and over</c:v>
                  </c:pt>
                </c:lvl>
              </c:multiLvlStrCache>
            </c:multiLvlStrRef>
          </c:cat>
          <c:val>
            <c:numRef>
              <c:f>Tableau_Ethnicity!$D$49:$D$54</c:f>
              <c:numCache>
                <c:formatCode>0.0%</c:formatCode>
                <c:ptCount val="6"/>
                <c:pt idx="0">
                  <c:v>9.7439891521776886E-3</c:v>
                </c:pt>
                <c:pt idx="1">
                  <c:v>8.2418272734125688E-3</c:v>
                </c:pt>
                <c:pt idx="2">
                  <c:v>9.890981118617366E-3</c:v>
                </c:pt>
                <c:pt idx="3">
                  <c:v>8.2790916525694314E-3</c:v>
                </c:pt>
                <c:pt idx="4">
                  <c:v>9.7611691145246086E-3</c:v>
                </c:pt>
                <c:pt idx="5">
                  <c:v>1.6477092900833865E-2</c:v>
                </c:pt>
              </c:numCache>
            </c:numRef>
          </c:val>
          <c:extLst>
            <c:ext xmlns:c16="http://schemas.microsoft.com/office/drawing/2014/chart" uri="{C3380CC4-5D6E-409C-BE32-E72D297353CC}">
              <c16:uniqueId val="{00000001-64D2-4489-B41C-A80D33F2AAB8}"/>
            </c:ext>
          </c:extLst>
        </c:ser>
        <c:ser>
          <c:idx val="7"/>
          <c:order val="2"/>
          <c:tx>
            <c:strRef>
              <c:f>Tableau_Ethnicity!$E$19</c:f>
              <c:strCache>
                <c:ptCount val="1"/>
                <c:pt idx="0">
                  <c:v>Mixed or Multiple ethnic groups</c:v>
                </c:pt>
              </c:strCache>
            </c:strRef>
          </c:tx>
          <c:spPr>
            <a:solidFill>
              <a:srgbClr val="95A17E"/>
            </a:solidFill>
          </c:spPr>
          <c:invertIfNegative val="0"/>
          <c:cat>
            <c:multiLvlStrRef>
              <c:f>Tableau_Ethnicity!$A$49:$B$54</c:f>
              <c:multiLvlStrCache>
                <c:ptCount val="6"/>
                <c:lvl>
                  <c:pt idx="0">
                    <c:v>2011</c:v>
                  </c:pt>
                  <c:pt idx="1">
                    <c:v>2021</c:v>
                  </c:pt>
                  <c:pt idx="2">
                    <c:v>2011</c:v>
                  </c:pt>
                  <c:pt idx="3">
                    <c:v>2021</c:v>
                  </c:pt>
                  <c:pt idx="4">
                    <c:v>2011</c:v>
                  </c:pt>
                  <c:pt idx="5">
                    <c:v>2021</c:v>
                  </c:pt>
                </c:lvl>
                <c:lvl>
                  <c:pt idx="0">
                    <c:v>Aged 75 and over</c:v>
                  </c:pt>
                  <c:pt idx="2">
                    <c:v>Aged 65 and over</c:v>
                  </c:pt>
                  <c:pt idx="4">
                    <c:v>Aged 55 and over</c:v>
                  </c:pt>
                </c:lvl>
              </c:multiLvlStrCache>
            </c:multiLvlStrRef>
          </c:cat>
          <c:val>
            <c:numRef>
              <c:f>Tableau_Ethnicity!$E$49:$E$54</c:f>
              <c:numCache>
                <c:formatCode>0.0%</c:formatCode>
                <c:ptCount val="6"/>
                <c:pt idx="0">
                  <c:v>3.2274512660462043E-3</c:v>
                </c:pt>
                <c:pt idx="1">
                  <c:v>1.0051008870015327E-4</c:v>
                </c:pt>
                <c:pt idx="2">
                  <c:v>3.1712717672142841E-3</c:v>
                </c:pt>
                <c:pt idx="3">
                  <c:v>5.4895194989973222E-4</c:v>
                </c:pt>
                <c:pt idx="4">
                  <c:v>3.972705041659955E-3</c:v>
                </c:pt>
                <c:pt idx="5">
                  <c:v>2.9517959449945419E-3</c:v>
                </c:pt>
              </c:numCache>
            </c:numRef>
          </c:val>
          <c:extLst>
            <c:ext xmlns:c16="http://schemas.microsoft.com/office/drawing/2014/chart" uri="{C3380CC4-5D6E-409C-BE32-E72D297353CC}">
              <c16:uniqueId val="{00000002-64D2-4489-B41C-A80D33F2AAB8}"/>
            </c:ext>
          </c:extLst>
        </c:ser>
        <c:ser>
          <c:idx val="8"/>
          <c:order val="3"/>
          <c:tx>
            <c:strRef>
              <c:f>Tableau_Ethnicity!$F$19</c:f>
              <c:strCache>
                <c:ptCount val="1"/>
                <c:pt idx="0">
                  <c:v>Other ethnic group</c:v>
                </c:pt>
              </c:strCache>
            </c:strRef>
          </c:tx>
          <c:spPr>
            <a:solidFill>
              <a:srgbClr val="83888A"/>
            </a:solidFill>
          </c:spPr>
          <c:invertIfNegative val="0"/>
          <c:cat>
            <c:multiLvlStrRef>
              <c:f>Tableau_Ethnicity!$A$49:$B$54</c:f>
              <c:multiLvlStrCache>
                <c:ptCount val="6"/>
                <c:lvl>
                  <c:pt idx="0">
                    <c:v>2011</c:v>
                  </c:pt>
                  <c:pt idx="1">
                    <c:v>2021</c:v>
                  </c:pt>
                  <c:pt idx="2">
                    <c:v>2011</c:v>
                  </c:pt>
                  <c:pt idx="3">
                    <c:v>2021</c:v>
                  </c:pt>
                  <c:pt idx="4">
                    <c:v>2011</c:v>
                  </c:pt>
                  <c:pt idx="5">
                    <c:v>2021</c:v>
                  </c:pt>
                </c:lvl>
                <c:lvl>
                  <c:pt idx="0">
                    <c:v>Aged 75 and over</c:v>
                  </c:pt>
                  <c:pt idx="2">
                    <c:v>Aged 65 and over</c:v>
                  </c:pt>
                  <c:pt idx="4">
                    <c:v>Aged 55 and over</c:v>
                  </c:pt>
                </c:lvl>
              </c:multiLvlStrCache>
            </c:multiLvlStrRef>
          </c:cat>
          <c:val>
            <c:numRef>
              <c:f>Tableau_Ethnicity!$F$49:$F$54</c:f>
              <c:numCache>
                <c:formatCode>0.0%</c:formatCode>
                <c:ptCount val="6"/>
                <c:pt idx="0">
                  <c:v>1.7313931270977031E-3</c:v>
                </c:pt>
                <c:pt idx="1">
                  <c:v>1.1558660200517627E-3</c:v>
                </c:pt>
                <c:pt idx="2">
                  <c:v>1.7960276998786398E-3</c:v>
                </c:pt>
                <c:pt idx="3">
                  <c:v>4.2459752859591538E-3</c:v>
                </c:pt>
                <c:pt idx="4">
                  <c:v>2.6094214464570734E-3</c:v>
                </c:pt>
                <c:pt idx="5">
                  <c:v>7.2212425962886176E-3</c:v>
                </c:pt>
              </c:numCache>
            </c:numRef>
          </c:val>
          <c:extLst>
            <c:ext xmlns:c16="http://schemas.microsoft.com/office/drawing/2014/chart" uri="{C3380CC4-5D6E-409C-BE32-E72D297353CC}">
              <c16:uniqueId val="{00000003-64D2-4489-B41C-A80D33F2AAB8}"/>
            </c:ext>
          </c:extLst>
        </c:ser>
        <c:ser>
          <c:idx val="9"/>
          <c:order val="4"/>
          <c:tx>
            <c:strRef>
              <c:f>Tableau_Ethnicity!$G$19</c:f>
              <c:strCache>
                <c:ptCount val="1"/>
                <c:pt idx="0">
                  <c:v>White</c:v>
                </c:pt>
              </c:strCache>
            </c:strRef>
          </c:tx>
          <c:spPr>
            <a:solidFill>
              <a:srgbClr val="2D5161"/>
            </a:solidFill>
          </c:spPr>
          <c:invertIfNegative val="0"/>
          <c:cat>
            <c:multiLvlStrRef>
              <c:f>Tableau_Ethnicity!$A$49:$B$54</c:f>
              <c:multiLvlStrCache>
                <c:ptCount val="6"/>
                <c:lvl>
                  <c:pt idx="0">
                    <c:v>2011</c:v>
                  </c:pt>
                  <c:pt idx="1">
                    <c:v>2021</c:v>
                  </c:pt>
                  <c:pt idx="2">
                    <c:v>2011</c:v>
                  </c:pt>
                  <c:pt idx="3">
                    <c:v>2021</c:v>
                  </c:pt>
                  <c:pt idx="4">
                    <c:v>2011</c:v>
                  </c:pt>
                  <c:pt idx="5">
                    <c:v>2021</c:v>
                  </c:pt>
                </c:lvl>
                <c:lvl>
                  <c:pt idx="0">
                    <c:v>Aged 75 and over</c:v>
                  </c:pt>
                  <c:pt idx="2">
                    <c:v>Aged 65 and over</c:v>
                  </c:pt>
                  <c:pt idx="4">
                    <c:v>Aged 55 and over</c:v>
                  </c:pt>
                </c:lvl>
              </c:multiLvlStrCache>
            </c:multiLvlStrRef>
          </c:cat>
          <c:val>
            <c:numRef>
              <c:f>Tableau_Ethnicity!$G$49:$G$54</c:f>
              <c:numCache>
                <c:formatCode>0.0%</c:formatCode>
                <c:ptCount val="6"/>
                <c:pt idx="0">
                  <c:v>0.96079991483114713</c:v>
                </c:pt>
                <c:pt idx="1">
                  <c:v>0.96183129381611676</c:v>
                </c:pt>
                <c:pt idx="2">
                  <c:v>0.95499411159489822</c:v>
                </c:pt>
                <c:pt idx="3">
                  <c:v>0.94566496006094491</c:v>
                </c:pt>
                <c:pt idx="4">
                  <c:v>0.94565316073860395</c:v>
                </c:pt>
                <c:pt idx="5">
                  <c:v>0.91795686631658491</c:v>
                </c:pt>
              </c:numCache>
            </c:numRef>
          </c:val>
          <c:extLst>
            <c:ext xmlns:c16="http://schemas.microsoft.com/office/drawing/2014/chart" uri="{C3380CC4-5D6E-409C-BE32-E72D297353CC}">
              <c16:uniqueId val="{00000004-64D2-4489-B41C-A80D33F2AAB8}"/>
            </c:ext>
          </c:extLst>
        </c:ser>
        <c:ser>
          <c:idx val="0"/>
          <c:order val="5"/>
          <c:tx>
            <c:strRef>
              <c:f>Tableau_Ethnicity!$C$19</c:f>
              <c:strCache>
                <c:ptCount val="1"/>
                <c:pt idx="0">
                  <c:v>Asian, Asian British or Asian Welsh</c:v>
                </c:pt>
              </c:strCache>
            </c:strRef>
          </c:tx>
          <c:spPr>
            <a:solidFill>
              <a:srgbClr val="D5C5C8"/>
            </a:solidFill>
            <a:ln>
              <a:noFill/>
            </a:ln>
            <a:effectLst/>
          </c:spPr>
          <c:invertIfNegative val="0"/>
          <c:cat>
            <c:multiLvlStrRef>
              <c:f>Tableau_Ethnicity!$A$49:$B$54</c:f>
              <c:multiLvlStrCache>
                <c:ptCount val="6"/>
                <c:lvl>
                  <c:pt idx="0">
                    <c:v>2011</c:v>
                  </c:pt>
                  <c:pt idx="1">
                    <c:v>2021</c:v>
                  </c:pt>
                  <c:pt idx="2">
                    <c:v>2011</c:v>
                  </c:pt>
                  <c:pt idx="3">
                    <c:v>2021</c:v>
                  </c:pt>
                  <c:pt idx="4">
                    <c:v>2011</c:v>
                  </c:pt>
                  <c:pt idx="5">
                    <c:v>2021</c:v>
                  </c:pt>
                </c:lvl>
                <c:lvl>
                  <c:pt idx="0">
                    <c:v>Aged 75 and over</c:v>
                  </c:pt>
                  <c:pt idx="2">
                    <c:v>Aged 65 and over</c:v>
                  </c:pt>
                  <c:pt idx="4">
                    <c:v>Aged 55 and over</c:v>
                  </c:pt>
                </c:lvl>
              </c:multiLvlStrCache>
            </c:multiLvlStrRef>
          </c:cat>
          <c:val>
            <c:numRef>
              <c:f>Tableau_Ethnicity!$C$49:$C$54</c:f>
              <c:numCache>
                <c:formatCode>0.0%</c:formatCode>
                <c:ptCount val="6"/>
                <c:pt idx="0">
                  <c:v>2.4497251623531259E-2</c:v>
                </c:pt>
                <c:pt idx="1">
                  <c:v>2.8670502801718723E-2</c:v>
                </c:pt>
                <c:pt idx="2">
                  <c:v>3.0147607819391454E-2</c:v>
                </c:pt>
                <c:pt idx="3">
                  <c:v>4.126102105062681E-2</c:v>
                </c:pt>
                <c:pt idx="4">
                  <c:v>3.8003543658754448E-2</c:v>
                </c:pt>
                <c:pt idx="5">
                  <c:v>5.5393002241298013E-2</c:v>
                </c:pt>
              </c:numCache>
            </c:numRef>
          </c:val>
          <c:extLst>
            <c:ext xmlns:c16="http://schemas.microsoft.com/office/drawing/2014/chart" uri="{C3380CC4-5D6E-409C-BE32-E72D297353CC}">
              <c16:uniqueId val="{00000005-64D2-4489-B41C-A80D33F2AAB8}"/>
            </c:ext>
          </c:extLst>
        </c:ser>
        <c:ser>
          <c:idx val="1"/>
          <c:order val="6"/>
          <c:tx>
            <c:strRef>
              <c:f>Tableau_Ethnicity!$D$19</c:f>
              <c:strCache>
                <c:ptCount val="1"/>
                <c:pt idx="0">
                  <c:v>Black, Black British, Black Welsh, Caribbean or African</c:v>
                </c:pt>
              </c:strCache>
            </c:strRef>
          </c:tx>
          <c:spPr>
            <a:solidFill>
              <a:srgbClr val="D5573B"/>
            </a:solidFill>
            <a:ln>
              <a:noFill/>
            </a:ln>
            <a:effectLst/>
          </c:spPr>
          <c:invertIfNegative val="0"/>
          <c:cat>
            <c:multiLvlStrRef>
              <c:f>Tableau_Ethnicity!$A$49:$B$54</c:f>
              <c:multiLvlStrCache>
                <c:ptCount val="6"/>
                <c:lvl>
                  <c:pt idx="0">
                    <c:v>2011</c:v>
                  </c:pt>
                  <c:pt idx="1">
                    <c:v>2021</c:v>
                  </c:pt>
                  <c:pt idx="2">
                    <c:v>2011</c:v>
                  </c:pt>
                  <c:pt idx="3">
                    <c:v>2021</c:v>
                  </c:pt>
                  <c:pt idx="4">
                    <c:v>2011</c:v>
                  </c:pt>
                  <c:pt idx="5">
                    <c:v>2021</c:v>
                  </c:pt>
                </c:lvl>
                <c:lvl>
                  <c:pt idx="0">
                    <c:v>Aged 75 and over</c:v>
                  </c:pt>
                  <c:pt idx="2">
                    <c:v>Aged 65 and over</c:v>
                  </c:pt>
                  <c:pt idx="4">
                    <c:v>Aged 55 and over</c:v>
                  </c:pt>
                </c:lvl>
              </c:multiLvlStrCache>
            </c:multiLvlStrRef>
          </c:cat>
          <c:val>
            <c:numRef>
              <c:f>Tableau_Ethnicity!$D$49:$D$54</c:f>
              <c:numCache>
                <c:formatCode>0.0%</c:formatCode>
                <c:ptCount val="6"/>
                <c:pt idx="0">
                  <c:v>9.7439891521776886E-3</c:v>
                </c:pt>
                <c:pt idx="1">
                  <c:v>8.2418272734125688E-3</c:v>
                </c:pt>
                <c:pt idx="2">
                  <c:v>9.890981118617366E-3</c:v>
                </c:pt>
                <c:pt idx="3">
                  <c:v>8.2790916525694314E-3</c:v>
                </c:pt>
                <c:pt idx="4">
                  <c:v>9.7611691145246086E-3</c:v>
                </c:pt>
                <c:pt idx="5">
                  <c:v>1.6477092900833865E-2</c:v>
                </c:pt>
              </c:numCache>
            </c:numRef>
          </c:val>
          <c:extLst>
            <c:ext xmlns:c16="http://schemas.microsoft.com/office/drawing/2014/chart" uri="{C3380CC4-5D6E-409C-BE32-E72D297353CC}">
              <c16:uniqueId val="{00000006-64D2-4489-B41C-A80D33F2AAB8}"/>
            </c:ext>
          </c:extLst>
        </c:ser>
        <c:ser>
          <c:idx val="2"/>
          <c:order val="7"/>
          <c:tx>
            <c:strRef>
              <c:f>Tableau_Ethnicity!$E$19</c:f>
              <c:strCache>
                <c:ptCount val="1"/>
                <c:pt idx="0">
                  <c:v>Mixed or Multiple ethnic groups</c:v>
                </c:pt>
              </c:strCache>
            </c:strRef>
          </c:tx>
          <c:spPr>
            <a:solidFill>
              <a:srgbClr val="95A17E"/>
            </a:solidFill>
            <a:ln>
              <a:noFill/>
            </a:ln>
            <a:effectLst/>
          </c:spPr>
          <c:invertIfNegative val="0"/>
          <c:cat>
            <c:multiLvlStrRef>
              <c:f>Tableau_Ethnicity!$A$49:$B$54</c:f>
              <c:multiLvlStrCache>
                <c:ptCount val="6"/>
                <c:lvl>
                  <c:pt idx="0">
                    <c:v>2011</c:v>
                  </c:pt>
                  <c:pt idx="1">
                    <c:v>2021</c:v>
                  </c:pt>
                  <c:pt idx="2">
                    <c:v>2011</c:v>
                  </c:pt>
                  <c:pt idx="3">
                    <c:v>2021</c:v>
                  </c:pt>
                  <c:pt idx="4">
                    <c:v>2011</c:v>
                  </c:pt>
                  <c:pt idx="5">
                    <c:v>2021</c:v>
                  </c:pt>
                </c:lvl>
                <c:lvl>
                  <c:pt idx="0">
                    <c:v>Aged 75 and over</c:v>
                  </c:pt>
                  <c:pt idx="2">
                    <c:v>Aged 65 and over</c:v>
                  </c:pt>
                  <c:pt idx="4">
                    <c:v>Aged 55 and over</c:v>
                  </c:pt>
                </c:lvl>
              </c:multiLvlStrCache>
            </c:multiLvlStrRef>
          </c:cat>
          <c:val>
            <c:numRef>
              <c:f>Tableau_Ethnicity!$E$49:$E$54</c:f>
              <c:numCache>
                <c:formatCode>0.0%</c:formatCode>
                <c:ptCount val="6"/>
                <c:pt idx="0">
                  <c:v>3.2274512660462043E-3</c:v>
                </c:pt>
                <c:pt idx="1">
                  <c:v>1.0051008870015327E-4</c:v>
                </c:pt>
                <c:pt idx="2">
                  <c:v>3.1712717672142841E-3</c:v>
                </c:pt>
                <c:pt idx="3">
                  <c:v>5.4895194989973222E-4</c:v>
                </c:pt>
                <c:pt idx="4">
                  <c:v>3.972705041659955E-3</c:v>
                </c:pt>
                <c:pt idx="5">
                  <c:v>2.9517959449945419E-3</c:v>
                </c:pt>
              </c:numCache>
            </c:numRef>
          </c:val>
          <c:extLst>
            <c:ext xmlns:c16="http://schemas.microsoft.com/office/drawing/2014/chart" uri="{C3380CC4-5D6E-409C-BE32-E72D297353CC}">
              <c16:uniqueId val="{00000007-64D2-4489-B41C-A80D33F2AAB8}"/>
            </c:ext>
          </c:extLst>
        </c:ser>
        <c:ser>
          <c:idx val="3"/>
          <c:order val="8"/>
          <c:tx>
            <c:strRef>
              <c:f>Tableau_Ethnicity!$F$19</c:f>
              <c:strCache>
                <c:ptCount val="1"/>
                <c:pt idx="0">
                  <c:v>Other ethnic group</c:v>
                </c:pt>
              </c:strCache>
            </c:strRef>
          </c:tx>
          <c:spPr>
            <a:solidFill>
              <a:srgbClr val="83888A"/>
            </a:solidFill>
            <a:ln>
              <a:noFill/>
            </a:ln>
            <a:effectLst/>
          </c:spPr>
          <c:invertIfNegative val="0"/>
          <c:cat>
            <c:multiLvlStrRef>
              <c:f>Tableau_Ethnicity!$A$49:$B$54</c:f>
              <c:multiLvlStrCache>
                <c:ptCount val="6"/>
                <c:lvl>
                  <c:pt idx="0">
                    <c:v>2011</c:v>
                  </c:pt>
                  <c:pt idx="1">
                    <c:v>2021</c:v>
                  </c:pt>
                  <c:pt idx="2">
                    <c:v>2011</c:v>
                  </c:pt>
                  <c:pt idx="3">
                    <c:v>2021</c:v>
                  </c:pt>
                  <c:pt idx="4">
                    <c:v>2011</c:v>
                  </c:pt>
                  <c:pt idx="5">
                    <c:v>2021</c:v>
                  </c:pt>
                </c:lvl>
                <c:lvl>
                  <c:pt idx="0">
                    <c:v>Aged 75 and over</c:v>
                  </c:pt>
                  <c:pt idx="2">
                    <c:v>Aged 65 and over</c:v>
                  </c:pt>
                  <c:pt idx="4">
                    <c:v>Aged 55 and over</c:v>
                  </c:pt>
                </c:lvl>
              </c:multiLvlStrCache>
            </c:multiLvlStrRef>
          </c:cat>
          <c:val>
            <c:numRef>
              <c:f>Tableau_Ethnicity!$F$49:$F$54</c:f>
              <c:numCache>
                <c:formatCode>0.0%</c:formatCode>
                <c:ptCount val="6"/>
                <c:pt idx="0">
                  <c:v>1.7313931270977031E-3</c:v>
                </c:pt>
                <c:pt idx="1">
                  <c:v>1.1558660200517627E-3</c:v>
                </c:pt>
                <c:pt idx="2">
                  <c:v>1.7960276998786398E-3</c:v>
                </c:pt>
                <c:pt idx="3">
                  <c:v>4.2459752859591538E-3</c:v>
                </c:pt>
                <c:pt idx="4">
                  <c:v>2.6094214464570734E-3</c:v>
                </c:pt>
                <c:pt idx="5">
                  <c:v>7.2212425962886176E-3</c:v>
                </c:pt>
              </c:numCache>
            </c:numRef>
          </c:val>
          <c:extLst>
            <c:ext xmlns:c16="http://schemas.microsoft.com/office/drawing/2014/chart" uri="{C3380CC4-5D6E-409C-BE32-E72D297353CC}">
              <c16:uniqueId val="{00000008-64D2-4489-B41C-A80D33F2AAB8}"/>
            </c:ext>
          </c:extLst>
        </c:ser>
        <c:ser>
          <c:idx val="4"/>
          <c:order val="9"/>
          <c:tx>
            <c:strRef>
              <c:f>Tableau_Ethnicity!$G$19</c:f>
              <c:strCache>
                <c:ptCount val="1"/>
                <c:pt idx="0">
                  <c:v>White</c:v>
                </c:pt>
              </c:strCache>
            </c:strRef>
          </c:tx>
          <c:spPr>
            <a:solidFill>
              <a:srgbClr val="2D5161"/>
            </a:solidFill>
            <a:ln>
              <a:noFill/>
            </a:ln>
            <a:effectLst/>
          </c:spPr>
          <c:invertIfNegative val="0"/>
          <c:cat>
            <c:multiLvlStrRef>
              <c:f>Tableau_Ethnicity!$A$49:$B$54</c:f>
              <c:multiLvlStrCache>
                <c:ptCount val="6"/>
                <c:lvl>
                  <c:pt idx="0">
                    <c:v>2011</c:v>
                  </c:pt>
                  <c:pt idx="1">
                    <c:v>2021</c:v>
                  </c:pt>
                  <c:pt idx="2">
                    <c:v>2011</c:v>
                  </c:pt>
                  <c:pt idx="3">
                    <c:v>2021</c:v>
                  </c:pt>
                  <c:pt idx="4">
                    <c:v>2011</c:v>
                  </c:pt>
                  <c:pt idx="5">
                    <c:v>2021</c:v>
                  </c:pt>
                </c:lvl>
                <c:lvl>
                  <c:pt idx="0">
                    <c:v>Aged 75 and over</c:v>
                  </c:pt>
                  <c:pt idx="2">
                    <c:v>Aged 65 and over</c:v>
                  </c:pt>
                  <c:pt idx="4">
                    <c:v>Aged 55 and over</c:v>
                  </c:pt>
                </c:lvl>
              </c:multiLvlStrCache>
            </c:multiLvlStrRef>
          </c:cat>
          <c:val>
            <c:numRef>
              <c:f>Tableau_Ethnicity!$G$49:$G$54</c:f>
              <c:numCache>
                <c:formatCode>0.0%</c:formatCode>
                <c:ptCount val="6"/>
                <c:pt idx="0">
                  <c:v>0.96079991483114713</c:v>
                </c:pt>
                <c:pt idx="1">
                  <c:v>0.96183129381611676</c:v>
                </c:pt>
                <c:pt idx="2">
                  <c:v>0.95499411159489822</c:v>
                </c:pt>
                <c:pt idx="3">
                  <c:v>0.94566496006094491</c:v>
                </c:pt>
                <c:pt idx="4">
                  <c:v>0.94565316073860395</c:v>
                </c:pt>
                <c:pt idx="5">
                  <c:v>0.91795686631658491</c:v>
                </c:pt>
              </c:numCache>
            </c:numRef>
          </c:val>
          <c:extLst>
            <c:ext xmlns:c16="http://schemas.microsoft.com/office/drawing/2014/chart" uri="{C3380CC4-5D6E-409C-BE32-E72D297353CC}">
              <c16:uniqueId val="{00000009-64D2-4489-B41C-A80D33F2AAB8}"/>
            </c:ext>
          </c:extLst>
        </c:ser>
        <c:dLbls>
          <c:showLegendKey val="0"/>
          <c:showVal val="0"/>
          <c:showCatName val="0"/>
          <c:showSerName val="0"/>
          <c:showPercent val="0"/>
          <c:showBubbleSize val="0"/>
        </c:dLbls>
        <c:gapWidth val="30"/>
        <c:overlap val="100"/>
        <c:axId val="35137472"/>
        <c:axId val="35139552"/>
      </c:barChart>
      <c:catAx>
        <c:axId val="35137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35139552"/>
        <c:crosses val="autoZero"/>
        <c:auto val="1"/>
        <c:lblAlgn val="ctr"/>
        <c:lblOffset val="100"/>
        <c:noMultiLvlLbl val="0"/>
      </c:catAx>
      <c:valAx>
        <c:axId val="35139552"/>
        <c:scaling>
          <c:orientation val="minMax"/>
          <c:max val="1"/>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35137472"/>
        <c:crosses val="autoZero"/>
        <c:crossBetween val="between"/>
        <c:majorUnit val="0.1"/>
      </c:valAx>
    </c:plotArea>
    <c:legend>
      <c:legendPos val="tr"/>
      <c:legendEntry>
        <c:idx val="5"/>
        <c:delete val="1"/>
      </c:legendEntry>
      <c:legendEntry>
        <c:idx val="6"/>
        <c:delete val="1"/>
      </c:legendEntry>
      <c:legendEntry>
        <c:idx val="7"/>
        <c:delete val="1"/>
      </c:legendEntry>
      <c:legendEntry>
        <c:idx val="8"/>
        <c:delete val="1"/>
      </c:legendEntry>
      <c:legendEntry>
        <c:idx val="9"/>
        <c:delete val="1"/>
      </c:legendEntry>
      <c:layout>
        <c:manualLayout>
          <c:xMode val="edge"/>
          <c:yMode val="edge"/>
          <c:x val="4.1933651452676622E-4"/>
          <c:y val="0.7407407407407407"/>
          <c:w val="0.9973845506052712"/>
          <c:h val="0.25700813615526524"/>
        </c:manualLayout>
      </c:layout>
      <c:overlay val="0"/>
      <c:txPr>
        <a:bodyPr/>
        <a:lstStyle/>
        <a:p>
          <a:pPr>
            <a:defRPr sz="1200" b="0" spc="0" baseline="0">
              <a:latin typeface="Arial" panose="020B0604020202020204" pitchFamily="34" charset="0"/>
              <a:cs typeface="Arial" panose="020B0604020202020204" pitchFamily="34" charset="0"/>
            </a:defRPr>
          </a:pPr>
          <a:endParaRPr lang="en-US"/>
        </a:p>
      </c:txPr>
    </c:legend>
    <c:plotVisOnly val="1"/>
    <c:dispBlanksAs val="gap"/>
    <c:showDLblsOverMax val="0"/>
  </c:chart>
  <c:spPr>
    <a:solidFill>
      <a:schemeClr val="lt1"/>
    </a:solidFill>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8" ma:contentTypeDescription="Create a new document." ma:contentTypeScope="" ma:versionID="e7330d75805c6de7540ed961e9006a17">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7ef6cc727cb884e4b2fe2387fab48d2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1f7bd27-d9e4-4e62-be6c-eaf418590226}"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6e983a-f1d7-4d3c-91db-252f29f3e159">
      <Terms xmlns="http://schemas.microsoft.com/office/infopath/2007/PartnerControls"/>
    </lcf76f155ced4ddcb4097134ff3c332f>
    <_ip_UnifiedCompliancePolicyUIAction xmlns="http://schemas.microsoft.com/sharepoint/v3" xsi:nil="true"/>
    <TaxCatchAll xmlns="2e35a3c0-6932-4795-bc29-a2b24e50973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90987E2-D33B-44BA-98B0-5EF3668E9A72}">
  <ds:schemaRefs>
    <ds:schemaRef ds:uri="http://schemas.microsoft.com/sharepoint/v3/contenttype/forms"/>
  </ds:schemaRefs>
</ds:datastoreItem>
</file>

<file path=customXml/itemProps2.xml><?xml version="1.0" encoding="utf-8"?>
<ds:datastoreItem xmlns:ds="http://schemas.openxmlformats.org/officeDocument/2006/customXml" ds:itemID="{268EF0EE-AFE3-4CE6-820D-B22B949A5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1B3CA-8735-4730-992F-778E94FC32A0}">
  <ds:schemaRefs>
    <ds:schemaRef ds:uri="http://schemas.openxmlformats.org/officeDocument/2006/bibliography"/>
  </ds:schemaRefs>
</ds:datastoreItem>
</file>

<file path=customXml/itemProps4.xml><?xml version="1.0" encoding="utf-8"?>
<ds:datastoreItem xmlns:ds="http://schemas.openxmlformats.org/officeDocument/2006/customXml" ds:itemID="{081F4DF2-493F-49D8-95B0-ACA97CAD4612}">
  <ds:schemaRefs>
    <ds:schemaRef ds:uri="http://schemas.microsoft.com/office/2006/metadata/properties"/>
    <ds:schemaRef ds:uri="http://schemas.microsoft.com/office/infopath/2007/PartnerControls"/>
    <ds:schemaRef ds:uri="066e983a-f1d7-4d3c-91db-252f29f3e159"/>
    <ds:schemaRef ds:uri="http://schemas.microsoft.com/sharepoint/v3"/>
    <ds:schemaRef ds:uri="2e35a3c0-6932-4795-bc29-a2b24e509738"/>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Ottiwell, David</dc:creator>
  <cp:keywords/>
  <dc:description/>
  <cp:lastModifiedBy>Overell, Stephen</cp:lastModifiedBy>
  <cp:revision>21</cp:revision>
  <dcterms:created xsi:type="dcterms:W3CDTF">2023-04-28T09:12:00Z</dcterms:created>
  <dcterms:modified xsi:type="dcterms:W3CDTF">2023-04-28T09:34:00Z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