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753990" w:displacedByCustomXml="next"/>
    <w:bookmarkEnd w:id="0" w:displacedByCustomXml="next"/>
    <w:bookmarkStart w:id="1" w:name="_Toc61294764" w:displacedByCustomXml="next"/>
    <w:bookmarkStart w:id="2" w:name="_Toc61984580" w:displacedByCustomXml="next"/>
    <w:sdt>
      <w:sdtPr>
        <w:rPr>
          <w:rFonts w:eastAsiaTheme="minorHAnsi" w:cstheme="minorBidi"/>
          <w:b w:val="0"/>
          <w:bCs w:val="0"/>
          <w:noProof w:val="0"/>
          <w:color w:val="000000" w:themeColor="text1"/>
          <w:sz w:val="24"/>
          <w:szCs w:val="22"/>
        </w:rPr>
        <w:id w:val="-1571263057"/>
        <w:docPartObj>
          <w:docPartGallery w:val="Cover Pages"/>
          <w:docPartUnique/>
        </w:docPartObj>
      </w:sdtPr>
      <w:sdtEndPr/>
      <w:sdtContent>
        <w:bookmarkStart w:id="3" w:name="_Toc61984578" w:displacedByCustomXml="prev"/>
        <w:p w14:paraId="2ACD3E3D" w14:textId="77777777" w:rsidR="000D108F" w:rsidRDefault="000D108F" w:rsidP="00A12E9E">
          <w:pPr>
            <w:pStyle w:val="Heading1"/>
          </w:pPr>
          <w:r w:rsidRPr="007A6358">
            <w:t xml:space="preserve"> </w:t>
          </w:r>
          <w:r w:rsidRPr="00A12E9E">
            <w:t>Census 2021 Briefing</w:t>
          </w:r>
          <w:r w:rsidRPr="007A6358">
            <w:t xml:space="preserve"> </w:t>
          </w:r>
        </w:p>
        <w:p w14:paraId="1ED9808E" w14:textId="2A8A1461" w:rsidR="000D108F" w:rsidRDefault="000D108F" w:rsidP="00A12E9E">
          <w:pPr>
            <w:pStyle w:val="Heading1"/>
          </w:pPr>
          <w:r w:rsidRPr="007A6358">
            <w:drawing>
              <wp:anchor distT="0" distB="0" distL="114300" distR="114300" simplePos="0" relativeHeight="251659264" behindDoc="1" locked="1" layoutInCell="1" allowOverlap="0" wp14:anchorId="7072A118" wp14:editId="789B0608">
                <wp:simplePos x="0" y="0"/>
                <wp:positionH relativeFrom="page">
                  <wp:posOffset>10160</wp:posOffset>
                </wp:positionH>
                <wp:positionV relativeFrom="page">
                  <wp:posOffset>0</wp:posOffset>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bookmarkEnd w:id="3"/>
          <w:r w:rsidR="00F0336A">
            <w:t>Qualifications</w:t>
          </w:r>
        </w:p>
        <w:p w14:paraId="19258BA0" w14:textId="703BB494" w:rsidR="000D108F" w:rsidRDefault="000D108F" w:rsidP="000D108F">
          <w:pPr>
            <w:rPr>
              <w:color w:val="FFFFFF" w:themeColor="background1"/>
              <w:sz w:val="36"/>
              <w:szCs w:val="32"/>
            </w:rPr>
          </w:pPr>
          <w:r>
            <w:rPr>
              <w:color w:val="FFFFFF" w:themeColor="background1"/>
              <w:sz w:val="36"/>
              <w:szCs w:val="32"/>
            </w:rPr>
            <w:t>GMCA Research</w:t>
          </w:r>
        </w:p>
        <w:p w14:paraId="506A29E7" w14:textId="77777777" w:rsidR="000D108F" w:rsidRDefault="000D108F" w:rsidP="000D108F">
          <w:pPr>
            <w:rPr>
              <w:color w:val="FFFFFF" w:themeColor="background1"/>
              <w:sz w:val="36"/>
              <w:szCs w:val="36"/>
            </w:rPr>
          </w:pPr>
        </w:p>
        <w:p w14:paraId="13D66647" w14:textId="77777777" w:rsidR="000D108F" w:rsidRDefault="000D108F" w:rsidP="000D108F">
          <w:pPr>
            <w:rPr>
              <w:color w:val="FFFFFF" w:themeColor="background1"/>
              <w:sz w:val="36"/>
              <w:szCs w:val="36"/>
            </w:rPr>
          </w:pPr>
        </w:p>
        <w:p w14:paraId="4EFF78E2" w14:textId="678A08D4" w:rsidR="00C94896" w:rsidRPr="00C94896" w:rsidRDefault="00A12E9E" w:rsidP="004912AA">
          <w:r w:rsidRPr="00A12E9E">
            <w:rPr>
              <w:rStyle w:val="Frontpagesub-titleChar"/>
            </w:rPr>
            <w:t>April</w:t>
          </w:r>
          <w:r w:rsidR="000D108F" w:rsidRPr="00A12E9E">
            <w:rPr>
              <w:rStyle w:val="Frontpagesub-titleChar"/>
            </w:rPr>
            <w:t xml:space="preserve"> 2023</w:t>
          </w:r>
          <w:r w:rsidR="000D108F">
            <w:br w:type="page"/>
          </w:r>
        </w:p>
      </w:sdtContent>
    </w:sdt>
    <w:bookmarkEnd w:id="1" w:displacedByCustomXml="prev"/>
    <w:bookmarkEnd w:id="2" w:displacedByCustomXml="prev"/>
    <w:p w14:paraId="28BED534" w14:textId="1D949C10" w:rsidR="00332E59" w:rsidRDefault="00C06B4B" w:rsidP="00332E59">
      <w:pPr>
        <w:rPr>
          <w:sz w:val="20"/>
          <w:szCs w:val="20"/>
          <w:lang w:eastAsia="en-GB"/>
        </w:rPr>
      </w:pPr>
      <w:r>
        <w:rPr>
          <w:noProof/>
        </w:rPr>
        <w:lastRenderedPageBreak/>
        <mc:AlternateContent>
          <mc:Choice Requires="wps">
            <w:drawing>
              <wp:inline distT="0" distB="0" distL="0" distR="0" wp14:anchorId="5D82AF1F" wp14:editId="3DB34008">
                <wp:extent cx="5592445" cy="1404620"/>
                <wp:effectExtent l="0" t="0" r="27305"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1404620"/>
                        </a:xfrm>
                        <a:prstGeom prst="rect">
                          <a:avLst/>
                        </a:prstGeom>
                        <a:solidFill>
                          <a:schemeClr val="accent1"/>
                        </a:solidFill>
                        <a:ln w="19050">
                          <a:solidFill>
                            <a:schemeClr val="accent1"/>
                          </a:solidFill>
                          <a:miter lim="800000"/>
                          <a:headEnd/>
                          <a:tailEnd/>
                        </a:ln>
                      </wps:spPr>
                      <wps:txbx>
                        <w:txbxContent>
                          <w:p w14:paraId="68A5C494" w14:textId="77777777" w:rsidR="00786EA9" w:rsidRPr="007222D5" w:rsidRDefault="00786EA9" w:rsidP="00786EA9">
                            <w:pPr>
                              <w:rPr>
                                <w:b/>
                                <w:bCs/>
                                <w:color w:val="FFFFFF" w:themeColor="background1"/>
                              </w:rPr>
                            </w:pPr>
                            <w:r w:rsidRPr="007222D5">
                              <w:rPr>
                                <w:b/>
                                <w:bCs/>
                                <w:color w:val="FFFFFF" w:themeColor="background1"/>
                              </w:rPr>
                              <w:t xml:space="preserve">Dataset: </w:t>
                            </w:r>
                            <w:r>
                              <w:rPr>
                                <w:b/>
                                <w:bCs/>
                                <w:color w:val="FFFFFF" w:themeColor="background1"/>
                              </w:rPr>
                              <w:t>Highest level of qualification</w:t>
                            </w:r>
                          </w:p>
                          <w:p w14:paraId="3A734EF0" w14:textId="1FE1F2C1" w:rsidR="00786EA9" w:rsidRPr="004F121A"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xml:space="preserve">: the dataset used for this briefing can be accessed </w:t>
                            </w:r>
                            <w:hyperlink r:id="rId12" w:history="1">
                              <w:r w:rsidRPr="00975B16">
                                <w:rPr>
                                  <w:rStyle w:val="Hyperlink"/>
                                  <w:rFonts w:cs="Arial"/>
                                  <w:b/>
                                  <w:bCs/>
                                  <w:color w:val="FFFFFF" w:themeColor="background1"/>
                                  <w:szCs w:val="24"/>
                                </w:rPr>
                                <w:t>here</w:t>
                              </w:r>
                            </w:hyperlink>
                            <w:r w:rsidR="0093110D" w:rsidRPr="00975B16">
                              <w:rPr>
                                <w:rFonts w:cs="Arial"/>
                                <w:b/>
                                <w:bCs/>
                                <w:color w:val="FFFFFF" w:themeColor="background1"/>
                                <w:szCs w:val="24"/>
                              </w:rPr>
                              <w:t>.</w:t>
                            </w:r>
                          </w:p>
                          <w:p w14:paraId="74A8199D" w14:textId="77777777"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Pr>
                                <w:rFonts w:cs="Arial"/>
                                <w:color w:val="FFFFFF" w:themeColor="background1"/>
                                <w:szCs w:val="24"/>
                              </w:rPr>
                              <w:t>‘Highest qualification’ refers to the most advanced qualification held by residents within a specified geography. The ‘level’ of a qualification is explained in the appendix below.</w:t>
                            </w:r>
                          </w:p>
                          <w:p w14:paraId="6FEB805D" w14:textId="013A0981"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w:t>
                            </w:r>
                            <w:r w:rsidR="00181477">
                              <w:rPr>
                                <w:rFonts w:cs="Arial"/>
                                <w:color w:val="FFFFFF" w:themeColor="background1"/>
                                <w:szCs w:val="24"/>
                              </w:rPr>
                              <w:t>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wps:txbx>
                      <wps:bodyPr rot="0" vert="horz" wrap="square" lIns="91440" tIns="45720" rIns="91440" bIns="45720" anchor="t" anchorCtr="0">
                        <a:spAutoFit/>
                      </wps:bodyPr>
                    </wps:wsp>
                  </a:graphicData>
                </a:graphic>
              </wp:inline>
            </w:drawing>
          </mc:Choice>
          <mc:Fallback>
            <w:pict>
              <v:shapetype w14:anchorId="5D82AF1F" id="_x0000_t202" coordsize="21600,21600" o:spt="202" path="m,l,21600r21600,l21600,xe">
                <v:stroke joinstyle="miter"/>
                <v:path gradientshapeok="t" o:connecttype="rect"/>
              </v:shapetype>
              <v:shape id="Text Box 2" o:spid="_x0000_s1026" type="#_x0000_t202" style="width:44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" fillcolor="#2c5060 [3204]" strokecolor="#2c5060 [3204]" strokeweight="1.5pt">
                <v:textbox style="mso-fit-shape-to-text:t">
                  <w:txbxContent>
                    <w:p w14:paraId="68A5C494" w14:textId="77777777" w:rsidR="00786EA9" w:rsidRPr="007222D5" w:rsidRDefault="00786EA9" w:rsidP="00786EA9">
                      <w:pPr>
                        <w:rPr>
                          <w:b/>
                          <w:bCs/>
                          <w:color w:val="FFFFFF" w:themeColor="background1"/>
                        </w:rPr>
                      </w:pPr>
                      <w:r w:rsidRPr="007222D5">
                        <w:rPr>
                          <w:b/>
                          <w:bCs/>
                          <w:color w:val="FFFFFF" w:themeColor="background1"/>
                        </w:rPr>
                        <w:t xml:space="preserve">Dataset: </w:t>
                      </w:r>
                      <w:r>
                        <w:rPr>
                          <w:b/>
                          <w:bCs/>
                          <w:color w:val="FFFFFF" w:themeColor="background1"/>
                        </w:rPr>
                        <w:t>Highest level of qualification</w:t>
                      </w:r>
                    </w:p>
                    <w:p w14:paraId="3A734EF0" w14:textId="1FE1F2C1" w:rsidR="00786EA9" w:rsidRPr="004F121A"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xml:space="preserve">: the dataset used for this briefing can be accessed </w:t>
                      </w:r>
                      <w:hyperlink r:id="rId13" w:history="1">
                        <w:r w:rsidRPr="00975B16">
                          <w:rPr>
                            <w:rStyle w:val="Hyperlink"/>
                            <w:rFonts w:cs="Arial"/>
                            <w:b/>
                            <w:bCs/>
                            <w:color w:val="FFFFFF" w:themeColor="background1"/>
                            <w:szCs w:val="24"/>
                          </w:rPr>
                          <w:t>here</w:t>
                        </w:r>
                      </w:hyperlink>
                      <w:r w:rsidR="0093110D" w:rsidRPr="00975B16">
                        <w:rPr>
                          <w:rFonts w:cs="Arial"/>
                          <w:b/>
                          <w:bCs/>
                          <w:color w:val="FFFFFF" w:themeColor="background1"/>
                          <w:szCs w:val="24"/>
                        </w:rPr>
                        <w:t>.</w:t>
                      </w:r>
                    </w:p>
                    <w:p w14:paraId="74A8199D" w14:textId="77777777"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Pr>
                          <w:rFonts w:cs="Arial"/>
                          <w:color w:val="FFFFFF" w:themeColor="background1"/>
                          <w:szCs w:val="24"/>
                        </w:rPr>
                        <w:t>‘Highest qualification’ refers to the most advanced qualification held by residents within a specified geography. The ‘level’ of a qualification is explained in the appendix below.</w:t>
                      </w:r>
                    </w:p>
                    <w:p w14:paraId="6FEB805D" w14:textId="013A0981"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w:t>
                      </w:r>
                      <w:r w:rsidR="00181477">
                        <w:rPr>
                          <w:rFonts w:cs="Arial"/>
                          <w:color w:val="FFFFFF" w:themeColor="background1"/>
                          <w:szCs w:val="24"/>
                        </w:rPr>
                        <w:t>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v:textbox>
                <w10:anchorlock/>
              </v:shape>
            </w:pict>
          </mc:Fallback>
        </mc:AlternateContent>
      </w:r>
    </w:p>
    <w:p w14:paraId="473B2462" w14:textId="5EC7C09E" w:rsidR="00C06B4B" w:rsidRDefault="00C06B4B" w:rsidP="00332E59">
      <w:pPr>
        <w:spacing w:line="259" w:lineRule="auto"/>
        <w:rPr>
          <w:b/>
          <w:bCs/>
          <w:color w:val="595959" w:themeColor="text1" w:themeTint="A6"/>
          <w:sz w:val="28"/>
          <w:szCs w:val="28"/>
        </w:rPr>
      </w:pPr>
    </w:p>
    <w:p w14:paraId="0BD08CC1" w14:textId="77777777" w:rsidR="00332E59" w:rsidRPr="00A12E9E" w:rsidRDefault="00332E59" w:rsidP="00332E59">
      <w:pPr>
        <w:spacing w:line="259" w:lineRule="auto"/>
        <w:rPr>
          <w:rFonts w:asciiTheme="minorHAnsi" w:hAnsiTheme="minorHAnsi"/>
          <w:b/>
          <w:bCs/>
          <w:color w:val="2C5060" w:themeColor="accent1"/>
          <w:sz w:val="52"/>
          <w:szCs w:val="40"/>
        </w:rPr>
      </w:pPr>
      <w:r w:rsidRPr="00A12E9E">
        <w:rPr>
          <w:rFonts w:asciiTheme="minorHAnsi" w:hAnsiTheme="minorHAnsi"/>
          <w:b/>
          <w:bCs/>
          <w:color w:val="2C5060" w:themeColor="accent1"/>
          <w:sz w:val="52"/>
          <w:szCs w:val="40"/>
        </w:rPr>
        <w:t>Key points</w:t>
      </w:r>
    </w:p>
    <w:p w14:paraId="5AB47F69" w14:textId="1A16A7C3" w:rsidR="00332E59" w:rsidRDefault="00332E59">
      <w:pPr>
        <w:pStyle w:val="ListParagraph"/>
      </w:pPr>
      <w:r>
        <w:t xml:space="preserve">A fifth (20%) of adults had no qualifications in Greater Manchester in 2021 (compared with 18.1% in England). The proportion was highest in Oldham, where 24.7% </w:t>
      </w:r>
      <w:r w:rsidR="00181477">
        <w:t>had no</w:t>
      </w:r>
      <w:r w:rsidR="004E4E83">
        <w:t xml:space="preserve"> qualification</w:t>
      </w:r>
      <w:r w:rsidR="006F1AE7">
        <w:t>,</w:t>
      </w:r>
      <w:r>
        <w:t xml:space="preserve"> and Rochdale (23.2%). </w:t>
      </w:r>
    </w:p>
    <w:p w14:paraId="5988BAEE" w14:textId="33211F75" w:rsidR="00332E59" w:rsidRDefault="00332E59">
      <w:pPr>
        <w:pStyle w:val="ListParagraph"/>
      </w:pPr>
      <w:r>
        <w:t xml:space="preserve">At high skill levels - </w:t>
      </w:r>
      <w:r w:rsidR="00D328BB">
        <w:t>l</w:t>
      </w:r>
      <w:r>
        <w:t xml:space="preserve">evel 4+ (definition </w:t>
      </w:r>
      <w:r w:rsidR="00FA4040">
        <w:t>at the end of this briefing</w:t>
      </w:r>
      <w:r>
        <w:t>) - 31.9% of GM residents had a level 4 qualification (compared with 33.9% in England). The proportion was highest in Trafford, where 43% of residents had this level of qualification, followed by Manchester and Stockport (37.6%).</w:t>
      </w:r>
    </w:p>
    <w:p w14:paraId="6D7829DB" w14:textId="701E61B9" w:rsidR="00332E59" w:rsidRDefault="00332E59">
      <w:pPr>
        <w:pStyle w:val="ListParagraph"/>
      </w:pPr>
      <w:r>
        <w:t>In Wigan, 7.1% of residents had an apprenticeship as their highest qualification</w:t>
      </w:r>
      <w:r w:rsidR="005F3016">
        <w:t xml:space="preserve"> (Greater Manchester, 5.6%; England,</w:t>
      </w:r>
      <w:r>
        <w:t xml:space="preserve"> 5.3%</w:t>
      </w:r>
      <w:r w:rsidR="005F3016">
        <w:t>).</w:t>
      </w:r>
    </w:p>
    <w:p w14:paraId="03D1DDDF" w14:textId="0272C960" w:rsidR="00332E59" w:rsidRDefault="00332E59">
      <w:pPr>
        <w:pStyle w:val="ListParagraph"/>
      </w:pPr>
      <w:r>
        <w:t xml:space="preserve">There </w:t>
      </w:r>
      <w:r w:rsidR="00975B16">
        <w:t>have</w:t>
      </w:r>
      <w:r>
        <w:t xml:space="preserve"> been relatively rapid improvements in qualification levels over the last 20 years. For example, the proportion of the Greater Manchester population who did not have a</w:t>
      </w:r>
      <w:r w:rsidR="008E6EF2">
        <w:t>ny</w:t>
      </w:r>
      <w:r>
        <w:t xml:space="preserve"> qualification</w:t>
      </w:r>
      <w:r w:rsidR="008E6EF2">
        <w:t>s</w:t>
      </w:r>
      <w:r>
        <w:t xml:space="preserve"> has fallen from 32.7% in 2001</w:t>
      </w:r>
      <w:r>
        <w:rPr>
          <w:rStyle w:val="FootnoteReference"/>
        </w:rPr>
        <w:footnoteReference w:id="1"/>
      </w:r>
      <w:r>
        <w:t xml:space="preserve">, </w:t>
      </w:r>
      <w:r w:rsidR="009C71EC">
        <w:t xml:space="preserve">to </w:t>
      </w:r>
      <w:r>
        <w:t xml:space="preserve">25% in </w:t>
      </w:r>
      <w:r w:rsidR="00F8165B">
        <w:t xml:space="preserve">the census of </w:t>
      </w:r>
      <w:r>
        <w:t>2011</w:t>
      </w:r>
      <w:r w:rsidR="009C71EC">
        <w:t xml:space="preserve">, </w:t>
      </w:r>
      <w:r>
        <w:t xml:space="preserve">to 20% in </w:t>
      </w:r>
      <w:r w:rsidR="00171A0F">
        <w:t xml:space="preserve">that of </w:t>
      </w:r>
      <w:r>
        <w:t>2021.</w:t>
      </w:r>
    </w:p>
    <w:p w14:paraId="7B421A39" w14:textId="77777777" w:rsidR="00B2720C" w:rsidRDefault="00B2720C" w:rsidP="00332E59">
      <w:pPr>
        <w:rPr>
          <w:rFonts w:asciiTheme="minorHAnsi" w:hAnsiTheme="minorHAnsi"/>
          <w:b/>
          <w:bCs/>
          <w:color w:val="2C5060" w:themeColor="accent1"/>
          <w:sz w:val="52"/>
          <w:szCs w:val="40"/>
        </w:rPr>
      </w:pPr>
    </w:p>
    <w:p w14:paraId="253977E6" w14:textId="51CB31CB" w:rsidR="00332E59" w:rsidRPr="001478B7" w:rsidRDefault="00FF3FF5" w:rsidP="00332E59">
      <w:pPr>
        <w:rPr>
          <w:rFonts w:asciiTheme="minorHAnsi" w:hAnsiTheme="minorHAnsi"/>
          <w:b/>
          <w:bCs/>
          <w:color w:val="2C5060" w:themeColor="accent1"/>
          <w:sz w:val="52"/>
          <w:szCs w:val="40"/>
        </w:rPr>
      </w:pPr>
      <w:r>
        <w:rPr>
          <w:rFonts w:asciiTheme="minorHAnsi" w:hAnsiTheme="minorHAnsi"/>
          <w:b/>
          <w:bCs/>
          <w:color w:val="2C5060" w:themeColor="accent1"/>
          <w:sz w:val="52"/>
          <w:szCs w:val="40"/>
        </w:rPr>
        <w:lastRenderedPageBreak/>
        <w:t xml:space="preserve">Main </w:t>
      </w:r>
      <w:r w:rsidR="00332E59" w:rsidRPr="001478B7">
        <w:rPr>
          <w:rFonts w:asciiTheme="minorHAnsi" w:hAnsiTheme="minorHAnsi"/>
          <w:b/>
          <w:bCs/>
          <w:color w:val="2C5060" w:themeColor="accent1"/>
          <w:sz w:val="52"/>
          <w:szCs w:val="40"/>
        </w:rPr>
        <w:t>Findings</w:t>
      </w:r>
    </w:p>
    <w:p w14:paraId="31F749AE" w14:textId="2F94A2CF" w:rsidR="00435A2B" w:rsidRDefault="00656E22" w:rsidP="00332E59">
      <w:pPr>
        <w:rPr>
          <w:rFonts w:cs="Arial"/>
          <w:szCs w:val="24"/>
        </w:rPr>
      </w:pPr>
      <w:r>
        <w:rPr>
          <w:rFonts w:cs="Arial"/>
          <w:szCs w:val="24"/>
        </w:rPr>
        <w:t xml:space="preserve">Greater Manchester tends to have slightly lower qualification levels than the rest of England. For example, in 2021, </w:t>
      </w:r>
      <w:r w:rsidR="00BB6FE6">
        <w:rPr>
          <w:rFonts w:cs="Arial"/>
          <w:szCs w:val="24"/>
        </w:rPr>
        <w:t xml:space="preserve">31.9% of </w:t>
      </w:r>
      <w:r w:rsidR="00F750FF">
        <w:rPr>
          <w:rFonts w:cs="Arial"/>
          <w:szCs w:val="24"/>
        </w:rPr>
        <w:t>Greater Manchester’s population</w:t>
      </w:r>
      <w:r w:rsidR="00BB6FE6">
        <w:rPr>
          <w:rFonts w:cs="Arial"/>
          <w:szCs w:val="24"/>
        </w:rPr>
        <w:t xml:space="preserve"> had a level 4 qualification</w:t>
      </w:r>
      <w:r w:rsidR="00DE3917" w:rsidRPr="00DE3917">
        <w:rPr>
          <w:rFonts w:cs="Arial"/>
          <w:szCs w:val="24"/>
        </w:rPr>
        <w:t xml:space="preserve"> </w:t>
      </w:r>
      <w:r w:rsidR="001E161E">
        <w:rPr>
          <w:rFonts w:cs="Arial"/>
          <w:szCs w:val="24"/>
        </w:rPr>
        <w:t xml:space="preserve">– the </w:t>
      </w:r>
      <w:r w:rsidR="00D958B3">
        <w:rPr>
          <w:rFonts w:cs="Arial"/>
          <w:szCs w:val="24"/>
        </w:rPr>
        <w:t xml:space="preserve">highest level </w:t>
      </w:r>
      <w:r w:rsidR="00A23AD1">
        <w:rPr>
          <w:rFonts w:cs="Arial"/>
          <w:szCs w:val="24"/>
        </w:rPr>
        <w:t>reported by</w:t>
      </w:r>
      <w:r w:rsidR="00D958B3">
        <w:rPr>
          <w:rFonts w:cs="Arial"/>
          <w:szCs w:val="24"/>
        </w:rPr>
        <w:t xml:space="preserve"> the census</w:t>
      </w:r>
      <w:r w:rsidR="00BB6FE6">
        <w:rPr>
          <w:rFonts w:cs="Arial"/>
          <w:szCs w:val="24"/>
        </w:rPr>
        <w:t xml:space="preserve">. </w:t>
      </w:r>
      <w:r w:rsidR="00770EA3">
        <w:rPr>
          <w:rFonts w:cs="Arial"/>
          <w:szCs w:val="24"/>
        </w:rPr>
        <w:t xml:space="preserve">This was two percentage points </w:t>
      </w:r>
      <w:r w:rsidR="0054441D">
        <w:rPr>
          <w:rFonts w:cs="Arial"/>
          <w:szCs w:val="24"/>
        </w:rPr>
        <w:t xml:space="preserve">below </w:t>
      </w:r>
      <w:r w:rsidR="001E161E">
        <w:rPr>
          <w:rFonts w:cs="Arial"/>
          <w:szCs w:val="24"/>
        </w:rPr>
        <w:t xml:space="preserve">the English average. </w:t>
      </w:r>
      <w:r w:rsidR="00FA0547">
        <w:rPr>
          <w:rFonts w:cs="Arial"/>
          <w:szCs w:val="24"/>
        </w:rPr>
        <w:t xml:space="preserve">However, these differences are smaller than </w:t>
      </w:r>
      <w:r w:rsidR="00D46F1A">
        <w:rPr>
          <w:rFonts w:cs="Arial"/>
          <w:szCs w:val="24"/>
        </w:rPr>
        <w:t>those</w:t>
      </w:r>
      <w:r w:rsidR="00FA0547">
        <w:rPr>
          <w:rFonts w:cs="Arial"/>
          <w:szCs w:val="24"/>
        </w:rPr>
        <w:t xml:space="preserve"> </w:t>
      </w:r>
      <w:r w:rsidR="00EB753C" w:rsidRPr="00EB753C">
        <w:rPr>
          <w:rFonts w:cs="Arial"/>
          <w:i/>
          <w:iCs/>
          <w:szCs w:val="24"/>
        </w:rPr>
        <w:t>within</w:t>
      </w:r>
      <w:r w:rsidR="00EB753C">
        <w:rPr>
          <w:rFonts w:cs="Arial"/>
          <w:szCs w:val="24"/>
        </w:rPr>
        <w:t xml:space="preserve"> Greater Manchester. </w:t>
      </w:r>
      <w:r w:rsidR="00332E59">
        <w:rPr>
          <w:rFonts w:cs="Arial"/>
          <w:szCs w:val="24"/>
        </w:rPr>
        <w:t xml:space="preserve">Trafford had the highest proportion of residents with </w:t>
      </w:r>
      <w:r w:rsidR="00536C06">
        <w:rPr>
          <w:rFonts w:cs="Arial"/>
          <w:szCs w:val="24"/>
        </w:rPr>
        <w:t xml:space="preserve">a </w:t>
      </w:r>
      <w:r w:rsidR="00332E59">
        <w:rPr>
          <w:rFonts w:cs="Arial"/>
          <w:szCs w:val="24"/>
        </w:rPr>
        <w:t>level 4+ qualification (43%</w:t>
      </w:r>
      <w:r w:rsidR="00D46F1A">
        <w:rPr>
          <w:rFonts w:cs="Arial"/>
          <w:szCs w:val="24"/>
        </w:rPr>
        <w:t xml:space="preserve">). </w:t>
      </w:r>
    </w:p>
    <w:p w14:paraId="6ECDAD12" w14:textId="035D4EA2" w:rsidR="00332E59" w:rsidRPr="006D2F18" w:rsidRDefault="0054441D" w:rsidP="00332E59">
      <w:pPr>
        <w:rPr>
          <w:rFonts w:cs="Arial"/>
          <w:szCs w:val="24"/>
        </w:rPr>
      </w:pPr>
      <w:r>
        <w:rPr>
          <w:rFonts w:cs="Arial"/>
          <w:szCs w:val="24"/>
        </w:rPr>
        <w:t xml:space="preserve">Meanwhile, at the other end of the qualification spectrum, </w:t>
      </w:r>
      <w:r w:rsidR="00435A2B">
        <w:rPr>
          <w:rFonts w:cs="Arial"/>
          <w:szCs w:val="24"/>
        </w:rPr>
        <w:t xml:space="preserve">just under a quarter of the residents of </w:t>
      </w:r>
      <w:r w:rsidR="00332E59">
        <w:rPr>
          <w:rFonts w:cs="Arial"/>
          <w:szCs w:val="24"/>
        </w:rPr>
        <w:t xml:space="preserve">Oldham </w:t>
      </w:r>
      <w:r w:rsidR="002F6047">
        <w:rPr>
          <w:rFonts w:cs="Arial"/>
          <w:szCs w:val="24"/>
        </w:rPr>
        <w:t>did</w:t>
      </w:r>
      <w:r w:rsidR="00435A2B">
        <w:rPr>
          <w:rFonts w:cs="Arial"/>
          <w:szCs w:val="24"/>
        </w:rPr>
        <w:t xml:space="preserve"> not have any qualifications</w:t>
      </w:r>
      <w:r w:rsidR="00667BAA">
        <w:rPr>
          <w:rFonts w:cs="Arial"/>
          <w:szCs w:val="24"/>
        </w:rPr>
        <w:t xml:space="preserve"> (24.7</w:t>
      </w:r>
      <w:r w:rsidR="00F95726">
        <w:rPr>
          <w:rFonts w:cs="Arial"/>
          <w:szCs w:val="24"/>
        </w:rPr>
        <w:t>%).</w:t>
      </w:r>
      <w:r w:rsidR="00667BAA">
        <w:rPr>
          <w:rFonts w:cs="Arial"/>
          <w:szCs w:val="24"/>
        </w:rPr>
        <w:t xml:space="preserve"> </w:t>
      </w:r>
      <w:r w:rsidR="002C75B1">
        <w:rPr>
          <w:rFonts w:cs="Arial"/>
          <w:szCs w:val="24"/>
        </w:rPr>
        <w:t xml:space="preserve">This </w:t>
      </w:r>
      <w:r w:rsidR="000D7B4A">
        <w:rPr>
          <w:rFonts w:cs="Arial"/>
          <w:szCs w:val="24"/>
        </w:rPr>
        <w:t xml:space="preserve">was well above </w:t>
      </w:r>
      <w:r w:rsidR="00856912">
        <w:rPr>
          <w:rFonts w:cs="Arial"/>
          <w:szCs w:val="24"/>
        </w:rPr>
        <w:t>the rate for England (18.1%) and Greater Manchester</w:t>
      </w:r>
      <w:r w:rsidR="00335E33">
        <w:rPr>
          <w:rFonts w:cs="Arial"/>
          <w:szCs w:val="24"/>
        </w:rPr>
        <w:t xml:space="preserve"> (20%)</w:t>
      </w:r>
      <w:r w:rsidR="006945A5">
        <w:rPr>
          <w:rFonts w:cs="Arial"/>
          <w:szCs w:val="24"/>
        </w:rPr>
        <w:t>. Yet</w:t>
      </w:r>
      <w:r w:rsidR="00335E33">
        <w:rPr>
          <w:rFonts w:cs="Arial"/>
          <w:szCs w:val="24"/>
        </w:rPr>
        <w:t xml:space="preserve"> the contrast with </w:t>
      </w:r>
      <w:r w:rsidR="003322CF">
        <w:rPr>
          <w:rFonts w:cs="Arial"/>
          <w:szCs w:val="24"/>
        </w:rPr>
        <w:t>Trafford</w:t>
      </w:r>
      <w:r w:rsidR="00DD43D5">
        <w:rPr>
          <w:rFonts w:cs="Arial"/>
          <w:szCs w:val="24"/>
        </w:rPr>
        <w:t xml:space="preserve"> </w:t>
      </w:r>
      <w:r w:rsidR="0048251D">
        <w:rPr>
          <w:rFonts w:cs="Arial"/>
          <w:szCs w:val="24"/>
        </w:rPr>
        <w:t xml:space="preserve">(14%) – a few miles across the city - </w:t>
      </w:r>
      <w:r w:rsidR="00DD43D5">
        <w:rPr>
          <w:rFonts w:cs="Arial"/>
          <w:szCs w:val="24"/>
        </w:rPr>
        <w:t>was larger</w:t>
      </w:r>
      <w:r w:rsidR="003322CF">
        <w:rPr>
          <w:rFonts w:cs="Arial"/>
          <w:szCs w:val="24"/>
        </w:rPr>
        <w:t xml:space="preserve">. </w:t>
      </w:r>
    </w:p>
    <w:p w14:paraId="63758572" w14:textId="77777777" w:rsidR="00332E59" w:rsidRDefault="00332E59" w:rsidP="00332E59">
      <w:pPr>
        <w:rPr>
          <w:rFonts w:cs="Arial"/>
          <w:b/>
          <w:bCs/>
          <w:szCs w:val="24"/>
        </w:rPr>
      </w:pPr>
      <w:r>
        <w:rPr>
          <w:rFonts w:cs="Arial"/>
          <w:b/>
          <w:bCs/>
          <w:szCs w:val="24"/>
        </w:rPr>
        <w:t>Highest qualification levels of residents, 2021</w:t>
      </w:r>
    </w:p>
    <w:p w14:paraId="2E8D54A3" w14:textId="77777777" w:rsidR="00332E59" w:rsidRPr="00935B0A" w:rsidRDefault="00332E59" w:rsidP="00975B16">
      <w:pPr>
        <w:ind w:left="-851"/>
        <w:rPr>
          <w:rFonts w:cs="Arial"/>
          <w:b/>
          <w:bCs/>
          <w:szCs w:val="24"/>
        </w:rPr>
      </w:pPr>
      <w:r>
        <w:rPr>
          <w:noProof/>
        </w:rPr>
        <w:drawing>
          <wp:inline distT="0" distB="0" distL="0" distR="0" wp14:anchorId="1EBFDCE8" wp14:editId="757DE14C">
            <wp:extent cx="6955155" cy="4013200"/>
            <wp:effectExtent l="0" t="0" r="17145" b="6350"/>
            <wp:docPr id="3" name="Chart 3" descr="This chart shows (for England; for Greater Manchester as a whole; and for individual districts within Greater Manchester) the highest qualification level of residents, across the full spectrum of qualification types. The detailed trends described in the main body of the briefing (immediately preceding two paragraphs) are visualised.">
              <a:extLst xmlns:a="http://schemas.openxmlformats.org/drawingml/2006/main">
                <a:ext uri="{FF2B5EF4-FFF2-40B4-BE49-F238E27FC236}">
                  <a16:creationId xmlns:a16="http://schemas.microsoft.com/office/drawing/2014/main" id="{62B867F1-B4B0-4D37-E292-5EDDEE254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726A2" w14:textId="77777777" w:rsidR="002E0981" w:rsidRPr="00FF3FF5" w:rsidRDefault="002E0981" w:rsidP="002E0981">
      <w:pPr>
        <w:tabs>
          <w:tab w:val="left" w:pos="7320"/>
        </w:tabs>
        <w:rPr>
          <w:rStyle w:val="Hyperlink"/>
          <w:rFonts w:cs="Arial"/>
          <w:i/>
          <w:iCs/>
          <w:szCs w:val="24"/>
        </w:rPr>
      </w:pPr>
      <w:r w:rsidRPr="00FF3FF5">
        <w:rPr>
          <w:rFonts w:cs="Arial"/>
          <w:i/>
          <w:iCs/>
          <w:szCs w:val="24"/>
        </w:rPr>
        <w:t xml:space="preserve">Source: ONS, Nomis - </w:t>
      </w:r>
      <w:hyperlink r:id="rId15" w:history="1">
        <w:r w:rsidRPr="00731089">
          <w:rPr>
            <w:rStyle w:val="Hyperlink"/>
            <w:rFonts w:cs="Arial"/>
            <w:i/>
            <w:iCs/>
            <w:color w:val="2C5060" w:themeColor="accent1"/>
            <w:szCs w:val="24"/>
          </w:rPr>
          <w:t>2021 Census</w:t>
        </w:r>
      </w:hyperlink>
    </w:p>
    <w:p w14:paraId="3679633F" w14:textId="578DCFE3" w:rsidR="00DF0AD7" w:rsidRDefault="00DF0AD7">
      <w:pPr>
        <w:spacing w:line="259" w:lineRule="auto"/>
        <w:rPr>
          <w:b/>
          <w:bCs/>
          <w:color w:val="595959" w:themeColor="text1" w:themeTint="A6"/>
          <w:sz w:val="28"/>
          <w:szCs w:val="28"/>
        </w:rPr>
      </w:pPr>
    </w:p>
    <w:p w14:paraId="0B7B7F2C" w14:textId="62C83A81" w:rsidR="00332E59" w:rsidRPr="002E0981" w:rsidRDefault="00332E59" w:rsidP="00332E59">
      <w:pPr>
        <w:rPr>
          <w:rFonts w:asciiTheme="minorHAnsi" w:hAnsiTheme="minorHAnsi"/>
          <w:b/>
          <w:bCs/>
          <w:color w:val="auto"/>
          <w:sz w:val="36"/>
          <w:szCs w:val="28"/>
        </w:rPr>
      </w:pPr>
      <w:r w:rsidRPr="002E0981">
        <w:rPr>
          <w:rFonts w:asciiTheme="minorHAnsi" w:hAnsiTheme="minorHAnsi"/>
          <w:b/>
          <w:bCs/>
          <w:color w:val="auto"/>
          <w:sz w:val="36"/>
          <w:szCs w:val="28"/>
        </w:rPr>
        <w:lastRenderedPageBreak/>
        <w:t xml:space="preserve">Change in </w:t>
      </w:r>
      <w:proofErr w:type="gramStart"/>
      <w:r w:rsidR="00B24CD0" w:rsidRPr="002E0981">
        <w:rPr>
          <w:rFonts w:asciiTheme="minorHAnsi" w:hAnsiTheme="minorHAnsi"/>
          <w:b/>
          <w:bCs/>
          <w:color w:val="auto"/>
          <w:sz w:val="36"/>
          <w:szCs w:val="28"/>
        </w:rPr>
        <w:t>qualifications</w:t>
      </w:r>
      <w:proofErr w:type="gramEnd"/>
      <w:r w:rsidRPr="002E0981">
        <w:rPr>
          <w:rFonts w:asciiTheme="minorHAnsi" w:hAnsiTheme="minorHAnsi"/>
          <w:b/>
          <w:bCs/>
          <w:color w:val="auto"/>
          <w:sz w:val="36"/>
          <w:szCs w:val="28"/>
        </w:rPr>
        <w:t xml:space="preserve"> </w:t>
      </w:r>
    </w:p>
    <w:p w14:paraId="78B0AA65" w14:textId="77777777" w:rsidR="00380790" w:rsidRPr="00380790" w:rsidRDefault="00380790" w:rsidP="00332E59">
      <w:pPr>
        <w:rPr>
          <w:rFonts w:cs="Arial"/>
          <w:i/>
          <w:iCs/>
          <w:szCs w:val="24"/>
        </w:rPr>
      </w:pPr>
      <w:r w:rsidRPr="00380790">
        <w:rPr>
          <w:rFonts w:cs="Arial"/>
          <w:i/>
          <w:iCs/>
          <w:szCs w:val="24"/>
        </w:rPr>
        <w:t>Level 4+</w:t>
      </w:r>
    </w:p>
    <w:p w14:paraId="42079F00" w14:textId="3DC51477" w:rsidR="00332E59" w:rsidRDefault="00332E59" w:rsidP="00332E59">
      <w:pPr>
        <w:rPr>
          <w:rFonts w:cs="Arial"/>
          <w:szCs w:val="24"/>
        </w:rPr>
      </w:pPr>
      <w:r>
        <w:rPr>
          <w:rFonts w:cs="Arial"/>
          <w:szCs w:val="24"/>
        </w:rPr>
        <w:t>There has been some relatively rapid change in the qualification levels of residents over the last 20 years. For example, at level 4+, from 2001 to 2011, there was a 7.3ppt increase in the percentage of GM residents who had a Level 4+ qualification; from 2011 to 2021, there was a</w:t>
      </w:r>
      <w:r w:rsidR="000C24D4">
        <w:rPr>
          <w:rFonts w:cs="Arial"/>
          <w:szCs w:val="24"/>
        </w:rPr>
        <w:t>n</w:t>
      </w:r>
      <w:r>
        <w:rPr>
          <w:rFonts w:cs="Arial"/>
          <w:szCs w:val="24"/>
        </w:rPr>
        <w:t xml:space="preserve"> increase of 7.6ppts (see below). This suggests that the rate of change over the last twenty years has remained </w:t>
      </w:r>
      <w:proofErr w:type="gramStart"/>
      <w:r>
        <w:rPr>
          <w:rFonts w:cs="Arial"/>
          <w:szCs w:val="24"/>
        </w:rPr>
        <w:t>fairly consisten</w:t>
      </w:r>
      <w:r w:rsidR="00394F89">
        <w:rPr>
          <w:rFonts w:cs="Arial"/>
          <w:szCs w:val="24"/>
        </w:rPr>
        <w:t>t</w:t>
      </w:r>
      <w:proofErr w:type="gramEnd"/>
      <w:r>
        <w:rPr>
          <w:rFonts w:cs="Arial"/>
          <w:szCs w:val="24"/>
        </w:rPr>
        <w:t>.</w:t>
      </w:r>
      <w:r w:rsidR="004912A9">
        <w:rPr>
          <w:rFonts w:cs="Arial"/>
          <w:szCs w:val="24"/>
        </w:rPr>
        <w:t xml:space="preserve"> </w:t>
      </w:r>
    </w:p>
    <w:p w14:paraId="396BADA0" w14:textId="56D1392B" w:rsidR="00332E59" w:rsidRDefault="001E6CF2" w:rsidP="001E6CF2">
      <w:pPr>
        <w:jc w:val="center"/>
      </w:pPr>
      <w:r>
        <w:rPr>
          <w:noProof/>
        </w:rPr>
        <w:drawing>
          <wp:inline distT="0" distB="0" distL="0" distR="0" wp14:anchorId="338B118B" wp14:editId="0050D245">
            <wp:extent cx="4572000" cy="2565400"/>
            <wp:effectExtent l="0" t="0" r="0" b="6350"/>
            <wp:docPr id="10" name="Chart 10" descr="This chart shows the proportion of Greater Manchester residents with Level 4+ qualifications (across three censuses: 2001; 2011; 2021), with a direct comparison to overall figures across England as a whole. The chart shows, for example, that between 2011 and 2011 there was a 7.3ppt increase in the percentage of GM residents who had a Level 4+ qualification; from 2011 to 2021, there was an increase of 7.6ppts.">
              <a:extLst xmlns:a="http://schemas.openxmlformats.org/drawingml/2006/main">
                <a:ext uri="{FF2B5EF4-FFF2-40B4-BE49-F238E27FC236}">
                  <a16:creationId xmlns:a16="http://schemas.microsoft.com/office/drawing/2014/main" id="{F10CC510-3305-43F2-09B7-E80346307F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231432" w14:textId="7C52CB4A" w:rsidR="00332E59" w:rsidRPr="00496096" w:rsidRDefault="00332E59" w:rsidP="00332E59">
      <w:pPr>
        <w:rPr>
          <w:rFonts w:cs="Arial"/>
          <w:b/>
          <w:bCs/>
          <w:szCs w:val="24"/>
        </w:rPr>
      </w:pPr>
      <w:r w:rsidRPr="00B2159A">
        <w:rPr>
          <w:rFonts w:cs="Arial"/>
          <w:i/>
          <w:iCs/>
          <w:szCs w:val="24"/>
        </w:rPr>
        <w:t>Source: Census 2021</w:t>
      </w:r>
      <w:r w:rsidR="0044144D">
        <w:rPr>
          <w:rFonts w:cs="Arial"/>
          <w:i/>
          <w:iCs/>
          <w:szCs w:val="24"/>
        </w:rPr>
        <w:t>, 2011, 2001</w:t>
      </w:r>
      <w:r w:rsidR="00DF3562">
        <w:rPr>
          <w:rFonts w:cs="Arial"/>
          <w:i/>
          <w:iCs/>
          <w:szCs w:val="24"/>
        </w:rPr>
        <w:t xml:space="preserve">. </w:t>
      </w:r>
      <w:r w:rsidR="00EC05EB">
        <w:rPr>
          <w:rFonts w:cs="Arial"/>
          <w:i/>
          <w:iCs/>
          <w:szCs w:val="24"/>
        </w:rPr>
        <w:t>Note: GM refers to Greater Manchester</w:t>
      </w:r>
    </w:p>
    <w:p w14:paraId="62531B01" w14:textId="2261BFE2" w:rsidR="00E0784F" w:rsidRDefault="002D180C" w:rsidP="00E0784F">
      <w:r>
        <w:t>Over the decade between 2011 and 2021</w:t>
      </w:r>
      <w:r w:rsidR="00E0784F">
        <w:t xml:space="preserve"> Salford </w:t>
      </w:r>
      <w:r w:rsidR="00A16E1F">
        <w:t>was</w:t>
      </w:r>
      <w:r w:rsidR="00E0784F">
        <w:t xml:space="preserve"> the </w:t>
      </w:r>
      <w:r w:rsidR="00A16E1F">
        <w:t>district</w:t>
      </w:r>
      <w:r w:rsidR="00E0784F">
        <w:t xml:space="preserve"> that has increased its proportion </w:t>
      </w:r>
      <w:r w:rsidR="000521F1">
        <w:t xml:space="preserve">of residents </w:t>
      </w:r>
      <w:r w:rsidR="00E0784F">
        <w:t>with level 4 qualifications the most</w:t>
      </w:r>
      <w:r w:rsidR="002335DD">
        <w:t xml:space="preserve"> </w:t>
      </w:r>
      <w:r w:rsidR="00E0784F">
        <w:t>– by close to double the average. But substantial increases were also recorded in Trafford and Manchester</w:t>
      </w:r>
      <w:r w:rsidR="00513351">
        <w:t>.</w:t>
      </w:r>
    </w:p>
    <w:p w14:paraId="5960A59A" w14:textId="38306DC7" w:rsidR="00513351" w:rsidRPr="002E0981" w:rsidRDefault="00380790" w:rsidP="00E0784F">
      <w:pPr>
        <w:rPr>
          <w:rFonts w:asciiTheme="minorHAnsi" w:hAnsiTheme="minorHAnsi"/>
          <w:b/>
          <w:bCs/>
          <w:color w:val="auto"/>
          <w:sz w:val="36"/>
          <w:szCs w:val="28"/>
        </w:rPr>
      </w:pPr>
      <w:r w:rsidRPr="002E0981">
        <w:rPr>
          <w:rFonts w:asciiTheme="minorHAnsi" w:hAnsiTheme="minorHAnsi"/>
          <w:b/>
          <w:bCs/>
          <w:color w:val="auto"/>
          <w:sz w:val="36"/>
          <w:szCs w:val="28"/>
        </w:rPr>
        <w:t>Residents</w:t>
      </w:r>
      <w:r w:rsidR="00513351" w:rsidRPr="002E0981">
        <w:rPr>
          <w:rFonts w:asciiTheme="minorHAnsi" w:hAnsiTheme="minorHAnsi"/>
          <w:b/>
          <w:bCs/>
          <w:color w:val="auto"/>
          <w:sz w:val="36"/>
          <w:szCs w:val="28"/>
        </w:rPr>
        <w:t xml:space="preserve"> without qualifications</w:t>
      </w:r>
    </w:p>
    <w:p w14:paraId="0CC414C6" w14:textId="293FD700" w:rsidR="00B5033F" w:rsidRDefault="00B80F16" w:rsidP="00332E59">
      <w:pPr>
        <w:tabs>
          <w:tab w:val="left" w:pos="7320"/>
        </w:tabs>
        <w:rPr>
          <w:rFonts w:cs="Arial"/>
          <w:szCs w:val="24"/>
        </w:rPr>
      </w:pPr>
      <w:r>
        <w:t xml:space="preserve">There was also significant change in the data on residents without qualifications - </w:t>
      </w:r>
      <w:r w:rsidR="00332E59">
        <w:rPr>
          <w:rFonts w:cs="Arial"/>
          <w:szCs w:val="24"/>
        </w:rPr>
        <w:t xml:space="preserve">but </w:t>
      </w:r>
      <w:r w:rsidR="00B77994">
        <w:rPr>
          <w:rFonts w:cs="Arial"/>
          <w:szCs w:val="24"/>
        </w:rPr>
        <w:t>with</w:t>
      </w:r>
      <w:r w:rsidR="00332E59">
        <w:rPr>
          <w:rFonts w:cs="Arial"/>
          <w:szCs w:val="24"/>
        </w:rPr>
        <w:t xml:space="preserve"> the </w:t>
      </w:r>
      <w:r w:rsidR="00B77994">
        <w:rPr>
          <w:rFonts w:cs="Arial"/>
          <w:szCs w:val="24"/>
        </w:rPr>
        <w:t xml:space="preserve">trend in the </w:t>
      </w:r>
      <w:r w:rsidR="00332E59">
        <w:rPr>
          <w:rFonts w:cs="Arial"/>
          <w:szCs w:val="24"/>
        </w:rPr>
        <w:t xml:space="preserve">opposite direction. </w:t>
      </w:r>
      <w:r w:rsidR="00B87AAC">
        <w:rPr>
          <w:rFonts w:cs="Arial"/>
          <w:szCs w:val="24"/>
        </w:rPr>
        <w:t xml:space="preserve">In 2001, nearly a third of Greater Manchester residents had no qualifications (32.7%). This dropped </w:t>
      </w:r>
      <w:r w:rsidR="003E31E8">
        <w:rPr>
          <w:rFonts w:cs="Arial"/>
          <w:szCs w:val="24"/>
        </w:rPr>
        <w:t xml:space="preserve">to a quarter by the time of the </w:t>
      </w:r>
      <w:r w:rsidR="007E465C">
        <w:rPr>
          <w:rFonts w:cs="Arial"/>
          <w:szCs w:val="24"/>
        </w:rPr>
        <w:t xml:space="preserve">census carried out in 2011. </w:t>
      </w:r>
      <w:r w:rsidR="00181E87">
        <w:rPr>
          <w:rFonts w:cs="Arial"/>
          <w:szCs w:val="24"/>
        </w:rPr>
        <w:t>Ten years later, in 2021, the proportion was 20%</w:t>
      </w:r>
      <w:r w:rsidR="00FF77D4">
        <w:rPr>
          <w:rFonts w:cs="Arial"/>
          <w:szCs w:val="24"/>
        </w:rPr>
        <w:t>.</w:t>
      </w:r>
    </w:p>
    <w:p w14:paraId="43CA714B" w14:textId="2B05B657" w:rsidR="00332E59" w:rsidRDefault="006B6D97" w:rsidP="00332E59">
      <w:pPr>
        <w:tabs>
          <w:tab w:val="left" w:pos="7320"/>
        </w:tabs>
      </w:pPr>
      <w:r>
        <w:rPr>
          <w:rFonts w:cs="Arial"/>
          <w:szCs w:val="24"/>
        </w:rPr>
        <w:t xml:space="preserve">Greater Manchester has </w:t>
      </w:r>
      <w:r w:rsidR="00B77994">
        <w:rPr>
          <w:rFonts w:cs="Arial"/>
          <w:szCs w:val="24"/>
        </w:rPr>
        <w:t xml:space="preserve">therefore </w:t>
      </w:r>
      <w:r>
        <w:rPr>
          <w:rFonts w:cs="Arial"/>
          <w:szCs w:val="24"/>
        </w:rPr>
        <w:t xml:space="preserve">experienced a sharper decrease than England </w:t>
      </w:r>
      <w:r w:rsidR="00FF77D4">
        <w:rPr>
          <w:rFonts w:cs="Arial"/>
          <w:szCs w:val="24"/>
        </w:rPr>
        <w:t xml:space="preserve">in the proportion of its population who do not have any qualifications </w:t>
      </w:r>
      <w:r w:rsidR="009E0E3F">
        <w:rPr>
          <w:rFonts w:cs="Arial"/>
          <w:szCs w:val="24"/>
        </w:rPr>
        <w:t>(</w:t>
      </w:r>
      <w:r w:rsidR="00332E59">
        <w:t xml:space="preserve">a 12.7ppts </w:t>
      </w:r>
      <w:r w:rsidR="00EF163F">
        <w:t xml:space="preserve">fall </w:t>
      </w:r>
      <w:r w:rsidR="00217ED1">
        <w:t xml:space="preserve">between 2001 and 2021 </w:t>
      </w:r>
      <w:r w:rsidR="00EF163F">
        <w:t xml:space="preserve">compared with </w:t>
      </w:r>
      <w:r w:rsidR="00332E59">
        <w:t xml:space="preserve">a </w:t>
      </w:r>
      <w:r w:rsidR="00EF163F">
        <w:t xml:space="preserve">decrease of </w:t>
      </w:r>
      <w:r w:rsidR="00332E59">
        <w:t xml:space="preserve">10.8ppts </w:t>
      </w:r>
      <w:r w:rsidR="00EF163F">
        <w:t>in England</w:t>
      </w:r>
      <w:r w:rsidR="000D5179">
        <w:t>)</w:t>
      </w:r>
      <w:r w:rsidR="00332E59">
        <w:t xml:space="preserve">. The rate </w:t>
      </w:r>
      <w:r w:rsidR="00332E59">
        <w:lastRenderedPageBreak/>
        <w:t>of change</w:t>
      </w:r>
      <w:r w:rsidR="0080531D">
        <w:t xml:space="preserve">, however, </w:t>
      </w:r>
      <w:r w:rsidR="00D236D8">
        <w:t xml:space="preserve">has been </w:t>
      </w:r>
      <w:r w:rsidR="00EA681B">
        <w:t>slowing</w:t>
      </w:r>
      <w:r w:rsidR="00D236D8">
        <w:t>. The decline was smaller between 2011 and 2021 than it was in the earlier decade of 2001 to 2011.</w:t>
      </w:r>
    </w:p>
    <w:p w14:paraId="48692DC0" w14:textId="77777777" w:rsidR="00332E59" w:rsidRDefault="00332E59" w:rsidP="00EA681B">
      <w:pPr>
        <w:jc w:val="center"/>
        <w:rPr>
          <w:rFonts w:cs="Arial"/>
          <w:szCs w:val="24"/>
        </w:rPr>
      </w:pPr>
      <w:r>
        <w:rPr>
          <w:noProof/>
        </w:rPr>
        <w:drawing>
          <wp:inline distT="0" distB="0" distL="0" distR="0" wp14:anchorId="2195D6D6" wp14:editId="481466F3">
            <wp:extent cx="4572000" cy="2667000"/>
            <wp:effectExtent l="0" t="0" r="0" b="0"/>
            <wp:docPr id="12" name="Chart 12" descr="This chart shows the proportion of Greater Manchester residents with without qualifications (across three censuses: 2001; 2011; 2021), with a direct comparison to overall figures across England as a whole. The chart shows that Greater Manchester has therefore experienced a sharper decrease than England in the proportion of its population who do not have any qualifications (a 12.7ppts fall between 2001 and 2021 compared with a decrease of 10.8ppts in England), although the rate of change has been slowing. ">
              <a:extLst xmlns:a="http://schemas.openxmlformats.org/drawingml/2006/main">
                <a:ext uri="{FF2B5EF4-FFF2-40B4-BE49-F238E27FC236}">
                  <a16:creationId xmlns:a16="http://schemas.microsoft.com/office/drawing/2014/main" id="{F10CC510-3305-43F2-09B7-E80346307F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B29304" w14:textId="21798487" w:rsidR="00EC05EB" w:rsidRPr="00496096" w:rsidRDefault="00EC05EB" w:rsidP="00EC05EB">
      <w:pPr>
        <w:rPr>
          <w:rFonts w:cs="Arial"/>
          <w:b/>
          <w:bCs/>
          <w:szCs w:val="24"/>
        </w:rPr>
      </w:pPr>
      <w:r w:rsidRPr="00B2159A">
        <w:rPr>
          <w:rFonts w:cs="Arial"/>
          <w:i/>
          <w:iCs/>
          <w:szCs w:val="24"/>
        </w:rPr>
        <w:t>Source: Census 2021</w:t>
      </w:r>
      <w:r w:rsidR="0044144D">
        <w:rPr>
          <w:rFonts w:cs="Arial"/>
          <w:i/>
          <w:iCs/>
          <w:szCs w:val="24"/>
        </w:rPr>
        <w:t>, 2011, 2001</w:t>
      </w:r>
      <w:r>
        <w:rPr>
          <w:rFonts w:cs="Arial"/>
          <w:i/>
          <w:iCs/>
          <w:szCs w:val="24"/>
        </w:rPr>
        <w:t>. Note: GM refers to Greater Manchester</w:t>
      </w:r>
    </w:p>
    <w:p w14:paraId="007C2543" w14:textId="54EC6FA1" w:rsidR="00332E59" w:rsidRPr="00371E31" w:rsidRDefault="00697C61" w:rsidP="00332E59">
      <w:pPr>
        <w:rPr>
          <w:rFonts w:cs="Arial"/>
          <w:szCs w:val="24"/>
        </w:rPr>
      </w:pPr>
      <w:r>
        <w:rPr>
          <w:rFonts w:cs="Arial"/>
          <w:szCs w:val="24"/>
        </w:rPr>
        <w:t xml:space="preserve">The two ‘extremes’ of </w:t>
      </w:r>
      <w:r w:rsidR="00BB40E1">
        <w:rPr>
          <w:rFonts w:cs="Arial"/>
          <w:szCs w:val="24"/>
        </w:rPr>
        <w:t xml:space="preserve">the qualifications </w:t>
      </w:r>
      <w:r w:rsidR="00B501E1">
        <w:rPr>
          <w:rFonts w:cs="Arial"/>
          <w:szCs w:val="24"/>
        </w:rPr>
        <w:t>range</w:t>
      </w:r>
      <w:r w:rsidR="00BB40E1">
        <w:rPr>
          <w:rFonts w:cs="Arial"/>
          <w:szCs w:val="24"/>
        </w:rPr>
        <w:t xml:space="preserve"> have, in effect, </w:t>
      </w:r>
      <w:r w:rsidR="00431341">
        <w:rPr>
          <w:rFonts w:cs="Arial"/>
          <w:szCs w:val="24"/>
        </w:rPr>
        <w:t xml:space="preserve">almost </w:t>
      </w:r>
      <w:r w:rsidR="00BB40E1">
        <w:rPr>
          <w:rFonts w:cs="Arial"/>
          <w:szCs w:val="24"/>
        </w:rPr>
        <w:t>mirrored each other</w:t>
      </w:r>
      <w:r w:rsidR="000C24D4">
        <w:rPr>
          <w:rFonts w:cs="Arial"/>
          <w:szCs w:val="24"/>
        </w:rPr>
        <w:t xml:space="preserve"> (as shown in the chart below)</w:t>
      </w:r>
      <w:r w:rsidR="00BB40E1">
        <w:rPr>
          <w:rFonts w:cs="Arial"/>
          <w:szCs w:val="24"/>
        </w:rPr>
        <w:t xml:space="preserve">. </w:t>
      </w:r>
      <w:r w:rsidR="00F42C18">
        <w:rPr>
          <w:rFonts w:cs="Arial"/>
          <w:szCs w:val="24"/>
        </w:rPr>
        <w:t xml:space="preserve">In 2001, it was far more </w:t>
      </w:r>
      <w:r w:rsidR="00927CF5">
        <w:rPr>
          <w:rFonts w:cs="Arial"/>
          <w:szCs w:val="24"/>
        </w:rPr>
        <w:t>common</w:t>
      </w:r>
      <w:r w:rsidR="00F42C18">
        <w:rPr>
          <w:rFonts w:cs="Arial"/>
          <w:szCs w:val="24"/>
        </w:rPr>
        <w:t xml:space="preserve"> not to have </w:t>
      </w:r>
      <w:r w:rsidR="00C64AAB">
        <w:rPr>
          <w:rFonts w:cs="Arial"/>
          <w:szCs w:val="24"/>
        </w:rPr>
        <w:t xml:space="preserve">any qualifications than to have advanced ones. </w:t>
      </w:r>
      <w:r w:rsidR="00216C03">
        <w:rPr>
          <w:rFonts w:cs="Arial"/>
          <w:szCs w:val="24"/>
        </w:rPr>
        <w:t>By</w:t>
      </w:r>
      <w:r w:rsidR="00C64AAB">
        <w:rPr>
          <w:rFonts w:cs="Arial"/>
          <w:szCs w:val="24"/>
        </w:rPr>
        <w:t xml:space="preserve"> 2021</w:t>
      </w:r>
      <w:r w:rsidR="00645E53">
        <w:rPr>
          <w:rFonts w:cs="Arial"/>
          <w:szCs w:val="24"/>
        </w:rPr>
        <w:t xml:space="preserve"> t</w:t>
      </w:r>
      <w:r w:rsidR="00332E59">
        <w:rPr>
          <w:rFonts w:cs="Arial"/>
          <w:szCs w:val="24"/>
        </w:rPr>
        <w:t xml:space="preserve">he number of residents with </w:t>
      </w:r>
      <w:r w:rsidR="00394213">
        <w:rPr>
          <w:rFonts w:cs="Arial"/>
          <w:szCs w:val="24"/>
        </w:rPr>
        <w:t>l</w:t>
      </w:r>
      <w:r w:rsidR="00332E59">
        <w:rPr>
          <w:rFonts w:cs="Arial"/>
          <w:szCs w:val="24"/>
        </w:rPr>
        <w:t xml:space="preserve">evel 4 qualifications </w:t>
      </w:r>
      <w:r w:rsidR="00DC75B8">
        <w:rPr>
          <w:rFonts w:cs="Arial"/>
          <w:szCs w:val="24"/>
        </w:rPr>
        <w:t xml:space="preserve">greatly </w:t>
      </w:r>
      <w:r w:rsidR="00332E59">
        <w:rPr>
          <w:rFonts w:cs="Arial"/>
          <w:szCs w:val="24"/>
        </w:rPr>
        <w:t>outweigh</w:t>
      </w:r>
      <w:r w:rsidR="00DC75B8">
        <w:rPr>
          <w:rFonts w:cs="Arial"/>
          <w:szCs w:val="24"/>
        </w:rPr>
        <w:t>ed</w:t>
      </w:r>
      <w:r w:rsidR="00332E59">
        <w:rPr>
          <w:rFonts w:cs="Arial"/>
          <w:szCs w:val="24"/>
        </w:rPr>
        <w:t xml:space="preserve"> those with</w:t>
      </w:r>
      <w:r w:rsidR="00F71B40">
        <w:rPr>
          <w:rFonts w:cs="Arial"/>
          <w:szCs w:val="24"/>
        </w:rPr>
        <w:t>out</w:t>
      </w:r>
      <w:r w:rsidR="00332E59">
        <w:rPr>
          <w:rFonts w:cs="Arial"/>
          <w:szCs w:val="24"/>
        </w:rPr>
        <w:t xml:space="preserve"> </w:t>
      </w:r>
      <w:r w:rsidR="00B53DA3">
        <w:rPr>
          <w:rFonts w:cs="Arial"/>
          <w:szCs w:val="24"/>
        </w:rPr>
        <w:t xml:space="preserve">any </w:t>
      </w:r>
      <w:r w:rsidR="00332E59">
        <w:rPr>
          <w:rFonts w:cs="Arial"/>
          <w:szCs w:val="24"/>
        </w:rPr>
        <w:t xml:space="preserve">qualifications. </w:t>
      </w:r>
    </w:p>
    <w:p w14:paraId="35AE3C4E" w14:textId="77777777" w:rsidR="00332E59" w:rsidRPr="00496096" w:rsidRDefault="00332E59" w:rsidP="00332E59">
      <w:pPr>
        <w:jc w:val="center"/>
        <w:rPr>
          <w:rFonts w:cs="Arial"/>
          <w:b/>
          <w:bCs/>
          <w:szCs w:val="24"/>
        </w:rPr>
      </w:pPr>
      <w:r>
        <w:rPr>
          <w:noProof/>
        </w:rPr>
        <w:drawing>
          <wp:inline distT="0" distB="0" distL="0" distR="0" wp14:anchorId="48EEB95C" wp14:editId="03AD535D">
            <wp:extent cx="4646295" cy="2673350"/>
            <wp:effectExtent l="0" t="0" r="1905" b="12700"/>
            <wp:docPr id="14" name="Chart 14" descr="This chart shows the proportion of Greater Manchester residents with without qualifications (across three censuses: 2001; 2011; 2021), compared with the proportion of GM residents with Level 5+ qualifications (across the same time horizon). The chart shows that, by 2021, the proportion of residents with level 4 qualifications greatly outweighed those without any qualifications. ">
              <a:extLst xmlns:a="http://schemas.openxmlformats.org/drawingml/2006/main">
                <a:ext uri="{FF2B5EF4-FFF2-40B4-BE49-F238E27FC236}">
                  <a16:creationId xmlns:a16="http://schemas.microsoft.com/office/drawing/2014/main" id="{6BC52BF5-D633-EAE6-5AE0-1C5AB5DBC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752BBC" w14:textId="51AFF9BA" w:rsidR="000D5F60" w:rsidRPr="00496096" w:rsidRDefault="000D5F60" w:rsidP="000D5F60">
      <w:pPr>
        <w:rPr>
          <w:rFonts w:cs="Arial"/>
          <w:b/>
          <w:bCs/>
          <w:szCs w:val="24"/>
        </w:rPr>
      </w:pPr>
      <w:r w:rsidRPr="00B2159A">
        <w:rPr>
          <w:rFonts w:cs="Arial"/>
          <w:i/>
          <w:iCs/>
          <w:szCs w:val="24"/>
        </w:rPr>
        <w:t>Source: Census 2021</w:t>
      </w:r>
      <w:r>
        <w:rPr>
          <w:rFonts w:cs="Arial"/>
          <w:i/>
          <w:iCs/>
          <w:szCs w:val="24"/>
        </w:rPr>
        <w:t>, 2011, 2001</w:t>
      </w:r>
      <w:r w:rsidR="00D04A76">
        <w:rPr>
          <w:rFonts w:cs="Arial"/>
          <w:i/>
          <w:iCs/>
          <w:szCs w:val="24"/>
        </w:rPr>
        <w:t>. GM refers to Greater Manchester.</w:t>
      </w:r>
    </w:p>
    <w:p w14:paraId="05458D6D" w14:textId="77777777" w:rsidR="00C73F3D" w:rsidRDefault="00C73F3D" w:rsidP="00332E59">
      <w:pPr>
        <w:rPr>
          <w:i/>
          <w:iCs/>
        </w:rPr>
      </w:pPr>
    </w:p>
    <w:p w14:paraId="2FDD0C4C" w14:textId="77777777" w:rsidR="000F5CC7" w:rsidRDefault="000F5CC7" w:rsidP="00332E59">
      <w:pPr>
        <w:rPr>
          <w:rFonts w:asciiTheme="minorHAnsi" w:hAnsiTheme="minorHAnsi"/>
          <w:b/>
          <w:bCs/>
          <w:color w:val="auto"/>
          <w:sz w:val="36"/>
          <w:szCs w:val="28"/>
        </w:rPr>
      </w:pPr>
    </w:p>
    <w:p w14:paraId="16D0B43C" w14:textId="2B63D487" w:rsidR="00332E59" w:rsidRPr="002E0981" w:rsidRDefault="00332E59" w:rsidP="00332E59">
      <w:pPr>
        <w:rPr>
          <w:rFonts w:asciiTheme="minorHAnsi" w:hAnsiTheme="minorHAnsi"/>
          <w:b/>
          <w:bCs/>
          <w:color w:val="auto"/>
          <w:sz w:val="36"/>
          <w:szCs w:val="28"/>
        </w:rPr>
      </w:pPr>
      <w:r w:rsidRPr="002E0981">
        <w:rPr>
          <w:rFonts w:asciiTheme="minorHAnsi" w:hAnsiTheme="minorHAnsi"/>
          <w:b/>
          <w:bCs/>
          <w:color w:val="auto"/>
          <w:sz w:val="36"/>
          <w:szCs w:val="28"/>
        </w:rPr>
        <w:t>Apprenticeships</w:t>
      </w:r>
      <w:r w:rsidR="00F551EA" w:rsidRPr="002E0981">
        <w:rPr>
          <w:rFonts w:asciiTheme="minorHAnsi" w:hAnsiTheme="minorHAnsi"/>
          <w:b/>
          <w:bCs/>
          <w:color w:val="auto"/>
          <w:sz w:val="36"/>
          <w:szCs w:val="28"/>
        </w:rPr>
        <w:t xml:space="preserve"> 2011-2021</w:t>
      </w:r>
    </w:p>
    <w:p w14:paraId="7B1BD4C1" w14:textId="13BCA157" w:rsidR="000A2B25" w:rsidRDefault="00332E59" w:rsidP="000A2B25">
      <w:r>
        <w:t>The revival of apprenticeships has been the objective of government</w:t>
      </w:r>
      <w:r w:rsidR="00C76D08">
        <w:t xml:space="preserve"> policy for many years</w:t>
      </w:r>
      <w:r>
        <w:t xml:space="preserve">. The </w:t>
      </w:r>
      <w:r w:rsidR="00DF0AD7">
        <w:t xml:space="preserve">census </w:t>
      </w:r>
      <w:r>
        <w:t>data implies some success. In 2011 3.6%</w:t>
      </w:r>
      <w:r w:rsidR="00FE352B">
        <w:t xml:space="preserve"> of people</w:t>
      </w:r>
      <w:r>
        <w:t xml:space="preserve"> in England</w:t>
      </w:r>
      <w:r w:rsidR="00FE352B">
        <w:t xml:space="preserve"> had an apprenticeship as their highest qualification</w:t>
      </w:r>
      <w:r>
        <w:t xml:space="preserve">. In 2021 it was 5.3%. The increase in Greater Manchester has been larger (2ppts) than in England. </w:t>
      </w:r>
    </w:p>
    <w:p w14:paraId="36AEC039" w14:textId="2621D602" w:rsidR="00332E59" w:rsidRDefault="00332E59" w:rsidP="000A2B25">
      <w:pPr>
        <w:jc w:val="center"/>
        <w:rPr>
          <w:rFonts w:cs="Arial"/>
          <w:szCs w:val="24"/>
        </w:rPr>
      </w:pPr>
      <w:r>
        <w:rPr>
          <w:noProof/>
        </w:rPr>
        <w:drawing>
          <wp:inline distT="0" distB="0" distL="0" distR="0" wp14:anchorId="4534E6A7" wp14:editId="280C8E1A">
            <wp:extent cx="4559300" cy="2584450"/>
            <wp:effectExtent l="0" t="0" r="12700" b="6350"/>
            <wp:docPr id="7" name="Chart 7" descr="This chart shows the proportion of residents (across England; across Greater Manchester; and in each of the ten Greater Manchester districts) whose highest qualification is an apprenticeship, comparing results from the 2011 and 2021 censuses. The chart shows that the proportion of residents in this category has increased, implying some success in government policy, and in Greater Manchester the increase (+2ppts) is greater than in England.">
              <a:extLst xmlns:a="http://schemas.openxmlformats.org/drawingml/2006/main">
                <a:ext uri="{FF2B5EF4-FFF2-40B4-BE49-F238E27FC236}">
                  <a16:creationId xmlns:a16="http://schemas.microsoft.com/office/drawing/2014/main" id="{E4767EC6-A84B-7F44-0A41-2EAD6E1C3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1665BD" w14:textId="77777777" w:rsidR="002E0981" w:rsidRPr="00FF3FF5" w:rsidRDefault="002E0981" w:rsidP="002E0981">
      <w:pPr>
        <w:tabs>
          <w:tab w:val="left" w:pos="7320"/>
        </w:tabs>
        <w:rPr>
          <w:rStyle w:val="Hyperlink"/>
          <w:rFonts w:cs="Arial"/>
          <w:i/>
          <w:iCs/>
          <w:szCs w:val="24"/>
        </w:rPr>
      </w:pPr>
      <w:r w:rsidRPr="00FF3FF5">
        <w:rPr>
          <w:rFonts w:cs="Arial"/>
          <w:i/>
          <w:iCs/>
          <w:szCs w:val="24"/>
        </w:rPr>
        <w:t xml:space="preserve">Source: ONS, Nomis - </w:t>
      </w:r>
      <w:hyperlink r:id="rId20" w:history="1">
        <w:r w:rsidRPr="00FF3FF5">
          <w:rPr>
            <w:rStyle w:val="Hyperlink"/>
            <w:rFonts w:cs="Arial"/>
            <w:i/>
            <w:iCs/>
            <w:szCs w:val="24"/>
          </w:rPr>
          <w:t>2021 Census</w:t>
        </w:r>
      </w:hyperlink>
    </w:p>
    <w:p w14:paraId="10F5A682" w14:textId="77777777" w:rsidR="00332E59" w:rsidRPr="009A35DF" w:rsidRDefault="00332E59" w:rsidP="002E0981">
      <w:pPr>
        <w:pStyle w:val="Heading3"/>
        <w:rPr>
          <w:color w:val="595959" w:themeColor="text1" w:themeTint="A6"/>
          <w:sz w:val="28"/>
        </w:rPr>
      </w:pPr>
      <w:r w:rsidRPr="002E0981">
        <w:t>Reflections</w:t>
      </w:r>
    </w:p>
    <w:p w14:paraId="2B35D46B" w14:textId="7544D037" w:rsidR="00B466C1" w:rsidRDefault="00B466C1">
      <w:pPr>
        <w:pStyle w:val="ListParagraph"/>
      </w:pPr>
      <w:r>
        <w:t xml:space="preserve">Qualifications </w:t>
      </w:r>
      <w:r w:rsidR="00753E87">
        <w:t>cause and reflect</w:t>
      </w:r>
      <w:r w:rsidR="000A5896">
        <w:t xml:space="preserve"> </w:t>
      </w:r>
      <w:r w:rsidR="00244256">
        <w:t>inequality in society</w:t>
      </w:r>
      <w:r>
        <w:t xml:space="preserve">. Where qualifications are lowest, opportunities tend to be restricted. </w:t>
      </w:r>
    </w:p>
    <w:p w14:paraId="39E7CFB3" w14:textId="77777777" w:rsidR="00B66AF4" w:rsidRDefault="00332E59" w:rsidP="00B040A0">
      <w:pPr>
        <w:pStyle w:val="ListParagraph"/>
      </w:pPr>
      <w:r>
        <w:t>Despite a</w:t>
      </w:r>
      <w:r w:rsidR="0069411C">
        <w:t xml:space="preserve"> generally</w:t>
      </w:r>
      <w:r>
        <w:t xml:space="preserve"> improving picture, there are </w:t>
      </w:r>
      <w:r w:rsidR="00DA5CCB">
        <w:t xml:space="preserve">enduring </w:t>
      </w:r>
      <w:r w:rsidR="00B040A0">
        <w:t xml:space="preserve">disadvantages </w:t>
      </w:r>
      <w:r w:rsidR="00F82C1B">
        <w:t xml:space="preserve">– for example, just under a quarter of Oldham’s residents </w:t>
      </w:r>
      <w:r w:rsidR="00556F82">
        <w:t>did</w:t>
      </w:r>
      <w:r w:rsidR="00F82C1B">
        <w:t xml:space="preserve"> not have </w:t>
      </w:r>
      <w:r w:rsidR="00CB33E1">
        <w:t xml:space="preserve">any </w:t>
      </w:r>
      <w:r w:rsidR="00F82C1B">
        <w:t xml:space="preserve">qualifications. </w:t>
      </w:r>
      <w:r w:rsidR="00793B38">
        <w:t>Yet</w:t>
      </w:r>
      <w:r w:rsidR="009C0079">
        <w:t xml:space="preserve"> the </w:t>
      </w:r>
      <w:r w:rsidR="002C2C69">
        <w:t>‘</w:t>
      </w:r>
      <w:r w:rsidR="009C0079">
        <w:t>rate of improvement</w:t>
      </w:r>
      <w:r w:rsidR="002C2C69">
        <w:t>’</w:t>
      </w:r>
      <w:r w:rsidR="009C0079">
        <w:t xml:space="preserve"> (that is, residents </w:t>
      </w:r>
      <w:r w:rsidR="00B41A46">
        <w:t xml:space="preserve">who did not have qualifications </w:t>
      </w:r>
      <w:r w:rsidR="00CB33E1">
        <w:t>gaining</w:t>
      </w:r>
      <w:r w:rsidR="009C0079">
        <w:t xml:space="preserve"> </w:t>
      </w:r>
      <w:r w:rsidR="00B41A46">
        <w:t>them</w:t>
      </w:r>
      <w:r w:rsidR="009C0079">
        <w:t xml:space="preserve">) appears to </w:t>
      </w:r>
      <w:r w:rsidR="008A3776">
        <w:t>be slowing</w:t>
      </w:r>
      <w:r w:rsidR="0088212B">
        <w:t xml:space="preserve">. </w:t>
      </w:r>
    </w:p>
    <w:p w14:paraId="7B6BAD1F" w14:textId="07988529" w:rsidR="00332E59" w:rsidRDefault="00F24BC1" w:rsidP="00B040A0">
      <w:pPr>
        <w:pStyle w:val="ListParagraph"/>
      </w:pPr>
      <w:r>
        <w:t xml:space="preserve">This is not </w:t>
      </w:r>
      <w:r w:rsidR="00BF05F0">
        <w:t>the case</w:t>
      </w:r>
      <w:r>
        <w:t xml:space="preserve"> at level 4+. </w:t>
      </w:r>
      <w:r w:rsidR="006E10F9">
        <w:t xml:space="preserve">Here, </w:t>
      </w:r>
      <w:r w:rsidR="00977A6E">
        <w:t xml:space="preserve">increases </w:t>
      </w:r>
      <w:r w:rsidR="008D6994">
        <w:t xml:space="preserve">have been </w:t>
      </w:r>
      <w:proofErr w:type="gramStart"/>
      <w:r w:rsidR="00B4253F">
        <w:t xml:space="preserve">fairly </w:t>
      </w:r>
      <w:r w:rsidR="008D6994">
        <w:t>consistent</w:t>
      </w:r>
      <w:proofErr w:type="gramEnd"/>
      <w:r w:rsidR="00977A6E">
        <w:t>.</w:t>
      </w:r>
      <w:r w:rsidR="00DE4BD5">
        <w:t xml:space="preserve"> The likely explanation</w:t>
      </w:r>
      <w:r w:rsidR="00B040A0">
        <w:t xml:space="preserve"> </w:t>
      </w:r>
      <w:r w:rsidR="00332E59">
        <w:t>is the expansion of higher education.</w:t>
      </w:r>
    </w:p>
    <w:p w14:paraId="27D058FE" w14:textId="486126BE" w:rsidR="00670C43" w:rsidRPr="006F1AE7" w:rsidRDefault="00332E59">
      <w:pPr>
        <w:pStyle w:val="ListParagraph"/>
      </w:pPr>
      <w:r w:rsidRPr="0084515F">
        <w:t xml:space="preserve">Qualifications are </w:t>
      </w:r>
      <w:r w:rsidR="00E61F55">
        <w:t>widely used as a proxy for ‘skill’. But b</w:t>
      </w:r>
      <w:r w:rsidRPr="0084515F">
        <w:t xml:space="preserve">eing more qualified does not necessarily imply </w:t>
      </w:r>
      <w:r w:rsidR="0073611F">
        <w:t xml:space="preserve">being </w:t>
      </w:r>
      <w:r w:rsidR="00670C43">
        <w:t>‘</w:t>
      </w:r>
      <w:r w:rsidR="0073611F">
        <w:t xml:space="preserve">more skilled’. </w:t>
      </w:r>
      <w:r w:rsidR="0048738A">
        <w:t xml:space="preserve">The transformation in qualification levels </w:t>
      </w:r>
      <w:r w:rsidR="000461C3">
        <w:t xml:space="preserve">over the last 20 years does not appear to have led to a </w:t>
      </w:r>
      <w:r w:rsidR="000461C3">
        <w:lastRenderedPageBreak/>
        <w:t>transformation of economic performance</w:t>
      </w:r>
      <w:r w:rsidR="00317DB5">
        <w:t xml:space="preserve">. A ‘productivity puzzle’ remains </w:t>
      </w:r>
      <w:r w:rsidR="00750046">
        <w:t>despite a better qualified population.</w:t>
      </w:r>
      <w:r w:rsidR="00317DB5">
        <w:t xml:space="preserve"> </w:t>
      </w:r>
    </w:p>
    <w:p w14:paraId="08188F41" w14:textId="2705E289" w:rsidR="00332E59" w:rsidRPr="002E0981" w:rsidRDefault="00332E59" w:rsidP="002E0981">
      <w:pPr>
        <w:pStyle w:val="Heading3"/>
      </w:pPr>
      <w:r w:rsidRPr="00CC3FBF">
        <w:t>Appendix: Definitions</w:t>
      </w:r>
    </w:p>
    <w:p w14:paraId="313C6AFC" w14:textId="77777777" w:rsidR="00332E59" w:rsidRPr="006C0B24" w:rsidRDefault="00332E59">
      <w:pPr>
        <w:pStyle w:val="ListParagraph"/>
      </w:pPr>
      <w:r w:rsidRPr="006C0B24">
        <w:t>All data refers to the highest stated qualification in the census.</w:t>
      </w:r>
    </w:p>
    <w:p w14:paraId="75E10C20" w14:textId="77777777" w:rsidR="00332E59" w:rsidRPr="006C0B24" w:rsidRDefault="00332E59">
      <w:pPr>
        <w:pStyle w:val="ListParagraph"/>
      </w:pPr>
      <w:r w:rsidRPr="006C0B24">
        <w:t>No qualifications: refers to those who say they do not have any qualifications.</w:t>
      </w:r>
    </w:p>
    <w:p w14:paraId="559B2BDF" w14:textId="77777777" w:rsidR="00332E59" w:rsidRPr="006C0B24" w:rsidRDefault="00332E59">
      <w:pPr>
        <w:pStyle w:val="ListParagraph"/>
        <w:rPr>
          <w:lang w:eastAsia="en-GB"/>
        </w:rPr>
      </w:pPr>
      <w:r w:rsidRPr="006C0B24">
        <w:t>Level 1 and entry level qualifications:</w:t>
      </w:r>
      <w:r w:rsidRPr="006C0B24">
        <w:rPr>
          <w:lang w:eastAsia="en-GB"/>
        </w:rPr>
        <w:t xml:space="preserve"> 1 to 4 GCSEs grade A* to C; any GCSEs at other grades; O levels or CSE (any grades); 1 AS level, NVQ level 1; Foundation GNVQ; Basic or Essential Skills. </w:t>
      </w:r>
    </w:p>
    <w:p w14:paraId="3CEEFAC8" w14:textId="77777777" w:rsidR="00332E59" w:rsidRPr="006C0B24" w:rsidRDefault="00332E59">
      <w:pPr>
        <w:pStyle w:val="ListParagraph"/>
        <w:rPr>
          <w:lang w:eastAsia="en-GB"/>
        </w:rPr>
      </w:pPr>
      <w:r w:rsidRPr="006C0B24">
        <w:rPr>
          <w:lang w:eastAsia="en-GB"/>
        </w:rPr>
        <w:t>Level 2 qualifications: 5 or more GCSEs (A*-C or 9-4); O levels (passes); BSEs (grade 1); School Certification; 1 A level; 2-3 AS levels; VCEs; Intermediate or Higher Diploma; Welsh Baccalaureate Intermediate Diploma; NVQ level 2; Intermediate GNVQ; City and Guilds Craft; BTEC First or General Diploma; RSA Diploma.</w:t>
      </w:r>
    </w:p>
    <w:p w14:paraId="37178C4B" w14:textId="43C61AB1" w:rsidR="00332E59" w:rsidRDefault="00332E59">
      <w:pPr>
        <w:pStyle w:val="ListParagraph"/>
        <w:rPr>
          <w:lang w:eastAsia="en-GB"/>
        </w:rPr>
      </w:pPr>
      <w:r w:rsidRPr="006C0B24">
        <w:rPr>
          <w:lang w:eastAsia="en-GB"/>
        </w:rPr>
        <w:t>Apprenticeships are counted as distinct from level 2 or level 3 qualifications</w:t>
      </w:r>
      <w:r w:rsidR="004E0535">
        <w:rPr>
          <w:lang w:eastAsia="en-GB"/>
        </w:rPr>
        <w:t>.</w:t>
      </w:r>
    </w:p>
    <w:p w14:paraId="21FAC840" w14:textId="21363025" w:rsidR="004E0535" w:rsidRDefault="004E0535">
      <w:pPr>
        <w:pStyle w:val="ListParagraph"/>
        <w:rPr>
          <w:lang w:eastAsia="en-GB"/>
        </w:rPr>
      </w:pPr>
      <w:r>
        <w:rPr>
          <w:lang w:eastAsia="en-GB"/>
        </w:rPr>
        <w:t xml:space="preserve">Level 3 qualification: 2 or </w:t>
      </w:r>
      <w:r w:rsidR="00845A28" w:rsidRPr="002E3BDD">
        <w:rPr>
          <w:lang w:eastAsia="en-GB"/>
        </w:rPr>
        <w:t>more A levels or VCEs, 4 or more AS levels, Higher School Certificate, Progression or Advanced Diploma, Welsh Baccalaureate Advance Diploma, NVQ level 3; Advanced GNVQ, City and Guilds Advanced Craft, ONC, OND, BTEC National, RSA Advanced Diploma</w:t>
      </w:r>
    </w:p>
    <w:p w14:paraId="36E1BF2D" w14:textId="6B32833A" w:rsidR="00845A28" w:rsidRDefault="00845A28">
      <w:pPr>
        <w:pStyle w:val="ListParagraph"/>
        <w:rPr>
          <w:lang w:eastAsia="en-GB"/>
        </w:rPr>
      </w:pPr>
      <w:r>
        <w:rPr>
          <w:lang w:eastAsia="en-GB"/>
        </w:rPr>
        <w:t>Level 4 qualifications:</w:t>
      </w:r>
      <w:r w:rsidRPr="00845A28">
        <w:rPr>
          <w:lang w:eastAsia="en-GB"/>
        </w:rPr>
        <w:t xml:space="preserve"> </w:t>
      </w:r>
      <w:r w:rsidRPr="002E3BDD">
        <w:rPr>
          <w:lang w:eastAsia="en-GB"/>
        </w:rPr>
        <w:t>Level 4 qualifications and above: degree (BA, BSc), higher degree (MA, PhD, PGCE), NVQ level 4 to 5, HNC, HND, RSA Higher Diploma, BTEC Higher level, professional qualifications (for example, teaching, nursing, accountancy)</w:t>
      </w:r>
      <w:r>
        <w:rPr>
          <w:lang w:eastAsia="en-GB"/>
        </w:rPr>
        <w:t>.</w:t>
      </w:r>
    </w:p>
    <w:p w14:paraId="06120960" w14:textId="4EC8D379" w:rsidR="006C0B24" w:rsidRDefault="00845A28">
      <w:pPr>
        <w:pStyle w:val="ListParagraph"/>
        <w:rPr>
          <w:lang w:eastAsia="en-GB"/>
        </w:rPr>
      </w:pPr>
      <w:r>
        <w:rPr>
          <w:lang w:eastAsia="en-GB"/>
        </w:rPr>
        <w:t xml:space="preserve">Other qualifications: </w:t>
      </w:r>
      <w:r w:rsidRPr="002E3BDD">
        <w:rPr>
          <w:lang w:eastAsia="en-GB"/>
        </w:rPr>
        <w:t>Other: vocational or work-related qualifications, other qualifications achieved in England or Wales, qualifications achieved outside England or Wales (equivalent not stated or unknown)</w:t>
      </w:r>
      <w:r>
        <w:rPr>
          <w:lang w:eastAsia="en-GB"/>
        </w:rPr>
        <w:t>.</w:t>
      </w:r>
    </w:p>
    <w:sectPr w:rsidR="006C0B24" w:rsidSect="000D108F">
      <w:headerReference w:type="default" r:id="rId21"/>
      <w:footerReference w:type="default" r:id="rId22"/>
      <w:pgSz w:w="11906" w:h="16838" w:code="9"/>
      <w:pgMar w:top="1794"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5A6A" w14:textId="77777777" w:rsidR="0039336E" w:rsidRDefault="0039336E">
      <w:pPr>
        <w:spacing w:after="0" w:line="240" w:lineRule="auto"/>
      </w:pPr>
      <w:r>
        <w:separator/>
      </w:r>
    </w:p>
  </w:endnote>
  <w:endnote w:type="continuationSeparator" w:id="0">
    <w:p w14:paraId="5A57B133" w14:textId="77777777" w:rsidR="0039336E" w:rsidRDefault="0039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39336348"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FC10" w14:textId="77777777" w:rsidR="0039336E" w:rsidRDefault="0039336E">
      <w:pPr>
        <w:spacing w:after="0" w:line="240" w:lineRule="auto"/>
      </w:pPr>
      <w:r>
        <w:separator/>
      </w:r>
    </w:p>
  </w:footnote>
  <w:footnote w:type="continuationSeparator" w:id="0">
    <w:p w14:paraId="7409B989" w14:textId="77777777" w:rsidR="0039336E" w:rsidRDefault="0039336E">
      <w:pPr>
        <w:spacing w:after="0" w:line="240" w:lineRule="auto"/>
      </w:pPr>
      <w:r>
        <w:continuationSeparator/>
      </w:r>
    </w:p>
  </w:footnote>
  <w:footnote w:id="1">
    <w:p w14:paraId="3F09FEA1" w14:textId="21594A48" w:rsidR="00332E59" w:rsidRDefault="00332E59" w:rsidP="00332E59">
      <w:pPr>
        <w:pStyle w:val="FootnoteText"/>
      </w:pPr>
      <w:r>
        <w:rPr>
          <w:rStyle w:val="FootnoteReference"/>
        </w:rPr>
        <w:footnoteRef/>
      </w:r>
      <w:r>
        <w:t xml:space="preserve"> </w:t>
      </w:r>
      <w:r w:rsidR="00287210">
        <w:t>I</w:t>
      </w:r>
      <w:r>
        <w:t>n 2001</w:t>
      </w:r>
      <w:r w:rsidR="00287210">
        <w:t xml:space="preserve">, the </w:t>
      </w:r>
      <w:r w:rsidR="0099334B">
        <w:t xml:space="preserve">age range of residents </w:t>
      </w:r>
      <w:r w:rsidR="005D25C6">
        <w:t>was</w:t>
      </w:r>
      <w:r w:rsidR="0099334B">
        <w:t xml:space="preserve"> 16-74</w:t>
      </w:r>
      <w:r>
        <w:t xml:space="preserve">, whereas 2011 and 2021 refers to </w:t>
      </w:r>
      <w:r w:rsidR="005D25C6">
        <w:t>everyone over the age of</w:t>
      </w:r>
      <w:r>
        <w:t xml:space="preserv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5D12" w14:textId="77777777" w:rsidR="007222D5" w:rsidRDefault="002F4BA4">
    <w:pPr>
      <w:pStyle w:val="Header"/>
    </w:pPr>
    <w:r>
      <w:rPr>
        <w:noProof/>
      </w:rPr>
      <w:drawing>
        <wp:anchor distT="0" distB="0" distL="114300" distR="114300" simplePos="0" relativeHeight="251659264" behindDoc="1" locked="0" layoutInCell="1" allowOverlap="1" wp14:anchorId="2C0ED2F0" wp14:editId="632068F5">
          <wp:simplePos x="0" y="0"/>
          <wp:positionH relativeFrom="column">
            <wp:posOffset>4997144</wp:posOffset>
          </wp:positionH>
          <wp:positionV relativeFrom="paragraph">
            <wp:posOffset>22247</wp:posOffset>
          </wp:positionV>
          <wp:extent cx="1005840" cy="259080"/>
          <wp:effectExtent l="0" t="0" r="3810" b="7620"/>
          <wp:wrapTight wrapText="bothSides">
            <wp:wrapPolygon edited="0">
              <wp:start x="0" y="0"/>
              <wp:lineTo x="0" y="20647"/>
              <wp:lineTo x="21273" y="20647"/>
              <wp:lineTo x="21273" y="15882"/>
              <wp:lineTo x="20455" y="0"/>
              <wp:lineTo x="0"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B65623" wp14:editId="1E1365EB">
          <wp:extent cx="923925" cy="388049"/>
          <wp:effectExtent l="0" t="0" r="0" b="0"/>
          <wp:docPr id="23" name="Picture 23" descr="JSNA - Demographics and population - Serv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NA - Demographics and population - Service Det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785" cy="41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13FFC"/>
    <w:multiLevelType w:val="hybridMultilevel"/>
    <w:tmpl w:val="ED94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F2145"/>
    <w:multiLevelType w:val="hybridMultilevel"/>
    <w:tmpl w:val="3A16C548"/>
    <w:lvl w:ilvl="0" w:tplc="E986507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800FA"/>
    <w:multiLevelType w:val="hybridMultilevel"/>
    <w:tmpl w:val="53C87434"/>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302846">
    <w:abstractNumId w:val="2"/>
  </w:num>
  <w:num w:numId="2" w16cid:durableId="1623030045">
    <w:abstractNumId w:val="1"/>
  </w:num>
  <w:num w:numId="3" w16cid:durableId="13326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8F"/>
    <w:rsid w:val="000104D3"/>
    <w:rsid w:val="00014C7A"/>
    <w:rsid w:val="00043426"/>
    <w:rsid w:val="000461C3"/>
    <w:rsid w:val="00046BFC"/>
    <w:rsid w:val="000521F1"/>
    <w:rsid w:val="000601BE"/>
    <w:rsid w:val="00095D00"/>
    <w:rsid w:val="000A05D2"/>
    <w:rsid w:val="000A2B25"/>
    <w:rsid w:val="000A3E7B"/>
    <w:rsid w:val="000A5896"/>
    <w:rsid w:val="000B291A"/>
    <w:rsid w:val="000C24D4"/>
    <w:rsid w:val="000C3166"/>
    <w:rsid w:val="000D108F"/>
    <w:rsid w:val="000D2A85"/>
    <w:rsid w:val="000D5179"/>
    <w:rsid w:val="000D5F60"/>
    <w:rsid w:val="000D7B4A"/>
    <w:rsid w:val="000F3BD0"/>
    <w:rsid w:val="000F5CC7"/>
    <w:rsid w:val="0011320F"/>
    <w:rsid w:val="00120041"/>
    <w:rsid w:val="0013149D"/>
    <w:rsid w:val="001320F5"/>
    <w:rsid w:val="00136029"/>
    <w:rsid w:val="00140A3F"/>
    <w:rsid w:val="00143CC0"/>
    <w:rsid w:val="00147690"/>
    <w:rsid w:val="001478B7"/>
    <w:rsid w:val="001518E5"/>
    <w:rsid w:val="00153C30"/>
    <w:rsid w:val="00163AA7"/>
    <w:rsid w:val="00164414"/>
    <w:rsid w:val="00171A0F"/>
    <w:rsid w:val="00171D24"/>
    <w:rsid w:val="0018063B"/>
    <w:rsid w:val="00181477"/>
    <w:rsid w:val="00181E87"/>
    <w:rsid w:val="00182D10"/>
    <w:rsid w:val="00187ADC"/>
    <w:rsid w:val="00194322"/>
    <w:rsid w:val="001D1DAB"/>
    <w:rsid w:val="001E161E"/>
    <w:rsid w:val="001E5CBD"/>
    <w:rsid w:val="001E6CF2"/>
    <w:rsid w:val="001E7279"/>
    <w:rsid w:val="001F2A22"/>
    <w:rsid w:val="001F519B"/>
    <w:rsid w:val="002006D4"/>
    <w:rsid w:val="00207897"/>
    <w:rsid w:val="00216C03"/>
    <w:rsid w:val="00217ED1"/>
    <w:rsid w:val="002220B1"/>
    <w:rsid w:val="002235D9"/>
    <w:rsid w:val="00224535"/>
    <w:rsid w:val="0023142D"/>
    <w:rsid w:val="002335DD"/>
    <w:rsid w:val="002371EF"/>
    <w:rsid w:val="00244256"/>
    <w:rsid w:val="00245C41"/>
    <w:rsid w:val="00253E2F"/>
    <w:rsid w:val="002548CC"/>
    <w:rsid w:val="0026121B"/>
    <w:rsid w:val="002677BD"/>
    <w:rsid w:val="00270EC6"/>
    <w:rsid w:val="00287210"/>
    <w:rsid w:val="002A1C1C"/>
    <w:rsid w:val="002B0319"/>
    <w:rsid w:val="002C2667"/>
    <w:rsid w:val="002C2C69"/>
    <w:rsid w:val="002C6FE7"/>
    <w:rsid w:val="002C75B1"/>
    <w:rsid w:val="002D180C"/>
    <w:rsid w:val="002E0981"/>
    <w:rsid w:val="002E3BDD"/>
    <w:rsid w:val="002F4BA4"/>
    <w:rsid w:val="002F6047"/>
    <w:rsid w:val="00313B94"/>
    <w:rsid w:val="00315499"/>
    <w:rsid w:val="00317DB5"/>
    <w:rsid w:val="00325C96"/>
    <w:rsid w:val="003263C2"/>
    <w:rsid w:val="00331753"/>
    <w:rsid w:val="003322CF"/>
    <w:rsid w:val="003323AE"/>
    <w:rsid w:val="00332E59"/>
    <w:rsid w:val="00332F0B"/>
    <w:rsid w:val="00335E33"/>
    <w:rsid w:val="00337D87"/>
    <w:rsid w:val="00342A5A"/>
    <w:rsid w:val="00346DC9"/>
    <w:rsid w:val="00347AB0"/>
    <w:rsid w:val="00352C6F"/>
    <w:rsid w:val="00355F20"/>
    <w:rsid w:val="00360217"/>
    <w:rsid w:val="0036569F"/>
    <w:rsid w:val="003663F2"/>
    <w:rsid w:val="003769AF"/>
    <w:rsid w:val="00380790"/>
    <w:rsid w:val="00387CE9"/>
    <w:rsid w:val="0039336E"/>
    <w:rsid w:val="00394213"/>
    <w:rsid w:val="00394F89"/>
    <w:rsid w:val="00396354"/>
    <w:rsid w:val="003B5192"/>
    <w:rsid w:val="003B5516"/>
    <w:rsid w:val="003C1A1C"/>
    <w:rsid w:val="003C1AC9"/>
    <w:rsid w:val="003D1786"/>
    <w:rsid w:val="003E1F5E"/>
    <w:rsid w:val="003E31E8"/>
    <w:rsid w:val="003E4876"/>
    <w:rsid w:val="003F1237"/>
    <w:rsid w:val="003F6214"/>
    <w:rsid w:val="00407693"/>
    <w:rsid w:val="00410911"/>
    <w:rsid w:val="00431341"/>
    <w:rsid w:val="0043235F"/>
    <w:rsid w:val="00435A2B"/>
    <w:rsid w:val="0044144D"/>
    <w:rsid w:val="00450A28"/>
    <w:rsid w:val="00453DE7"/>
    <w:rsid w:val="00476456"/>
    <w:rsid w:val="00477899"/>
    <w:rsid w:val="0048251D"/>
    <w:rsid w:val="00485B36"/>
    <w:rsid w:val="0048648E"/>
    <w:rsid w:val="0048738A"/>
    <w:rsid w:val="004912A9"/>
    <w:rsid w:val="004912AA"/>
    <w:rsid w:val="00492B3F"/>
    <w:rsid w:val="00496096"/>
    <w:rsid w:val="004A3109"/>
    <w:rsid w:val="004C2FF5"/>
    <w:rsid w:val="004C43D4"/>
    <w:rsid w:val="004D6940"/>
    <w:rsid w:val="004E0535"/>
    <w:rsid w:val="004E1833"/>
    <w:rsid w:val="004E2D6B"/>
    <w:rsid w:val="004E4E83"/>
    <w:rsid w:val="004F121A"/>
    <w:rsid w:val="004F4AF9"/>
    <w:rsid w:val="00513351"/>
    <w:rsid w:val="0052573E"/>
    <w:rsid w:val="005344E8"/>
    <w:rsid w:val="00535CC2"/>
    <w:rsid w:val="00536C06"/>
    <w:rsid w:val="0054441D"/>
    <w:rsid w:val="0055462C"/>
    <w:rsid w:val="00556F82"/>
    <w:rsid w:val="0057309A"/>
    <w:rsid w:val="005852B4"/>
    <w:rsid w:val="00594461"/>
    <w:rsid w:val="005A5025"/>
    <w:rsid w:val="005D25C6"/>
    <w:rsid w:val="005D6397"/>
    <w:rsid w:val="005E2B5C"/>
    <w:rsid w:val="005F3016"/>
    <w:rsid w:val="005F360D"/>
    <w:rsid w:val="005F784A"/>
    <w:rsid w:val="0060109F"/>
    <w:rsid w:val="00602A2C"/>
    <w:rsid w:val="00615111"/>
    <w:rsid w:val="00630B17"/>
    <w:rsid w:val="00635523"/>
    <w:rsid w:val="00645E53"/>
    <w:rsid w:val="00656E22"/>
    <w:rsid w:val="0066711D"/>
    <w:rsid w:val="00667BAA"/>
    <w:rsid w:val="00670C43"/>
    <w:rsid w:val="00674E67"/>
    <w:rsid w:val="00680D74"/>
    <w:rsid w:val="00681085"/>
    <w:rsid w:val="0069411C"/>
    <w:rsid w:val="006945A5"/>
    <w:rsid w:val="00697C61"/>
    <w:rsid w:val="006A5FF1"/>
    <w:rsid w:val="006B0DAF"/>
    <w:rsid w:val="006B1298"/>
    <w:rsid w:val="006B587A"/>
    <w:rsid w:val="006B6D97"/>
    <w:rsid w:val="006C0B24"/>
    <w:rsid w:val="006D2F18"/>
    <w:rsid w:val="006D5943"/>
    <w:rsid w:val="006E10F9"/>
    <w:rsid w:val="006F1AE7"/>
    <w:rsid w:val="006F4FDE"/>
    <w:rsid w:val="006F5BA0"/>
    <w:rsid w:val="007054F2"/>
    <w:rsid w:val="0071034D"/>
    <w:rsid w:val="00731089"/>
    <w:rsid w:val="0073611F"/>
    <w:rsid w:val="00750046"/>
    <w:rsid w:val="00753E87"/>
    <w:rsid w:val="00770EA3"/>
    <w:rsid w:val="00775B0E"/>
    <w:rsid w:val="00776C3A"/>
    <w:rsid w:val="00786AE3"/>
    <w:rsid w:val="00786EA9"/>
    <w:rsid w:val="00793B38"/>
    <w:rsid w:val="007B624A"/>
    <w:rsid w:val="007D13BE"/>
    <w:rsid w:val="007D728B"/>
    <w:rsid w:val="007E104D"/>
    <w:rsid w:val="007E465C"/>
    <w:rsid w:val="007E5E07"/>
    <w:rsid w:val="007F7CA3"/>
    <w:rsid w:val="0080005C"/>
    <w:rsid w:val="0080531D"/>
    <w:rsid w:val="00814CD9"/>
    <w:rsid w:val="00817031"/>
    <w:rsid w:val="0083259F"/>
    <w:rsid w:val="00833801"/>
    <w:rsid w:val="00833AEE"/>
    <w:rsid w:val="00837294"/>
    <w:rsid w:val="0084559F"/>
    <w:rsid w:val="00845A28"/>
    <w:rsid w:val="008550C4"/>
    <w:rsid w:val="00856912"/>
    <w:rsid w:val="00870B9A"/>
    <w:rsid w:val="00881BB7"/>
    <w:rsid w:val="0088212B"/>
    <w:rsid w:val="008875B5"/>
    <w:rsid w:val="008A3776"/>
    <w:rsid w:val="008B21DC"/>
    <w:rsid w:val="008B303B"/>
    <w:rsid w:val="008C6CE3"/>
    <w:rsid w:val="008D6994"/>
    <w:rsid w:val="008E4991"/>
    <w:rsid w:val="008E6EF2"/>
    <w:rsid w:val="008F22AA"/>
    <w:rsid w:val="008F6134"/>
    <w:rsid w:val="00900224"/>
    <w:rsid w:val="00904A5D"/>
    <w:rsid w:val="0091076F"/>
    <w:rsid w:val="00927CF5"/>
    <w:rsid w:val="0093110D"/>
    <w:rsid w:val="0093420C"/>
    <w:rsid w:val="009447C9"/>
    <w:rsid w:val="009508D8"/>
    <w:rsid w:val="0096054A"/>
    <w:rsid w:val="00975B16"/>
    <w:rsid w:val="00977A6E"/>
    <w:rsid w:val="00981049"/>
    <w:rsid w:val="0099334B"/>
    <w:rsid w:val="00997DF5"/>
    <w:rsid w:val="009C0079"/>
    <w:rsid w:val="009C5336"/>
    <w:rsid w:val="009C71EC"/>
    <w:rsid w:val="009E0E3F"/>
    <w:rsid w:val="009F22B4"/>
    <w:rsid w:val="00A02431"/>
    <w:rsid w:val="00A12E9E"/>
    <w:rsid w:val="00A16485"/>
    <w:rsid w:val="00A16E1F"/>
    <w:rsid w:val="00A23AD1"/>
    <w:rsid w:val="00A353A6"/>
    <w:rsid w:val="00A516B5"/>
    <w:rsid w:val="00A5615E"/>
    <w:rsid w:val="00A65C32"/>
    <w:rsid w:val="00A733C4"/>
    <w:rsid w:val="00A9145E"/>
    <w:rsid w:val="00A93C92"/>
    <w:rsid w:val="00AA449A"/>
    <w:rsid w:val="00AB074A"/>
    <w:rsid w:val="00AB3FD1"/>
    <w:rsid w:val="00AB5DDA"/>
    <w:rsid w:val="00AC077A"/>
    <w:rsid w:val="00AE402E"/>
    <w:rsid w:val="00B040A0"/>
    <w:rsid w:val="00B20072"/>
    <w:rsid w:val="00B24CD0"/>
    <w:rsid w:val="00B2720C"/>
    <w:rsid w:val="00B351E1"/>
    <w:rsid w:val="00B41A46"/>
    <w:rsid w:val="00B4253F"/>
    <w:rsid w:val="00B458A6"/>
    <w:rsid w:val="00B466C1"/>
    <w:rsid w:val="00B501E1"/>
    <w:rsid w:val="00B5033F"/>
    <w:rsid w:val="00B53DA3"/>
    <w:rsid w:val="00B60FCA"/>
    <w:rsid w:val="00B66AF4"/>
    <w:rsid w:val="00B77994"/>
    <w:rsid w:val="00B80767"/>
    <w:rsid w:val="00B80F16"/>
    <w:rsid w:val="00B87AAC"/>
    <w:rsid w:val="00B97B7B"/>
    <w:rsid w:val="00BA5747"/>
    <w:rsid w:val="00BB40E1"/>
    <w:rsid w:val="00BB6FE6"/>
    <w:rsid w:val="00BD0887"/>
    <w:rsid w:val="00BD0F4C"/>
    <w:rsid w:val="00BD57AC"/>
    <w:rsid w:val="00BE2A44"/>
    <w:rsid w:val="00BF05F0"/>
    <w:rsid w:val="00BF2274"/>
    <w:rsid w:val="00C02836"/>
    <w:rsid w:val="00C06B4B"/>
    <w:rsid w:val="00C360EC"/>
    <w:rsid w:val="00C40FC7"/>
    <w:rsid w:val="00C545A8"/>
    <w:rsid w:val="00C64AAB"/>
    <w:rsid w:val="00C64CC8"/>
    <w:rsid w:val="00C65972"/>
    <w:rsid w:val="00C73F3D"/>
    <w:rsid w:val="00C76D08"/>
    <w:rsid w:val="00C94896"/>
    <w:rsid w:val="00CB33E1"/>
    <w:rsid w:val="00CB3F5E"/>
    <w:rsid w:val="00CB7967"/>
    <w:rsid w:val="00CC1E73"/>
    <w:rsid w:val="00CC3358"/>
    <w:rsid w:val="00CC7319"/>
    <w:rsid w:val="00CD1AF9"/>
    <w:rsid w:val="00CD4F7C"/>
    <w:rsid w:val="00CD7EF7"/>
    <w:rsid w:val="00CF700C"/>
    <w:rsid w:val="00D03648"/>
    <w:rsid w:val="00D04A76"/>
    <w:rsid w:val="00D06E83"/>
    <w:rsid w:val="00D07B7C"/>
    <w:rsid w:val="00D179B4"/>
    <w:rsid w:val="00D217DF"/>
    <w:rsid w:val="00D236D8"/>
    <w:rsid w:val="00D314C2"/>
    <w:rsid w:val="00D328BB"/>
    <w:rsid w:val="00D41599"/>
    <w:rsid w:val="00D46F1A"/>
    <w:rsid w:val="00D47A88"/>
    <w:rsid w:val="00D50EFE"/>
    <w:rsid w:val="00D51767"/>
    <w:rsid w:val="00D53ED4"/>
    <w:rsid w:val="00D558B7"/>
    <w:rsid w:val="00D60FA2"/>
    <w:rsid w:val="00D735EF"/>
    <w:rsid w:val="00D87B99"/>
    <w:rsid w:val="00D87E8B"/>
    <w:rsid w:val="00D954DD"/>
    <w:rsid w:val="00D958B3"/>
    <w:rsid w:val="00DA5CCB"/>
    <w:rsid w:val="00DC2434"/>
    <w:rsid w:val="00DC75B8"/>
    <w:rsid w:val="00DD43D5"/>
    <w:rsid w:val="00DE086A"/>
    <w:rsid w:val="00DE1DE0"/>
    <w:rsid w:val="00DE3917"/>
    <w:rsid w:val="00DE4BD5"/>
    <w:rsid w:val="00DE6E15"/>
    <w:rsid w:val="00DF0AD7"/>
    <w:rsid w:val="00DF135A"/>
    <w:rsid w:val="00DF3562"/>
    <w:rsid w:val="00E0177B"/>
    <w:rsid w:val="00E0784F"/>
    <w:rsid w:val="00E262C4"/>
    <w:rsid w:val="00E34DF1"/>
    <w:rsid w:val="00E50B58"/>
    <w:rsid w:val="00E57DB9"/>
    <w:rsid w:val="00E61F55"/>
    <w:rsid w:val="00E65E0E"/>
    <w:rsid w:val="00E81EC0"/>
    <w:rsid w:val="00E873A0"/>
    <w:rsid w:val="00E96DFD"/>
    <w:rsid w:val="00E9748B"/>
    <w:rsid w:val="00EA55F9"/>
    <w:rsid w:val="00EA681B"/>
    <w:rsid w:val="00EB753C"/>
    <w:rsid w:val="00EC05EB"/>
    <w:rsid w:val="00EC0711"/>
    <w:rsid w:val="00ED7080"/>
    <w:rsid w:val="00EE2AFC"/>
    <w:rsid w:val="00EF163F"/>
    <w:rsid w:val="00F0336A"/>
    <w:rsid w:val="00F14075"/>
    <w:rsid w:val="00F24BC1"/>
    <w:rsid w:val="00F24EE1"/>
    <w:rsid w:val="00F32547"/>
    <w:rsid w:val="00F3330A"/>
    <w:rsid w:val="00F42C18"/>
    <w:rsid w:val="00F47731"/>
    <w:rsid w:val="00F55087"/>
    <w:rsid w:val="00F551EA"/>
    <w:rsid w:val="00F71B40"/>
    <w:rsid w:val="00F73363"/>
    <w:rsid w:val="00F74CE0"/>
    <w:rsid w:val="00F750FF"/>
    <w:rsid w:val="00F8165B"/>
    <w:rsid w:val="00F82C1B"/>
    <w:rsid w:val="00F84466"/>
    <w:rsid w:val="00F95726"/>
    <w:rsid w:val="00FA0547"/>
    <w:rsid w:val="00FA4040"/>
    <w:rsid w:val="00FB5DE6"/>
    <w:rsid w:val="00FD25EA"/>
    <w:rsid w:val="00FE352B"/>
    <w:rsid w:val="00FF3FF5"/>
    <w:rsid w:val="00FF77D4"/>
    <w:rsid w:val="00FF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B39"/>
  <w15:chartTrackingRefBased/>
  <w15:docId w15:val="{B24A53BD-463B-40D6-A40E-1E39334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8F"/>
    <w:pPr>
      <w:spacing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A12E9E"/>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3">
    <w:name w:val="heading 3"/>
    <w:basedOn w:val="Normal"/>
    <w:next w:val="Normal"/>
    <w:link w:val="Heading3Char"/>
    <w:autoRedefine/>
    <w:uiPriority w:val="9"/>
    <w:unhideWhenUsed/>
    <w:qFormat/>
    <w:rsid w:val="002E0981"/>
    <w:pPr>
      <w:spacing w:line="240" w:lineRule="auto"/>
      <w:outlineLvl w:val="2"/>
    </w:pPr>
    <w:rPr>
      <w:rFonts w:asciiTheme="minorHAnsi" w:hAnsiTheme="minorHAns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9E"/>
    <w:rPr>
      <w:rFonts w:ascii="Arial" w:eastAsiaTheme="majorEastAsia" w:hAnsi="Arial" w:cs="Arial"/>
      <w:b/>
      <w:bCs/>
      <w:noProof/>
      <w:color w:val="FFFFFF" w:themeColor="background1"/>
      <w:sz w:val="72"/>
      <w:szCs w:val="40"/>
    </w:rPr>
  </w:style>
  <w:style w:type="table" w:styleId="TableGrid">
    <w:name w:val="Table Grid"/>
    <w:basedOn w:val="TableNormal"/>
    <w:uiPriority w:val="39"/>
    <w:rsid w:val="000D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0521F1"/>
    <w:pPr>
      <w:numPr>
        <w:numId w:val="2"/>
      </w:numPr>
      <w:ind w:left="714" w:hanging="357"/>
      <w:contextualSpacing/>
    </w:pPr>
    <w:rPr>
      <w:rFonts w:cs="Arial"/>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0521F1"/>
    <w:rPr>
      <w:rFonts w:ascii="Arial" w:hAnsi="Arial" w:cs="Arial"/>
      <w:color w:val="000000" w:themeColor="text1"/>
      <w:sz w:val="24"/>
      <w:szCs w:val="24"/>
    </w:rPr>
  </w:style>
  <w:style w:type="character" w:styleId="CommentReference">
    <w:name w:val="annotation reference"/>
    <w:basedOn w:val="DefaultParagraphFont"/>
    <w:uiPriority w:val="99"/>
    <w:semiHidden/>
    <w:unhideWhenUsed/>
    <w:rsid w:val="000D108F"/>
    <w:rPr>
      <w:sz w:val="16"/>
      <w:szCs w:val="16"/>
    </w:rPr>
  </w:style>
  <w:style w:type="paragraph" w:styleId="CommentText">
    <w:name w:val="annotation text"/>
    <w:basedOn w:val="Normal"/>
    <w:link w:val="CommentTextChar"/>
    <w:uiPriority w:val="99"/>
    <w:unhideWhenUsed/>
    <w:rsid w:val="000D108F"/>
    <w:pPr>
      <w:spacing w:line="240" w:lineRule="auto"/>
    </w:pPr>
    <w:rPr>
      <w:sz w:val="20"/>
      <w:szCs w:val="20"/>
    </w:rPr>
  </w:style>
  <w:style w:type="character" w:customStyle="1" w:styleId="CommentTextChar">
    <w:name w:val="Comment Text Char"/>
    <w:basedOn w:val="DefaultParagraphFont"/>
    <w:link w:val="CommentText"/>
    <w:uiPriority w:val="99"/>
    <w:rsid w:val="000D108F"/>
    <w:rPr>
      <w:rFonts w:ascii="Arial" w:hAnsi="Arial"/>
      <w:color w:val="000000" w:themeColor="text1"/>
      <w:sz w:val="20"/>
      <w:szCs w:val="20"/>
    </w:rPr>
  </w:style>
  <w:style w:type="paragraph" w:styleId="Header">
    <w:name w:val="header"/>
    <w:basedOn w:val="Normal"/>
    <w:link w:val="HeaderChar"/>
    <w:uiPriority w:val="99"/>
    <w:unhideWhenUsed/>
    <w:rsid w:val="000D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08F"/>
    <w:rPr>
      <w:rFonts w:ascii="Arial" w:hAnsi="Arial"/>
      <w:color w:val="000000" w:themeColor="text1"/>
      <w:sz w:val="24"/>
    </w:rPr>
  </w:style>
  <w:style w:type="character" w:styleId="Hyperlink">
    <w:name w:val="Hyperlink"/>
    <w:basedOn w:val="DefaultParagraphFont"/>
    <w:uiPriority w:val="99"/>
    <w:unhideWhenUsed/>
    <w:rsid w:val="000D108F"/>
    <w:rPr>
      <w:color w:val="5C5B5A"/>
      <w:u w:val="single"/>
    </w:rPr>
  </w:style>
  <w:style w:type="paragraph" w:customStyle="1" w:styleId="PageNumber1">
    <w:name w:val="Page Number1"/>
    <w:basedOn w:val="Footer"/>
    <w:link w:val="PagenumberChar"/>
    <w:qFormat/>
    <w:rsid w:val="000D108F"/>
    <w:pPr>
      <w:spacing w:before="120"/>
      <w:jc w:val="right"/>
    </w:pPr>
    <w:rPr>
      <w:b/>
      <w:color w:val="2C5060" w:themeColor="accent1"/>
      <w:sz w:val="28"/>
    </w:rPr>
  </w:style>
  <w:style w:type="character" w:customStyle="1" w:styleId="PagenumberChar">
    <w:name w:val="Page number Char"/>
    <w:basedOn w:val="FooterChar"/>
    <w:link w:val="PageNumber1"/>
    <w:rsid w:val="000D108F"/>
    <w:rPr>
      <w:rFonts w:ascii="Arial" w:hAnsi="Arial"/>
      <w:b/>
      <w:color w:val="2C5060" w:themeColor="accent1"/>
      <w:sz w:val="28"/>
    </w:rPr>
  </w:style>
  <w:style w:type="paragraph" w:styleId="Footer">
    <w:name w:val="footer"/>
    <w:basedOn w:val="Normal"/>
    <w:link w:val="FooterChar"/>
    <w:uiPriority w:val="99"/>
    <w:semiHidden/>
    <w:unhideWhenUsed/>
    <w:rsid w:val="000D10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08F"/>
    <w:rPr>
      <w:rFonts w:ascii="Arial" w:hAnsi="Arial"/>
      <w:color w:val="000000" w:themeColor="text1"/>
      <w:sz w:val="24"/>
    </w:rPr>
  </w:style>
  <w:style w:type="paragraph" w:styleId="Revision">
    <w:name w:val="Revision"/>
    <w:hidden/>
    <w:uiPriority w:val="99"/>
    <w:semiHidden/>
    <w:rsid w:val="006D2F18"/>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4076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C6CE3"/>
    <w:rPr>
      <w:b/>
      <w:bCs/>
    </w:rPr>
  </w:style>
  <w:style w:type="character" w:customStyle="1" w:styleId="CommentSubjectChar">
    <w:name w:val="Comment Subject Char"/>
    <w:basedOn w:val="CommentTextChar"/>
    <w:link w:val="CommentSubject"/>
    <w:uiPriority w:val="99"/>
    <w:semiHidden/>
    <w:rsid w:val="008C6CE3"/>
    <w:rPr>
      <w:rFonts w:ascii="Arial" w:hAnsi="Arial"/>
      <w:b/>
      <w:bCs/>
      <w:color w:val="000000" w:themeColor="text1"/>
      <w:sz w:val="20"/>
      <w:szCs w:val="20"/>
    </w:rPr>
  </w:style>
  <w:style w:type="paragraph" w:styleId="FootnoteText">
    <w:name w:val="footnote text"/>
    <w:basedOn w:val="Normal"/>
    <w:link w:val="FootnoteTextChar"/>
    <w:uiPriority w:val="99"/>
    <w:semiHidden/>
    <w:unhideWhenUsed/>
    <w:rsid w:val="00332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5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332E59"/>
    <w:rPr>
      <w:vertAlign w:val="superscript"/>
    </w:rPr>
  </w:style>
  <w:style w:type="character" w:customStyle="1" w:styleId="Frontpagesub-titleChar">
    <w:name w:val="Front page sub-title Char"/>
    <w:basedOn w:val="DefaultParagraphFont"/>
    <w:link w:val="Frontpagesub-title"/>
    <w:rsid w:val="00A12E9E"/>
    <w:rPr>
      <w:rFonts w:ascii="Arial" w:hAnsi="Arial"/>
      <w:color w:val="FFFFFF" w:themeColor="background1"/>
      <w:sz w:val="36"/>
      <w:szCs w:val="32"/>
    </w:rPr>
  </w:style>
  <w:style w:type="paragraph" w:customStyle="1" w:styleId="Frontpagesub-title">
    <w:name w:val="Front page sub-title"/>
    <w:basedOn w:val="Normal"/>
    <w:link w:val="Frontpagesub-titleChar"/>
    <w:autoRedefine/>
    <w:qFormat/>
    <w:rsid w:val="00A12E9E"/>
    <w:pPr>
      <w:spacing w:before="1200" w:line="240" w:lineRule="auto"/>
      <w:contextualSpacing/>
    </w:pPr>
    <w:rPr>
      <w:color w:val="FFFFFF" w:themeColor="background1"/>
      <w:sz w:val="36"/>
      <w:szCs w:val="32"/>
    </w:rPr>
  </w:style>
  <w:style w:type="character" w:customStyle="1" w:styleId="Heading3Char">
    <w:name w:val="Heading 3 Char"/>
    <w:basedOn w:val="DefaultParagraphFont"/>
    <w:link w:val="Heading3"/>
    <w:uiPriority w:val="9"/>
    <w:rsid w:val="002E0981"/>
    <w:rPr>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query/construct/summary.asp?mode=construct&amp;version=0&amp;dataset=2084"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misweb.co.uk/query/construct/summary.asp?mode=construct&amp;version=0&amp;dataset=2084"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nomisweb.co.uk/sources/census_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misweb.co.uk/sources/census_20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greatermanchesterca-my.sharepoint.com/personal/stephen_overell_greatermanchester-ca_gov_uk/Documents/Documents/NEWECON;Stephen%20Overell's%20Docs/Highest%20qualification%20-%20census%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lliam.phillips\Downloads\Copy%20of%20highest%20qual%20cens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lliam.phillips\Downloads\Copy%20of%20highest%20qual%20cens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illiam.phillips\Downloads\Copy%20of%20highest%20qual%20cens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greatermanchesterca-my.sharepoint.com/personal/stephen_overell_greatermanchester-ca_gov_uk/Documents/Documents/NEWECON;Stephen%20Overell's%20Docs/highest%20qual,%20censu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5191343686804"/>
          <c:y val="2.7130420317178664E-2"/>
          <c:w val="0.88984415156815344"/>
          <c:h val="0.67062548519463239"/>
        </c:manualLayout>
      </c:layout>
      <c:barChart>
        <c:barDir val="col"/>
        <c:grouping val="stacked"/>
        <c:varyColors val="0"/>
        <c:ser>
          <c:idx val="0"/>
          <c:order val="0"/>
          <c:tx>
            <c:strRef>
              <c:f>Sheet1!$L$5</c:f>
              <c:strCache>
                <c:ptCount val="1"/>
                <c:pt idx="0">
                  <c:v>No qualifications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Sheet1!$L$6:$L$17</c:f>
              <c:numCache>
                <c:formatCode>0.0%</c:formatCode>
                <c:ptCount val="12"/>
                <c:pt idx="0">
                  <c:v>0.22580256320844472</c:v>
                </c:pt>
                <c:pt idx="1">
                  <c:v>0.18535186895068864</c:v>
                </c:pt>
                <c:pt idx="2">
                  <c:v>0.19661702720352181</c:v>
                </c:pt>
                <c:pt idx="3">
                  <c:v>0.24705536396931055</c:v>
                </c:pt>
                <c:pt idx="4">
                  <c:v>0.23235036896888772</c:v>
                </c:pt>
                <c:pt idx="5">
                  <c:v>0.19743872249600089</c:v>
                </c:pt>
                <c:pt idx="6">
                  <c:v>0.15519803119781356</c:v>
                </c:pt>
                <c:pt idx="7">
                  <c:v>0.21841899154670916</c:v>
                </c:pt>
                <c:pt idx="8">
                  <c:v>0.13961783713222062</c:v>
                </c:pt>
                <c:pt idx="9">
                  <c:v>0.21054061497465518</c:v>
                </c:pt>
                <c:pt idx="10">
                  <c:v>0.20019501220797448</c:v>
                </c:pt>
                <c:pt idx="11">
                  <c:v>0.18100000000000002</c:v>
                </c:pt>
              </c:numCache>
            </c:numRef>
          </c:val>
          <c:extLst>
            <c:ext xmlns:c16="http://schemas.microsoft.com/office/drawing/2014/chart" uri="{C3380CC4-5D6E-409C-BE32-E72D297353CC}">
              <c16:uniqueId val="{00000000-81D3-4D20-93AC-A0B21B83349D}"/>
            </c:ext>
          </c:extLst>
        </c:ser>
        <c:ser>
          <c:idx val="1"/>
          <c:order val="1"/>
          <c:tx>
            <c:strRef>
              <c:f>Sheet1!$M$5</c:f>
              <c:strCache>
                <c:ptCount val="1"/>
                <c:pt idx="0">
                  <c:v>Level 1 </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Sheet1!$M$6:$M$17</c:f>
              <c:numCache>
                <c:formatCode>0.0%</c:formatCode>
                <c:ptCount val="12"/>
                <c:pt idx="0">
                  <c:v>0.10673003654961319</c:v>
                </c:pt>
                <c:pt idx="1">
                  <c:v>9.7299077308504386E-2</c:v>
                </c:pt>
                <c:pt idx="2">
                  <c:v>7.9888939122016264E-2</c:v>
                </c:pt>
                <c:pt idx="3">
                  <c:v>0.11052476809153366</c:v>
                </c:pt>
                <c:pt idx="4">
                  <c:v>0.10525473429095669</c:v>
                </c:pt>
                <c:pt idx="5">
                  <c:v>9.2323082384071761E-2</c:v>
                </c:pt>
                <c:pt idx="6">
                  <c:v>9.137100453276524E-2</c:v>
                </c:pt>
                <c:pt idx="7">
                  <c:v>0.11240986307289276</c:v>
                </c:pt>
                <c:pt idx="8">
                  <c:v>8.2239687135712405E-2</c:v>
                </c:pt>
                <c:pt idx="9">
                  <c:v>0.10516423887396072</c:v>
                </c:pt>
                <c:pt idx="10">
                  <c:v>9.6441684253684073E-2</c:v>
                </c:pt>
                <c:pt idx="11">
                  <c:v>9.6999999999999989E-2</c:v>
                </c:pt>
              </c:numCache>
            </c:numRef>
          </c:val>
          <c:extLst>
            <c:ext xmlns:c16="http://schemas.microsoft.com/office/drawing/2014/chart" uri="{C3380CC4-5D6E-409C-BE32-E72D297353CC}">
              <c16:uniqueId val="{00000001-81D3-4D20-93AC-A0B21B83349D}"/>
            </c:ext>
          </c:extLst>
        </c:ser>
        <c:ser>
          <c:idx val="2"/>
          <c:order val="2"/>
          <c:tx>
            <c:strRef>
              <c:f>Sheet1!$N$5</c:f>
              <c:strCache>
                <c:ptCount val="1"/>
                <c:pt idx="0">
                  <c:v>Level 2 </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Sheet1!$N$6:$N$17</c:f>
              <c:numCache>
                <c:formatCode>0.0%</c:formatCode>
                <c:ptCount val="12"/>
                <c:pt idx="0">
                  <c:v>0.13927598186725904</c:v>
                </c:pt>
                <c:pt idx="1">
                  <c:v>0.14630697410136048</c:v>
                </c:pt>
                <c:pt idx="2">
                  <c:v>0.10312404385808685</c:v>
                </c:pt>
                <c:pt idx="3">
                  <c:v>0.13912369342636405</c:v>
                </c:pt>
                <c:pt idx="4">
                  <c:v>0.14037965783923131</c:v>
                </c:pt>
                <c:pt idx="5">
                  <c:v>0.12553302323866072</c:v>
                </c:pt>
                <c:pt idx="6">
                  <c:v>0.13535515031787951</c:v>
                </c:pt>
                <c:pt idx="7">
                  <c:v>0.15151105949712371</c:v>
                </c:pt>
                <c:pt idx="8">
                  <c:v>0.12682177372133377</c:v>
                </c:pt>
                <c:pt idx="9">
                  <c:v>0.15432424989020968</c:v>
                </c:pt>
                <c:pt idx="10">
                  <c:v>0.13292105685052655</c:v>
                </c:pt>
                <c:pt idx="11">
                  <c:v>0.13300000000000001</c:v>
                </c:pt>
              </c:numCache>
            </c:numRef>
          </c:val>
          <c:extLst>
            <c:ext xmlns:c16="http://schemas.microsoft.com/office/drawing/2014/chart" uri="{C3380CC4-5D6E-409C-BE32-E72D297353CC}">
              <c16:uniqueId val="{00000002-81D3-4D20-93AC-A0B21B83349D}"/>
            </c:ext>
          </c:extLst>
        </c:ser>
        <c:ser>
          <c:idx val="3"/>
          <c:order val="3"/>
          <c:tx>
            <c:strRef>
              <c:f>Sheet1!$O$5</c:f>
              <c:strCache>
                <c:ptCount val="1"/>
                <c:pt idx="0">
                  <c:v>Apprenticeship</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Sheet1!$O$6:$O$17</c:f>
              <c:numCache>
                <c:formatCode>0.0%</c:formatCode>
                <c:ptCount val="12"/>
                <c:pt idx="0">
                  <c:v>6.16780103923164E-2</c:v>
                </c:pt>
                <c:pt idx="1">
                  <c:v>5.5561653742098364E-2</c:v>
                </c:pt>
                <c:pt idx="2">
                  <c:v>3.4985089894464763E-2</c:v>
                </c:pt>
                <c:pt idx="3">
                  <c:v>6.3832972438313679E-2</c:v>
                </c:pt>
                <c:pt idx="4">
                  <c:v>6.0384002012037932E-2</c:v>
                </c:pt>
                <c:pt idx="5">
                  <c:v>5.3876260239808599E-2</c:v>
                </c:pt>
                <c:pt idx="6">
                  <c:v>5.8273029000489689E-2</c:v>
                </c:pt>
                <c:pt idx="7">
                  <c:v>6.9009101466497427E-2</c:v>
                </c:pt>
                <c:pt idx="8">
                  <c:v>4.7977179816385621E-2</c:v>
                </c:pt>
                <c:pt idx="9">
                  <c:v>7.0701243794055693E-2</c:v>
                </c:pt>
                <c:pt idx="10">
                  <c:v>5.5661267474223959E-2</c:v>
                </c:pt>
                <c:pt idx="11">
                  <c:v>5.2999999999999999E-2</c:v>
                </c:pt>
              </c:numCache>
            </c:numRef>
          </c:val>
          <c:extLst>
            <c:ext xmlns:c16="http://schemas.microsoft.com/office/drawing/2014/chart" uri="{C3380CC4-5D6E-409C-BE32-E72D297353CC}">
              <c16:uniqueId val="{00000003-81D3-4D20-93AC-A0B21B83349D}"/>
            </c:ext>
          </c:extLst>
        </c:ser>
        <c:ser>
          <c:idx val="4"/>
          <c:order val="4"/>
          <c:tx>
            <c:strRef>
              <c:f>Sheet1!$P$5</c:f>
              <c:strCache>
                <c:ptCount val="1"/>
                <c:pt idx="0">
                  <c:v>Level 3 </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Sheet1!$P$6:$P$17</c:f>
              <c:numCache>
                <c:formatCode>0.0%</c:formatCode>
                <c:ptCount val="12"/>
                <c:pt idx="0">
                  <c:v>0.16440868408477444</c:v>
                </c:pt>
                <c:pt idx="1">
                  <c:v>0.16521278725148994</c:v>
                </c:pt>
                <c:pt idx="2">
                  <c:v>0.18180053795112774</c:v>
                </c:pt>
                <c:pt idx="3">
                  <c:v>0.16483011201112091</c:v>
                </c:pt>
                <c:pt idx="4">
                  <c:v>0.16843386854304446</c:v>
                </c:pt>
                <c:pt idx="5">
                  <c:v>0.17015715253799735</c:v>
                </c:pt>
                <c:pt idx="6">
                  <c:v>0.16140076257601693</c:v>
                </c:pt>
                <c:pt idx="7">
                  <c:v>0.17742188132984038</c:v>
                </c:pt>
                <c:pt idx="8">
                  <c:v>0.15117297247933129</c:v>
                </c:pt>
                <c:pt idx="9">
                  <c:v>0.17634558270746648</c:v>
                </c:pt>
                <c:pt idx="10">
                  <c:v>0.169754797992408</c:v>
                </c:pt>
                <c:pt idx="11">
                  <c:v>0.16899999999999998</c:v>
                </c:pt>
              </c:numCache>
            </c:numRef>
          </c:val>
          <c:extLst>
            <c:ext xmlns:c16="http://schemas.microsoft.com/office/drawing/2014/chart" uri="{C3380CC4-5D6E-409C-BE32-E72D297353CC}">
              <c16:uniqueId val="{00000004-81D3-4D20-93AC-A0B21B83349D}"/>
            </c:ext>
          </c:extLst>
        </c:ser>
        <c:ser>
          <c:idx val="5"/>
          <c:order val="5"/>
          <c:tx>
            <c:strRef>
              <c:f>Sheet1!$Q$5</c:f>
              <c:strCache>
                <c:ptCount val="1"/>
                <c:pt idx="0">
                  <c:v>Level 4 </c:v>
                </c:pt>
              </c:strCache>
            </c:strRef>
          </c:tx>
          <c:spPr>
            <a:solidFill>
              <a:schemeClr val="tx1"/>
            </a:solidFill>
            <a:ln w="3175">
              <a:noFill/>
            </a:ln>
            <a:effectLst/>
          </c:spPr>
          <c:invertIfNegative val="0"/>
          <c:dPt>
            <c:idx val="0"/>
            <c:invertIfNegative val="0"/>
            <c:bubble3D val="0"/>
            <c:spPr>
              <a:solidFill>
                <a:schemeClr val="tx1"/>
              </a:solidFill>
              <a:ln w="0">
                <a:noFill/>
              </a:ln>
              <a:effectLst/>
            </c:spPr>
            <c:extLst>
              <c:ext xmlns:c16="http://schemas.microsoft.com/office/drawing/2014/chart" uri="{C3380CC4-5D6E-409C-BE32-E72D297353CC}">
                <c16:uniqueId val="{00000000-5CDC-48CD-B251-248FA85472E0}"/>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Sheet1!$K$6:$K$17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Sheet1!$Q$6:$Q$17</c:f>
              <c:numCache>
                <c:formatCode>0.0%</c:formatCode>
                <c:ptCount val="12"/>
                <c:pt idx="0">
                  <c:v>0.27413501401283757</c:v>
                </c:pt>
                <c:pt idx="1">
                  <c:v>0.32307761843575056</c:v>
                </c:pt>
                <c:pt idx="2">
                  <c:v>0.37620730755003906</c:v>
                </c:pt>
                <c:pt idx="3">
                  <c:v>0.24606624428582885</c:v>
                </c:pt>
                <c:pt idx="4">
                  <c:v>0.26429718714810774</c:v>
                </c:pt>
                <c:pt idx="5">
                  <c:v>0.33504054434061858</c:v>
                </c:pt>
                <c:pt idx="6">
                  <c:v>0.37560007868512141</c:v>
                </c:pt>
                <c:pt idx="7">
                  <c:v>0.24422178410349205</c:v>
                </c:pt>
                <c:pt idx="8">
                  <c:v>0.42954912947016133</c:v>
                </c:pt>
                <c:pt idx="9">
                  <c:v>0.25812634446619576</c:v>
                </c:pt>
                <c:pt idx="10">
                  <c:v>0.31875165904927605</c:v>
                </c:pt>
                <c:pt idx="11">
                  <c:v>0.33899999999999997</c:v>
                </c:pt>
              </c:numCache>
            </c:numRef>
          </c:val>
          <c:extLst>
            <c:ext xmlns:c16="http://schemas.microsoft.com/office/drawing/2014/chart" uri="{C3380CC4-5D6E-409C-BE32-E72D297353CC}">
              <c16:uniqueId val="{00000005-81D3-4D20-93AC-A0B21B83349D}"/>
            </c:ext>
          </c:extLst>
        </c:ser>
        <c:dLbls>
          <c:showLegendKey val="0"/>
          <c:showVal val="0"/>
          <c:showCatName val="0"/>
          <c:showSerName val="0"/>
          <c:showPercent val="0"/>
          <c:showBubbleSize val="0"/>
        </c:dLbls>
        <c:gapWidth val="20"/>
        <c:overlap val="100"/>
        <c:axId val="1349345168"/>
        <c:axId val="1349345584"/>
      </c:barChart>
      <c:catAx>
        <c:axId val="134934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9345584"/>
        <c:crosses val="autoZero"/>
        <c:auto val="1"/>
        <c:lblAlgn val="ctr"/>
        <c:lblOffset val="100"/>
        <c:noMultiLvlLbl val="0"/>
      </c:catAx>
      <c:valAx>
        <c:axId val="1349345584"/>
        <c:scaling>
          <c:orientation val="minMax"/>
          <c:max val="1"/>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 of residents (16+)</a:t>
                </a:r>
              </a:p>
            </c:rich>
          </c:tx>
          <c:layout>
            <c:manualLayout>
              <c:xMode val="edge"/>
              <c:yMode val="edge"/>
              <c:x val="3.6519674974892723E-3"/>
              <c:y val="0.1569324609071753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934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400" b="0" i="0" baseline="0">
                <a:effectLst/>
                <a:latin typeface="Arial" panose="020B0604020202020204" pitchFamily="34" charset="0"/>
                <a:cs typeface="Arial" panose="020B0604020202020204" pitchFamily="34" charset="0"/>
              </a:rPr>
              <a:t>Proportion of residents </a:t>
            </a:r>
          </a:p>
          <a:p>
            <a:pPr>
              <a:defRPr>
                <a:latin typeface="Arial" panose="020B0604020202020204" pitchFamily="34" charset="0"/>
                <a:cs typeface="Arial" panose="020B0604020202020204" pitchFamily="34" charset="0"/>
              </a:defRPr>
            </a:pPr>
            <a:r>
              <a:rPr lang="en-GB" sz="1400" b="0" i="0" baseline="0">
                <a:effectLst/>
                <a:latin typeface="Arial" panose="020B0604020202020204" pitchFamily="34" charset="0"/>
                <a:cs typeface="Arial" panose="020B0604020202020204" pitchFamily="34" charset="0"/>
              </a:rPr>
              <a:t>with Level 4+ qualifications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Sheet7!$A$12</c:f>
              <c:strCache>
                <c:ptCount val="1"/>
                <c:pt idx="0">
                  <c:v>2001</c:v>
                </c:pt>
              </c:strCache>
            </c:strRef>
          </c:tx>
          <c:spPr>
            <a:solidFill>
              <a:schemeClr val="accent1"/>
            </a:solidFill>
            <a:ln>
              <a:noFill/>
            </a:ln>
            <a:effectLst/>
          </c:spPr>
          <c:invertIfNegative val="0"/>
          <c:cat>
            <c:strRef>
              <c:f>Sheet7!$D$11:$E$11</c:f>
              <c:strCache>
                <c:ptCount val="2"/>
                <c:pt idx="0">
                  <c:v>GM</c:v>
                </c:pt>
                <c:pt idx="1">
                  <c:v>England</c:v>
                </c:pt>
              </c:strCache>
              <c:extLst/>
            </c:strRef>
          </c:cat>
          <c:val>
            <c:numRef>
              <c:f>Sheet7!$D$12:$E$12</c:f>
              <c:numCache>
                <c:formatCode>0.0%</c:formatCode>
                <c:ptCount val="2"/>
                <c:pt idx="0">
                  <c:v>0.17035527605082715</c:v>
                </c:pt>
                <c:pt idx="1">
                  <c:v>0.19903281233857023</c:v>
                </c:pt>
              </c:numCache>
              <c:extLst/>
            </c:numRef>
          </c:val>
          <c:extLst>
            <c:ext xmlns:c16="http://schemas.microsoft.com/office/drawing/2014/chart" uri="{C3380CC4-5D6E-409C-BE32-E72D297353CC}">
              <c16:uniqueId val="{00000000-AF9C-4B6E-831D-821B2C3A9277}"/>
            </c:ext>
          </c:extLst>
        </c:ser>
        <c:ser>
          <c:idx val="1"/>
          <c:order val="1"/>
          <c:tx>
            <c:strRef>
              <c:f>Sheet7!$A$13</c:f>
              <c:strCache>
                <c:ptCount val="1"/>
                <c:pt idx="0">
                  <c:v>2011</c:v>
                </c:pt>
              </c:strCache>
            </c:strRef>
          </c:tx>
          <c:spPr>
            <a:solidFill>
              <a:schemeClr val="accent2"/>
            </a:solidFill>
            <a:ln>
              <a:noFill/>
            </a:ln>
            <a:effectLst/>
          </c:spPr>
          <c:invertIfNegative val="0"/>
          <c:cat>
            <c:strRef>
              <c:f>Sheet7!$D$11:$E$11</c:f>
              <c:strCache>
                <c:ptCount val="2"/>
                <c:pt idx="0">
                  <c:v>GM</c:v>
                </c:pt>
                <c:pt idx="1">
                  <c:v>England</c:v>
                </c:pt>
              </c:strCache>
              <c:extLst/>
            </c:strRef>
          </c:cat>
          <c:val>
            <c:numRef>
              <c:f>Sheet7!$D$13:$E$13</c:f>
              <c:numCache>
                <c:formatCode>0.0%</c:formatCode>
                <c:ptCount val="2"/>
                <c:pt idx="0">
                  <c:v>0.24285584627450249</c:v>
                </c:pt>
                <c:pt idx="1">
                  <c:v>0.27377215709280517</c:v>
                </c:pt>
              </c:numCache>
              <c:extLst/>
            </c:numRef>
          </c:val>
          <c:extLst>
            <c:ext xmlns:c16="http://schemas.microsoft.com/office/drawing/2014/chart" uri="{C3380CC4-5D6E-409C-BE32-E72D297353CC}">
              <c16:uniqueId val="{00000001-AF9C-4B6E-831D-821B2C3A9277}"/>
            </c:ext>
          </c:extLst>
        </c:ser>
        <c:ser>
          <c:idx val="2"/>
          <c:order val="2"/>
          <c:tx>
            <c:strRef>
              <c:f>Sheet7!$A$14</c:f>
              <c:strCache>
                <c:ptCount val="1"/>
                <c:pt idx="0">
                  <c:v>2021</c:v>
                </c:pt>
              </c:strCache>
            </c:strRef>
          </c:tx>
          <c:spPr>
            <a:solidFill>
              <a:schemeClr val="accent3"/>
            </a:solidFill>
            <a:ln>
              <a:noFill/>
            </a:ln>
            <a:effectLst/>
          </c:spPr>
          <c:invertIfNegative val="0"/>
          <c:cat>
            <c:strRef>
              <c:f>Sheet7!$D$11:$E$11</c:f>
              <c:strCache>
                <c:ptCount val="2"/>
                <c:pt idx="0">
                  <c:v>GM</c:v>
                </c:pt>
                <c:pt idx="1">
                  <c:v>England</c:v>
                </c:pt>
              </c:strCache>
              <c:extLst/>
            </c:strRef>
          </c:cat>
          <c:val>
            <c:numRef>
              <c:f>Sheet7!$D$14:$E$14</c:f>
              <c:numCache>
                <c:formatCode>0.0%</c:formatCode>
                <c:ptCount val="2"/>
                <c:pt idx="0">
                  <c:v>0.31875165904927605</c:v>
                </c:pt>
                <c:pt idx="1">
                  <c:v>0.33921953756774381</c:v>
                </c:pt>
              </c:numCache>
              <c:extLst/>
            </c:numRef>
          </c:val>
          <c:extLst>
            <c:ext xmlns:c16="http://schemas.microsoft.com/office/drawing/2014/chart" uri="{C3380CC4-5D6E-409C-BE32-E72D297353CC}">
              <c16:uniqueId val="{00000002-AF9C-4B6E-831D-821B2C3A9277}"/>
            </c:ext>
          </c:extLst>
        </c:ser>
        <c:dLbls>
          <c:showLegendKey val="0"/>
          <c:showVal val="0"/>
          <c:showCatName val="0"/>
          <c:showSerName val="0"/>
          <c:showPercent val="0"/>
          <c:showBubbleSize val="0"/>
        </c:dLbls>
        <c:gapWidth val="219"/>
        <c:overlap val="-27"/>
        <c:axId val="273092896"/>
        <c:axId val="273094976"/>
      </c:barChart>
      <c:catAx>
        <c:axId val="2730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3094976"/>
        <c:crosses val="autoZero"/>
        <c:auto val="1"/>
        <c:lblAlgn val="ctr"/>
        <c:lblOffset val="100"/>
        <c:noMultiLvlLbl val="0"/>
      </c:catAx>
      <c:valAx>
        <c:axId val="27309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a:t>
                </a:r>
                <a:r>
                  <a:rPr lang="en-GB" sz="1200" baseline="0">
                    <a:latin typeface="Arial" panose="020B0604020202020204" pitchFamily="34" charset="0"/>
                    <a:cs typeface="Arial" panose="020B0604020202020204" pitchFamily="34" charset="0"/>
                  </a:rPr>
                  <a:t> of residents</a:t>
                </a:r>
                <a:endParaRPr lang="en-GB" sz="12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30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400" b="0" i="0" baseline="0">
                <a:effectLst/>
                <a:latin typeface="Arial" panose="020B0604020202020204" pitchFamily="34" charset="0"/>
                <a:cs typeface="Arial" panose="020B0604020202020204" pitchFamily="34" charset="0"/>
              </a:rPr>
              <a:t>Proportion of residents </a:t>
            </a:r>
          </a:p>
          <a:p>
            <a:pPr>
              <a:defRPr>
                <a:latin typeface="Arial" panose="020B0604020202020204" pitchFamily="34" charset="0"/>
                <a:cs typeface="Arial" panose="020B0604020202020204" pitchFamily="34" charset="0"/>
              </a:defRPr>
            </a:pPr>
            <a:r>
              <a:rPr lang="en-GB" sz="1400" b="0" i="0" baseline="0">
                <a:effectLst/>
                <a:latin typeface="Arial" panose="020B0604020202020204" pitchFamily="34" charset="0"/>
                <a:cs typeface="Arial" panose="020B0604020202020204" pitchFamily="34" charset="0"/>
              </a:rPr>
              <a:t>without qualifications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Sheet7!$A$12</c:f>
              <c:strCache>
                <c:ptCount val="1"/>
                <c:pt idx="0">
                  <c:v>2001</c:v>
                </c:pt>
              </c:strCache>
            </c:strRef>
          </c:tx>
          <c:spPr>
            <a:solidFill>
              <a:schemeClr val="accent1"/>
            </a:solidFill>
            <a:ln>
              <a:noFill/>
            </a:ln>
            <a:effectLst/>
          </c:spPr>
          <c:invertIfNegative val="0"/>
          <c:cat>
            <c:strRef>
              <c:f>Sheet7!$B$11:$C$11</c:f>
              <c:strCache>
                <c:ptCount val="2"/>
                <c:pt idx="0">
                  <c:v>GM</c:v>
                </c:pt>
                <c:pt idx="1">
                  <c:v>England</c:v>
                </c:pt>
              </c:strCache>
              <c:extLst/>
            </c:strRef>
          </c:cat>
          <c:val>
            <c:numRef>
              <c:f>Sheet7!$B$12:$C$12</c:f>
              <c:numCache>
                <c:formatCode>0.0%</c:formatCode>
                <c:ptCount val="2"/>
                <c:pt idx="0">
                  <c:v>0.32712716105780293</c:v>
                </c:pt>
                <c:pt idx="1">
                  <c:v>0.28851873648528031</c:v>
                </c:pt>
              </c:numCache>
              <c:extLst/>
            </c:numRef>
          </c:val>
          <c:extLst>
            <c:ext xmlns:c16="http://schemas.microsoft.com/office/drawing/2014/chart" uri="{C3380CC4-5D6E-409C-BE32-E72D297353CC}">
              <c16:uniqueId val="{00000000-85CD-4CC6-B63B-F299931A4D3E}"/>
            </c:ext>
          </c:extLst>
        </c:ser>
        <c:ser>
          <c:idx val="1"/>
          <c:order val="1"/>
          <c:tx>
            <c:strRef>
              <c:f>Sheet7!$A$13</c:f>
              <c:strCache>
                <c:ptCount val="1"/>
                <c:pt idx="0">
                  <c:v>2011</c:v>
                </c:pt>
              </c:strCache>
            </c:strRef>
          </c:tx>
          <c:spPr>
            <a:solidFill>
              <a:schemeClr val="accent2"/>
            </a:solidFill>
            <a:ln>
              <a:noFill/>
            </a:ln>
            <a:effectLst/>
          </c:spPr>
          <c:invertIfNegative val="0"/>
          <c:cat>
            <c:strRef>
              <c:f>Sheet7!$B$11:$C$11</c:f>
              <c:strCache>
                <c:ptCount val="2"/>
                <c:pt idx="0">
                  <c:v>GM</c:v>
                </c:pt>
                <c:pt idx="1">
                  <c:v>England</c:v>
                </c:pt>
              </c:strCache>
              <c:extLst/>
            </c:strRef>
          </c:cat>
          <c:val>
            <c:numRef>
              <c:f>Sheet7!$B$13:$C$13</c:f>
              <c:numCache>
                <c:formatCode>0.0%</c:formatCode>
                <c:ptCount val="2"/>
                <c:pt idx="0">
                  <c:v>0.24983279070795739</c:v>
                </c:pt>
                <c:pt idx="1">
                  <c:v>0.22463120167147324</c:v>
                </c:pt>
              </c:numCache>
              <c:extLst/>
            </c:numRef>
          </c:val>
          <c:extLst>
            <c:ext xmlns:c16="http://schemas.microsoft.com/office/drawing/2014/chart" uri="{C3380CC4-5D6E-409C-BE32-E72D297353CC}">
              <c16:uniqueId val="{00000001-85CD-4CC6-B63B-F299931A4D3E}"/>
            </c:ext>
          </c:extLst>
        </c:ser>
        <c:ser>
          <c:idx val="2"/>
          <c:order val="2"/>
          <c:tx>
            <c:strRef>
              <c:f>Sheet7!$A$14</c:f>
              <c:strCache>
                <c:ptCount val="1"/>
                <c:pt idx="0">
                  <c:v>2021</c:v>
                </c:pt>
              </c:strCache>
            </c:strRef>
          </c:tx>
          <c:spPr>
            <a:solidFill>
              <a:schemeClr val="accent3"/>
            </a:solidFill>
            <a:ln>
              <a:noFill/>
            </a:ln>
            <a:effectLst/>
          </c:spPr>
          <c:invertIfNegative val="0"/>
          <c:cat>
            <c:strRef>
              <c:f>Sheet7!$B$11:$C$11</c:f>
              <c:strCache>
                <c:ptCount val="2"/>
                <c:pt idx="0">
                  <c:v>GM</c:v>
                </c:pt>
                <c:pt idx="1">
                  <c:v>England</c:v>
                </c:pt>
              </c:strCache>
              <c:extLst/>
            </c:strRef>
          </c:cat>
          <c:val>
            <c:numRef>
              <c:f>Sheet7!$B$14:$C$14</c:f>
              <c:numCache>
                <c:formatCode>0.0%</c:formatCode>
                <c:ptCount val="2"/>
                <c:pt idx="0">
                  <c:v>0.20019501220797448</c:v>
                </c:pt>
                <c:pt idx="1">
                  <c:v>0.18079416470835769</c:v>
                </c:pt>
              </c:numCache>
              <c:extLst/>
            </c:numRef>
          </c:val>
          <c:extLst>
            <c:ext xmlns:c16="http://schemas.microsoft.com/office/drawing/2014/chart" uri="{C3380CC4-5D6E-409C-BE32-E72D297353CC}">
              <c16:uniqueId val="{00000002-85CD-4CC6-B63B-F299931A4D3E}"/>
            </c:ext>
          </c:extLst>
        </c:ser>
        <c:dLbls>
          <c:showLegendKey val="0"/>
          <c:showVal val="0"/>
          <c:showCatName val="0"/>
          <c:showSerName val="0"/>
          <c:showPercent val="0"/>
          <c:showBubbleSize val="0"/>
        </c:dLbls>
        <c:gapWidth val="219"/>
        <c:overlap val="-27"/>
        <c:axId val="273092896"/>
        <c:axId val="273094976"/>
      </c:barChart>
      <c:catAx>
        <c:axId val="2730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3094976"/>
        <c:crosses val="autoZero"/>
        <c:auto val="1"/>
        <c:lblAlgn val="ctr"/>
        <c:lblOffset val="100"/>
        <c:noMultiLvlLbl val="0"/>
      </c:catAx>
      <c:valAx>
        <c:axId val="27309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 of residents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30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Proportion</a:t>
            </a:r>
            <a:r>
              <a:rPr lang="en-GB" sz="1200" baseline="0">
                <a:latin typeface="Arial" panose="020B0604020202020204" pitchFamily="34" charset="0"/>
                <a:cs typeface="Arial" panose="020B0604020202020204" pitchFamily="34" charset="0"/>
              </a:rPr>
              <a:t> of residents without qualifications and Level 4+ qualifications, Greater Manchester (GM)</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Sheet7!$B$44</c:f>
              <c:strCache>
                <c:ptCount val="1"/>
                <c:pt idx="0">
                  <c:v>No qualifications</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cat>
            <c:numRef>
              <c:f>Sheet7!$A$45:$A$47</c:f>
              <c:numCache>
                <c:formatCode>General</c:formatCode>
                <c:ptCount val="3"/>
                <c:pt idx="0">
                  <c:v>2001</c:v>
                </c:pt>
                <c:pt idx="1">
                  <c:v>2011</c:v>
                </c:pt>
                <c:pt idx="2">
                  <c:v>2021</c:v>
                </c:pt>
              </c:numCache>
            </c:numRef>
          </c:cat>
          <c:val>
            <c:numRef>
              <c:f>Sheet7!$B$45:$B$47</c:f>
              <c:numCache>
                <c:formatCode>0.0%</c:formatCode>
                <c:ptCount val="3"/>
                <c:pt idx="0">
                  <c:v>0.32712716105780293</c:v>
                </c:pt>
                <c:pt idx="1">
                  <c:v>0.24983279070795739</c:v>
                </c:pt>
                <c:pt idx="2">
                  <c:v>0.20019501220797448</c:v>
                </c:pt>
              </c:numCache>
            </c:numRef>
          </c:val>
          <c:smooth val="0"/>
          <c:extLst>
            <c:ext xmlns:c16="http://schemas.microsoft.com/office/drawing/2014/chart" uri="{C3380CC4-5D6E-409C-BE32-E72D297353CC}">
              <c16:uniqueId val="{00000000-24B4-4A58-A6DB-F7F618D9D6C8}"/>
            </c:ext>
          </c:extLst>
        </c:ser>
        <c:ser>
          <c:idx val="2"/>
          <c:order val="2"/>
          <c:tx>
            <c:strRef>
              <c:f>Sheet7!$D$44</c:f>
              <c:strCache>
                <c:ptCount val="1"/>
                <c:pt idx="0">
                  <c:v>Level 4</c:v>
                </c:pt>
              </c:strCache>
            </c:strRef>
          </c:tx>
          <c:spPr>
            <a:ln w="28575" cap="rnd">
              <a:solidFill>
                <a:schemeClr val="accent2"/>
              </a:solidFill>
              <a:round/>
            </a:ln>
            <a:effectLst/>
          </c:spPr>
          <c:marker>
            <c:symbol val="star"/>
            <c:size val="7"/>
            <c:spPr>
              <a:noFill/>
              <a:ln w="9525">
                <a:solidFill>
                  <a:schemeClr val="accent3"/>
                </a:solidFill>
              </a:ln>
              <a:effectLst/>
            </c:spPr>
          </c:marker>
          <c:cat>
            <c:numRef>
              <c:f>Sheet7!$A$45:$A$47</c:f>
              <c:numCache>
                <c:formatCode>General</c:formatCode>
                <c:ptCount val="3"/>
                <c:pt idx="0">
                  <c:v>2001</c:v>
                </c:pt>
                <c:pt idx="1">
                  <c:v>2011</c:v>
                </c:pt>
                <c:pt idx="2">
                  <c:v>2021</c:v>
                </c:pt>
              </c:numCache>
            </c:numRef>
          </c:cat>
          <c:val>
            <c:numRef>
              <c:f>Sheet7!$D$45:$D$47</c:f>
              <c:numCache>
                <c:formatCode>0.0%</c:formatCode>
                <c:ptCount val="3"/>
                <c:pt idx="0">
                  <c:v>0.17035527605082715</c:v>
                </c:pt>
                <c:pt idx="1">
                  <c:v>0.24285584627450249</c:v>
                </c:pt>
                <c:pt idx="2">
                  <c:v>0.31875165904927605</c:v>
                </c:pt>
              </c:numCache>
            </c:numRef>
          </c:val>
          <c:smooth val="0"/>
          <c:extLst>
            <c:ext xmlns:c16="http://schemas.microsoft.com/office/drawing/2014/chart" uri="{C3380CC4-5D6E-409C-BE32-E72D297353CC}">
              <c16:uniqueId val="{00000001-24B4-4A58-A6DB-F7F618D9D6C8}"/>
            </c:ext>
          </c:extLst>
        </c:ser>
        <c:dLbls>
          <c:showLegendKey val="0"/>
          <c:showVal val="0"/>
          <c:showCatName val="0"/>
          <c:showSerName val="0"/>
          <c:showPercent val="0"/>
          <c:showBubbleSize val="0"/>
        </c:dLbls>
        <c:marker val="1"/>
        <c:smooth val="0"/>
        <c:axId val="133455088"/>
        <c:axId val="133449680"/>
        <c:extLst>
          <c:ext xmlns:c15="http://schemas.microsoft.com/office/drawing/2012/chart" uri="{02D57815-91ED-43cb-92C2-25804820EDAC}">
            <c15:filteredLineSeries>
              <c15:ser>
                <c:idx val="1"/>
                <c:order val="1"/>
                <c:tx>
                  <c:strRef>
                    <c:extLst>
                      <c:ext uri="{02D57815-91ED-43cb-92C2-25804820EDAC}">
                        <c15:formulaRef>
                          <c15:sqref>Sheet7!$C$44</c15:sqref>
                        </c15:formulaRef>
                      </c:ext>
                    </c:extLst>
                    <c:strCache>
                      <c:ptCount val="1"/>
                      <c:pt idx="0">
                        <c:v>England</c:v>
                      </c:pt>
                    </c:strCache>
                  </c:strRef>
                </c:tx>
                <c:spPr>
                  <a:ln w="28575" cap="rnd">
                    <a:solidFill>
                      <a:schemeClr val="accent2"/>
                    </a:solidFill>
                    <a:round/>
                  </a:ln>
                  <a:effectLst/>
                </c:spPr>
                <c:marker>
                  <c:symbol val="none"/>
                </c:marker>
                <c:cat>
                  <c:numRef>
                    <c:extLst>
                      <c:ext uri="{02D57815-91ED-43cb-92C2-25804820EDAC}">
                        <c15:formulaRef>
                          <c15:sqref>Sheet7!$A$45:$A$47</c15:sqref>
                        </c15:formulaRef>
                      </c:ext>
                    </c:extLst>
                    <c:numCache>
                      <c:formatCode>General</c:formatCode>
                      <c:ptCount val="3"/>
                      <c:pt idx="0">
                        <c:v>2001</c:v>
                      </c:pt>
                      <c:pt idx="1">
                        <c:v>2011</c:v>
                      </c:pt>
                      <c:pt idx="2">
                        <c:v>2021</c:v>
                      </c:pt>
                    </c:numCache>
                  </c:numRef>
                </c:cat>
                <c:val>
                  <c:numRef>
                    <c:extLst>
                      <c:ext uri="{02D57815-91ED-43cb-92C2-25804820EDAC}">
                        <c15:formulaRef>
                          <c15:sqref>Sheet7!$C$45:$C$47</c15:sqref>
                        </c15:formulaRef>
                      </c:ext>
                    </c:extLst>
                    <c:numCache>
                      <c:formatCode>0.0%</c:formatCode>
                      <c:ptCount val="3"/>
                      <c:pt idx="0">
                        <c:v>0.28851873648528031</c:v>
                      </c:pt>
                      <c:pt idx="1">
                        <c:v>0.22463120167147324</c:v>
                      </c:pt>
                      <c:pt idx="2">
                        <c:v>0.18079416470835769</c:v>
                      </c:pt>
                    </c:numCache>
                  </c:numRef>
                </c:val>
                <c:smooth val="0"/>
                <c:extLst>
                  <c:ext xmlns:c16="http://schemas.microsoft.com/office/drawing/2014/chart" uri="{C3380CC4-5D6E-409C-BE32-E72D297353CC}">
                    <c16:uniqueId val="{00000002-24B4-4A58-A6DB-F7F618D9D6C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Sheet7!$E$44</c15:sqref>
                        </c15:formulaRef>
                      </c:ext>
                    </c:extLst>
                    <c:strCache>
                      <c:ptCount val="1"/>
                      <c:pt idx="0">
                        <c:v>England</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Sheet7!$A$45:$A$47</c15:sqref>
                        </c15:formulaRef>
                      </c:ext>
                    </c:extLst>
                    <c:numCache>
                      <c:formatCode>General</c:formatCode>
                      <c:ptCount val="3"/>
                      <c:pt idx="0">
                        <c:v>2001</c:v>
                      </c:pt>
                      <c:pt idx="1">
                        <c:v>2011</c:v>
                      </c:pt>
                      <c:pt idx="2">
                        <c:v>2021</c:v>
                      </c:pt>
                    </c:numCache>
                  </c:numRef>
                </c:cat>
                <c:val>
                  <c:numRef>
                    <c:extLst xmlns:c15="http://schemas.microsoft.com/office/drawing/2012/chart">
                      <c:ext xmlns:c15="http://schemas.microsoft.com/office/drawing/2012/chart" uri="{02D57815-91ED-43cb-92C2-25804820EDAC}">
                        <c15:formulaRef>
                          <c15:sqref>Sheet7!$E$45:$E$47</c15:sqref>
                        </c15:formulaRef>
                      </c:ext>
                    </c:extLst>
                    <c:numCache>
                      <c:formatCode>0.0%</c:formatCode>
                      <c:ptCount val="3"/>
                      <c:pt idx="0">
                        <c:v>0.19903281233857023</c:v>
                      </c:pt>
                      <c:pt idx="1">
                        <c:v>0.27377215709280517</c:v>
                      </c:pt>
                      <c:pt idx="2">
                        <c:v>0.33921953756774381</c:v>
                      </c:pt>
                    </c:numCache>
                  </c:numRef>
                </c:val>
                <c:smooth val="0"/>
                <c:extLst xmlns:c15="http://schemas.microsoft.com/office/drawing/2012/chart">
                  <c:ext xmlns:c16="http://schemas.microsoft.com/office/drawing/2014/chart" uri="{C3380CC4-5D6E-409C-BE32-E72D297353CC}">
                    <c16:uniqueId val="{00000003-24B4-4A58-A6DB-F7F618D9D6C8}"/>
                  </c:ext>
                </c:extLst>
              </c15:ser>
            </c15:filteredLineSeries>
          </c:ext>
        </c:extLst>
      </c:lineChart>
      <c:catAx>
        <c:axId val="13345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449680"/>
        <c:crosses val="autoZero"/>
        <c:auto val="1"/>
        <c:lblAlgn val="ctr"/>
        <c:lblOffset val="100"/>
        <c:noMultiLvlLbl val="0"/>
      </c:catAx>
      <c:valAx>
        <c:axId val="13344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a:t>
                </a:r>
                <a:r>
                  <a:rPr lang="en-GB" sz="1200" baseline="0">
                    <a:latin typeface="Arial" panose="020B0604020202020204" pitchFamily="34" charset="0"/>
                    <a:cs typeface="Arial" panose="020B0604020202020204" pitchFamily="34" charset="0"/>
                  </a:rPr>
                  <a:t> of GM residents</a:t>
                </a:r>
                <a:endParaRPr lang="en-GB" sz="12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3345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Proportion of residents whose highest qualification is an apprenticeship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Sheet4!$B$153:$B$154</c:f>
              <c:strCache>
                <c:ptCount val="2"/>
                <c:pt idx="0">
                  <c:v>Apprenticeship</c:v>
                </c:pt>
                <c:pt idx="1">
                  <c:v>2011</c:v>
                </c:pt>
              </c:strCache>
            </c:strRef>
          </c:tx>
          <c:spPr>
            <a:solidFill>
              <a:schemeClr val="accent1"/>
            </a:solidFill>
            <a:ln>
              <a:noFill/>
            </a:ln>
            <a:effectLst/>
          </c:spPr>
          <c:invertIfNegative val="0"/>
          <c:cat>
            <c:strRef>
              <c:f>Sheet4!$A$155:$A$166</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Sheet4!$B$155:$B$166</c:f>
              <c:numCache>
                <c:formatCode>0.0%</c:formatCode>
                <c:ptCount val="12"/>
                <c:pt idx="0">
                  <c:v>4.2999999999999997E-2</c:v>
                </c:pt>
                <c:pt idx="1">
                  <c:v>3.5000000000000003E-2</c:v>
                </c:pt>
                <c:pt idx="2">
                  <c:v>1.7000000000000001E-2</c:v>
                </c:pt>
                <c:pt idx="3">
                  <c:v>4.2000000000000003E-2</c:v>
                </c:pt>
                <c:pt idx="4">
                  <c:v>3.7000000000000005E-2</c:v>
                </c:pt>
                <c:pt idx="5">
                  <c:v>3.4000000000000002E-2</c:v>
                </c:pt>
                <c:pt idx="6">
                  <c:v>0.04</c:v>
                </c:pt>
                <c:pt idx="7">
                  <c:v>4.4999999999999998E-2</c:v>
                </c:pt>
                <c:pt idx="8">
                  <c:v>3.4000000000000002E-2</c:v>
                </c:pt>
                <c:pt idx="9">
                  <c:v>4.7E-2</c:v>
                </c:pt>
                <c:pt idx="10">
                  <c:v>3.6000000000000004E-2</c:v>
                </c:pt>
                <c:pt idx="11">
                  <c:v>3.6000000000000004E-2</c:v>
                </c:pt>
              </c:numCache>
            </c:numRef>
          </c:val>
          <c:extLst>
            <c:ext xmlns:c16="http://schemas.microsoft.com/office/drawing/2014/chart" uri="{C3380CC4-5D6E-409C-BE32-E72D297353CC}">
              <c16:uniqueId val="{00000000-F003-4ABC-BFC6-F76DA8C0FA4D}"/>
            </c:ext>
          </c:extLst>
        </c:ser>
        <c:ser>
          <c:idx val="1"/>
          <c:order val="1"/>
          <c:tx>
            <c:strRef>
              <c:f>Sheet4!$C$153:$C$154</c:f>
              <c:strCache>
                <c:ptCount val="2"/>
                <c:pt idx="0">
                  <c:v>Apprenticeship</c:v>
                </c:pt>
                <c:pt idx="1">
                  <c:v>2021</c:v>
                </c:pt>
              </c:strCache>
            </c:strRef>
          </c:tx>
          <c:spPr>
            <a:solidFill>
              <a:schemeClr val="accent2"/>
            </a:solidFill>
            <a:ln>
              <a:noFill/>
            </a:ln>
            <a:effectLst/>
          </c:spPr>
          <c:invertIfNegative val="0"/>
          <c:cat>
            <c:strRef>
              <c:f>Sheet4!$A$155:$A$166</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Sheet4!$C$155:$C$166</c:f>
              <c:numCache>
                <c:formatCode>0.0%</c:formatCode>
                <c:ptCount val="12"/>
                <c:pt idx="0">
                  <c:v>6.16780103923164E-2</c:v>
                </c:pt>
                <c:pt idx="1">
                  <c:v>5.5561653742098364E-2</c:v>
                </c:pt>
                <c:pt idx="2">
                  <c:v>3.4985089894464763E-2</c:v>
                </c:pt>
                <c:pt idx="3">
                  <c:v>6.3832972438313679E-2</c:v>
                </c:pt>
                <c:pt idx="4">
                  <c:v>6.0384002012037932E-2</c:v>
                </c:pt>
                <c:pt idx="5">
                  <c:v>5.3876260239808599E-2</c:v>
                </c:pt>
                <c:pt idx="6">
                  <c:v>5.8273029000489689E-2</c:v>
                </c:pt>
                <c:pt idx="7">
                  <c:v>6.9009101466497427E-2</c:v>
                </c:pt>
                <c:pt idx="8">
                  <c:v>4.7977179816385621E-2</c:v>
                </c:pt>
                <c:pt idx="9">
                  <c:v>7.0701243794055693E-2</c:v>
                </c:pt>
                <c:pt idx="10">
                  <c:v>5.5661267474223959E-2</c:v>
                </c:pt>
                <c:pt idx="11">
                  <c:v>5.2999999999999999E-2</c:v>
                </c:pt>
              </c:numCache>
            </c:numRef>
          </c:val>
          <c:extLst>
            <c:ext xmlns:c16="http://schemas.microsoft.com/office/drawing/2014/chart" uri="{C3380CC4-5D6E-409C-BE32-E72D297353CC}">
              <c16:uniqueId val="{00000001-F003-4ABC-BFC6-F76DA8C0FA4D}"/>
            </c:ext>
          </c:extLst>
        </c:ser>
        <c:dLbls>
          <c:showLegendKey val="0"/>
          <c:showVal val="0"/>
          <c:showCatName val="0"/>
          <c:showSerName val="0"/>
          <c:showPercent val="0"/>
          <c:showBubbleSize val="0"/>
        </c:dLbls>
        <c:gapWidth val="219"/>
        <c:overlap val="-27"/>
        <c:axId val="1167942112"/>
        <c:axId val="1167943776"/>
      </c:barChart>
      <c:catAx>
        <c:axId val="11679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67943776"/>
        <c:crosses val="autoZero"/>
        <c:auto val="1"/>
        <c:lblAlgn val="ctr"/>
        <c:lblOffset val="100"/>
        <c:noMultiLvlLbl val="0"/>
      </c:catAx>
      <c:valAx>
        <c:axId val="1167943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 of residents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6794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D53B3-BD21-4DAE-9DD1-119E1430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5F786-EB65-416E-8325-C32E62967B88}">
  <ds:schemaRefs>
    <ds:schemaRef ds:uri="http://schemas.openxmlformats.org/officeDocument/2006/bibliography"/>
  </ds:schemaRefs>
</ds:datastoreItem>
</file>

<file path=customXml/itemProps3.xml><?xml version="1.0" encoding="utf-8"?>
<ds:datastoreItem xmlns:ds="http://schemas.openxmlformats.org/officeDocument/2006/customXml" ds:itemID="{ED836BED-7616-4F63-9329-FB35691BAC2F}">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customXml/itemProps4.xml><?xml version="1.0" encoding="utf-8"?>
<ds:datastoreItem xmlns:ds="http://schemas.openxmlformats.org/officeDocument/2006/customXml" ds:itemID="{95430DEA-0859-4CD7-9DBF-F2C8FD6E6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Overell, Stephen</dc:creator>
  <cp:keywords/>
  <dc:description/>
  <cp:lastModifiedBy>Ottiwell, David</cp:lastModifiedBy>
  <cp:revision>18</cp:revision>
  <dcterms:created xsi:type="dcterms:W3CDTF">2023-04-15T06:11:00Z</dcterms:created>
  <dcterms:modified xsi:type="dcterms:W3CDTF">2023-04-15T06:33:00Z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