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7760" w14:textId="77777777" w:rsidR="00DC2203" w:rsidRPr="00761353" w:rsidRDefault="000D108F" w:rsidP="00AD3FAE">
      <w:pPr>
        <w:pStyle w:val="Heading1"/>
        <w:rPr>
          <w:rFonts w:ascii="Arial" w:hAnsi="Arial"/>
        </w:rPr>
      </w:pPr>
      <w:bookmarkStart w:id="0" w:name="_Toc61984578"/>
      <w:bookmarkStart w:id="1" w:name="_Toc61984580"/>
      <w:bookmarkStart w:id="2" w:name="_Toc61294764"/>
      <w:r w:rsidRPr="00761353">
        <w:rPr>
          <w:rFonts w:ascii="Arial" w:hAnsi="Arial"/>
        </w:rPr>
        <w:t>Census 2021 Briefin</w:t>
      </w:r>
      <w:r w:rsidR="002276E1" w:rsidRPr="00761353">
        <w:rPr>
          <w:rFonts w:ascii="Arial" w:hAnsi="Arial"/>
        </w:rPr>
        <w:t xml:space="preserve">g </w:t>
      </w:r>
    </w:p>
    <w:p w14:paraId="6B0A44FB" w14:textId="605689BF" w:rsidR="000D108F" w:rsidRPr="00761353" w:rsidRDefault="00DC2203" w:rsidP="00AD3FAE">
      <w:pPr>
        <w:pStyle w:val="Heading1"/>
        <w:rPr>
          <w:rFonts w:ascii="Arial" w:hAnsi="Arial"/>
        </w:rPr>
      </w:pPr>
      <w:r w:rsidRPr="00761353">
        <w:rPr>
          <w:rFonts w:ascii="Arial" w:hAnsi="Arial"/>
        </w:rPr>
        <w:t>Tenure</w:t>
      </w:r>
      <w:r w:rsidR="002276E1" w:rsidRPr="00761353">
        <w:rPr>
          <w:rFonts w:ascii="Arial" w:hAnsi="Arial"/>
        </w:rPr>
        <w:t xml:space="preserve"> </w:t>
      </w:r>
    </w:p>
    <w:p w14:paraId="04054387" w14:textId="77777777" w:rsidR="00320BDD" w:rsidRPr="00761353" w:rsidRDefault="000D108F" w:rsidP="00AD3FAE">
      <w:pPr>
        <w:pStyle w:val="Frontpagesub-title"/>
        <w:rPr>
          <w:rFonts w:ascii="Arial" w:hAnsi="Arial" w:cs="Arial"/>
        </w:rPr>
      </w:pPr>
      <w:r w:rsidRPr="00761353">
        <w:rPr>
          <w:rFonts w:ascii="Arial" w:hAnsi="Arial" w:cs="Arial"/>
          <w:noProof/>
        </w:rPr>
        <w:drawing>
          <wp:anchor distT="0" distB="0" distL="114300" distR="114300" simplePos="0" relativeHeight="251660288" behindDoc="1" locked="1" layoutInCell="1" allowOverlap="0" wp14:anchorId="5627137D" wp14:editId="0300A29F">
            <wp:simplePos x="0" y="0"/>
            <wp:positionH relativeFrom="page">
              <wp:align>left</wp:align>
            </wp:positionH>
            <wp:positionV relativeFrom="page">
              <wp:align>bottom</wp:align>
            </wp:positionV>
            <wp:extent cx="7665720" cy="1084453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5720" cy="10844530"/>
                    </a:xfrm>
                    <a:prstGeom prst="rect">
                      <a:avLst/>
                    </a:prstGeom>
                  </pic:spPr>
                </pic:pic>
              </a:graphicData>
            </a:graphic>
            <wp14:sizeRelH relativeFrom="margin">
              <wp14:pctWidth>0</wp14:pctWidth>
            </wp14:sizeRelH>
            <wp14:sizeRelV relativeFrom="margin">
              <wp14:pctHeight>0</wp14:pctHeight>
            </wp14:sizeRelV>
          </wp:anchor>
        </w:drawing>
      </w:r>
      <w:bookmarkEnd w:id="0"/>
    </w:p>
    <w:sdt>
      <w:sdtPr>
        <w:rPr>
          <w:rFonts w:ascii="Arial" w:hAnsi="Arial" w:cs="Arial"/>
        </w:rPr>
        <w:id w:val="-1571263057"/>
        <w:docPartObj>
          <w:docPartGallery w:val="Cover Pages"/>
          <w:docPartUnique/>
        </w:docPartObj>
      </w:sdtPr>
      <w:sdtEndPr>
        <w:rPr>
          <w:highlight w:val="yellow"/>
        </w:rPr>
      </w:sdtEndPr>
      <w:sdtContent>
        <w:p w14:paraId="58FC4CB6" w14:textId="77777777" w:rsidR="00F16596" w:rsidRPr="00761353" w:rsidRDefault="000D108F" w:rsidP="00481543">
          <w:pPr>
            <w:pStyle w:val="Frontpagesub-title"/>
            <w:rPr>
              <w:rStyle w:val="Frontpagesub-titleChar"/>
              <w:rFonts w:cs="Arial"/>
              <w:b/>
              <w:bCs/>
            </w:rPr>
          </w:pPr>
          <w:r w:rsidRPr="00761353">
            <w:rPr>
              <w:rStyle w:val="Frontpagesub-titleChar"/>
              <w:rFonts w:cs="Arial"/>
              <w:b/>
              <w:bCs/>
            </w:rPr>
            <w:t>GMCA</w:t>
          </w:r>
          <w:r w:rsidRPr="00761353">
            <w:rPr>
              <w:rStyle w:val="Frontpagesub-titleChar"/>
              <w:rFonts w:cs="Arial"/>
            </w:rPr>
            <w:t xml:space="preserve"> </w:t>
          </w:r>
          <w:r w:rsidRPr="00761353">
            <w:rPr>
              <w:rStyle w:val="Frontpagesub-titleChar"/>
              <w:rFonts w:cs="Arial"/>
              <w:b/>
              <w:bCs/>
            </w:rPr>
            <w:t>Research</w:t>
          </w:r>
        </w:p>
        <w:p w14:paraId="44DD08CE" w14:textId="0A502890" w:rsidR="00E873A0" w:rsidRPr="00761353" w:rsidRDefault="00761353" w:rsidP="00481543">
          <w:pPr>
            <w:pStyle w:val="Frontpagesub-title"/>
            <w:rPr>
              <w:rFonts w:ascii="Arial" w:hAnsi="Arial" w:cs="Arial"/>
            </w:rPr>
          </w:pPr>
          <w:r w:rsidRPr="00761353">
            <w:rPr>
              <w:rStyle w:val="Frontpagesub-titleChar"/>
              <w:rFonts w:cs="Arial"/>
            </w:rPr>
            <w:t>April</w:t>
          </w:r>
          <w:r w:rsidR="00DC2203" w:rsidRPr="00761353">
            <w:rPr>
              <w:rStyle w:val="Frontpagesub-titleChar"/>
              <w:rFonts w:cs="Arial"/>
            </w:rPr>
            <w:t xml:space="preserve"> 2023</w:t>
          </w:r>
        </w:p>
      </w:sdtContent>
    </w:sdt>
    <w:bookmarkEnd w:id="2" w:displacedByCustomXml="prev"/>
    <w:bookmarkEnd w:id="1" w:displacedByCustomXml="prev"/>
    <w:p w14:paraId="6EA792A9" w14:textId="77777777" w:rsidR="000D108F" w:rsidRPr="00E873A0" w:rsidRDefault="000D108F" w:rsidP="000D108F">
      <w:pPr>
        <w:rPr>
          <w:color w:val="FFFFFF" w:themeColor="background1"/>
          <w:sz w:val="36"/>
          <w:szCs w:val="36"/>
        </w:rPr>
      </w:pPr>
      <w:r>
        <w:rPr>
          <w:noProof/>
        </w:rPr>
        <w:lastRenderedPageBreak/>
        <mc:AlternateContent>
          <mc:Choice Requires="wps">
            <w:drawing>
              <wp:inline distT="0" distB="0" distL="0" distR="0" wp14:anchorId="52849C59" wp14:editId="13FC46B9">
                <wp:extent cx="6096000" cy="4969075"/>
                <wp:effectExtent l="0" t="0" r="19050" b="1714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969075"/>
                        </a:xfrm>
                        <a:prstGeom prst="rect">
                          <a:avLst/>
                        </a:prstGeom>
                        <a:solidFill>
                          <a:schemeClr val="accent1"/>
                        </a:solidFill>
                        <a:ln w="19050">
                          <a:solidFill>
                            <a:schemeClr val="accent1"/>
                          </a:solidFill>
                          <a:miter lim="800000"/>
                          <a:headEnd/>
                          <a:tailEnd/>
                        </a:ln>
                      </wps:spPr>
                      <wps:txbx>
                        <w:txbxContent>
                          <w:p w14:paraId="401F1334" w14:textId="77777777" w:rsidR="00DC2203" w:rsidRPr="00761353" w:rsidRDefault="00DC2203" w:rsidP="00DC2203">
                            <w:pPr>
                              <w:rPr>
                                <w:rFonts w:ascii="Arial" w:hAnsi="Arial" w:cs="Arial"/>
                                <w:b/>
                                <w:bCs/>
                                <w:color w:val="FFFFFF" w:themeColor="background1"/>
                                <w:sz w:val="24"/>
                                <w:szCs w:val="24"/>
                              </w:rPr>
                            </w:pPr>
                            <w:r w:rsidRPr="00761353">
                              <w:rPr>
                                <w:rFonts w:ascii="Arial" w:hAnsi="Arial" w:cs="Arial"/>
                                <w:b/>
                                <w:bCs/>
                                <w:color w:val="FFFFFF" w:themeColor="background1"/>
                                <w:sz w:val="24"/>
                                <w:szCs w:val="24"/>
                              </w:rPr>
                              <w:t xml:space="preserve">Dataset: </w:t>
                            </w:r>
                            <w:r w:rsidRPr="00761353">
                              <w:rPr>
                                <w:rFonts w:ascii="Arial" w:hAnsi="Arial" w:cs="Arial"/>
                                <w:color w:val="FFFFFF" w:themeColor="background1"/>
                                <w:sz w:val="24"/>
                                <w:szCs w:val="24"/>
                              </w:rPr>
                              <w:t>Housing Tenure</w:t>
                            </w:r>
                          </w:p>
                          <w:p w14:paraId="03308C09" w14:textId="77777777" w:rsidR="00DC2203" w:rsidRPr="00761353" w:rsidRDefault="00DC2203" w:rsidP="00DC2203">
                            <w:pPr>
                              <w:rPr>
                                <w:rFonts w:ascii="Arial" w:hAnsi="Arial" w:cs="Arial"/>
                                <w:color w:val="FFFFFF" w:themeColor="background1"/>
                                <w:sz w:val="24"/>
                                <w:szCs w:val="24"/>
                              </w:rPr>
                            </w:pPr>
                            <w:r w:rsidRPr="00761353">
                              <w:rPr>
                                <w:rFonts w:ascii="Arial" w:hAnsi="Arial" w:cs="Arial"/>
                                <w:b/>
                                <w:bCs/>
                                <w:color w:val="FFFFFF" w:themeColor="background1"/>
                                <w:sz w:val="24"/>
                                <w:szCs w:val="24"/>
                              </w:rPr>
                              <w:t>Datalink</w:t>
                            </w:r>
                            <w:r w:rsidRPr="00761353">
                              <w:rPr>
                                <w:rFonts w:ascii="Arial" w:hAnsi="Arial" w:cs="Arial"/>
                                <w:color w:val="FFFFFF" w:themeColor="background1"/>
                                <w:sz w:val="24"/>
                                <w:szCs w:val="24"/>
                              </w:rPr>
                              <w:t xml:space="preserve">: The data used in this briefing can be found at </w:t>
                            </w:r>
                            <w:hyperlink r:id="rId12" w:history="1">
                              <w:r w:rsidRPr="00761353">
                                <w:rPr>
                                  <w:rStyle w:val="Hyperlink"/>
                                  <w:rFonts w:cs="Arial"/>
                                  <w:color w:val="FFFFFF" w:themeColor="background1"/>
                                  <w:sz w:val="24"/>
                                  <w:szCs w:val="24"/>
                                </w:rPr>
                                <w:t>Census - Office for National Statistics (ons.gov.uk).</w:t>
                              </w:r>
                            </w:hyperlink>
                            <w:r w:rsidRPr="00761353">
                              <w:rPr>
                                <w:rFonts w:ascii="Arial" w:hAnsi="Arial" w:cs="Arial"/>
                                <w:color w:val="FFFFFF" w:themeColor="background1"/>
                                <w:sz w:val="24"/>
                                <w:szCs w:val="24"/>
                              </w:rPr>
                              <w:t xml:space="preserve"> It can also be found at </w:t>
                            </w:r>
                            <w:hyperlink r:id="rId13" w:history="1">
                              <w:r w:rsidRPr="00761353">
                                <w:rPr>
                                  <w:rStyle w:val="Hyperlink"/>
                                  <w:rFonts w:cs="Arial"/>
                                  <w:color w:val="FFFFFF" w:themeColor="background1"/>
                                  <w:sz w:val="24"/>
                                  <w:szCs w:val="24"/>
                                </w:rPr>
                                <w:t>https://www.nomisweb.co.uk/datasets/c2021ts054</w:t>
                              </w:r>
                            </w:hyperlink>
                          </w:p>
                          <w:p w14:paraId="7878D616" w14:textId="77777777" w:rsidR="00DC2203" w:rsidRPr="00761353" w:rsidRDefault="00DC2203" w:rsidP="00DC2203">
                            <w:pPr>
                              <w:rPr>
                                <w:rFonts w:ascii="Arial" w:hAnsi="Arial" w:cs="Arial"/>
                                <w:color w:val="FFFFFF" w:themeColor="background1"/>
                                <w:sz w:val="24"/>
                                <w:szCs w:val="24"/>
                              </w:rPr>
                            </w:pPr>
                            <w:r w:rsidRPr="00761353">
                              <w:rPr>
                                <w:rFonts w:ascii="Arial" w:hAnsi="Arial" w:cs="Arial"/>
                                <w:b/>
                                <w:bCs/>
                                <w:color w:val="FFFFFF" w:themeColor="background1"/>
                                <w:sz w:val="24"/>
                                <w:szCs w:val="24"/>
                              </w:rPr>
                              <w:t>Definition</w:t>
                            </w:r>
                            <w:r w:rsidRPr="00761353">
                              <w:rPr>
                                <w:rFonts w:ascii="Arial" w:hAnsi="Arial" w:cs="Arial"/>
                                <w:color w:val="FFFFFF" w:themeColor="background1"/>
                                <w:sz w:val="24"/>
                                <w:szCs w:val="24"/>
                              </w:rPr>
                              <w:t>: Tenure is whether a household rents or owns the accommodation that it occupies. Households that rent their accommodation were also asked what type of landlord owns or manages the property.</w:t>
                            </w:r>
                          </w:p>
                          <w:p w14:paraId="62E5A11A" w14:textId="786EDADE" w:rsidR="000D108F" w:rsidRPr="00761353" w:rsidRDefault="00DC2203" w:rsidP="00DC2203">
                            <w:pPr>
                              <w:contextualSpacing/>
                              <w:rPr>
                                <w:rFonts w:ascii="Arial" w:hAnsi="Arial" w:cs="Arial"/>
                                <w:color w:val="FFFFFF" w:themeColor="background1"/>
                                <w:sz w:val="24"/>
                                <w:szCs w:val="24"/>
                              </w:rPr>
                            </w:pPr>
                            <w:r w:rsidRPr="00761353">
                              <w:rPr>
                                <w:rFonts w:ascii="Arial" w:hAnsi="Arial" w:cs="Arial"/>
                                <w:b/>
                                <w:bCs/>
                                <w:color w:val="FFFFFF" w:themeColor="background1"/>
                                <w:sz w:val="24"/>
                                <w:szCs w:val="24"/>
                              </w:rPr>
                              <w:t>Census day</w:t>
                            </w:r>
                            <w:r w:rsidRPr="00761353">
                              <w:rPr>
                                <w:rFonts w:ascii="Arial" w:hAnsi="Arial" w:cs="Arial"/>
                                <w:color w:val="FFFFFF" w:themeColor="background1"/>
                                <w:sz w:val="24"/>
                                <w:szCs w:val="24"/>
                              </w:rPr>
                              <w:t>: The 2021 census was held in England and Wales on 21 March 2021.</w:t>
                            </w:r>
                            <w:r w:rsidRPr="00761353">
                              <w:rPr>
                                <w:rFonts w:ascii="Arial" w:hAnsi="Arial" w:cs="Arial"/>
                                <w:sz w:val="24"/>
                                <w:szCs w:val="24"/>
                              </w:rPr>
                              <w:t xml:space="preserve"> </w:t>
                            </w:r>
                            <w:r w:rsidRPr="00761353">
                              <w:rPr>
                                <w:rFonts w:ascii="Arial" w:hAnsi="Arial" w:cs="Arial"/>
                                <w:color w:val="FFFFFF" w:themeColor="background1"/>
                                <w:sz w:val="24"/>
                                <w:szCs w:val="24"/>
                              </w:rPr>
                              <w:t>Census 2021 was undertaken during the Covid-19 pandemic so may not show normal population and household patterns due to temporary changes in living circumstances during the pandemic for some households.</w:t>
                            </w:r>
                          </w:p>
                        </w:txbxContent>
                      </wps:txbx>
                      <wps:bodyPr rot="0" vert="horz" wrap="square" lIns="216000" tIns="216000" rIns="216000" bIns="216000" anchor="t" anchorCtr="0">
                        <a:spAutoFit/>
                      </wps:bodyPr>
                    </wps:wsp>
                  </a:graphicData>
                </a:graphic>
              </wp:inline>
            </w:drawing>
          </mc:Choice>
          <mc:Fallback>
            <w:pict>
              <v:shapetype w14:anchorId="52849C59" id="_x0000_t202" coordsize="21600,21600" o:spt="202" path="m,l,21600r21600,l21600,xe">
                <v:stroke joinstyle="miter"/>
                <v:path gradientshapeok="t" o:connecttype="rect"/>
              </v:shapetype>
              <v:shape id="Text Box 2" o:spid="_x0000_s1026" type="#_x0000_t202" style="width:480pt;height:3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JYCAIAACsEAAAOAAAAZHJzL2Uyb0RvYy54bWysk91u2zAMhe8H7B0E3S92gjVrjDhFly7D&#10;gO4H6PYAjCzHwiRRk5TY2dOPktN06e6K3QikJR/xfKSWN4PR7CB9UGhrPp2UnEkrsFF2V/Mf3zdv&#10;rjkLEWwDGq2s+VEGfrN6/WrZu0rOsEPdSM9IxIaqdzXvYnRVUQTRSQNhgk5a2mzRG4iU+l3ReOhJ&#10;3ehiVpbzokffOI9ChkBf78ZNvsr6bStF/Nq2QUama061xbz6vG7TWqyWUO08uE6JUxnwgioMKEuX&#10;nqXuIALbe/WPlFHCY8A2TgSaAttWCZk9kJtp+czNQwdOZi8EJ7gzpvD/ZMWXw4P75lkc3uNADcwm&#10;grtH8TMwi+sO7E7eeo99J6Ghi6cJWdG7UJ1+TahDFZLItv+MDTUZ9hGz0NB6k6iQT0bq1IDjGboc&#10;IhP0cV4u5mVJW4L23i7mi/LdVb4DqsffnQ/xo0TDUlBzT13N8nC4DzGVA9XjkXRbQK2ajdI6J2mS&#10;5Fp7dgCaARBC2jiaeHZSW9aTv0V5VY4UXiZjVKSJ1srU/Jp8kbM8YwnfB9vkOILSY0yVa3vimRCO&#10;MOOwHehg4rrF5khkPY6TSy+Ngg79b856mtqah1978JIz/clSd2bTkWW8yPxFtr3IwAqSq3nkbAzX&#10;MT+PzM7dUic3KjN+quZUL01kRn96PWnk/87zqac3vvoDAAD//wMAUEsDBBQABgAIAAAAIQBVlcwz&#10;3AAAAAUBAAAPAAAAZHJzL2Rvd25yZXYueG1sTI9BS8NAEIXvgv9hGcGb3RixrTGbIkIVtBfbgh6n&#10;2TGJZmfT7DaN/97Ri14GHm9473v5YnStGqgPjWcDl5MEFHHpbcOVge1meTEHFSKyxdYzGfiiAIvi&#10;9CTHzPojv9CwjpWSEA4ZGqhj7DKtQ1mTwzDxHbF47753GEX2lbY9HiXctTpNkql22LA01NjRfU3l&#10;5/rgpCTMlm+rbfx43O8fntPh6XWD7sqY87Px7hZUpDH+PcMPvqBDIUw7f2AbVGtAhsTfK97NNBG5&#10;MzCbp9egi1z/py++AQAA//8DAFBLAQItABQABgAIAAAAIQC2gziS/gAAAOEBAAATAAAAAAAAAAAA&#10;AAAAAAAAAABbQ29udGVudF9UeXBlc10ueG1sUEsBAi0AFAAGAAgAAAAhADj9If/WAAAAlAEAAAsA&#10;AAAAAAAAAAAAAAAALwEAAF9yZWxzLy5yZWxzUEsBAi0AFAAGAAgAAAAhALVBclgIAgAAKwQAAA4A&#10;AAAAAAAAAAAAAAAALgIAAGRycy9lMm9Eb2MueG1sUEsBAi0AFAAGAAgAAAAhAFWVzDPcAAAABQEA&#10;AA8AAAAAAAAAAAAAAAAAYgQAAGRycy9kb3ducmV2LnhtbFBLBQYAAAAABAAEAPMAAABrBQAAAAA=&#10;" fillcolor="#2c5060 [3204]" strokecolor="#2c5060 [3204]" strokeweight="1.5pt">
                <v:textbox style="mso-fit-shape-to-text:t" inset="6mm,6mm,6mm,6mm">
                  <w:txbxContent>
                    <w:p w14:paraId="401F1334" w14:textId="77777777" w:rsidR="00DC2203" w:rsidRPr="00761353" w:rsidRDefault="00DC2203" w:rsidP="00DC2203">
                      <w:pPr>
                        <w:rPr>
                          <w:rFonts w:ascii="Arial" w:hAnsi="Arial" w:cs="Arial"/>
                          <w:b/>
                          <w:bCs/>
                          <w:color w:val="FFFFFF" w:themeColor="background1"/>
                          <w:sz w:val="24"/>
                          <w:szCs w:val="24"/>
                        </w:rPr>
                      </w:pPr>
                      <w:r w:rsidRPr="00761353">
                        <w:rPr>
                          <w:rFonts w:ascii="Arial" w:hAnsi="Arial" w:cs="Arial"/>
                          <w:b/>
                          <w:bCs/>
                          <w:color w:val="FFFFFF" w:themeColor="background1"/>
                          <w:sz w:val="24"/>
                          <w:szCs w:val="24"/>
                        </w:rPr>
                        <w:t xml:space="preserve">Dataset: </w:t>
                      </w:r>
                      <w:r w:rsidRPr="00761353">
                        <w:rPr>
                          <w:rFonts w:ascii="Arial" w:hAnsi="Arial" w:cs="Arial"/>
                          <w:color w:val="FFFFFF" w:themeColor="background1"/>
                          <w:sz w:val="24"/>
                          <w:szCs w:val="24"/>
                        </w:rPr>
                        <w:t>Housing Tenure</w:t>
                      </w:r>
                    </w:p>
                    <w:p w14:paraId="03308C09" w14:textId="77777777" w:rsidR="00DC2203" w:rsidRPr="00761353" w:rsidRDefault="00DC2203" w:rsidP="00DC2203">
                      <w:pPr>
                        <w:rPr>
                          <w:rFonts w:ascii="Arial" w:hAnsi="Arial" w:cs="Arial"/>
                          <w:color w:val="FFFFFF" w:themeColor="background1"/>
                          <w:sz w:val="24"/>
                          <w:szCs w:val="24"/>
                        </w:rPr>
                      </w:pPr>
                      <w:r w:rsidRPr="00761353">
                        <w:rPr>
                          <w:rFonts w:ascii="Arial" w:hAnsi="Arial" w:cs="Arial"/>
                          <w:b/>
                          <w:bCs/>
                          <w:color w:val="FFFFFF" w:themeColor="background1"/>
                          <w:sz w:val="24"/>
                          <w:szCs w:val="24"/>
                        </w:rPr>
                        <w:t>Datalink</w:t>
                      </w:r>
                      <w:r w:rsidRPr="00761353">
                        <w:rPr>
                          <w:rFonts w:ascii="Arial" w:hAnsi="Arial" w:cs="Arial"/>
                          <w:color w:val="FFFFFF" w:themeColor="background1"/>
                          <w:sz w:val="24"/>
                          <w:szCs w:val="24"/>
                        </w:rPr>
                        <w:t xml:space="preserve">: The data used in this briefing can be found at </w:t>
                      </w:r>
                      <w:hyperlink r:id="rId14" w:history="1">
                        <w:r w:rsidRPr="00761353">
                          <w:rPr>
                            <w:rStyle w:val="Hyperlink"/>
                            <w:rFonts w:cs="Arial"/>
                            <w:color w:val="FFFFFF" w:themeColor="background1"/>
                            <w:sz w:val="24"/>
                            <w:szCs w:val="24"/>
                          </w:rPr>
                          <w:t>Census - Office for National Statistics (ons.gov.uk).</w:t>
                        </w:r>
                      </w:hyperlink>
                      <w:r w:rsidRPr="00761353">
                        <w:rPr>
                          <w:rFonts w:ascii="Arial" w:hAnsi="Arial" w:cs="Arial"/>
                          <w:color w:val="FFFFFF" w:themeColor="background1"/>
                          <w:sz w:val="24"/>
                          <w:szCs w:val="24"/>
                        </w:rPr>
                        <w:t xml:space="preserve"> It can also be found at </w:t>
                      </w:r>
                      <w:hyperlink r:id="rId15" w:history="1">
                        <w:r w:rsidRPr="00761353">
                          <w:rPr>
                            <w:rStyle w:val="Hyperlink"/>
                            <w:rFonts w:cs="Arial"/>
                            <w:color w:val="FFFFFF" w:themeColor="background1"/>
                            <w:sz w:val="24"/>
                            <w:szCs w:val="24"/>
                          </w:rPr>
                          <w:t>https://www.nomisweb.co.uk/datasets/c2021ts054</w:t>
                        </w:r>
                      </w:hyperlink>
                    </w:p>
                    <w:p w14:paraId="7878D616" w14:textId="77777777" w:rsidR="00DC2203" w:rsidRPr="00761353" w:rsidRDefault="00DC2203" w:rsidP="00DC2203">
                      <w:pPr>
                        <w:rPr>
                          <w:rFonts w:ascii="Arial" w:hAnsi="Arial" w:cs="Arial"/>
                          <w:color w:val="FFFFFF" w:themeColor="background1"/>
                          <w:sz w:val="24"/>
                          <w:szCs w:val="24"/>
                        </w:rPr>
                      </w:pPr>
                      <w:r w:rsidRPr="00761353">
                        <w:rPr>
                          <w:rFonts w:ascii="Arial" w:hAnsi="Arial" w:cs="Arial"/>
                          <w:b/>
                          <w:bCs/>
                          <w:color w:val="FFFFFF" w:themeColor="background1"/>
                          <w:sz w:val="24"/>
                          <w:szCs w:val="24"/>
                        </w:rPr>
                        <w:t>Definition</w:t>
                      </w:r>
                      <w:r w:rsidRPr="00761353">
                        <w:rPr>
                          <w:rFonts w:ascii="Arial" w:hAnsi="Arial" w:cs="Arial"/>
                          <w:color w:val="FFFFFF" w:themeColor="background1"/>
                          <w:sz w:val="24"/>
                          <w:szCs w:val="24"/>
                        </w:rPr>
                        <w:t>: Tenure is whether a household rents or owns the accommodation that it occupies. Households that rent their accommodation were also asked what type of landlord owns or manages the property.</w:t>
                      </w:r>
                    </w:p>
                    <w:p w14:paraId="62E5A11A" w14:textId="786EDADE" w:rsidR="000D108F" w:rsidRPr="00761353" w:rsidRDefault="00DC2203" w:rsidP="00DC2203">
                      <w:pPr>
                        <w:contextualSpacing/>
                        <w:rPr>
                          <w:rFonts w:ascii="Arial" w:hAnsi="Arial" w:cs="Arial"/>
                          <w:color w:val="FFFFFF" w:themeColor="background1"/>
                          <w:sz w:val="24"/>
                          <w:szCs w:val="24"/>
                        </w:rPr>
                      </w:pPr>
                      <w:r w:rsidRPr="00761353">
                        <w:rPr>
                          <w:rFonts w:ascii="Arial" w:hAnsi="Arial" w:cs="Arial"/>
                          <w:b/>
                          <w:bCs/>
                          <w:color w:val="FFFFFF" w:themeColor="background1"/>
                          <w:sz w:val="24"/>
                          <w:szCs w:val="24"/>
                        </w:rPr>
                        <w:t>Census day</w:t>
                      </w:r>
                      <w:r w:rsidRPr="00761353">
                        <w:rPr>
                          <w:rFonts w:ascii="Arial" w:hAnsi="Arial" w:cs="Arial"/>
                          <w:color w:val="FFFFFF" w:themeColor="background1"/>
                          <w:sz w:val="24"/>
                          <w:szCs w:val="24"/>
                        </w:rPr>
                        <w:t>: The 2021 census was held in England and Wales on 21 March 2021.</w:t>
                      </w:r>
                      <w:r w:rsidRPr="00761353">
                        <w:rPr>
                          <w:rFonts w:ascii="Arial" w:hAnsi="Arial" w:cs="Arial"/>
                          <w:sz w:val="24"/>
                          <w:szCs w:val="24"/>
                        </w:rPr>
                        <w:t xml:space="preserve"> </w:t>
                      </w:r>
                      <w:r w:rsidRPr="00761353">
                        <w:rPr>
                          <w:rFonts w:ascii="Arial" w:hAnsi="Arial" w:cs="Arial"/>
                          <w:color w:val="FFFFFF" w:themeColor="background1"/>
                          <w:sz w:val="24"/>
                          <w:szCs w:val="24"/>
                        </w:rPr>
                        <w:t>Census 2021 was undertaken during the Covid-19 pandemic so may not show normal population and household patterns due to temporary changes in living circumstances during the pandemic for some households.</w:t>
                      </w:r>
                    </w:p>
                  </w:txbxContent>
                </v:textbox>
                <w10:anchorlock/>
              </v:shape>
            </w:pict>
          </mc:Fallback>
        </mc:AlternateContent>
      </w:r>
    </w:p>
    <w:p w14:paraId="2DB5143A" w14:textId="1A4A4CFA" w:rsidR="007518C4" w:rsidRPr="00C123F7" w:rsidRDefault="000D108F" w:rsidP="00C123F7">
      <w:pPr>
        <w:pStyle w:val="Heading2"/>
      </w:pPr>
      <w:r w:rsidRPr="00C123F7">
        <w:t>Key points</w:t>
      </w:r>
      <w:r w:rsidR="007518C4" w:rsidRPr="00C123F7">
        <w:t xml:space="preserve"> </w:t>
      </w:r>
      <w:r w:rsidR="00915093" w:rsidRPr="00C123F7">
        <w:br/>
      </w:r>
    </w:p>
    <w:p w14:paraId="0B306F56" w14:textId="77777777" w:rsidR="00DC2203" w:rsidRPr="00761353" w:rsidRDefault="00DC2203" w:rsidP="00DC2203">
      <w:pPr>
        <w:pStyle w:val="ListParagraph"/>
        <w:numPr>
          <w:ilvl w:val="0"/>
          <w:numId w:val="1"/>
        </w:numPr>
        <w:contextualSpacing/>
        <w:rPr>
          <w:rFonts w:ascii="Arial" w:hAnsi="Arial" w:cs="Arial"/>
          <w:sz w:val="24"/>
          <w:szCs w:val="24"/>
        </w:rPr>
      </w:pPr>
      <w:r w:rsidRPr="00761353">
        <w:rPr>
          <w:rFonts w:ascii="Arial" w:hAnsi="Arial" w:cs="Arial"/>
          <w:sz w:val="24"/>
          <w:szCs w:val="24"/>
        </w:rPr>
        <w:t>The number of households in Greater Manchester increased by 50,178 since 2011 (a 4.4% increase).</w:t>
      </w:r>
    </w:p>
    <w:p w14:paraId="5C2BF927" w14:textId="77777777" w:rsidR="00DC2203" w:rsidRPr="00761353" w:rsidRDefault="00DC2203" w:rsidP="00DC2203">
      <w:pPr>
        <w:pStyle w:val="ListParagraph"/>
        <w:numPr>
          <w:ilvl w:val="0"/>
          <w:numId w:val="1"/>
        </w:numPr>
        <w:contextualSpacing/>
        <w:rPr>
          <w:rFonts w:ascii="Arial" w:hAnsi="Arial" w:cs="Arial"/>
          <w:sz w:val="24"/>
          <w:szCs w:val="24"/>
        </w:rPr>
      </w:pPr>
      <w:r w:rsidRPr="00761353">
        <w:rPr>
          <w:rFonts w:ascii="Arial" w:hAnsi="Arial" w:cs="Arial"/>
          <w:sz w:val="24"/>
          <w:szCs w:val="24"/>
        </w:rPr>
        <w:t>Households in the private rented sector (PRS) increased the most. There were 60,939 more households with this type of tenure in 2021 in Greater Manchester compared with 2011 (a 34% increase). In England, PRS households increased by 29% in the same period.</w:t>
      </w:r>
    </w:p>
    <w:p w14:paraId="1E022EE0" w14:textId="77777777" w:rsidR="00DC2203" w:rsidRPr="00761353" w:rsidRDefault="00DC2203" w:rsidP="00DC2203">
      <w:pPr>
        <w:pStyle w:val="ListParagraph"/>
        <w:numPr>
          <w:ilvl w:val="0"/>
          <w:numId w:val="1"/>
        </w:numPr>
        <w:contextualSpacing/>
        <w:rPr>
          <w:rFonts w:ascii="Arial" w:hAnsi="Arial" w:cs="Arial"/>
          <w:sz w:val="24"/>
          <w:szCs w:val="24"/>
        </w:rPr>
      </w:pPr>
      <w:r w:rsidRPr="00761353">
        <w:rPr>
          <w:rFonts w:ascii="Arial" w:hAnsi="Arial" w:cs="Arial"/>
          <w:sz w:val="24"/>
          <w:szCs w:val="24"/>
        </w:rPr>
        <w:t xml:space="preserve">Some 58% of households owned their properties outright in 2021. This was a slight decrease from the 60% reported in 2011. </w:t>
      </w:r>
    </w:p>
    <w:p w14:paraId="54CD1BD1" w14:textId="77777777" w:rsidR="00DC2203" w:rsidRPr="00761353" w:rsidRDefault="00DC2203" w:rsidP="00DC2203">
      <w:pPr>
        <w:pStyle w:val="ListParagraph"/>
        <w:numPr>
          <w:ilvl w:val="0"/>
          <w:numId w:val="1"/>
        </w:numPr>
        <w:contextualSpacing/>
        <w:rPr>
          <w:rFonts w:ascii="Arial" w:hAnsi="Arial" w:cs="Arial"/>
          <w:sz w:val="24"/>
          <w:szCs w:val="24"/>
        </w:rPr>
      </w:pPr>
      <w:r w:rsidRPr="00761353">
        <w:rPr>
          <w:rFonts w:ascii="Arial" w:hAnsi="Arial" w:cs="Arial"/>
          <w:sz w:val="24"/>
          <w:szCs w:val="24"/>
        </w:rPr>
        <w:t>There was a decrease in those reporting they lived in the social rented sector in Greater Manchester between 2011 and 2021 (-4,137 households).</w:t>
      </w:r>
    </w:p>
    <w:p w14:paraId="5BB115F6" w14:textId="77777777" w:rsidR="00DC2203" w:rsidRPr="00761353" w:rsidRDefault="00DC2203" w:rsidP="00DC2203">
      <w:pPr>
        <w:pStyle w:val="ListParagraph"/>
        <w:numPr>
          <w:ilvl w:val="0"/>
          <w:numId w:val="1"/>
        </w:numPr>
        <w:contextualSpacing/>
        <w:rPr>
          <w:rFonts w:ascii="Arial" w:hAnsi="Arial" w:cs="Arial"/>
          <w:sz w:val="24"/>
          <w:szCs w:val="24"/>
        </w:rPr>
      </w:pPr>
      <w:r w:rsidRPr="00761353">
        <w:rPr>
          <w:rFonts w:ascii="Arial" w:hAnsi="Arial" w:cs="Arial"/>
          <w:sz w:val="24"/>
          <w:szCs w:val="24"/>
        </w:rPr>
        <w:t>In Bury, Manchester, Salford, Stockport and Trafford more households reported living in private rented accommodation than in social housing.</w:t>
      </w:r>
    </w:p>
    <w:p w14:paraId="38C111DB" w14:textId="77777777" w:rsidR="00EE5508" w:rsidRDefault="00EE5508" w:rsidP="00C123F7">
      <w:pPr>
        <w:pStyle w:val="Heading2"/>
      </w:pPr>
    </w:p>
    <w:p w14:paraId="3B533E90" w14:textId="77777777" w:rsidR="00DC2203" w:rsidRDefault="00DC2203">
      <w:pPr>
        <w:rPr>
          <w:b/>
          <w:bCs/>
          <w:color w:val="2C5060" w:themeColor="accent1"/>
          <w:sz w:val="52"/>
          <w:szCs w:val="40"/>
        </w:rPr>
      </w:pPr>
      <w:r>
        <w:br w:type="page"/>
      </w:r>
    </w:p>
    <w:p w14:paraId="647B4A71" w14:textId="24C9154B" w:rsidR="000D108F" w:rsidRPr="00F47DA3" w:rsidRDefault="003148C2" w:rsidP="00C123F7">
      <w:pPr>
        <w:pStyle w:val="Heading2"/>
        <w:rPr>
          <w:i/>
          <w:iCs/>
        </w:rPr>
      </w:pPr>
      <w:r w:rsidRPr="00F47DA3">
        <w:lastRenderedPageBreak/>
        <w:t xml:space="preserve">Main </w:t>
      </w:r>
      <w:r w:rsidR="000D108F" w:rsidRPr="00F47DA3">
        <w:t>Findings</w:t>
      </w:r>
    </w:p>
    <w:p w14:paraId="4D94E2BA" w14:textId="77777777" w:rsidR="00DC2203" w:rsidRDefault="00DC2203" w:rsidP="00DC2203">
      <w:pPr>
        <w:rPr>
          <w:rFonts w:cs="Arial"/>
        </w:rPr>
      </w:pPr>
    </w:p>
    <w:p w14:paraId="4277186D" w14:textId="4C0DEEF4" w:rsidR="00DC2203" w:rsidRPr="00761353" w:rsidRDefault="00DC2203" w:rsidP="00DC2203">
      <w:pPr>
        <w:rPr>
          <w:rFonts w:ascii="Arial" w:hAnsi="Arial" w:cs="Arial"/>
          <w:sz w:val="24"/>
          <w:szCs w:val="24"/>
        </w:rPr>
      </w:pPr>
      <w:r w:rsidRPr="00761353">
        <w:rPr>
          <w:rFonts w:ascii="Arial" w:hAnsi="Arial" w:cs="Arial"/>
          <w:sz w:val="24"/>
          <w:szCs w:val="24"/>
        </w:rPr>
        <w:t>The 2021 census reported that the total number of households in Greater Manchester was 1,178,244, an increase of 50,178 (4%) from the total of 1,128,066 recorded in 2011. In all ten local authorities in the city region there was an increase in the overall number of households. The largest increase occurred in Salford with 11,561 more households (an 11% increase) and the smallest increase was in Trafford with 1,785 (a 2% increase). In England as a whole there was a 6.2% increase in the number of households.</w:t>
      </w:r>
    </w:p>
    <w:p w14:paraId="6DF0E363" w14:textId="77777777" w:rsidR="00DC2203" w:rsidRPr="00761353" w:rsidRDefault="00DC2203" w:rsidP="00DC2203">
      <w:pPr>
        <w:rPr>
          <w:rFonts w:ascii="Arial" w:hAnsi="Arial" w:cs="Arial"/>
          <w:sz w:val="24"/>
          <w:szCs w:val="24"/>
        </w:rPr>
      </w:pPr>
      <w:r w:rsidRPr="00761353">
        <w:rPr>
          <w:rFonts w:ascii="Arial" w:hAnsi="Arial" w:cs="Arial"/>
          <w:sz w:val="24"/>
          <w:szCs w:val="24"/>
        </w:rPr>
        <w:t xml:space="preserve">Households that own their own properties – either outright or with a mortgage - were the most common type of tenure in Greater Manchester in 2021 (683,585, or 58% of all households). The rates for households in the PRS and for social housing were similar (21% in each category). </w:t>
      </w:r>
    </w:p>
    <w:p w14:paraId="05F239DA" w14:textId="22A33CD3" w:rsidR="00345E94" w:rsidRPr="00761353" w:rsidRDefault="008F0C38" w:rsidP="00E97A2D">
      <w:pPr>
        <w:rPr>
          <w:rFonts w:ascii="Arial" w:hAnsi="Arial" w:cs="Arial"/>
          <w:b/>
          <w:bCs/>
          <w:sz w:val="24"/>
          <w:szCs w:val="24"/>
        </w:rPr>
      </w:pPr>
      <w:r w:rsidRPr="00761353">
        <w:rPr>
          <w:rFonts w:ascii="Arial" w:hAnsi="Arial" w:cs="Arial"/>
          <w:b/>
          <w:bCs/>
          <w:sz w:val="24"/>
          <w:szCs w:val="24"/>
        </w:rPr>
        <w:t>Percentage of Tenure Type in Greater Manchester and England</w:t>
      </w:r>
    </w:p>
    <w:p w14:paraId="38A20F07" w14:textId="6B613055" w:rsidR="000D108F" w:rsidRDefault="00E97A2D" w:rsidP="00E97A2D">
      <w:pPr>
        <w:rPr>
          <w:rFonts w:cs="Arial"/>
        </w:rPr>
      </w:pPr>
      <w:r>
        <w:rPr>
          <w:noProof/>
        </w:rPr>
        <w:drawing>
          <wp:inline distT="0" distB="0" distL="0" distR="0" wp14:anchorId="7E5F63E3" wp14:editId="6FDF50DD">
            <wp:extent cx="5807034" cy="3933825"/>
            <wp:effectExtent l="0" t="0" r="3810" b="9525"/>
            <wp:docPr id="2" name="Chart 2" descr="Chart showing that percentage of different tenure types varies substantially depending on the specific district of Greater Manchester, with owner occupation the  most prevalent tenure type. Percentage of private renters and social renters is higher, for example, in Manchester and Salford.">
              <a:extLst xmlns:a="http://schemas.openxmlformats.org/drawingml/2006/main">
                <a:ext uri="{FF2B5EF4-FFF2-40B4-BE49-F238E27FC236}">
                  <a16:creationId xmlns:a16="http://schemas.microsoft.com/office/drawing/2014/main" id="{EFEF2ACB-8F4C-1E14-2725-D92C321676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27472D" w14:textId="58BC2BAD" w:rsidR="000D108F" w:rsidRPr="00761353" w:rsidRDefault="000D108F" w:rsidP="000D108F">
      <w:pPr>
        <w:rPr>
          <w:rFonts w:ascii="Arial" w:hAnsi="Arial" w:cs="Arial"/>
          <w:sz w:val="24"/>
          <w:szCs w:val="24"/>
        </w:rPr>
      </w:pPr>
      <w:r w:rsidRPr="00761353">
        <w:rPr>
          <w:rFonts w:ascii="Arial" w:hAnsi="Arial" w:cs="Arial"/>
          <w:i/>
          <w:iCs/>
          <w:sz w:val="24"/>
          <w:szCs w:val="24"/>
        </w:rPr>
        <w:t>Source: Census 2021,</w:t>
      </w:r>
      <w:r w:rsidRPr="00761353">
        <w:rPr>
          <w:rFonts w:ascii="Arial" w:hAnsi="Arial" w:cs="Arial"/>
          <w:sz w:val="24"/>
          <w:szCs w:val="24"/>
        </w:rPr>
        <w:t xml:space="preserve"> </w:t>
      </w:r>
      <w:hyperlink r:id="rId17" w:history="1">
        <w:r w:rsidR="00761353" w:rsidRPr="002B2178">
          <w:rPr>
            <w:rStyle w:val="Hyperlink"/>
            <w:rFonts w:cs="Arial"/>
            <w:i/>
            <w:iCs/>
            <w:color w:val="2C5060" w:themeColor="accent1"/>
            <w:sz w:val="24"/>
            <w:szCs w:val="24"/>
          </w:rPr>
          <w:t>2021 Census</w:t>
        </w:r>
      </w:hyperlink>
    </w:p>
    <w:p w14:paraId="023B28E0" w14:textId="77777777" w:rsidR="00EE5508" w:rsidRDefault="00EE5508">
      <w:pPr>
        <w:rPr>
          <w:rFonts w:cs="Arial"/>
          <w:b/>
          <w:bCs/>
        </w:rPr>
      </w:pPr>
      <w:r>
        <w:rPr>
          <w:rFonts w:cs="Arial"/>
          <w:b/>
          <w:bCs/>
        </w:rPr>
        <w:br w:type="page"/>
      </w:r>
    </w:p>
    <w:p w14:paraId="0CCFC4EC" w14:textId="77777777" w:rsidR="006608D8" w:rsidRDefault="006608D8" w:rsidP="00DC2203">
      <w:pPr>
        <w:rPr>
          <w:rFonts w:ascii="Arial" w:hAnsi="Arial" w:cs="Arial"/>
          <w:b/>
          <w:bCs/>
          <w:sz w:val="24"/>
          <w:szCs w:val="24"/>
        </w:rPr>
        <w:sectPr w:rsidR="006608D8" w:rsidSect="00E97A2D">
          <w:headerReference w:type="default" r:id="rId18"/>
          <w:footerReference w:type="default" r:id="rId19"/>
          <w:footerReference w:type="first" r:id="rId20"/>
          <w:pgSz w:w="11906" w:h="16838" w:code="9"/>
          <w:pgMar w:top="1440" w:right="1440" w:bottom="1440" w:left="1440" w:header="709" w:footer="939" w:gutter="0"/>
          <w:cols w:space="708"/>
          <w:titlePg/>
          <w:docGrid w:linePitch="360"/>
        </w:sectPr>
      </w:pPr>
    </w:p>
    <w:p w14:paraId="0D629C98" w14:textId="77777777" w:rsidR="00DC2203" w:rsidRPr="00761353" w:rsidRDefault="00DC2203" w:rsidP="00DC2203">
      <w:pPr>
        <w:rPr>
          <w:rFonts w:ascii="Arial" w:hAnsi="Arial" w:cs="Arial"/>
          <w:b/>
          <w:bCs/>
          <w:sz w:val="24"/>
          <w:szCs w:val="24"/>
        </w:rPr>
      </w:pPr>
      <w:r w:rsidRPr="00761353">
        <w:rPr>
          <w:rFonts w:ascii="Arial" w:hAnsi="Arial" w:cs="Arial"/>
          <w:b/>
          <w:bCs/>
          <w:sz w:val="24"/>
          <w:szCs w:val="24"/>
        </w:rPr>
        <w:lastRenderedPageBreak/>
        <w:t>Tenure type by number of households, 2021</w:t>
      </w:r>
    </w:p>
    <w:tbl>
      <w:tblPr>
        <w:tblStyle w:val="GridTable5Dark-Accent1"/>
        <w:tblW w:w="14314" w:type="dxa"/>
        <w:tblInd w:w="-5" w:type="dxa"/>
        <w:tblLayout w:type="fixed"/>
        <w:tblCellMar>
          <w:top w:w="57" w:type="dxa"/>
          <w:left w:w="57" w:type="dxa"/>
          <w:bottom w:w="57" w:type="dxa"/>
          <w:right w:w="57" w:type="dxa"/>
        </w:tblCellMar>
        <w:tblLook w:val="04A0" w:firstRow="1" w:lastRow="0" w:firstColumn="1" w:lastColumn="0" w:noHBand="0" w:noVBand="1"/>
      </w:tblPr>
      <w:tblGrid>
        <w:gridCol w:w="2410"/>
        <w:gridCol w:w="1984"/>
        <w:gridCol w:w="1984"/>
        <w:gridCol w:w="1984"/>
        <w:gridCol w:w="1984"/>
        <w:gridCol w:w="1984"/>
        <w:gridCol w:w="1984"/>
      </w:tblGrid>
      <w:tr w:rsidR="00EE5508" w:rsidRPr="00761353" w14:paraId="4D117D8A" w14:textId="77777777" w:rsidTr="006608D8">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10" w:type="dxa"/>
            <w:hideMark/>
          </w:tcPr>
          <w:p w14:paraId="0AFE9164" w14:textId="70787203" w:rsidR="000D108F" w:rsidRPr="00761353" w:rsidRDefault="00EE5508" w:rsidP="00C46C0E">
            <w:pPr>
              <w:jc w:val="center"/>
              <w:rPr>
                <w:rFonts w:ascii="Arial" w:hAnsi="Arial" w:cs="Arial"/>
                <w:b w:val="0"/>
                <w:bCs w:val="0"/>
                <w:sz w:val="24"/>
                <w:szCs w:val="24"/>
              </w:rPr>
            </w:pPr>
            <w:r w:rsidRPr="00761353">
              <w:rPr>
                <w:rFonts w:ascii="Arial" w:hAnsi="Arial" w:cs="Arial"/>
                <w:sz w:val="24"/>
                <w:szCs w:val="24"/>
              </w:rPr>
              <w:t>District</w:t>
            </w:r>
          </w:p>
        </w:tc>
        <w:tc>
          <w:tcPr>
            <w:tcW w:w="1984" w:type="dxa"/>
            <w:hideMark/>
          </w:tcPr>
          <w:p w14:paraId="631C693D" w14:textId="6151B977" w:rsidR="000D108F" w:rsidRPr="00761353" w:rsidRDefault="00DC2203" w:rsidP="00DC220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761353">
              <w:rPr>
                <w:rFonts w:ascii="Arial" w:hAnsi="Arial" w:cs="Arial"/>
                <w:sz w:val="24"/>
                <w:szCs w:val="24"/>
              </w:rPr>
              <w:t>Owned</w:t>
            </w:r>
          </w:p>
        </w:tc>
        <w:tc>
          <w:tcPr>
            <w:tcW w:w="1984" w:type="dxa"/>
            <w:hideMark/>
          </w:tcPr>
          <w:p w14:paraId="53FE470A" w14:textId="693F8B9D" w:rsidR="000D108F" w:rsidRPr="00761353" w:rsidRDefault="00DC2203" w:rsidP="00DC220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761353">
              <w:rPr>
                <w:rFonts w:ascii="Arial" w:hAnsi="Arial" w:cs="Arial"/>
                <w:sz w:val="24"/>
                <w:szCs w:val="24"/>
              </w:rPr>
              <w:t>Shared ownership</w:t>
            </w:r>
          </w:p>
        </w:tc>
        <w:tc>
          <w:tcPr>
            <w:tcW w:w="1984" w:type="dxa"/>
            <w:hideMark/>
          </w:tcPr>
          <w:p w14:paraId="5CF82A77" w14:textId="5DEDFDE9" w:rsidR="000D108F" w:rsidRPr="00761353" w:rsidRDefault="00DC2203" w:rsidP="00DC220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761353">
              <w:rPr>
                <w:rFonts w:ascii="Arial" w:hAnsi="Arial" w:cs="Arial"/>
                <w:sz w:val="24"/>
                <w:szCs w:val="24"/>
              </w:rPr>
              <w:t>Social rented</w:t>
            </w:r>
          </w:p>
        </w:tc>
        <w:tc>
          <w:tcPr>
            <w:tcW w:w="1984" w:type="dxa"/>
            <w:hideMark/>
          </w:tcPr>
          <w:p w14:paraId="3781FD49" w14:textId="2B188663" w:rsidR="000D108F" w:rsidRPr="00761353" w:rsidRDefault="00DC2203" w:rsidP="00DC220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761353">
              <w:rPr>
                <w:rFonts w:ascii="Arial" w:hAnsi="Arial" w:cs="Arial"/>
                <w:sz w:val="24"/>
                <w:szCs w:val="24"/>
              </w:rPr>
              <w:t>Private rented</w:t>
            </w:r>
          </w:p>
        </w:tc>
        <w:tc>
          <w:tcPr>
            <w:tcW w:w="1984" w:type="dxa"/>
            <w:hideMark/>
          </w:tcPr>
          <w:p w14:paraId="10DE9C22" w14:textId="659F6DF8" w:rsidR="000D108F" w:rsidRPr="00761353" w:rsidRDefault="00DC2203" w:rsidP="00DC220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761353">
              <w:rPr>
                <w:rFonts w:ascii="Arial" w:hAnsi="Arial" w:cs="Arial"/>
                <w:sz w:val="24"/>
                <w:szCs w:val="24"/>
              </w:rPr>
              <w:t>Lives rent free</w:t>
            </w:r>
          </w:p>
        </w:tc>
        <w:tc>
          <w:tcPr>
            <w:tcW w:w="1984" w:type="dxa"/>
            <w:hideMark/>
          </w:tcPr>
          <w:p w14:paraId="137A1201" w14:textId="65714C8C" w:rsidR="000D108F" w:rsidRPr="00761353" w:rsidRDefault="00E97A2D" w:rsidP="00DC220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761353">
              <w:rPr>
                <w:rFonts w:ascii="Arial" w:hAnsi="Arial" w:cs="Arial"/>
                <w:sz w:val="24"/>
                <w:szCs w:val="24"/>
              </w:rPr>
              <w:t>All</w:t>
            </w:r>
            <w:r w:rsidR="00DC2203" w:rsidRPr="00761353">
              <w:rPr>
                <w:rFonts w:ascii="Arial" w:hAnsi="Arial" w:cs="Arial"/>
                <w:sz w:val="24"/>
                <w:szCs w:val="24"/>
              </w:rPr>
              <w:t xml:space="preserve"> households</w:t>
            </w:r>
          </w:p>
        </w:tc>
      </w:tr>
      <w:tr w:rsidR="00DC2203" w:rsidRPr="00761353" w14:paraId="63B82521" w14:textId="77777777" w:rsidTr="006608D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309F46B" w14:textId="77777777" w:rsidR="00DC2203" w:rsidRPr="00761353" w:rsidRDefault="00DC2203" w:rsidP="00DC2203">
            <w:pPr>
              <w:rPr>
                <w:rFonts w:ascii="Arial" w:hAnsi="Arial" w:cs="Arial"/>
                <w:sz w:val="24"/>
                <w:szCs w:val="24"/>
              </w:rPr>
            </w:pPr>
            <w:r w:rsidRPr="00761353">
              <w:rPr>
                <w:rFonts w:ascii="Arial" w:hAnsi="Arial" w:cs="Arial"/>
                <w:sz w:val="24"/>
                <w:szCs w:val="24"/>
              </w:rPr>
              <w:t>Bolton</w:t>
            </w:r>
          </w:p>
        </w:tc>
        <w:tc>
          <w:tcPr>
            <w:tcW w:w="1984" w:type="dxa"/>
            <w:noWrap/>
          </w:tcPr>
          <w:p w14:paraId="1FF28C2F" w14:textId="55F9131D"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73,083</w:t>
            </w:r>
          </w:p>
        </w:tc>
        <w:tc>
          <w:tcPr>
            <w:tcW w:w="1984" w:type="dxa"/>
            <w:noWrap/>
          </w:tcPr>
          <w:p w14:paraId="36F89C59" w14:textId="27E3E205"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493</w:t>
            </w:r>
          </w:p>
        </w:tc>
        <w:tc>
          <w:tcPr>
            <w:tcW w:w="1984" w:type="dxa"/>
            <w:noWrap/>
          </w:tcPr>
          <w:p w14:paraId="7A92E1CA" w14:textId="6C62AFE8"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23,555</w:t>
            </w:r>
          </w:p>
        </w:tc>
        <w:tc>
          <w:tcPr>
            <w:tcW w:w="1984" w:type="dxa"/>
            <w:noWrap/>
          </w:tcPr>
          <w:p w14:paraId="6FECEBF4" w14:textId="21034C2C"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21,372</w:t>
            </w:r>
          </w:p>
        </w:tc>
        <w:tc>
          <w:tcPr>
            <w:tcW w:w="1984" w:type="dxa"/>
            <w:noWrap/>
          </w:tcPr>
          <w:p w14:paraId="6F24ED4B" w14:textId="168DF540"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287</w:t>
            </w:r>
          </w:p>
        </w:tc>
        <w:tc>
          <w:tcPr>
            <w:tcW w:w="1984" w:type="dxa"/>
            <w:noWrap/>
          </w:tcPr>
          <w:p w14:paraId="76B0479C" w14:textId="5F0653BE"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118,790</w:t>
            </w:r>
          </w:p>
        </w:tc>
      </w:tr>
      <w:tr w:rsidR="00DC2203" w:rsidRPr="00761353" w14:paraId="2BCB16CA" w14:textId="77777777" w:rsidTr="006608D8">
        <w:trPr>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A754DC3" w14:textId="77777777" w:rsidR="00DC2203" w:rsidRPr="00761353" w:rsidRDefault="00DC2203" w:rsidP="00DC2203">
            <w:pPr>
              <w:rPr>
                <w:rFonts w:ascii="Arial" w:hAnsi="Arial" w:cs="Arial"/>
                <w:sz w:val="24"/>
                <w:szCs w:val="24"/>
              </w:rPr>
            </w:pPr>
            <w:r w:rsidRPr="00761353">
              <w:rPr>
                <w:rFonts w:ascii="Arial" w:hAnsi="Arial" w:cs="Arial"/>
                <w:sz w:val="24"/>
                <w:szCs w:val="24"/>
              </w:rPr>
              <w:t>Bury</w:t>
            </w:r>
          </w:p>
        </w:tc>
        <w:tc>
          <w:tcPr>
            <w:tcW w:w="1984" w:type="dxa"/>
            <w:noWrap/>
          </w:tcPr>
          <w:p w14:paraId="71350575" w14:textId="4F5F18B3"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53,992</w:t>
            </w:r>
          </w:p>
        </w:tc>
        <w:tc>
          <w:tcPr>
            <w:tcW w:w="1984" w:type="dxa"/>
            <w:noWrap/>
          </w:tcPr>
          <w:p w14:paraId="1A1F4E9F" w14:textId="10C78268"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292</w:t>
            </w:r>
          </w:p>
        </w:tc>
        <w:tc>
          <w:tcPr>
            <w:tcW w:w="1984" w:type="dxa"/>
            <w:noWrap/>
          </w:tcPr>
          <w:p w14:paraId="3E17D9A4" w14:textId="50E29637"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12,044</w:t>
            </w:r>
          </w:p>
        </w:tc>
        <w:tc>
          <w:tcPr>
            <w:tcW w:w="1984" w:type="dxa"/>
            <w:noWrap/>
          </w:tcPr>
          <w:p w14:paraId="3405450A" w14:textId="1FA98BEE"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14,249</w:t>
            </w:r>
          </w:p>
        </w:tc>
        <w:tc>
          <w:tcPr>
            <w:tcW w:w="1984" w:type="dxa"/>
            <w:noWrap/>
          </w:tcPr>
          <w:p w14:paraId="49367004" w14:textId="4669FC08"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119</w:t>
            </w:r>
          </w:p>
        </w:tc>
        <w:tc>
          <w:tcPr>
            <w:tcW w:w="1984" w:type="dxa"/>
            <w:noWrap/>
          </w:tcPr>
          <w:p w14:paraId="48742C0F" w14:textId="6AF69F30"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80,696</w:t>
            </w:r>
          </w:p>
        </w:tc>
      </w:tr>
      <w:tr w:rsidR="00DC2203" w:rsidRPr="00761353" w14:paraId="16B86BCB" w14:textId="77777777" w:rsidTr="006608D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93606F8" w14:textId="77777777" w:rsidR="00DC2203" w:rsidRPr="00761353" w:rsidRDefault="00DC2203" w:rsidP="00DC2203">
            <w:pPr>
              <w:rPr>
                <w:rFonts w:ascii="Arial" w:hAnsi="Arial" w:cs="Arial"/>
                <w:sz w:val="24"/>
                <w:szCs w:val="24"/>
              </w:rPr>
            </w:pPr>
            <w:r w:rsidRPr="00761353">
              <w:rPr>
                <w:rFonts w:ascii="Arial" w:hAnsi="Arial" w:cs="Arial"/>
                <w:sz w:val="24"/>
                <w:szCs w:val="24"/>
              </w:rPr>
              <w:t>Manchester</w:t>
            </w:r>
          </w:p>
        </w:tc>
        <w:tc>
          <w:tcPr>
            <w:tcW w:w="1984" w:type="dxa"/>
            <w:noWrap/>
          </w:tcPr>
          <w:p w14:paraId="18B62BCB" w14:textId="0E436AB7"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79,925</w:t>
            </w:r>
          </w:p>
        </w:tc>
        <w:tc>
          <w:tcPr>
            <w:tcW w:w="1984" w:type="dxa"/>
            <w:noWrap/>
          </w:tcPr>
          <w:p w14:paraId="1FBABA1A" w14:textId="1245DDF1"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1,679</w:t>
            </w:r>
          </w:p>
        </w:tc>
        <w:tc>
          <w:tcPr>
            <w:tcW w:w="1984" w:type="dxa"/>
            <w:noWrap/>
          </w:tcPr>
          <w:p w14:paraId="5982497E" w14:textId="1D601070"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63,276</w:t>
            </w:r>
          </w:p>
        </w:tc>
        <w:tc>
          <w:tcPr>
            <w:tcW w:w="1984" w:type="dxa"/>
            <w:noWrap/>
          </w:tcPr>
          <w:p w14:paraId="764A3CA3" w14:textId="096360C6"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69,403</w:t>
            </w:r>
          </w:p>
        </w:tc>
        <w:tc>
          <w:tcPr>
            <w:tcW w:w="1984" w:type="dxa"/>
            <w:noWrap/>
          </w:tcPr>
          <w:p w14:paraId="19053F90" w14:textId="4484355D"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447</w:t>
            </w:r>
          </w:p>
        </w:tc>
        <w:tc>
          <w:tcPr>
            <w:tcW w:w="1984" w:type="dxa"/>
            <w:noWrap/>
          </w:tcPr>
          <w:p w14:paraId="79644503" w14:textId="1F001BC9"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214,730</w:t>
            </w:r>
          </w:p>
        </w:tc>
      </w:tr>
      <w:tr w:rsidR="00DC2203" w:rsidRPr="00761353" w14:paraId="5C1EB7B3" w14:textId="77777777" w:rsidTr="006608D8">
        <w:trPr>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C0C0D35" w14:textId="77777777" w:rsidR="00DC2203" w:rsidRPr="00761353" w:rsidRDefault="00DC2203" w:rsidP="00DC2203">
            <w:pPr>
              <w:rPr>
                <w:rFonts w:ascii="Arial" w:hAnsi="Arial" w:cs="Arial"/>
                <w:sz w:val="24"/>
                <w:szCs w:val="24"/>
              </w:rPr>
            </w:pPr>
            <w:r w:rsidRPr="00761353">
              <w:rPr>
                <w:rFonts w:ascii="Arial" w:hAnsi="Arial" w:cs="Arial"/>
                <w:sz w:val="24"/>
                <w:szCs w:val="24"/>
              </w:rPr>
              <w:t>Oldham</w:t>
            </w:r>
          </w:p>
        </w:tc>
        <w:tc>
          <w:tcPr>
            <w:tcW w:w="1984" w:type="dxa"/>
            <w:noWrap/>
          </w:tcPr>
          <w:p w14:paraId="35638884" w14:textId="4B61A03C"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56,229</w:t>
            </w:r>
          </w:p>
        </w:tc>
        <w:tc>
          <w:tcPr>
            <w:tcW w:w="1984" w:type="dxa"/>
            <w:noWrap/>
          </w:tcPr>
          <w:p w14:paraId="4678F6C3" w14:textId="6236B02E"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412</w:t>
            </w:r>
          </w:p>
        </w:tc>
        <w:tc>
          <w:tcPr>
            <w:tcW w:w="1984" w:type="dxa"/>
            <w:noWrap/>
          </w:tcPr>
          <w:p w14:paraId="299F6345" w14:textId="6711BD75"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19,760</w:t>
            </w:r>
          </w:p>
        </w:tc>
        <w:tc>
          <w:tcPr>
            <w:tcW w:w="1984" w:type="dxa"/>
            <w:noWrap/>
          </w:tcPr>
          <w:p w14:paraId="62B00C08" w14:textId="2E9E2F29"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16,498</w:t>
            </w:r>
          </w:p>
        </w:tc>
        <w:tc>
          <w:tcPr>
            <w:tcW w:w="1984" w:type="dxa"/>
            <w:noWrap/>
          </w:tcPr>
          <w:p w14:paraId="16CA7111" w14:textId="058402D4"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241</w:t>
            </w:r>
          </w:p>
        </w:tc>
        <w:tc>
          <w:tcPr>
            <w:tcW w:w="1984" w:type="dxa"/>
            <w:noWrap/>
          </w:tcPr>
          <w:p w14:paraId="6F604AB3" w14:textId="346D24B5"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93,140</w:t>
            </w:r>
          </w:p>
        </w:tc>
      </w:tr>
      <w:tr w:rsidR="00DC2203" w:rsidRPr="00761353" w14:paraId="1761FD3B" w14:textId="77777777" w:rsidTr="006608D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17A45D7" w14:textId="77777777" w:rsidR="00DC2203" w:rsidRPr="00761353" w:rsidRDefault="00DC2203" w:rsidP="00DC2203">
            <w:pPr>
              <w:rPr>
                <w:rFonts w:ascii="Arial" w:hAnsi="Arial" w:cs="Arial"/>
                <w:sz w:val="24"/>
                <w:szCs w:val="24"/>
              </w:rPr>
            </w:pPr>
            <w:r w:rsidRPr="00761353">
              <w:rPr>
                <w:rFonts w:ascii="Arial" w:hAnsi="Arial" w:cs="Arial"/>
                <w:sz w:val="24"/>
                <w:szCs w:val="24"/>
              </w:rPr>
              <w:t>Rochdale</w:t>
            </w:r>
          </w:p>
        </w:tc>
        <w:tc>
          <w:tcPr>
            <w:tcW w:w="1984" w:type="dxa"/>
            <w:noWrap/>
          </w:tcPr>
          <w:p w14:paraId="6AD60D96" w14:textId="7B4CE8A6"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54,377</w:t>
            </w:r>
          </w:p>
        </w:tc>
        <w:tc>
          <w:tcPr>
            <w:tcW w:w="1984" w:type="dxa"/>
            <w:noWrap/>
          </w:tcPr>
          <w:p w14:paraId="30D43472" w14:textId="5A25F53D"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342</w:t>
            </w:r>
          </w:p>
        </w:tc>
        <w:tc>
          <w:tcPr>
            <w:tcW w:w="1984" w:type="dxa"/>
            <w:noWrap/>
          </w:tcPr>
          <w:p w14:paraId="57ECC41E" w14:textId="7D3E1BEB"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18,815</w:t>
            </w:r>
          </w:p>
        </w:tc>
        <w:tc>
          <w:tcPr>
            <w:tcW w:w="1984" w:type="dxa"/>
            <w:noWrap/>
          </w:tcPr>
          <w:p w14:paraId="312C9069" w14:textId="52C202C0"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16,503</w:t>
            </w:r>
          </w:p>
        </w:tc>
        <w:tc>
          <w:tcPr>
            <w:tcW w:w="1984" w:type="dxa"/>
            <w:noWrap/>
          </w:tcPr>
          <w:p w14:paraId="15ACD9FF" w14:textId="77F06DAB"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185</w:t>
            </w:r>
          </w:p>
        </w:tc>
        <w:tc>
          <w:tcPr>
            <w:tcW w:w="1984" w:type="dxa"/>
            <w:noWrap/>
          </w:tcPr>
          <w:p w14:paraId="2333DAEA" w14:textId="5DAC24DE"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90,222</w:t>
            </w:r>
          </w:p>
        </w:tc>
      </w:tr>
      <w:tr w:rsidR="00DC2203" w:rsidRPr="00761353" w14:paraId="13B0826B" w14:textId="77777777" w:rsidTr="006608D8">
        <w:trPr>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53C7915" w14:textId="77777777" w:rsidR="00DC2203" w:rsidRPr="00761353" w:rsidRDefault="00DC2203" w:rsidP="00DC2203">
            <w:pPr>
              <w:rPr>
                <w:rFonts w:ascii="Arial" w:hAnsi="Arial" w:cs="Arial"/>
                <w:sz w:val="24"/>
                <w:szCs w:val="24"/>
              </w:rPr>
            </w:pPr>
            <w:r w:rsidRPr="00761353">
              <w:rPr>
                <w:rFonts w:ascii="Arial" w:hAnsi="Arial" w:cs="Arial"/>
                <w:sz w:val="24"/>
                <w:szCs w:val="24"/>
              </w:rPr>
              <w:t>Salford</w:t>
            </w:r>
          </w:p>
        </w:tc>
        <w:tc>
          <w:tcPr>
            <w:tcW w:w="1984" w:type="dxa"/>
            <w:noWrap/>
          </w:tcPr>
          <w:p w14:paraId="1BFDDA65" w14:textId="508613C0"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54,068</w:t>
            </w:r>
          </w:p>
        </w:tc>
        <w:tc>
          <w:tcPr>
            <w:tcW w:w="1984" w:type="dxa"/>
            <w:noWrap/>
          </w:tcPr>
          <w:p w14:paraId="74B01E45" w14:textId="300F3A48"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646</w:t>
            </w:r>
          </w:p>
        </w:tc>
        <w:tc>
          <w:tcPr>
            <w:tcW w:w="1984" w:type="dxa"/>
            <w:noWrap/>
          </w:tcPr>
          <w:p w14:paraId="23862525" w14:textId="533BA9A2"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29,227</w:t>
            </w:r>
          </w:p>
        </w:tc>
        <w:tc>
          <w:tcPr>
            <w:tcW w:w="1984" w:type="dxa"/>
            <w:noWrap/>
          </w:tcPr>
          <w:p w14:paraId="6C4BBB74" w14:textId="32E77EA6"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30,853</w:t>
            </w:r>
          </w:p>
        </w:tc>
        <w:tc>
          <w:tcPr>
            <w:tcW w:w="1984" w:type="dxa"/>
            <w:noWrap/>
          </w:tcPr>
          <w:p w14:paraId="30634821" w14:textId="75F27520"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323</w:t>
            </w:r>
          </w:p>
        </w:tc>
        <w:tc>
          <w:tcPr>
            <w:tcW w:w="1984" w:type="dxa"/>
            <w:noWrap/>
          </w:tcPr>
          <w:p w14:paraId="6BD2DE8C" w14:textId="7184501F"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115,117</w:t>
            </w:r>
          </w:p>
        </w:tc>
      </w:tr>
      <w:tr w:rsidR="00DC2203" w:rsidRPr="00761353" w14:paraId="07B72335" w14:textId="77777777" w:rsidTr="006608D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75880987" w14:textId="77777777" w:rsidR="00DC2203" w:rsidRPr="00761353" w:rsidRDefault="00DC2203" w:rsidP="00DC2203">
            <w:pPr>
              <w:rPr>
                <w:rFonts w:ascii="Arial" w:hAnsi="Arial" w:cs="Arial"/>
                <w:sz w:val="24"/>
                <w:szCs w:val="24"/>
              </w:rPr>
            </w:pPr>
            <w:r w:rsidRPr="00761353">
              <w:rPr>
                <w:rFonts w:ascii="Arial" w:hAnsi="Arial" w:cs="Arial"/>
                <w:sz w:val="24"/>
                <w:szCs w:val="24"/>
              </w:rPr>
              <w:t>Stockport</w:t>
            </w:r>
          </w:p>
        </w:tc>
        <w:tc>
          <w:tcPr>
            <w:tcW w:w="1984" w:type="dxa"/>
            <w:noWrap/>
          </w:tcPr>
          <w:p w14:paraId="7EE264E5" w14:textId="42B098DF"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90,025</w:t>
            </w:r>
          </w:p>
        </w:tc>
        <w:tc>
          <w:tcPr>
            <w:tcW w:w="1984" w:type="dxa"/>
            <w:noWrap/>
          </w:tcPr>
          <w:p w14:paraId="4E4591E9" w14:textId="7C02AD12"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1,486</w:t>
            </w:r>
          </w:p>
        </w:tc>
        <w:tc>
          <w:tcPr>
            <w:tcW w:w="1984" w:type="dxa"/>
            <w:noWrap/>
          </w:tcPr>
          <w:p w14:paraId="5DFB8710" w14:textId="0DB67677"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16,849</w:t>
            </w:r>
          </w:p>
        </w:tc>
        <w:tc>
          <w:tcPr>
            <w:tcW w:w="1984" w:type="dxa"/>
            <w:noWrap/>
          </w:tcPr>
          <w:p w14:paraId="15794E7A" w14:textId="2BEB6E80"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18,192</w:t>
            </w:r>
          </w:p>
        </w:tc>
        <w:tc>
          <w:tcPr>
            <w:tcW w:w="1984" w:type="dxa"/>
            <w:noWrap/>
          </w:tcPr>
          <w:p w14:paraId="69C453BE" w14:textId="01FAF1FB"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96</w:t>
            </w:r>
          </w:p>
        </w:tc>
        <w:tc>
          <w:tcPr>
            <w:tcW w:w="1984" w:type="dxa"/>
            <w:noWrap/>
          </w:tcPr>
          <w:p w14:paraId="2BCD8D6C" w14:textId="1321D69E"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126,648</w:t>
            </w:r>
          </w:p>
        </w:tc>
      </w:tr>
      <w:tr w:rsidR="00DC2203" w:rsidRPr="00761353" w14:paraId="782485AA" w14:textId="77777777" w:rsidTr="006608D8">
        <w:trPr>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17CE59DC" w14:textId="77777777" w:rsidR="00DC2203" w:rsidRPr="00761353" w:rsidRDefault="00DC2203" w:rsidP="00DC2203">
            <w:pPr>
              <w:rPr>
                <w:rFonts w:ascii="Arial" w:hAnsi="Arial" w:cs="Arial"/>
                <w:sz w:val="24"/>
                <w:szCs w:val="24"/>
              </w:rPr>
            </w:pPr>
            <w:r w:rsidRPr="00761353">
              <w:rPr>
                <w:rFonts w:ascii="Arial" w:hAnsi="Arial" w:cs="Arial"/>
                <w:sz w:val="24"/>
                <w:szCs w:val="24"/>
              </w:rPr>
              <w:t>Tameside</w:t>
            </w:r>
          </w:p>
        </w:tc>
        <w:tc>
          <w:tcPr>
            <w:tcW w:w="1984" w:type="dxa"/>
            <w:noWrap/>
          </w:tcPr>
          <w:p w14:paraId="625A09D6" w14:textId="0BE580FA"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60,521</w:t>
            </w:r>
          </w:p>
        </w:tc>
        <w:tc>
          <w:tcPr>
            <w:tcW w:w="1984" w:type="dxa"/>
            <w:noWrap/>
          </w:tcPr>
          <w:p w14:paraId="33384A6F" w14:textId="14333A3A"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320</w:t>
            </w:r>
          </w:p>
        </w:tc>
        <w:tc>
          <w:tcPr>
            <w:tcW w:w="1984" w:type="dxa"/>
            <w:noWrap/>
          </w:tcPr>
          <w:p w14:paraId="118C4930" w14:textId="0C4D90D9"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21,125</w:t>
            </w:r>
          </w:p>
        </w:tc>
        <w:tc>
          <w:tcPr>
            <w:tcW w:w="1984" w:type="dxa"/>
            <w:noWrap/>
          </w:tcPr>
          <w:p w14:paraId="4DE06724" w14:textId="16BA9D24"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17,459</w:t>
            </w:r>
          </w:p>
        </w:tc>
        <w:tc>
          <w:tcPr>
            <w:tcW w:w="1984" w:type="dxa"/>
            <w:noWrap/>
          </w:tcPr>
          <w:p w14:paraId="34E1AC77" w14:textId="102B2C6C"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102</w:t>
            </w:r>
          </w:p>
        </w:tc>
        <w:tc>
          <w:tcPr>
            <w:tcW w:w="1984" w:type="dxa"/>
            <w:noWrap/>
          </w:tcPr>
          <w:p w14:paraId="50A229A5" w14:textId="6353E381"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99,527</w:t>
            </w:r>
          </w:p>
        </w:tc>
      </w:tr>
      <w:tr w:rsidR="00DC2203" w:rsidRPr="00761353" w14:paraId="4D023F9C" w14:textId="77777777" w:rsidTr="006608D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C28CC16" w14:textId="77777777" w:rsidR="00DC2203" w:rsidRPr="00761353" w:rsidRDefault="00DC2203" w:rsidP="00DC2203">
            <w:pPr>
              <w:rPr>
                <w:rFonts w:ascii="Arial" w:hAnsi="Arial" w:cs="Arial"/>
                <w:sz w:val="24"/>
                <w:szCs w:val="24"/>
              </w:rPr>
            </w:pPr>
            <w:r w:rsidRPr="00761353">
              <w:rPr>
                <w:rFonts w:ascii="Arial" w:hAnsi="Arial" w:cs="Arial"/>
                <w:sz w:val="24"/>
                <w:szCs w:val="24"/>
              </w:rPr>
              <w:t>Trafford</w:t>
            </w:r>
          </w:p>
        </w:tc>
        <w:tc>
          <w:tcPr>
            <w:tcW w:w="1984" w:type="dxa"/>
            <w:noWrap/>
          </w:tcPr>
          <w:p w14:paraId="342A2F40" w14:textId="7E91A1C0"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66,387</w:t>
            </w:r>
          </w:p>
        </w:tc>
        <w:tc>
          <w:tcPr>
            <w:tcW w:w="1984" w:type="dxa"/>
            <w:noWrap/>
          </w:tcPr>
          <w:p w14:paraId="51637A1F" w14:textId="244BB584"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654</w:t>
            </w:r>
          </w:p>
        </w:tc>
        <w:tc>
          <w:tcPr>
            <w:tcW w:w="1984" w:type="dxa"/>
            <w:noWrap/>
          </w:tcPr>
          <w:p w14:paraId="7050E93A" w14:textId="077F40C7"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14,419</w:t>
            </w:r>
          </w:p>
        </w:tc>
        <w:tc>
          <w:tcPr>
            <w:tcW w:w="1984" w:type="dxa"/>
            <w:noWrap/>
          </w:tcPr>
          <w:p w14:paraId="6B103A79" w14:textId="37E4D222"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14,744</w:t>
            </w:r>
          </w:p>
        </w:tc>
        <w:tc>
          <w:tcPr>
            <w:tcW w:w="1984" w:type="dxa"/>
            <w:noWrap/>
          </w:tcPr>
          <w:p w14:paraId="68A01D14" w14:textId="605E32E6"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65</w:t>
            </w:r>
          </w:p>
        </w:tc>
        <w:tc>
          <w:tcPr>
            <w:tcW w:w="1984" w:type="dxa"/>
            <w:noWrap/>
          </w:tcPr>
          <w:p w14:paraId="61888279" w14:textId="18D38583" w:rsidR="00DC2203" w:rsidRPr="00761353" w:rsidRDefault="00DC2203" w:rsidP="00DC220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61353">
              <w:rPr>
                <w:rFonts w:ascii="Arial" w:hAnsi="Arial" w:cs="Arial"/>
                <w:sz w:val="24"/>
                <w:szCs w:val="24"/>
              </w:rPr>
              <w:t>96,269</w:t>
            </w:r>
          </w:p>
        </w:tc>
      </w:tr>
      <w:tr w:rsidR="00DC2203" w:rsidRPr="00761353" w14:paraId="1FE9289C" w14:textId="77777777" w:rsidTr="006608D8">
        <w:trPr>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6A4F33D6" w14:textId="77777777" w:rsidR="00DC2203" w:rsidRPr="00761353" w:rsidRDefault="00DC2203" w:rsidP="00DC2203">
            <w:pPr>
              <w:rPr>
                <w:rFonts w:ascii="Arial" w:hAnsi="Arial" w:cs="Arial"/>
                <w:sz w:val="24"/>
                <w:szCs w:val="24"/>
              </w:rPr>
            </w:pPr>
            <w:r w:rsidRPr="00761353">
              <w:rPr>
                <w:rFonts w:ascii="Arial" w:hAnsi="Arial" w:cs="Arial"/>
                <w:sz w:val="24"/>
                <w:szCs w:val="24"/>
              </w:rPr>
              <w:t>Wigan</w:t>
            </w:r>
          </w:p>
        </w:tc>
        <w:tc>
          <w:tcPr>
            <w:tcW w:w="1984" w:type="dxa"/>
            <w:noWrap/>
          </w:tcPr>
          <w:p w14:paraId="7B8495B8" w14:textId="33F74607"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94,978</w:t>
            </w:r>
          </w:p>
        </w:tc>
        <w:tc>
          <w:tcPr>
            <w:tcW w:w="1984" w:type="dxa"/>
            <w:noWrap/>
          </w:tcPr>
          <w:p w14:paraId="2870B326" w14:textId="05B5B1E8"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655</w:t>
            </w:r>
          </w:p>
        </w:tc>
        <w:tc>
          <w:tcPr>
            <w:tcW w:w="1984" w:type="dxa"/>
            <w:noWrap/>
          </w:tcPr>
          <w:p w14:paraId="069583A9" w14:textId="2676D76B"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24,333</w:t>
            </w:r>
          </w:p>
        </w:tc>
        <w:tc>
          <w:tcPr>
            <w:tcW w:w="1984" w:type="dxa"/>
            <w:noWrap/>
          </w:tcPr>
          <w:p w14:paraId="30E8AF7B" w14:textId="3832D7F2"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22,761</w:t>
            </w:r>
          </w:p>
        </w:tc>
        <w:tc>
          <w:tcPr>
            <w:tcW w:w="1984" w:type="dxa"/>
            <w:noWrap/>
          </w:tcPr>
          <w:p w14:paraId="69A0C74A" w14:textId="119341F9"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378</w:t>
            </w:r>
          </w:p>
        </w:tc>
        <w:tc>
          <w:tcPr>
            <w:tcW w:w="1984" w:type="dxa"/>
            <w:noWrap/>
          </w:tcPr>
          <w:p w14:paraId="580A5845" w14:textId="5956A5E0" w:rsidR="00DC2203" w:rsidRPr="00761353" w:rsidRDefault="00DC2203" w:rsidP="00DC220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143,105</w:t>
            </w:r>
          </w:p>
        </w:tc>
      </w:tr>
      <w:tr w:rsidR="00DC2203" w:rsidRPr="00761353" w14:paraId="2965A724" w14:textId="77777777" w:rsidTr="006608D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EC79E78" w14:textId="2D558257" w:rsidR="00DC2203" w:rsidRPr="00761353" w:rsidRDefault="009F0A0A" w:rsidP="00DC2203">
            <w:pPr>
              <w:rPr>
                <w:rFonts w:ascii="Arial" w:hAnsi="Arial" w:cs="Arial"/>
                <w:b w:val="0"/>
                <w:bCs w:val="0"/>
                <w:sz w:val="24"/>
                <w:szCs w:val="24"/>
              </w:rPr>
            </w:pPr>
            <w:r>
              <w:rPr>
                <w:rFonts w:ascii="Arial" w:hAnsi="Arial" w:cs="Arial"/>
                <w:sz w:val="24"/>
                <w:szCs w:val="24"/>
              </w:rPr>
              <w:t>Greater Manchester</w:t>
            </w:r>
          </w:p>
        </w:tc>
        <w:tc>
          <w:tcPr>
            <w:tcW w:w="1984" w:type="dxa"/>
            <w:noWrap/>
          </w:tcPr>
          <w:p w14:paraId="5B174B77" w14:textId="1AA64236" w:rsidR="00DC2203" w:rsidRPr="00761353" w:rsidRDefault="00DC2203" w:rsidP="00084AF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761353">
              <w:rPr>
                <w:rFonts w:ascii="Arial" w:hAnsi="Arial" w:cs="Arial"/>
                <w:b/>
                <w:bCs/>
                <w:sz w:val="24"/>
                <w:szCs w:val="24"/>
              </w:rPr>
              <w:t>683,585</w:t>
            </w:r>
          </w:p>
        </w:tc>
        <w:tc>
          <w:tcPr>
            <w:tcW w:w="1984" w:type="dxa"/>
            <w:noWrap/>
          </w:tcPr>
          <w:p w14:paraId="27B70752" w14:textId="7746D5CD" w:rsidR="00DC2203" w:rsidRPr="00761353" w:rsidRDefault="00DC2203" w:rsidP="00084AF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761353">
              <w:rPr>
                <w:rFonts w:ascii="Arial" w:hAnsi="Arial" w:cs="Arial"/>
                <w:b/>
                <w:bCs/>
                <w:sz w:val="24"/>
                <w:szCs w:val="24"/>
              </w:rPr>
              <w:t>6,979</w:t>
            </w:r>
          </w:p>
        </w:tc>
        <w:tc>
          <w:tcPr>
            <w:tcW w:w="1984" w:type="dxa"/>
            <w:noWrap/>
          </w:tcPr>
          <w:p w14:paraId="33A0AEA1" w14:textId="7384FE8C" w:rsidR="00DC2203" w:rsidRPr="00761353" w:rsidRDefault="00DC2203" w:rsidP="00084AF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761353">
              <w:rPr>
                <w:rFonts w:ascii="Arial" w:hAnsi="Arial" w:cs="Arial"/>
                <w:b/>
                <w:bCs/>
                <w:sz w:val="24"/>
                <w:szCs w:val="24"/>
              </w:rPr>
              <w:t>243,403</w:t>
            </w:r>
          </w:p>
        </w:tc>
        <w:tc>
          <w:tcPr>
            <w:tcW w:w="1984" w:type="dxa"/>
            <w:noWrap/>
          </w:tcPr>
          <w:p w14:paraId="36582829" w14:textId="50264269" w:rsidR="00DC2203" w:rsidRPr="00761353" w:rsidRDefault="00DC2203" w:rsidP="00084AF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761353">
              <w:rPr>
                <w:rFonts w:ascii="Arial" w:hAnsi="Arial" w:cs="Arial"/>
                <w:b/>
                <w:bCs/>
                <w:sz w:val="24"/>
                <w:szCs w:val="24"/>
              </w:rPr>
              <w:t>242,034</w:t>
            </w:r>
          </w:p>
        </w:tc>
        <w:tc>
          <w:tcPr>
            <w:tcW w:w="1984" w:type="dxa"/>
            <w:noWrap/>
          </w:tcPr>
          <w:p w14:paraId="6F098648" w14:textId="66CE923B" w:rsidR="00DC2203" w:rsidRPr="00761353" w:rsidRDefault="00DC2203" w:rsidP="00084AF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761353">
              <w:rPr>
                <w:rFonts w:ascii="Arial" w:hAnsi="Arial" w:cs="Arial"/>
                <w:b/>
                <w:bCs/>
                <w:sz w:val="24"/>
                <w:szCs w:val="24"/>
              </w:rPr>
              <w:t>2,243</w:t>
            </w:r>
          </w:p>
        </w:tc>
        <w:tc>
          <w:tcPr>
            <w:tcW w:w="1984" w:type="dxa"/>
            <w:noWrap/>
          </w:tcPr>
          <w:p w14:paraId="5B716CBE" w14:textId="1DCCC457" w:rsidR="00DC2203" w:rsidRPr="00761353" w:rsidRDefault="00DC2203" w:rsidP="00084AF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761353">
              <w:rPr>
                <w:rFonts w:ascii="Arial" w:hAnsi="Arial" w:cs="Arial"/>
                <w:b/>
                <w:bCs/>
                <w:sz w:val="24"/>
                <w:szCs w:val="24"/>
              </w:rPr>
              <w:t>1,178,244</w:t>
            </w:r>
          </w:p>
        </w:tc>
      </w:tr>
      <w:tr w:rsidR="00DC2203" w:rsidRPr="00761353" w14:paraId="6ADBEBE8" w14:textId="77777777" w:rsidTr="006608D8">
        <w:trPr>
          <w:trHeight w:val="170"/>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BC9DC0E" w14:textId="77777777" w:rsidR="00DC2203" w:rsidRPr="00761353" w:rsidRDefault="00DC2203" w:rsidP="00DC2203">
            <w:pPr>
              <w:rPr>
                <w:rFonts w:ascii="Arial" w:hAnsi="Arial" w:cs="Arial"/>
                <w:sz w:val="24"/>
                <w:szCs w:val="24"/>
              </w:rPr>
            </w:pPr>
            <w:r w:rsidRPr="00761353">
              <w:rPr>
                <w:rFonts w:ascii="Arial" w:hAnsi="Arial" w:cs="Arial"/>
                <w:sz w:val="24"/>
                <w:szCs w:val="24"/>
              </w:rPr>
              <w:t>England</w:t>
            </w:r>
          </w:p>
        </w:tc>
        <w:tc>
          <w:tcPr>
            <w:tcW w:w="1984" w:type="dxa"/>
            <w:noWrap/>
          </w:tcPr>
          <w:p w14:paraId="4A0BE5F8" w14:textId="53950E74" w:rsidR="00DC2203" w:rsidRPr="00761353" w:rsidRDefault="00DC2203" w:rsidP="00084A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14,369,065</w:t>
            </w:r>
          </w:p>
        </w:tc>
        <w:tc>
          <w:tcPr>
            <w:tcW w:w="1984" w:type="dxa"/>
            <w:noWrap/>
          </w:tcPr>
          <w:p w14:paraId="45822F9D" w14:textId="1858519C" w:rsidR="00DC2203" w:rsidRPr="00761353" w:rsidRDefault="00DC2203" w:rsidP="00084A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235,951</w:t>
            </w:r>
          </w:p>
        </w:tc>
        <w:tc>
          <w:tcPr>
            <w:tcW w:w="1984" w:type="dxa"/>
            <w:noWrap/>
          </w:tcPr>
          <w:p w14:paraId="2E696FAE" w14:textId="0F3F7C81" w:rsidR="00DC2203" w:rsidRPr="00761353" w:rsidRDefault="00DC2203" w:rsidP="00084A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4,005,663</w:t>
            </w:r>
          </w:p>
        </w:tc>
        <w:tc>
          <w:tcPr>
            <w:tcW w:w="1984" w:type="dxa"/>
            <w:noWrap/>
          </w:tcPr>
          <w:p w14:paraId="1DEE314B" w14:textId="1198287F" w:rsidR="00DC2203" w:rsidRPr="00761353" w:rsidRDefault="00DC2203" w:rsidP="00084A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4,794,889</w:t>
            </w:r>
          </w:p>
        </w:tc>
        <w:tc>
          <w:tcPr>
            <w:tcW w:w="1984" w:type="dxa"/>
            <w:noWrap/>
          </w:tcPr>
          <w:p w14:paraId="55E5BDDF" w14:textId="15565C7E" w:rsidR="00DC2203" w:rsidRPr="00761353" w:rsidRDefault="00DC2203" w:rsidP="00084A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30,517</w:t>
            </w:r>
          </w:p>
        </w:tc>
        <w:tc>
          <w:tcPr>
            <w:tcW w:w="1984" w:type="dxa"/>
            <w:noWrap/>
          </w:tcPr>
          <w:p w14:paraId="69B1F39E" w14:textId="2D2704C6" w:rsidR="00DC2203" w:rsidRPr="00761353" w:rsidRDefault="00DC2203" w:rsidP="00084AF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61353">
              <w:rPr>
                <w:rFonts w:ascii="Arial" w:hAnsi="Arial" w:cs="Arial"/>
                <w:sz w:val="24"/>
                <w:szCs w:val="24"/>
              </w:rPr>
              <w:t>23,436,085</w:t>
            </w:r>
          </w:p>
        </w:tc>
      </w:tr>
    </w:tbl>
    <w:p w14:paraId="2A07E8D8" w14:textId="6A273A1D" w:rsidR="00DC2203" w:rsidRDefault="000D108F" w:rsidP="00084AFF">
      <w:pPr>
        <w:spacing w:before="240"/>
        <w:rPr>
          <w:rFonts w:ascii="Arial" w:hAnsi="Arial" w:cs="Arial"/>
          <w:i/>
          <w:iCs/>
          <w:sz w:val="24"/>
          <w:szCs w:val="24"/>
        </w:rPr>
      </w:pPr>
      <w:r w:rsidRPr="00761353">
        <w:rPr>
          <w:rFonts w:ascii="Arial" w:hAnsi="Arial" w:cs="Arial"/>
          <w:i/>
          <w:iCs/>
          <w:sz w:val="24"/>
          <w:szCs w:val="24"/>
        </w:rPr>
        <w:t xml:space="preserve">Source: ONS, Nomis – </w:t>
      </w:r>
      <w:hyperlink r:id="rId21" w:history="1">
        <w:r w:rsidRPr="00761353">
          <w:rPr>
            <w:rFonts w:ascii="Arial" w:hAnsi="Arial" w:cs="Arial"/>
            <w:i/>
            <w:iCs/>
            <w:sz w:val="24"/>
            <w:szCs w:val="24"/>
          </w:rPr>
          <w:t>2021 Census</w:t>
        </w:r>
      </w:hyperlink>
    </w:p>
    <w:p w14:paraId="19C23CAC" w14:textId="77777777" w:rsidR="006608D8" w:rsidRDefault="006608D8" w:rsidP="00084AFF">
      <w:pPr>
        <w:spacing w:before="240"/>
        <w:rPr>
          <w:rFonts w:ascii="Arial" w:hAnsi="Arial" w:cs="Arial"/>
          <w:i/>
          <w:iCs/>
          <w:sz w:val="24"/>
          <w:szCs w:val="24"/>
        </w:rPr>
        <w:sectPr w:rsidR="006608D8" w:rsidSect="006608D8">
          <w:pgSz w:w="16838" w:h="11906" w:orient="landscape" w:code="9"/>
          <w:pgMar w:top="1440" w:right="1440" w:bottom="1440" w:left="1440" w:header="709" w:footer="941" w:gutter="0"/>
          <w:cols w:space="708"/>
          <w:titlePg/>
          <w:docGrid w:linePitch="360"/>
        </w:sectPr>
      </w:pPr>
    </w:p>
    <w:p w14:paraId="0328EEC7" w14:textId="08EB13D9" w:rsidR="000D108F" w:rsidRPr="00C123F7" w:rsidRDefault="00084AFF" w:rsidP="00C123F7">
      <w:pPr>
        <w:pStyle w:val="Heading3"/>
        <w:rPr>
          <w:i/>
          <w:iCs/>
        </w:rPr>
      </w:pPr>
      <w:r w:rsidRPr="00C123F7">
        <w:lastRenderedPageBreak/>
        <w:t>Household tenure change</w:t>
      </w:r>
    </w:p>
    <w:p w14:paraId="02300E55" w14:textId="36A8BE45" w:rsidR="00084AFF" w:rsidRPr="00761353" w:rsidRDefault="00084AFF" w:rsidP="00084AFF">
      <w:pPr>
        <w:tabs>
          <w:tab w:val="left" w:pos="7320"/>
        </w:tabs>
        <w:rPr>
          <w:rFonts w:ascii="Arial" w:hAnsi="Arial" w:cs="Arial"/>
          <w:sz w:val="24"/>
          <w:szCs w:val="24"/>
        </w:rPr>
      </w:pPr>
      <w:r w:rsidRPr="00761353">
        <w:rPr>
          <w:rFonts w:ascii="Arial" w:hAnsi="Arial" w:cs="Arial"/>
          <w:sz w:val="24"/>
          <w:szCs w:val="24"/>
        </w:rPr>
        <w:t>Several categories of tenure were little changed in 2021 compared to results from the previous census in 2011. The main difference was the growth of the PRS. Between 2011 and 2021 there was a 34% increase in households with this type of tenure. Households in the PRS increased in all local authorities in Greater Manchester (ranging from increases of 19% in Manchester to 59% in Salford).</w:t>
      </w:r>
    </w:p>
    <w:p w14:paraId="307CB87C" w14:textId="7B76E833" w:rsidR="00084AFF" w:rsidRDefault="00084AFF">
      <w:pPr>
        <w:rPr>
          <w:rFonts w:cs="Arial"/>
          <w:b/>
          <w:bCs/>
        </w:rPr>
      </w:pPr>
    </w:p>
    <w:p w14:paraId="41B77A34" w14:textId="6B40D01C" w:rsidR="00084AFF" w:rsidRPr="006608D8" w:rsidRDefault="00084AFF" w:rsidP="00084AFF">
      <w:pPr>
        <w:tabs>
          <w:tab w:val="left" w:pos="7320"/>
        </w:tabs>
        <w:rPr>
          <w:rFonts w:ascii="Arial" w:hAnsi="Arial" w:cs="Arial"/>
          <w:b/>
          <w:bCs/>
          <w:sz w:val="24"/>
          <w:szCs w:val="24"/>
        </w:rPr>
      </w:pPr>
      <w:r w:rsidRPr="006608D8">
        <w:rPr>
          <w:rFonts w:ascii="Arial" w:hAnsi="Arial" w:cs="Arial"/>
          <w:b/>
          <w:bCs/>
          <w:sz w:val="24"/>
          <w:szCs w:val="24"/>
        </w:rPr>
        <w:t>Tenure type by number of households, Greater Manchester 1981-2021</w:t>
      </w:r>
    </w:p>
    <w:p w14:paraId="37ED5868" w14:textId="62E24C59" w:rsidR="00084AFF" w:rsidRDefault="00084AFF" w:rsidP="00084AFF">
      <w:pPr>
        <w:tabs>
          <w:tab w:val="left" w:pos="7320"/>
        </w:tabs>
        <w:rPr>
          <w:rFonts w:cs="Arial"/>
        </w:rPr>
      </w:pPr>
      <w:r>
        <w:rPr>
          <w:noProof/>
        </w:rPr>
        <w:drawing>
          <wp:inline distT="0" distB="0" distL="0" distR="0" wp14:anchorId="3513F601" wp14:editId="0EF85582">
            <wp:extent cx="5731510" cy="3737453"/>
            <wp:effectExtent l="0" t="0" r="2540" b="15875"/>
            <wp:docPr id="5" name="Chart 5" descr="This chart provides a line chart representation of how tenure type has changed across Greater Manchester over the course of five censuses (1981,1991,2001,2011 and 2021). The headline trend displayed is that, between 2011 and 2021, there was a 34% increase in households in the private rented sector, with increases in all local authorities in Greater Manchester (ranging from increases of 19% in Manchester to 59% in Salford).">
              <a:extLst xmlns:a="http://schemas.openxmlformats.org/drawingml/2006/main">
                <a:ext uri="{FF2B5EF4-FFF2-40B4-BE49-F238E27FC236}">
                  <a16:creationId xmlns:a16="http://schemas.microsoft.com/office/drawing/2014/main" id="{5021D03F-6671-BCE7-D9E5-51E25F871A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3B063B" w14:textId="77777777" w:rsidR="00084AFF" w:rsidRPr="003C1A1C" w:rsidRDefault="00084AFF" w:rsidP="00084AFF">
      <w:pPr>
        <w:rPr>
          <w:rFonts w:cs="Arial"/>
          <w:i/>
          <w:iCs/>
        </w:rPr>
      </w:pPr>
      <w:r w:rsidRPr="003C1A1C">
        <w:rPr>
          <w:rFonts w:cs="Arial"/>
          <w:i/>
          <w:iCs/>
        </w:rPr>
        <w:t xml:space="preserve">Source: ONS, Nomis – </w:t>
      </w:r>
      <w:hyperlink r:id="rId23" w:history="1">
        <w:r w:rsidRPr="003C1A1C">
          <w:rPr>
            <w:rFonts w:cs="Arial"/>
            <w:i/>
            <w:iCs/>
          </w:rPr>
          <w:t>2021 Census</w:t>
        </w:r>
      </w:hyperlink>
    </w:p>
    <w:p w14:paraId="2AFB340E" w14:textId="23B10C99" w:rsidR="004F1584" w:rsidRDefault="00084AFF" w:rsidP="00C123F7">
      <w:pPr>
        <w:pStyle w:val="Heading3"/>
      </w:pPr>
      <w:r>
        <w:t>District tenure patterns</w:t>
      </w:r>
    </w:p>
    <w:p w14:paraId="4FB559E8" w14:textId="5E4BB974" w:rsidR="00084AFF" w:rsidRPr="00333602" w:rsidRDefault="00084AFF" w:rsidP="00333602">
      <w:pPr>
        <w:pStyle w:val="Heading4"/>
      </w:pPr>
      <w:r w:rsidRPr="00333602">
        <w:t xml:space="preserve">Households that own their homes </w:t>
      </w:r>
    </w:p>
    <w:p w14:paraId="17D53342" w14:textId="1EB606CA" w:rsidR="00084AFF" w:rsidRPr="006608D8" w:rsidRDefault="00084AFF" w:rsidP="00084AFF">
      <w:pPr>
        <w:rPr>
          <w:rFonts w:ascii="Arial" w:hAnsi="Arial" w:cs="Arial"/>
          <w:sz w:val="24"/>
          <w:szCs w:val="24"/>
        </w:rPr>
      </w:pPr>
      <w:bookmarkStart w:id="3" w:name="_Hlk128639524"/>
      <w:r w:rsidRPr="006608D8">
        <w:rPr>
          <w:rFonts w:ascii="Arial" w:hAnsi="Arial" w:cs="Arial"/>
          <w:sz w:val="24"/>
          <w:szCs w:val="24"/>
        </w:rPr>
        <w:t xml:space="preserve">The majority of households in Greater Manchester owned their own homes in 2021 (58%; compared with 61% in England). </w:t>
      </w:r>
      <w:bookmarkEnd w:id="3"/>
      <w:r w:rsidRPr="006608D8">
        <w:rPr>
          <w:rFonts w:ascii="Arial" w:hAnsi="Arial" w:cs="Arial"/>
          <w:sz w:val="24"/>
          <w:szCs w:val="24"/>
        </w:rPr>
        <w:t xml:space="preserve">The local authority with the highest proportion of owner occupiers in 2021 was Stockport (71%) and the smallest proportion was in Manchester (37%). However, the largest increase in households that own their homes was in Manchester with 2,530 additional households between 2011 and 2021. In four Greater Manchester districts there has been a decrease in owner occupiers since 2011 (Bolton, Bury, Oldham and Tameside), with Oldham showing the largest decrease (2,030 fewer owner occupiers). </w:t>
      </w:r>
    </w:p>
    <w:p w14:paraId="59E54F44" w14:textId="77777777" w:rsidR="00084AFF" w:rsidRPr="00333602" w:rsidRDefault="00084AFF" w:rsidP="00333602">
      <w:pPr>
        <w:pStyle w:val="Heading4"/>
      </w:pPr>
      <w:r w:rsidRPr="00333602">
        <w:lastRenderedPageBreak/>
        <w:t>Social housing</w:t>
      </w:r>
    </w:p>
    <w:p w14:paraId="4D1EC87B" w14:textId="77777777" w:rsidR="00084AFF" w:rsidRPr="00333602" w:rsidRDefault="00084AFF" w:rsidP="00084AFF">
      <w:pPr>
        <w:rPr>
          <w:rFonts w:ascii="Arial" w:hAnsi="Arial" w:cs="Arial"/>
          <w:sz w:val="24"/>
          <w:szCs w:val="24"/>
        </w:rPr>
      </w:pPr>
      <w:r w:rsidRPr="00333602">
        <w:rPr>
          <w:rFonts w:ascii="Arial" w:hAnsi="Arial" w:cs="Arial"/>
          <w:sz w:val="24"/>
          <w:szCs w:val="24"/>
        </w:rPr>
        <w:t xml:space="preserve">In the 2021 census 21% of households (243,403) lived in social housing in Greater Manchester; this was a similar proportion to the 2011 census. The proportion is slightly above the figure for England as a whole (17%). Manchester has the largest proportion of households in social housing (29%) while Stockport has the smallest (13%). In six of the local authorities in Greater Manchester there was a reduction in social housing and in four an increase. The largest proportional increase was in Stockport (4%) and the largest decreases were in Trafford and Rochdale (both -7%). In GM as a whole, there was a -1.7% decrease in the number of households in social housing (compared with a 2.6% increase in England). </w:t>
      </w:r>
    </w:p>
    <w:p w14:paraId="30FDFC4A" w14:textId="77777777" w:rsidR="00084AFF" w:rsidRPr="00333602" w:rsidRDefault="00084AFF" w:rsidP="00333602">
      <w:pPr>
        <w:pStyle w:val="Heading4"/>
      </w:pPr>
      <w:r w:rsidRPr="00333602">
        <w:t>Private rented sector (PRS)</w:t>
      </w:r>
    </w:p>
    <w:p w14:paraId="1AC4620D" w14:textId="77777777" w:rsidR="00084AFF" w:rsidRPr="00333602" w:rsidRDefault="00084AFF" w:rsidP="00084AFF">
      <w:pPr>
        <w:rPr>
          <w:rFonts w:ascii="Arial" w:hAnsi="Arial" w:cs="Arial"/>
          <w:sz w:val="24"/>
          <w:szCs w:val="24"/>
        </w:rPr>
      </w:pPr>
      <w:r w:rsidRPr="00333602">
        <w:rPr>
          <w:rFonts w:ascii="Arial" w:hAnsi="Arial" w:cs="Arial"/>
          <w:sz w:val="24"/>
          <w:szCs w:val="24"/>
        </w:rPr>
        <w:t xml:space="preserve">Nationally and in Greater Manchester there has been an increase in the number of households living in the PRS (all ten local authorities experienced a rise in households in the PRS). The rises were largest in Salford (59%) and Oldham (51%). The total number of households living in the PRS in Greater Manchester was 242,034. The authority with the largest proportion of households in the PRS was Manchester (32%) while Stockport had the smallest (14%). Five of the Greater Manchester districts have more households in the PRS than in social housing – Bury, Manchester, Salford, Stockport and Trafford. </w:t>
      </w:r>
    </w:p>
    <w:p w14:paraId="29114D74" w14:textId="77777777" w:rsidR="00084AFF" w:rsidRPr="00084AFF" w:rsidRDefault="00084AFF" w:rsidP="00084AFF"/>
    <w:p w14:paraId="2FB5D4EF" w14:textId="6DB698C8" w:rsidR="00084AFF" w:rsidRPr="00084AFF" w:rsidRDefault="000D108F" w:rsidP="00C123F7">
      <w:pPr>
        <w:pStyle w:val="Heading3"/>
      </w:pPr>
      <w:bookmarkStart w:id="4" w:name="_Hlk128643792"/>
      <w:r w:rsidRPr="00F47DA3">
        <w:t>Reflections</w:t>
      </w:r>
    </w:p>
    <w:bookmarkEnd w:id="4"/>
    <w:p w14:paraId="5AAEC256" w14:textId="77777777" w:rsidR="00084AFF" w:rsidRPr="00333602" w:rsidRDefault="00084AFF" w:rsidP="00084AFF">
      <w:pPr>
        <w:rPr>
          <w:rFonts w:ascii="Arial" w:hAnsi="Arial" w:cs="Arial"/>
          <w:sz w:val="24"/>
          <w:szCs w:val="24"/>
        </w:rPr>
      </w:pPr>
      <w:r w:rsidRPr="00333602">
        <w:rPr>
          <w:rFonts w:ascii="Arial" w:hAnsi="Arial" w:cs="Arial"/>
          <w:sz w:val="24"/>
          <w:szCs w:val="24"/>
        </w:rPr>
        <w:t xml:space="preserve">Both nationally and in Greater Manchester the household tenure type that has grown the most between 2011 and 2021 is the PRS – a continuation of a longer-term trend. </w:t>
      </w:r>
    </w:p>
    <w:p w14:paraId="7D62513A" w14:textId="77777777" w:rsidR="00084AFF" w:rsidRPr="00333602" w:rsidRDefault="00084AFF" w:rsidP="00084AFF">
      <w:pPr>
        <w:rPr>
          <w:rFonts w:ascii="Arial" w:hAnsi="Arial" w:cs="Arial"/>
          <w:sz w:val="24"/>
          <w:szCs w:val="24"/>
        </w:rPr>
      </w:pPr>
      <w:r w:rsidRPr="00333602">
        <w:rPr>
          <w:rFonts w:ascii="Arial" w:hAnsi="Arial" w:cs="Arial"/>
          <w:sz w:val="24"/>
          <w:szCs w:val="24"/>
        </w:rPr>
        <w:t>Yet the PRS is the least secure form of tenure. It is less regulated than other types of housing (whether social housing or owner occupation). The PRS is likely to include some of the people who might traditionally have lived in social housing, as well as some of those who (in previous eras) would have acquired their own home but are today renting for longer periods. The trend is therefore towards more people living in less secure types of housing.</w:t>
      </w:r>
    </w:p>
    <w:p w14:paraId="42BFE0FD" w14:textId="0C9E508E" w:rsidR="00CA0993" w:rsidRPr="00333602" w:rsidRDefault="00084AFF" w:rsidP="00084AFF">
      <w:pPr>
        <w:rPr>
          <w:rFonts w:ascii="Arial" w:hAnsi="Arial" w:cs="Arial"/>
          <w:sz w:val="24"/>
          <w:szCs w:val="24"/>
        </w:rPr>
      </w:pPr>
      <w:r w:rsidRPr="00333602">
        <w:rPr>
          <w:rFonts w:ascii="Arial" w:hAnsi="Arial" w:cs="Arial"/>
          <w:sz w:val="24"/>
          <w:szCs w:val="24"/>
        </w:rPr>
        <w:t>Other forms of household tenure have remained relatively static. National policies on housing seek to encourage home ownership and there are also programmes aiming to build new social housing. However, the census data does not yet reflect an impact in Greater Manchester from those policies on patterns of tenure.</w:t>
      </w:r>
    </w:p>
    <w:sectPr w:rsidR="00CA0993" w:rsidRPr="00333602" w:rsidSect="00E97A2D">
      <w:pgSz w:w="11906" w:h="16838" w:code="9"/>
      <w:pgMar w:top="1440" w:right="1440" w:bottom="1440" w:left="1440" w:header="709" w:footer="9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8C927" w14:textId="77777777" w:rsidR="00DC4CE1" w:rsidRDefault="00DC4CE1">
      <w:pPr>
        <w:spacing w:after="0" w:line="240" w:lineRule="auto"/>
      </w:pPr>
      <w:r>
        <w:separator/>
      </w:r>
    </w:p>
  </w:endnote>
  <w:endnote w:type="continuationSeparator" w:id="0">
    <w:p w14:paraId="42B6254C" w14:textId="77777777" w:rsidR="00DC4CE1" w:rsidRDefault="00DC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5D5BCE77" w14:textId="77777777" w:rsidR="00E07B85" w:rsidRPr="00D31BB7" w:rsidRDefault="002F4BA4"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37260"/>
      <w:docPartObj>
        <w:docPartGallery w:val="Page Numbers (Bottom of Page)"/>
        <w:docPartUnique/>
      </w:docPartObj>
    </w:sdtPr>
    <w:sdtEndPr>
      <w:rPr>
        <w:rStyle w:val="PagenumberChar"/>
        <w:rFonts w:ascii="Arial" w:hAnsi="Arial"/>
        <w:b/>
        <w:color w:val="2C5060" w:themeColor="accent1"/>
        <w:sz w:val="28"/>
        <w:szCs w:val="24"/>
      </w:rPr>
    </w:sdtEndPr>
    <w:sdtContent>
      <w:p w14:paraId="494B75DB" w14:textId="77777777" w:rsidR="00B7462D" w:rsidRPr="00B7462D" w:rsidRDefault="00B7462D">
        <w:pPr>
          <w:pStyle w:val="Footer"/>
          <w:jc w:val="right"/>
          <w:rPr>
            <w:rStyle w:val="PagenumberChar"/>
          </w:rPr>
        </w:pPr>
        <w:r w:rsidRPr="00B7462D">
          <w:rPr>
            <w:rStyle w:val="PagenumberChar"/>
          </w:rPr>
          <w:fldChar w:fldCharType="begin"/>
        </w:r>
        <w:r w:rsidRPr="00B7462D">
          <w:rPr>
            <w:rStyle w:val="PagenumberChar"/>
          </w:rPr>
          <w:instrText xml:space="preserve"> PAGE   \* MERGEFORMAT </w:instrText>
        </w:r>
        <w:r w:rsidRPr="00B7462D">
          <w:rPr>
            <w:rStyle w:val="PagenumberChar"/>
          </w:rPr>
          <w:fldChar w:fldCharType="separate"/>
        </w:r>
        <w:r w:rsidRPr="00B7462D">
          <w:rPr>
            <w:rStyle w:val="PagenumberChar"/>
          </w:rPr>
          <w:t>2</w:t>
        </w:r>
        <w:r w:rsidRPr="00B7462D">
          <w:rPr>
            <w:rStyle w:val="PagenumberChar"/>
          </w:rPr>
          <w:fldChar w:fldCharType="end"/>
        </w:r>
      </w:p>
    </w:sdtContent>
  </w:sdt>
  <w:p w14:paraId="6EF5408D" w14:textId="77777777" w:rsidR="00B7462D" w:rsidRDefault="00B74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3E73" w14:textId="77777777" w:rsidR="00DC4CE1" w:rsidRDefault="00DC4CE1">
      <w:pPr>
        <w:spacing w:after="0" w:line="240" w:lineRule="auto"/>
      </w:pPr>
      <w:r>
        <w:separator/>
      </w:r>
    </w:p>
  </w:footnote>
  <w:footnote w:type="continuationSeparator" w:id="0">
    <w:p w14:paraId="1627C1A8" w14:textId="77777777" w:rsidR="00DC4CE1" w:rsidRDefault="00DC4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8BFD" w14:textId="77777777" w:rsidR="007222D5" w:rsidRDefault="002B2178" w:rsidP="00380C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7721"/>
    <w:multiLevelType w:val="hybridMultilevel"/>
    <w:tmpl w:val="C9CE6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F729E7"/>
    <w:multiLevelType w:val="hybridMultilevel"/>
    <w:tmpl w:val="72CEB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7109A6"/>
    <w:multiLevelType w:val="hybridMultilevel"/>
    <w:tmpl w:val="D5608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B1617"/>
    <w:multiLevelType w:val="hybridMultilevel"/>
    <w:tmpl w:val="12361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20384A"/>
    <w:multiLevelType w:val="multilevel"/>
    <w:tmpl w:val="A1D6F89C"/>
    <w:lvl w:ilvl="0">
      <w:start w:val="4"/>
      <w:numFmt w:val="decimal"/>
      <w:lvlText w:val="%1"/>
      <w:lvlJc w:val="left"/>
      <w:pPr>
        <w:ind w:left="1530" w:hanging="851"/>
      </w:pPr>
      <w:rPr>
        <w:rFonts w:hint="default"/>
        <w:lang w:val="en-US" w:eastAsia="en-US" w:bidi="ar-SA"/>
      </w:rPr>
    </w:lvl>
    <w:lvl w:ilvl="1">
      <w:start w:val="1"/>
      <w:numFmt w:val="decimal"/>
      <w:lvlText w:val="%1.%2"/>
      <w:lvlJc w:val="left"/>
      <w:pPr>
        <w:ind w:left="1530" w:hanging="851"/>
        <w:jc w:val="right"/>
      </w:pPr>
      <w:rPr>
        <w:rFonts w:ascii="Arial" w:eastAsia="Arial" w:hAnsi="Arial" w:cs="Arial" w:hint="default"/>
        <w:b/>
        <w:bCs/>
        <w:color w:val="565555"/>
        <w:spacing w:val="-1"/>
        <w:w w:val="100"/>
        <w:sz w:val="24"/>
        <w:szCs w:val="24"/>
        <w:lang w:val="en-US" w:eastAsia="en-US" w:bidi="ar-SA"/>
      </w:rPr>
    </w:lvl>
    <w:lvl w:ilvl="2">
      <w:start w:val="1"/>
      <w:numFmt w:val="upperLetter"/>
      <w:lvlText w:val="%3."/>
      <w:lvlJc w:val="left"/>
      <w:pPr>
        <w:ind w:left="1387" w:hanging="480"/>
      </w:pPr>
      <w:rPr>
        <w:rFonts w:ascii="Arial" w:eastAsia="Arial" w:hAnsi="Arial" w:cs="Arial" w:hint="default"/>
        <w:w w:val="100"/>
        <w:sz w:val="24"/>
        <w:szCs w:val="24"/>
        <w:lang w:val="en-US" w:eastAsia="en-US" w:bidi="ar-SA"/>
      </w:rPr>
    </w:lvl>
    <w:lvl w:ilvl="3">
      <w:start w:val="1"/>
      <w:numFmt w:val="decimal"/>
      <w:lvlText w:val="%4."/>
      <w:lvlJc w:val="left"/>
      <w:pPr>
        <w:ind w:left="1387" w:hanging="480"/>
      </w:pPr>
      <w:rPr>
        <w:rFonts w:ascii="Arial" w:eastAsia="Arial" w:hAnsi="Arial" w:cs="Arial" w:hint="default"/>
        <w:spacing w:val="-1"/>
        <w:w w:val="100"/>
        <w:sz w:val="24"/>
        <w:szCs w:val="24"/>
        <w:lang w:val="en-US" w:eastAsia="en-US" w:bidi="ar-SA"/>
      </w:rPr>
    </w:lvl>
    <w:lvl w:ilvl="4">
      <w:numFmt w:val="bullet"/>
      <w:lvlText w:val="•"/>
      <w:lvlJc w:val="left"/>
      <w:pPr>
        <w:ind w:left="4768" w:hanging="480"/>
      </w:pPr>
      <w:rPr>
        <w:rFonts w:hint="default"/>
        <w:lang w:val="en-US" w:eastAsia="en-US" w:bidi="ar-SA"/>
      </w:rPr>
    </w:lvl>
    <w:lvl w:ilvl="5">
      <w:numFmt w:val="bullet"/>
      <w:lvlText w:val="•"/>
      <w:lvlJc w:val="left"/>
      <w:pPr>
        <w:ind w:left="5844" w:hanging="480"/>
      </w:pPr>
      <w:rPr>
        <w:rFonts w:hint="default"/>
        <w:lang w:val="en-US" w:eastAsia="en-US" w:bidi="ar-SA"/>
      </w:rPr>
    </w:lvl>
    <w:lvl w:ilvl="6">
      <w:numFmt w:val="bullet"/>
      <w:lvlText w:val="•"/>
      <w:lvlJc w:val="left"/>
      <w:pPr>
        <w:ind w:left="6920" w:hanging="480"/>
      </w:pPr>
      <w:rPr>
        <w:rFonts w:hint="default"/>
        <w:lang w:val="en-US" w:eastAsia="en-US" w:bidi="ar-SA"/>
      </w:rPr>
    </w:lvl>
    <w:lvl w:ilvl="7">
      <w:numFmt w:val="bullet"/>
      <w:lvlText w:val="•"/>
      <w:lvlJc w:val="left"/>
      <w:pPr>
        <w:ind w:left="7997" w:hanging="480"/>
      </w:pPr>
      <w:rPr>
        <w:rFonts w:hint="default"/>
        <w:lang w:val="en-US" w:eastAsia="en-US" w:bidi="ar-SA"/>
      </w:rPr>
    </w:lvl>
    <w:lvl w:ilvl="8">
      <w:numFmt w:val="bullet"/>
      <w:lvlText w:val="•"/>
      <w:lvlJc w:val="left"/>
      <w:pPr>
        <w:ind w:left="9073" w:hanging="480"/>
      </w:pPr>
      <w:rPr>
        <w:rFonts w:hint="default"/>
        <w:lang w:val="en-US" w:eastAsia="en-US" w:bidi="ar-SA"/>
      </w:rPr>
    </w:lvl>
  </w:abstractNum>
  <w:abstractNum w:abstractNumId="5" w15:restartNumberingAfterBreak="0">
    <w:nsid w:val="3D9B2B84"/>
    <w:multiLevelType w:val="hybridMultilevel"/>
    <w:tmpl w:val="850CBABC"/>
    <w:lvl w:ilvl="0" w:tplc="626675B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B4633"/>
    <w:multiLevelType w:val="hybridMultilevel"/>
    <w:tmpl w:val="8EFE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E5656"/>
    <w:multiLevelType w:val="hybridMultilevel"/>
    <w:tmpl w:val="D56085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1F0070"/>
    <w:multiLevelType w:val="hybridMultilevel"/>
    <w:tmpl w:val="008EC902"/>
    <w:lvl w:ilvl="0" w:tplc="C52498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E800FA"/>
    <w:multiLevelType w:val="hybridMultilevel"/>
    <w:tmpl w:val="BDF28BE8"/>
    <w:lvl w:ilvl="0" w:tplc="E8744B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82603D"/>
    <w:multiLevelType w:val="hybridMultilevel"/>
    <w:tmpl w:val="C9CE68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6B02D9"/>
    <w:multiLevelType w:val="multilevel"/>
    <w:tmpl w:val="C8F60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5302846">
    <w:abstractNumId w:val="9"/>
  </w:num>
  <w:num w:numId="2" w16cid:durableId="181867866">
    <w:abstractNumId w:val="6"/>
  </w:num>
  <w:num w:numId="3" w16cid:durableId="1455128242">
    <w:abstractNumId w:val="1"/>
  </w:num>
  <w:num w:numId="4" w16cid:durableId="1173253089">
    <w:abstractNumId w:val="8"/>
  </w:num>
  <w:num w:numId="5" w16cid:durableId="349530051">
    <w:abstractNumId w:val="0"/>
  </w:num>
  <w:num w:numId="6" w16cid:durableId="1827822742">
    <w:abstractNumId w:val="8"/>
  </w:num>
  <w:num w:numId="7" w16cid:durableId="1105419359">
    <w:abstractNumId w:val="11"/>
  </w:num>
  <w:num w:numId="8" w16cid:durableId="188371055">
    <w:abstractNumId w:val="2"/>
  </w:num>
  <w:num w:numId="9" w16cid:durableId="1150514636">
    <w:abstractNumId w:val="8"/>
  </w:num>
  <w:num w:numId="10" w16cid:durableId="1445811392">
    <w:abstractNumId w:val="8"/>
  </w:num>
  <w:num w:numId="11" w16cid:durableId="2079933146">
    <w:abstractNumId w:val="8"/>
  </w:num>
  <w:num w:numId="12" w16cid:durableId="1609311781">
    <w:abstractNumId w:val="7"/>
  </w:num>
  <w:num w:numId="13" w16cid:durableId="768698567">
    <w:abstractNumId w:val="8"/>
  </w:num>
  <w:num w:numId="14" w16cid:durableId="226310108">
    <w:abstractNumId w:val="8"/>
  </w:num>
  <w:num w:numId="15" w16cid:durableId="2010253138">
    <w:abstractNumId w:val="3"/>
  </w:num>
  <w:num w:numId="16" w16cid:durableId="488135360">
    <w:abstractNumId w:val="8"/>
  </w:num>
  <w:num w:numId="17" w16cid:durableId="2040425884">
    <w:abstractNumId w:val="8"/>
  </w:num>
  <w:num w:numId="18" w16cid:durableId="1144783836">
    <w:abstractNumId w:val="8"/>
  </w:num>
  <w:num w:numId="19" w16cid:durableId="746268739">
    <w:abstractNumId w:val="8"/>
  </w:num>
  <w:num w:numId="20" w16cid:durableId="1200343">
    <w:abstractNumId w:val="4"/>
  </w:num>
  <w:num w:numId="21" w16cid:durableId="532772013">
    <w:abstractNumId w:val="5"/>
  </w:num>
  <w:num w:numId="22" w16cid:durableId="1549301583">
    <w:abstractNumId w:val="10"/>
  </w:num>
  <w:num w:numId="23" w16cid:durableId="1910068747">
    <w:abstractNumId w:val="12"/>
  </w:num>
  <w:num w:numId="24" w16cid:durableId="1965844683">
    <w:abstractNumId w:val="5"/>
  </w:num>
  <w:num w:numId="25" w16cid:durableId="812794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E1"/>
    <w:rsid w:val="00043426"/>
    <w:rsid w:val="00054FAA"/>
    <w:rsid w:val="00056D2F"/>
    <w:rsid w:val="000729BA"/>
    <w:rsid w:val="00073A0B"/>
    <w:rsid w:val="00081107"/>
    <w:rsid w:val="00084AFF"/>
    <w:rsid w:val="00095D00"/>
    <w:rsid w:val="000A5F95"/>
    <w:rsid w:val="000B0DA5"/>
    <w:rsid w:val="000D108F"/>
    <w:rsid w:val="000F4084"/>
    <w:rsid w:val="00136029"/>
    <w:rsid w:val="00153C30"/>
    <w:rsid w:val="00164414"/>
    <w:rsid w:val="00175458"/>
    <w:rsid w:val="00183F03"/>
    <w:rsid w:val="001D5079"/>
    <w:rsid w:val="001F59BF"/>
    <w:rsid w:val="00207897"/>
    <w:rsid w:val="00224535"/>
    <w:rsid w:val="002276E1"/>
    <w:rsid w:val="002B2178"/>
    <w:rsid w:val="002F4BA4"/>
    <w:rsid w:val="00302442"/>
    <w:rsid w:val="003148C2"/>
    <w:rsid w:val="00316B7E"/>
    <w:rsid w:val="00320BDD"/>
    <w:rsid w:val="00325C96"/>
    <w:rsid w:val="00331753"/>
    <w:rsid w:val="003323AE"/>
    <w:rsid w:val="00333602"/>
    <w:rsid w:val="00345E94"/>
    <w:rsid w:val="0035195C"/>
    <w:rsid w:val="0036569F"/>
    <w:rsid w:val="00380A3D"/>
    <w:rsid w:val="00380C64"/>
    <w:rsid w:val="00391B2D"/>
    <w:rsid w:val="003A713B"/>
    <w:rsid w:val="003C1A1C"/>
    <w:rsid w:val="003C1AC9"/>
    <w:rsid w:val="003E1F5E"/>
    <w:rsid w:val="003E4876"/>
    <w:rsid w:val="00402EFF"/>
    <w:rsid w:val="00407693"/>
    <w:rsid w:val="0041454A"/>
    <w:rsid w:val="00432BDD"/>
    <w:rsid w:val="00444D39"/>
    <w:rsid w:val="00452CE3"/>
    <w:rsid w:val="00453DE7"/>
    <w:rsid w:val="00476456"/>
    <w:rsid w:val="00481543"/>
    <w:rsid w:val="00481660"/>
    <w:rsid w:val="0048474E"/>
    <w:rsid w:val="004B7704"/>
    <w:rsid w:val="004C2FF5"/>
    <w:rsid w:val="004C43D4"/>
    <w:rsid w:val="004C5FE1"/>
    <w:rsid w:val="004E2D6B"/>
    <w:rsid w:val="004F121A"/>
    <w:rsid w:val="004F1584"/>
    <w:rsid w:val="0052512D"/>
    <w:rsid w:val="005C1907"/>
    <w:rsid w:val="005E2B5C"/>
    <w:rsid w:val="00605083"/>
    <w:rsid w:val="00610D1B"/>
    <w:rsid w:val="00650DCA"/>
    <w:rsid w:val="006608D8"/>
    <w:rsid w:val="006856CD"/>
    <w:rsid w:val="00687DE3"/>
    <w:rsid w:val="006A5FF1"/>
    <w:rsid w:val="006B1298"/>
    <w:rsid w:val="006D2F18"/>
    <w:rsid w:val="006D2F82"/>
    <w:rsid w:val="006E69FC"/>
    <w:rsid w:val="006F437D"/>
    <w:rsid w:val="00735548"/>
    <w:rsid w:val="0074222F"/>
    <w:rsid w:val="007518C4"/>
    <w:rsid w:val="0076034D"/>
    <w:rsid w:val="00761353"/>
    <w:rsid w:val="0077185F"/>
    <w:rsid w:val="00786AE3"/>
    <w:rsid w:val="00796432"/>
    <w:rsid w:val="007E1DDA"/>
    <w:rsid w:val="007E2B3C"/>
    <w:rsid w:val="007E4D9A"/>
    <w:rsid w:val="00833AEE"/>
    <w:rsid w:val="008550C4"/>
    <w:rsid w:val="008724AF"/>
    <w:rsid w:val="00881BB7"/>
    <w:rsid w:val="008F0C38"/>
    <w:rsid w:val="008F6134"/>
    <w:rsid w:val="00904A5D"/>
    <w:rsid w:val="00915093"/>
    <w:rsid w:val="00920E83"/>
    <w:rsid w:val="0093420C"/>
    <w:rsid w:val="00970C0D"/>
    <w:rsid w:val="00983EB3"/>
    <w:rsid w:val="009C566C"/>
    <w:rsid w:val="009F0A0A"/>
    <w:rsid w:val="00A16485"/>
    <w:rsid w:val="00A31CA8"/>
    <w:rsid w:val="00A46CB9"/>
    <w:rsid w:val="00A637E1"/>
    <w:rsid w:val="00A65281"/>
    <w:rsid w:val="00A65DAD"/>
    <w:rsid w:val="00A733C4"/>
    <w:rsid w:val="00A9145E"/>
    <w:rsid w:val="00AA25A6"/>
    <w:rsid w:val="00AA3649"/>
    <w:rsid w:val="00AA3DCE"/>
    <w:rsid w:val="00AB3FD1"/>
    <w:rsid w:val="00AD3FAE"/>
    <w:rsid w:val="00AF5891"/>
    <w:rsid w:val="00B1054F"/>
    <w:rsid w:val="00B10927"/>
    <w:rsid w:val="00B17200"/>
    <w:rsid w:val="00B25202"/>
    <w:rsid w:val="00B351E1"/>
    <w:rsid w:val="00B7462D"/>
    <w:rsid w:val="00BA412A"/>
    <w:rsid w:val="00BA49D2"/>
    <w:rsid w:val="00BE2A44"/>
    <w:rsid w:val="00BE38A3"/>
    <w:rsid w:val="00BF5BE4"/>
    <w:rsid w:val="00C123F7"/>
    <w:rsid w:val="00C1485A"/>
    <w:rsid w:val="00C15EDB"/>
    <w:rsid w:val="00C46C0E"/>
    <w:rsid w:val="00CA0993"/>
    <w:rsid w:val="00CD4F7C"/>
    <w:rsid w:val="00CE536B"/>
    <w:rsid w:val="00CF190B"/>
    <w:rsid w:val="00D06E83"/>
    <w:rsid w:val="00D2344A"/>
    <w:rsid w:val="00D304C2"/>
    <w:rsid w:val="00D47A88"/>
    <w:rsid w:val="00D50EFE"/>
    <w:rsid w:val="00D558B7"/>
    <w:rsid w:val="00D777A5"/>
    <w:rsid w:val="00D87B99"/>
    <w:rsid w:val="00D87E8B"/>
    <w:rsid w:val="00DA1A93"/>
    <w:rsid w:val="00DC2203"/>
    <w:rsid w:val="00DC4CE1"/>
    <w:rsid w:val="00E316C3"/>
    <w:rsid w:val="00E57DB9"/>
    <w:rsid w:val="00E65E0E"/>
    <w:rsid w:val="00E76A31"/>
    <w:rsid w:val="00E82BDE"/>
    <w:rsid w:val="00E873A0"/>
    <w:rsid w:val="00E97A2D"/>
    <w:rsid w:val="00EA55F9"/>
    <w:rsid w:val="00EE5508"/>
    <w:rsid w:val="00F0441A"/>
    <w:rsid w:val="00F16596"/>
    <w:rsid w:val="00F3030D"/>
    <w:rsid w:val="00F3330A"/>
    <w:rsid w:val="00F34DDA"/>
    <w:rsid w:val="00F47DA3"/>
    <w:rsid w:val="00F55087"/>
    <w:rsid w:val="00F605E1"/>
    <w:rsid w:val="00FB5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39F2"/>
  <w15:chartTrackingRefBased/>
  <w15:docId w15:val="{709031E1-063B-444E-9FAA-36E98455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9D2"/>
  </w:style>
  <w:style w:type="paragraph" w:styleId="Heading1">
    <w:name w:val="heading 1"/>
    <w:basedOn w:val="Normal"/>
    <w:next w:val="Normal"/>
    <w:link w:val="Heading1Char"/>
    <w:autoRedefine/>
    <w:uiPriority w:val="9"/>
    <w:qFormat/>
    <w:rsid w:val="00D2344A"/>
    <w:pPr>
      <w:keepNext/>
      <w:keepLines/>
      <w:spacing w:before="300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C123F7"/>
    <w:pPr>
      <w:spacing w:before="240" w:after="0" w:line="240" w:lineRule="auto"/>
      <w:outlineLvl w:val="1"/>
    </w:pPr>
    <w:rPr>
      <w:rFonts w:ascii="Arial" w:hAnsi="Arial" w:cs="Arial"/>
      <w:b/>
      <w:bCs/>
      <w:color w:val="2C5060" w:themeColor="accent1"/>
      <w:sz w:val="52"/>
      <w:szCs w:val="40"/>
    </w:rPr>
  </w:style>
  <w:style w:type="paragraph" w:styleId="Heading3">
    <w:name w:val="heading 3"/>
    <w:basedOn w:val="Normal"/>
    <w:next w:val="Normal"/>
    <w:link w:val="Heading3Char"/>
    <w:autoRedefine/>
    <w:uiPriority w:val="9"/>
    <w:unhideWhenUsed/>
    <w:qFormat/>
    <w:rsid w:val="00C123F7"/>
    <w:pPr>
      <w:spacing w:line="240" w:lineRule="auto"/>
      <w:outlineLvl w:val="2"/>
    </w:pPr>
    <w:rPr>
      <w:rFonts w:ascii="Arial" w:hAnsi="Arial" w:cs="Arial"/>
      <w:b/>
      <w:bCs/>
      <w:sz w:val="36"/>
      <w:szCs w:val="28"/>
    </w:rPr>
  </w:style>
  <w:style w:type="paragraph" w:styleId="Heading4">
    <w:name w:val="heading 4"/>
    <w:basedOn w:val="Normal"/>
    <w:next w:val="Normal"/>
    <w:link w:val="Heading4Char"/>
    <w:autoRedefine/>
    <w:uiPriority w:val="9"/>
    <w:unhideWhenUsed/>
    <w:qFormat/>
    <w:rsid w:val="00333602"/>
    <w:pPr>
      <w:spacing w:after="240" w:line="240" w:lineRule="auto"/>
      <w:outlineLvl w:val="3"/>
    </w:pPr>
    <w:rPr>
      <w:rFonts w:ascii="Arial" w:hAnsi="Arial" w:cs="Arial"/>
      <w:b/>
      <w:sz w:val="28"/>
    </w:rPr>
  </w:style>
  <w:style w:type="paragraph" w:styleId="Heading5">
    <w:name w:val="heading 5"/>
    <w:basedOn w:val="Normal"/>
    <w:next w:val="Normal"/>
    <w:link w:val="Heading5Char"/>
    <w:autoRedefine/>
    <w:uiPriority w:val="9"/>
    <w:unhideWhenUsed/>
    <w:qFormat/>
    <w:rsid w:val="00915093"/>
    <w:pPr>
      <w:outlineLvl w:val="4"/>
    </w:pPr>
    <w:rPr>
      <w:rFonts w:cs="Arial"/>
      <w:b/>
      <w:bCs/>
      <w:color w:val="5C5B5A"/>
    </w:rPr>
  </w:style>
  <w:style w:type="character" w:default="1" w:styleId="DefaultParagraphFont">
    <w:name w:val="Default Paragraph Font"/>
    <w:uiPriority w:val="1"/>
    <w:semiHidden/>
    <w:unhideWhenUsed/>
    <w:rsid w:val="00BA49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49D2"/>
  </w:style>
  <w:style w:type="character" w:customStyle="1" w:styleId="Heading1Char">
    <w:name w:val="Heading 1 Char"/>
    <w:basedOn w:val="DefaultParagraphFont"/>
    <w:link w:val="Heading1"/>
    <w:uiPriority w:val="9"/>
    <w:rsid w:val="00D2344A"/>
    <w:rPr>
      <w:rFonts w:ascii="Arial" w:eastAsiaTheme="majorEastAsia" w:hAnsi="Arial" w:cs="Arial"/>
      <w:b/>
      <w:bCs/>
      <w:noProof/>
      <w:color w:val="FFFFFF" w:themeColor="background1"/>
      <w:sz w:val="72"/>
      <w:szCs w:val="40"/>
    </w:rPr>
  </w:style>
  <w:style w:type="table" w:styleId="TableGrid">
    <w:name w:val="Table Grid"/>
    <w:aliases w:val="Kate table"/>
    <w:basedOn w:val="TableNormal"/>
    <w:uiPriority w:val="39"/>
    <w:rsid w:val="00915093"/>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DC4CE1"/>
    <w:pPr>
      <w:numPr>
        <w:numId w:val="21"/>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DC4CE1"/>
    <w:rPr>
      <w:rFonts w:ascii="Arial" w:hAnsi="Arial"/>
      <w:sz w:val="24"/>
      <w:szCs w:val="24"/>
    </w:rPr>
  </w:style>
  <w:style w:type="character" w:styleId="CommentReference">
    <w:name w:val="annotation reference"/>
    <w:basedOn w:val="DefaultParagraphFont"/>
    <w:uiPriority w:val="99"/>
    <w:semiHidden/>
    <w:unhideWhenUsed/>
    <w:rsid w:val="00915093"/>
    <w:rPr>
      <w:sz w:val="16"/>
      <w:szCs w:val="16"/>
    </w:rPr>
  </w:style>
  <w:style w:type="paragraph" w:styleId="CommentText">
    <w:name w:val="annotation text"/>
    <w:basedOn w:val="Normal"/>
    <w:link w:val="CommentTextChar"/>
    <w:uiPriority w:val="99"/>
    <w:unhideWhenUsed/>
    <w:rsid w:val="00915093"/>
    <w:pPr>
      <w:spacing w:line="240" w:lineRule="auto"/>
    </w:pPr>
    <w:rPr>
      <w:sz w:val="20"/>
      <w:szCs w:val="20"/>
    </w:rPr>
  </w:style>
  <w:style w:type="character" w:customStyle="1" w:styleId="CommentTextChar">
    <w:name w:val="Comment Text Char"/>
    <w:basedOn w:val="DefaultParagraphFont"/>
    <w:link w:val="CommentText"/>
    <w:uiPriority w:val="99"/>
    <w:rsid w:val="00915093"/>
    <w:rPr>
      <w:rFonts w:ascii="Arial" w:hAnsi="Arial"/>
      <w:sz w:val="20"/>
      <w:szCs w:val="20"/>
    </w:rPr>
  </w:style>
  <w:style w:type="paragraph" w:styleId="Header">
    <w:name w:val="header"/>
    <w:basedOn w:val="Normal"/>
    <w:link w:val="HeaderChar"/>
    <w:uiPriority w:val="99"/>
    <w:unhideWhenUsed/>
    <w:rsid w:val="0091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093"/>
    <w:rPr>
      <w:rFonts w:ascii="Arial" w:hAnsi="Arial"/>
      <w:sz w:val="24"/>
      <w:szCs w:val="24"/>
    </w:rPr>
  </w:style>
  <w:style w:type="character" w:styleId="Hyperlink">
    <w:name w:val="Hyperlink"/>
    <w:basedOn w:val="DefaultParagraphFont"/>
    <w:uiPriority w:val="99"/>
    <w:unhideWhenUsed/>
    <w:qFormat/>
    <w:rsid w:val="00915093"/>
    <w:rPr>
      <w:rFonts w:ascii="Arial" w:hAnsi="Arial"/>
      <w:b/>
      <w:color w:val="D5573B" w:themeColor="accent2"/>
      <w:u w:val="single"/>
    </w:rPr>
  </w:style>
  <w:style w:type="paragraph" w:customStyle="1" w:styleId="PageNumber1">
    <w:name w:val="Page Number1"/>
    <w:basedOn w:val="Footer"/>
    <w:link w:val="PagenumberChar"/>
    <w:qFormat/>
    <w:rsid w:val="00915093"/>
    <w:pPr>
      <w:jc w:val="right"/>
    </w:pPr>
    <w:rPr>
      <w:b/>
      <w:color w:val="2C5060" w:themeColor="accent1"/>
      <w:sz w:val="28"/>
    </w:rPr>
  </w:style>
  <w:style w:type="character" w:customStyle="1" w:styleId="PagenumberChar">
    <w:name w:val="Page number Char"/>
    <w:basedOn w:val="FooterChar"/>
    <w:link w:val="PageNumber1"/>
    <w:rsid w:val="00915093"/>
    <w:rPr>
      <w:rFonts w:ascii="Arial" w:hAnsi="Arial"/>
      <w:b/>
      <w:color w:val="2C5060" w:themeColor="accent1"/>
      <w:sz w:val="28"/>
      <w:szCs w:val="24"/>
    </w:rPr>
  </w:style>
  <w:style w:type="paragraph" w:styleId="Footer">
    <w:name w:val="footer"/>
    <w:basedOn w:val="Normal"/>
    <w:link w:val="FooterChar"/>
    <w:autoRedefine/>
    <w:uiPriority w:val="99"/>
    <w:unhideWhenUsed/>
    <w:qFormat/>
    <w:rsid w:val="00915093"/>
    <w:pPr>
      <w:tabs>
        <w:tab w:val="center" w:pos="4513"/>
        <w:tab w:val="right" w:pos="9026"/>
      </w:tabs>
      <w:spacing w:before="120" w:after="0" w:line="240" w:lineRule="auto"/>
    </w:pPr>
    <w:rPr>
      <w:color w:val="D5573B" w:themeColor="accent2"/>
    </w:rPr>
  </w:style>
  <w:style w:type="character" w:customStyle="1" w:styleId="FooterChar">
    <w:name w:val="Footer Char"/>
    <w:basedOn w:val="DefaultParagraphFont"/>
    <w:link w:val="Footer"/>
    <w:uiPriority w:val="99"/>
    <w:rsid w:val="00915093"/>
    <w:rPr>
      <w:rFonts w:ascii="Arial" w:hAnsi="Arial"/>
      <w:color w:val="D5573B" w:themeColor="accent2"/>
      <w:sz w:val="24"/>
      <w:szCs w:val="24"/>
    </w:rPr>
  </w:style>
  <w:style w:type="paragraph" w:styleId="Revision">
    <w:name w:val="Revision"/>
    <w:hidden/>
    <w:uiPriority w:val="99"/>
    <w:semiHidden/>
    <w:rsid w:val="006D2F18"/>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qFormat/>
    <w:rsid w:val="00915093"/>
    <w:rPr>
      <w:b/>
      <w:color w:val="323E4F" w:themeColor="text2" w:themeShade="BF"/>
      <w:u w:val="single"/>
    </w:rPr>
  </w:style>
  <w:style w:type="paragraph" w:styleId="CommentSubject">
    <w:name w:val="annotation subject"/>
    <w:basedOn w:val="CommentText"/>
    <w:next w:val="CommentText"/>
    <w:link w:val="CommentSubjectChar"/>
    <w:uiPriority w:val="99"/>
    <w:semiHidden/>
    <w:unhideWhenUsed/>
    <w:rsid w:val="00915093"/>
    <w:rPr>
      <w:b/>
      <w:bCs/>
    </w:rPr>
  </w:style>
  <w:style w:type="character" w:customStyle="1" w:styleId="CommentSubjectChar">
    <w:name w:val="Comment Subject Char"/>
    <w:basedOn w:val="CommentTextChar"/>
    <w:link w:val="CommentSubject"/>
    <w:uiPriority w:val="99"/>
    <w:semiHidden/>
    <w:rsid w:val="00915093"/>
    <w:rPr>
      <w:rFonts w:ascii="Arial" w:hAnsi="Arial"/>
      <w:b/>
      <w:bCs/>
      <w:sz w:val="20"/>
      <w:szCs w:val="20"/>
    </w:rPr>
  </w:style>
  <w:style w:type="character" w:customStyle="1" w:styleId="Heading2Char">
    <w:name w:val="Heading 2 Char"/>
    <w:basedOn w:val="DefaultParagraphFont"/>
    <w:link w:val="Heading2"/>
    <w:uiPriority w:val="9"/>
    <w:rsid w:val="00C123F7"/>
    <w:rPr>
      <w:rFonts w:ascii="Arial" w:hAnsi="Arial" w:cs="Arial"/>
      <w:b/>
      <w:bCs/>
      <w:color w:val="2C5060" w:themeColor="accent1"/>
      <w:sz w:val="52"/>
      <w:szCs w:val="40"/>
    </w:rPr>
  </w:style>
  <w:style w:type="character" w:customStyle="1" w:styleId="Heading3Char">
    <w:name w:val="Heading 3 Char"/>
    <w:basedOn w:val="DefaultParagraphFont"/>
    <w:link w:val="Heading3"/>
    <w:uiPriority w:val="9"/>
    <w:rsid w:val="00C123F7"/>
    <w:rPr>
      <w:rFonts w:ascii="Arial" w:hAnsi="Arial" w:cs="Arial"/>
      <w:b/>
      <w:bCs/>
      <w:sz w:val="36"/>
      <w:szCs w:val="28"/>
    </w:rPr>
  </w:style>
  <w:style w:type="character" w:customStyle="1" w:styleId="Heading4Char">
    <w:name w:val="Heading 4 Char"/>
    <w:basedOn w:val="DefaultParagraphFont"/>
    <w:link w:val="Heading4"/>
    <w:uiPriority w:val="9"/>
    <w:rsid w:val="00333602"/>
    <w:rPr>
      <w:rFonts w:ascii="Arial" w:hAnsi="Arial" w:cs="Arial"/>
      <w:b/>
      <w:sz w:val="28"/>
    </w:rPr>
  </w:style>
  <w:style w:type="character" w:customStyle="1" w:styleId="Heading5Char">
    <w:name w:val="Heading 5 Char"/>
    <w:basedOn w:val="DefaultParagraphFont"/>
    <w:link w:val="Heading5"/>
    <w:uiPriority w:val="9"/>
    <w:rsid w:val="00915093"/>
    <w:rPr>
      <w:rFonts w:ascii="Arial" w:hAnsi="Arial" w:cs="Arial"/>
      <w:b/>
      <w:bCs/>
      <w:color w:val="5C5B5A"/>
      <w:sz w:val="24"/>
      <w:szCs w:val="24"/>
    </w:rPr>
  </w:style>
  <w:style w:type="paragraph" w:styleId="NoSpacing">
    <w:name w:val="No Spacing"/>
    <w:link w:val="NoSpacingChar"/>
    <w:autoRedefine/>
    <w:uiPriority w:val="1"/>
    <w:qFormat/>
    <w:rsid w:val="00915093"/>
    <w:pPr>
      <w:spacing w:after="0" w:line="240" w:lineRule="auto"/>
    </w:pPr>
    <w:rPr>
      <w:rFonts w:ascii="Arial" w:hAnsi="Arial"/>
      <w:color w:val="262626" w:themeColor="text1" w:themeTint="D9"/>
      <w:sz w:val="24"/>
      <w:szCs w:val="24"/>
    </w:rPr>
  </w:style>
  <w:style w:type="paragraph" w:styleId="Title">
    <w:name w:val="Title"/>
    <w:basedOn w:val="Normal"/>
    <w:next w:val="Normal"/>
    <w:link w:val="TitleChar"/>
    <w:uiPriority w:val="10"/>
    <w:qFormat/>
    <w:rsid w:val="00915093"/>
    <w:pPr>
      <w:spacing w:after="280" w:line="780" w:lineRule="exact"/>
    </w:pPr>
    <w:rPr>
      <w:color w:val="FFFFFF" w:themeColor="background1"/>
      <w:sz w:val="65"/>
      <w:szCs w:val="65"/>
    </w:rPr>
  </w:style>
  <w:style w:type="character" w:customStyle="1" w:styleId="TitleChar">
    <w:name w:val="Title Char"/>
    <w:basedOn w:val="DefaultParagraphFont"/>
    <w:link w:val="Title"/>
    <w:uiPriority w:val="10"/>
    <w:rsid w:val="00915093"/>
    <w:rPr>
      <w:color w:val="FFFFFF" w:themeColor="background1"/>
      <w:sz w:val="65"/>
      <w:szCs w:val="65"/>
    </w:rPr>
  </w:style>
  <w:style w:type="paragraph" w:customStyle="1" w:styleId="Whitecoverelement">
    <w:name w:val="White cover element"/>
    <w:basedOn w:val="Normal"/>
    <w:link w:val="WhitecoverelementChar"/>
    <w:autoRedefine/>
    <w:rsid w:val="00915093"/>
    <w:rPr>
      <w:b/>
      <w:color w:val="FFFFFF" w:themeColor="background1"/>
      <w:sz w:val="36"/>
    </w:rPr>
  </w:style>
  <w:style w:type="character" w:customStyle="1" w:styleId="WhitecoverelementChar">
    <w:name w:val="White cover element Char"/>
    <w:basedOn w:val="DefaultParagraphFont"/>
    <w:link w:val="Whitecoverelement"/>
    <w:rsid w:val="00915093"/>
    <w:rPr>
      <w:rFonts w:ascii="Arial" w:hAnsi="Arial"/>
      <w:b/>
      <w:color w:val="FFFFFF" w:themeColor="background1"/>
      <w:sz w:val="36"/>
      <w:szCs w:val="24"/>
    </w:rPr>
  </w:style>
  <w:style w:type="paragraph" w:customStyle="1" w:styleId="Whitesmall">
    <w:name w:val="White small"/>
    <w:basedOn w:val="Normal"/>
    <w:link w:val="WhitesmallChar"/>
    <w:autoRedefine/>
    <w:rsid w:val="00915093"/>
    <w:rPr>
      <w:color w:val="FFFFFF" w:themeColor="background1"/>
      <w:sz w:val="32"/>
    </w:rPr>
  </w:style>
  <w:style w:type="character" w:customStyle="1" w:styleId="WhitesmallChar">
    <w:name w:val="White small Char"/>
    <w:basedOn w:val="DefaultParagraphFont"/>
    <w:link w:val="Whitesmall"/>
    <w:rsid w:val="00915093"/>
    <w:rPr>
      <w:rFonts w:ascii="Arial" w:hAnsi="Arial"/>
      <w:color w:val="FFFFFF" w:themeColor="background1"/>
      <w:sz w:val="32"/>
      <w:szCs w:val="24"/>
    </w:rPr>
  </w:style>
  <w:style w:type="character" w:styleId="FootnoteReference">
    <w:name w:val="footnote reference"/>
    <w:basedOn w:val="DefaultParagraphFont"/>
    <w:uiPriority w:val="99"/>
    <w:unhideWhenUsed/>
    <w:qFormat/>
    <w:rsid w:val="00915093"/>
    <w:rPr>
      <w:rFonts w:ascii="Arial" w:hAnsi="Arial"/>
      <w:sz w:val="24"/>
      <w:bdr w:val="none" w:sz="0" w:space="0" w:color="auto"/>
      <w:vertAlign w:val="superscript"/>
    </w:rPr>
  </w:style>
  <w:style w:type="paragraph" w:styleId="BalloonText">
    <w:name w:val="Balloon Text"/>
    <w:basedOn w:val="Normal"/>
    <w:link w:val="BalloonTextChar"/>
    <w:uiPriority w:val="99"/>
    <w:semiHidden/>
    <w:unhideWhenUsed/>
    <w:rsid w:val="00915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093"/>
    <w:rPr>
      <w:rFonts w:ascii="Segoe UI" w:hAnsi="Segoe UI" w:cs="Segoe UI"/>
      <w:sz w:val="18"/>
      <w:szCs w:val="18"/>
    </w:rPr>
  </w:style>
  <w:style w:type="paragraph" w:customStyle="1" w:styleId="Default">
    <w:name w:val="Default"/>
    <w:rsid w:val="00915093"/>
    <w:pPr>
      <w:autoSpaceDE w:val="0"/>
      <w:autoSpaceDN w:val="0"/>
      <w:adjustRightInd w:val="0"/>
      <w:spacing w:after="0" w:line="240" w:lineRule="auto"/>
    </w:pPr>
    <w:rPr>
      <w:rFonts w:ascii="FGAZL W+ Colfax" w:hAnsi="FGAZL W+ Colfax" w:cs="FGAZL W+ Colfax"/>
      <w:color w:val="000000"/>
      <w:sz w:val="24"/>
      <w:szCs w:val="24"/>
    </w:rPr>
  </w:style>
  <w:style w:type="character" w:styleId="EndnoteReference">
    <w:name w:val="endnote reference"/>
    <w:basedOn w:val="DefaultParagraphFont"/>
    <w:uiPriority w:val="99"/>
    <w:semiHidden/>
    <w:unhideWhenUsed/>
    <w:rsid w:val="00915093"/>
    <w:rPr>
      <w:vertAlign w:val="superscript"/>
    </w:rPr>
  </w:style>
  <w:style w:type="paragraph" w:styleId="EndnoteText">
    <w:name w:val="endnote text"/>
    <w:basedOn w:val="Normal"/>
    <w:link w:val="EndnoteTextChar"/>
    <w:uiPriority w:val="99"/>
    <w:semiHidden/>
    <w:unhideWhenUsed/>
    <w:rsid w:val="009150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5093"/>
    <w:rPr>
      <w:rFonts w:ascii="Arial" w:hAnsi="Arial"/>
      <w:sz w:val="20"/>
      <w:szCs w:val="20"/>
    </w:rPr>
  </w:style>
  <w:style w:type="character" w:customStyle="1" w:styleId="eop">
    <w:name w:val="eop"/>
    <w:basedOn w:val="DefaultParagraphFont"/>
    <w:rsid w:val="00915093"/>
  </w:style>
  <w:style w:type="paragraph" w:styleId="FootnoteText">
    <w:name w:val="footnote text"/>
    <w:basedOn w:val="Normal"/>
    <w:link w:val="FootnoteTextChar"/>
    <w:uiPriority w:val="99"/>
    <w:unhideWhenUsed/>
    <w:rsid w:val="00915093"/>
    <w:pPr>
      <w:spacing w:after="0" w:line="240" w:lineRule="auto"/>
    </w:pPr>
    <w:rPr>
      <w:sz w:val="20"/>
      <w:szCs w:val="20"/>
    </w:rPr>
  </w:style>
  <w:style w:type="character" w:customStyle="1" w:styleId="FootnoteTextChar">
    <w:name w:val="Footnote Text Char"/>
    <w:basedOn w:val="DefaultParagraphFont"/>
    <w:link w:val="FootnoteText"/>
    <w:uiPriority w:val="99"/>
    <w:rsid w:val="00915093"/>
    <w:rPr>
      <w:rFonts w:ascii="Arial" w:hAnsi="Arial"/>
      <w:sz w:val="20"/>
      <w:szCs w:val="20"/>
    </w:rPr>
  </w:style>
  <w:style w:type="paragraph" w:styleId="NormalWeb">
    <w:name w:val="Normal (Web)"/>
    <w:aliases w:val="Numbered paragraphs"/>
    <w:basedOn w:val="Normal"/>
    <w:autoRedefine/>
    <w:uiPriority w:val="99"/>
    <w:unhideWhenUsed/>
    <w:rsid w:val="00915093"/>
    <w:pPr>
      <w:numPr>
        <w:numId w:val="22"/>
      </w:numPr>
      <w:shd w:val="clear" w:color="auto" w:fill="FFFFFF"/>
      <w:spacing w:after="225"/>
    </w:pPr>
    <w:rPr>
      <w:rFonts w:eastAsia="Times New Roman"/>
      <w:lang w:eastAsia="en-GB"/>
    </w:rPr>
  </w:style>
  <w:style w:type="character" w:customStyle="1" w:styleId="normaltextrun">
    <w:name w:val="normaltextrun"/>
    <w:basedOn w:val="DefaultParagraphFont"/>
    <w:rsid w:val="00915093"/>
  </w:style>
  <w:style w:type="paragraph" w:customStyle="1" w:styleId="paragraph">
    <w:name w:val="paragraph"/>
    <w:basedOn w:val="Normal"/>
    <w:rsid w:val="00915093"/>
    <w:pPr>
      <w:spacing w:before="100" w:beforeAutospacing="1" w:after="100" w:afterAutospacing="1" w:line="240" w:lineRule="auto"/>
    </w:pPr>
    <w:rPr>
      <w:rFonts w:ascii="Times New Roman" w:eastAsia="Times New Roman" w:hAnsi="Times New Roman"/>
      <w:lang w:eastAsia="en-GB"/>
    </w:rPr>
  </w:style>
  <w:style w:type="table" w:styleId="PlainTable1">
    <w:name w:val="Plain Table 1"/>
    <w:basedOn w:val="TableNormal"/>
    <w:uiPriority w:val="41"/>
    <w:rsid w:val="00915093"/>
    <w:pPr>
      <w:spacing w:after="0" w:line="240" w:lineRule="auto"/>
    </w:pPr>
    <w:rPr>
      <w:rFonts w:ascii="Arial" w:hAnsi="Arial"/>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rsid w:val="00915093"/>
    <w:rPr>
      <w:b/>
      <w:bCs/>
    </w:rPr>
  </w:style>
  <w:style w:type="paragraph" w:styleId="Subtitle">
    <w:name w:val="Subtitle"/>
    <w:basedOn w:val="Normal"/>
    <w:next w:val="Normal"/>
    <w:link w:val="SubtitleChar"/>
    <w:uiPriority w:val="11"/>
    <w:qFormat/>
    <w:rsid w:val="00915093"/>
    <w:rPr>
      <w:b/>
      <w:bCs/>
      <w:color w:val="FFFFFF" w:themeColor="background1"/>
      <w:sz w:val="32"/>
      <w:szCs w:val="28"/>
    </w:rPr>
  </w:style>
  <w:style w:type="character" w:customStyle="1" w:styleId="SubtitleChar">
    <w:name w:val="Subtitle Char"/>
    <w:basedOn w:val="DefaultParagraphFont"/>
    <w:link w:val="Subtitle"/>
    <w:uiPriority w:val="11"/>
    <w:rsid w:val="00915093"/>
    <w:rPr>
      <w:rFonts w:ascii="Arial" w:hAnsi="Arial"/>
      <w:b/>
      <w:bCs/>
      <w:color w:val="FFFFFF" w:themeColor="background1"/>
      <w:sz w:val="32"/>
      <w:szCs w:val="28"/>
    </w:rPr>
  </w:style>
  <w:style w:type="paragraph" w:styleId="TOC1">
    <w:name w:val="toc 1"/>
    <w:basedOn w:val="Normal"/>
    <w:next w:val="Normal"/>
    <w:autoRedefine/>
    <w:uiPriority w:val="39"/>
    <w:unhideWhenUsed/>
    <w:rsid w:val="00915093"/>
    <w:pPr>
      <w:tabs>
        <w:tab w:val="right" w:leader="dot" w:pos="9016"/>
      </w:tabs>
      <w:spacing w:after="100"/>
    </w:pPr>
    <w:rPr>
      <w:rFonts w:eastAsiaTheme="minorEastAsia"/>
      <w:bCs/>
      <w:noProof/>
      <w:lang w:val="en-US"/>
    </w:rPr>
  </w:style>
  <w:style w:type="paragraph" w:styleId="TOC2">
    <w:name w:val="toc 2"/>
    <w:basedOn w:val="Normal"/>
    <w:next w:val="Normal"/>
    <w:autoRedefine/>
    <w:uiPriority w:val="39"/>
    <w:unhideWhenUsed/>
    <w:rsid w:val="00915093"/>
    <w:pPr>
      <w:spacing w:after="100"/>
    </w:pPr>
    <w:rPr>
      <w:rFonts w:eastAsiaTheme="minorEastAsia"/>
      <w:lang w:val="en-US"/>
    </w:rPr>
  </w:style>
  <w:style w:type="paragraph" w:styleId="TOC3">
    <w:name w:val="toc 3"/>
    <w:basedOn w:val="Normal"/>
    <w:next w:val="Normal"/>
    <w:autoRedefine/>
    <w:uiPriority w:val="39"/>
    <w:unhideWhenUsed/>
    <w:rsid w:val="00915093"/>
    <w:pPr>
      <w:spacing w:after="100"/>
    </w:pPr>
    <w:rPr>
      <w:rFonts w:eastAsiaTheme="minorEastAsia"/>
      <w:lang w:val="en-US"/>
    </w:rPr>
  </w:style>
  <w:style w:type="paragraph" w:styleId="TOCHeading">
    <w:name w:val="TOC Heading"/>
    <w:basedOn w:val="Heading1"/>
    <w:next w:val="Normal"/>
    <w:uiPriority w:val="39"/>
    <w:unhideWhenUsed/>
    <w:rsid w:val="00915093"/>
    <w:pPr>
      <w:outlineLvl w:val="9"/>
    </w:pPr>
    <w:rPr>
      <w:rFonts w:asciiTheme="majorHAnsi" w:hAnsiTheme="majorHAnsi" w:cstheme="majorBidi"/>
      <w:b w:val="0"/>
      <w:bCs w:val="0"/>
      <w:noProof w:val="0"/>
      <w:color w:val="213B47" w:themeColor="accent1" w:themeShade="BF"/>
      <w:sz w:val="32"/>
      <w:lang w:val="en-US"/>
    </w:rPr>
  </w:style>
  <w:style w:type="character" w:styleId="UnresolvedMention">
    <w:name w:val="Unresolved Mention"/>
    <w:basedOn w:val="DefaultParagraphFont"/>
    <w:uiPriority w:val="99"/>
    <w:semiHidden/>
    <w:unhideWhenUsed/>
    <w:rsid w:val="00915093"/>
    <w:rPr>
      <w:color w:val="605E5C"/>
      <w:shd w:val="clear" w:color="auto" w:fill="E1DFDD"/>
    </w:rPr>
  </w:style>
  <w:style w:type="table" w:customStyle="1" w:styleId="Katestable">
    <w:name w:val="Kate's table"/>
    <w:basedOn w:val="TableNormal"/>
    <w:uiPriority w:val="99"/>
    <w:rsid w:val="00915093"/>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imageindent">
    <w:name w:val="Inline image indent"/>
    <w:basedOn w:val="Normal"/>
    <w:link w:val="InlineimageindentChar"/>
    <w:autoRedefine/>
    <w:rsid w:val="00915093"/>
    <w:pPr>
      <w:ind w:left="709"/>
    </w:pPr>
    <w:rPr>
      <w:rFonts w:cs="Arial"/>
    </w:rPr>
  </w:style>
  <w:style w:type="character" w:customStyle="1" w:styleId="InlineimageindentChar">
    <w:name w:val="Inline image indent Char"/>
    <w:basedOn w:val="DefaultParagraphFont"/>
    <w:link w:val="Inlineimageindent"/>
    <w:rsid w:val="00915093"/>
    <w:rPr>
      <w:rFonts w:ascii="Arial" w:hAnsi="Arial" w:cs="Arial"/>
      <w:sz w:val="24"/>
      <w:szCs w:val="24"/>
    </w:rPr>
  </w:style>
  <w:style w:type="paragraph" w:styleId="BodyText">
    <w:name w:val="Body Text"/>
    <w:basedOn w:val="Normal"/>
    <w:link w:val="BodyTextChar"/>
    <w:uiPriority w:val="99"/>
    <w:semiHidden/>
    <w:unhideWhenUsed/>
    <w:rsid w:val="00915093"/>
    <w:pPr>
      <w:spacing w:after="120"/>
    </w:pPr>
  </w:style>
  <w:style w:type="character" w:customStyle="1" w:styleId="BodyTextChar">
    <w:name w:val="Body Text Char"/>
    <w:basedOn w:val="DefaultParagraphFont"/>
    <w:link w:val="BodyText"/>
    <w:uiPriority w:val="99"/>
    <w:semiHidden/>
    <w:rsid w:val="00915093"/>
    <w:rPr>
      <w:rFonts w:ascii="Arial" w:hAnsi="Arial"/>
      <w:sz w:val="24"/>
      <w:szCs w:val="24"/>
    </w:rPr>
  </w:style>
  <w:style w:type="character" w:customStyle="1" w:styleId="NoSpacingChar">
    <w:name w:val="No Spacing Char"/>
    <w:basedOn w:val="DefaultParagraphFont"/>
    <w:link w:val="NoSpacing"/>
    <w:uiPriority w:val="1"/>
    <w:rsid w:val="00915093"/>
    <w:rPr>
      <w:rFonts w:ascii="Arial" w:hAnsi="Arial"/>
      <w:color w:val="262626" w:themeColor="text1" w:themeTint="D9"/>
      <w:sz w:val="24"/>
      <w:szCs w:val="24"/>
    </w:rPr>
  </w:style>
  <w:style w:type="table" w:customStyle="1" w:styleId="KL-table">
    <w:name w:val="KL-table"/>
    <w:basedOn w:val="TableNormal"/>
    <w:uiPriority w:val="99"/>
    <w:rsid w:val="00915093"/>
    <w:pPr>
      <w:spacing w:after="0" w:line="240" w:lineRule="auto"/>
    </w:pPr>
    <w:rPr>
      <w:rFonts w:ascii="Arial" w:hAnsi="Arial"/>
      <w:sz w:val="24"/>
      <w:szCs w:val="24"/>
    </w:rPr>
    <w:tblPr/>
  </w:style>
  <w:style w:type="table" w:styleId="GridTable5Dark-Accent1">
    <w:name w:val="Grid Table 5 Dark Accent 1"/>
    <w:basedOn w:val="TableNormal"/>
    <w:uiPriority w:val="50"/>
    <w:rsid w:val="00A652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F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506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506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506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5060" w:themeFill="accent1"/>
      </w:tcPr>
    </w:tblStylePr>
    <w:tblStylePr w:type="band1Vert">
      <w:tblPr/>
      <w:tcPr>
        <w:shd w:val="clear" w:color="auto" w:fill="99BFD0" w:themeFill="accent1" w:themeFillTint="66"/>
      </w:tcPr>
    </w:tblStylePr>
    <w:tblStylePr w:type="band1Horz">
      <w:tblPr/>
      <w:tcPr>
        <w:shd w:val="clear" w:color="auto" w:fill="99BFD0" w:themeFill="accent1" w:themeFillTint="66"/>
      </w:tcPr>
    </w:tblStylePr>
  </w:style>
  <w:style w:type="paragraph" w:customStyle="1" w:styleId="Frontpagesub-title">
    <w:name w:val="Front page sub-title"/>
    <w:basedOn w:val="Normal"/>
    <w:link w:val="Frontpagesub-titleChar"/>
    <w:autoRedefine/>
    <w:qFormat/>
    <w:rsid w:val="00481543"/>
    <w:pPr>
      <w:spacing w:before="1200" w:line="240" w:lineRule="auto"/>
      <w:contextualSpacing/>
    </w:pPr>
    <w:rPr>
      <w:color w:val="FFFFFF" w:themeColor="background1"/>
      <w:sz w:val="36"/>
      <w:szCs w:val="32"/>
    </w:rPr>
  </w:style>
  <w:style w:type="character" w:customStyle="1" w:styleId="Frontpagesub-titleChar">
    <w:name w:val="Front page sub-title Char"/>
    <w:basedOn w:val="DefaultParagraphFont"/>
    <w:link w:val="Frontpagesub-title"/>
    <w:rsid w:val="00481543"/>
    <w:rPr>
      <w:rFonts w:ascii="Arial" w:hAnsi="Arial"/>
      <w:color w:val="FFFFFF" w:themeColor="background1"/>
      <w:sz w:val="36"/>
      <w:szCs w:val="32"/>
    </w:rPr>
  </w:style>
  <w:style w:type="paragraph" w:customStyle="1" w:styleId="pf0">
    <w:name w:val="pf0"/>
    <w:basedOn w:val="Normal"/>
    <w:rsid w:val="00DC4CE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DC4C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7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misweb.co.uk/datasets/c2021ts05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omisweb.co.uk/sources/census_2021" TargetMode="External"/><Relationship Id="rId7" Type="http://schemas.openxmlformats.org/officeDocument/2006/relationships/settings" Target="settings.xml"/><Relationship Id="rId12" Type="http://schemas.openxmlformats.org/officeDocument/2006/relationships/hyperlink" Target="https://www.ons.gov.uk/releases/housingcensus2021inenglandandwales" TargetMode="External"/><Relationship Id="rId17" Type="http://schemas.openxmlformats.org/officeDocument/2006/relationships/hyperlink" Target="https://www.nomisweb.co.uk/sources/census_20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omisweb.co.uk/datasets/c2021ts054" TargetMode="External"/><Relationship Id="rId23" Type="http://schemas.openxmlformats.org/officeDocument/2006/relationships/hyperlink" Target="https://www.nomisweb.co.uk/sources/census_202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releases/housingcensus2021inenglandandwales" TargetMode="External"/><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 Bar Graph'!$B$15</c:f>
              <c:strCache>
                <c:ptCount val="1"/>
                <c:pt idx="0">
                  <c:v>Owned</c:v>
                </c:pt>
              </c:strCache>
            </c:strRef>
          </c:tx>
          <c:spPr>
            <a:solidFill>
              <a:srgbClr val="2D516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Bar Graph'!$A$16:$A$27</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 Total</c:v>
                </c:pt>
                <c:pt idx="11">
                  <c:v>England</c:v>
                </c:pt>
              </c:strCache>
            </c:strRef>
          </c:cat>
          <c:val>
            <c:numRef>
              <c:f>'% Bar Graph'!$B$16:$B$27</c:f>
              <c:numCache>
                <c:formatCode>0%</c:formatCode>
                <c:ptCount val="12"/>
                <c:pt idx="0">
                  <c:v>0.61522855459213743</c:v>
                </c:pt>
                <c:pt idx="1">
                  <c:v>0.66907901259046298</c:v>
                </c:pt>
                <c:pt idx="2">
                  <c:v>0.37221161458575885</c:v>
                </c:pt>
                <c:pt idx="3">
                  <c:v>0.60370410135280228</c:v>
                </c:pt>
                <c:pt idx="4">
                  <c:v>0.60270222340449109</c:v>
                </c:pt>
                <c:pt idx="5">
                  <c:v>0.46967867473961272</c:v>
                </c:pt>
                <c:pt idx="6">
                  <c:v>0.71082843787505523</c:v>
                </c:pt>
                <c:pt idx="7">
                  <c:v>0.60808624795281685</c:v>
                </c:pt>
                <c:pt idx="8">
                  <c:v>0.68959893631387048</c:v>
                </c:pt>
                <c:pt idx="9">
                  <c:v>0.66369449005974634</c:v>
                </c:pt>
                <c:pt idx="10">
                  <c:v>0.58017269767552393</c:v>
                </c:pt>
                <c:pt idx="11">
                  <c:v>0.6131171225910812</c:v>
                </c:pt>
              </c:numCache>
            </c:numRef>
          </c:val>
          <c:extLst>
            <c:ext xmlns:c16="http://schemas.microsoft.com/office/drawing/2014/chart" uri="{C3380CC4-5D6E-409C-BE32-E72D297353CC}">
              <c16:uniqueId val="{00000000-A94E-44B3-8E29-1C854B8FD466}"/>
            </c:ext>
          </c:extLst>
        </c:ser>
        <c:ser>
          <c:idx val="1"/>
          <c:order val="1"/>
          <c:tx>
            <c:strRef>
              <c:f>'% Bar Graph'!$C$15</c:f>
              <c:strCache>
                <c:ptCount val="1"/>
                <c:pt idx="0">
                  <c:v>Shared ownership</c:v>
                </c:pt>
              </c:strCache>
            </c:strRef>
          </c:tx>
          <c:spPr>
            <a:solidFill>
              <a:srgbClr val="D5C5C8"/>
            </a:solidFill>
            <a:ln>
              <a:noFill/>
            </a:ln>
            <a:effectLst/>
          </c:spPr>
          <c:invertIfNegative val="0"/>
          <c:dLbls>
            <c:delete val="1"/>
          </c:dLbls>
          <c:cat>
            <c:strRef>
              <c:f>'% Bar Graph'!$A$16:$A$27</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 Total</c:v>
                </c:pt>
                <c:pt idx="11">
                  <c:v>England</c:v>
                </c:pt>
              </c:strCache>
            </c:strRef>
          </c:cat>
          <c:val>
            <c:numRef>
              <c:f>'% Bar Graph'!$C$16:$C$27</c:f>
              <c:numCache>
                <c:formatCode>0%</c:formatCode>
                <c:ptCount val="12"/>
                <c:pt idx="0">
                  <c:v>4.1501809916659653E-3</c:v>
                </c:pt>
                <c:pt idx="1">
                  <c:v>3.6185188856944581E-3</c:v>
                </c:pt>
                <c:pt idx="2">
                  <c:v>7.8191216877008338E-3</c:v>
                </c:pt>
                <c:pt idx="3">
                  <c:v>4.4234485720420873E-3</c:v>
                </c:pt>
                <c:pt idx="4">
                  <c:v>3.7906497306643611E-3</c:v>
                </c:pt>
                <c:pt idx="5">
                  <c:v>5.611682027849927E-3</c:v>
                </c:pt>
                <c:pt idx="6">
                  <c:v>1.1733308066451897E-2</c:v>
                </c:pt>
                <c:pt idx="7">
                  <c:v>3.2152079335255762E-3</c:v>
                </c:pt>
                <c:pt idx="8">
                  <c:v>6.7934641473371494E-3</c:v>
                </c:pt>
                <c:pt idx="9">
                  <c:v>4.5770588029768354E-3</c:v>
                </c:pt>
                <c:pt idx="10">
                  <c:v>5.9232213361578752E-3</c:v>
                </c:pt>
                <c:pt idx="11">
                  <c:v>1.0067850496360633E-2</c:v>
                </c:pt>
              </c:numCache>
            </c:numRef>
          </c:val>
          <c:extLst>
            <c:ext xmlns:c16="http://schemas.microsoft.com/office/drawing/2014/chart" uri="{C3380CC4-5D6E-409C-BE32-E72D297353CC}">
              <c16:uniqueId val="{00000001-A94E-44B3-8E29-1C854B8FD466}"/>
            </c:ext>
          </c:extLst>
        </c:ser>
        <c:ser>
          <c:idx val="2"/>
          <c:order val="2"/>
          <c:tx>
            <c:strRef>
              <c:f>'% Bar Graph'!$D$15</c:f>
              <c:strCache>
                <c:ptCount val="1"/>
                <c:pt idx="0">
                  <c:v>Social rented</c:v>
                </c:pt>
              </c:strCache>
            </c:strRef>
          </c:tx>
          <c:spPr>
            <a:solidFill>
              <a:srgbClr val="D5573B"/>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Bar Graph'!$A$16:$A$27</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 Total</c:v>
                </c:pt>
                <c:pt idx="11">
                  <c:v>England</c:v>
                </c:pt>
              </c:strCache>
            </c:strRef>
          </c:cat>
          <c:val>
            <c:numRef>
              <c:f>'% Bar Graph'!$D$16:$D$27</c:f>
              <c:numCache>
                <c:formatCode>0%</c:formatCode>
                <c:ptCount val="12"/>
                <c:pt idx="0">
                  <c:v>0.19829110194460814</c:v>
                </c:pt>
                <c:pt idx="1">
                  <c:v>0.14925151184693169</c:v>
                </c:pt>
                <c:pt idx="2">
                  <c:v>0.2946770362781167</c:v>
                </c:pt>
                <c:pt idx="3">
                  <c:v>0.21215374704745543</c:v>
                </c:pt>
                <c:pt idx="4">
                  <c:v>0.20854115404225135</c:v>
                </c:pt>
                <c:pt idx="5">
                  <c:v>0.25388952109592849</c:v>
                </c:pt>
                <c:pt idx="6">
                  <c:v>0.13303802665655992</c:v>
                </c:pt>
                <c:pt idx="7">
                  <c:v>0.21225396123664936</c:v>
                </c:pt>
                <c:pt idx="8">
                  <c:v>0.149778225597025</c:v>
                </c:pt>
                <c:pt idx="9">
                  <c:v>0.17003598756158067</c:v>
                </c:pt>
                <c:pt idx="10">
                  <c:v>0.20658114957513043</c:v>
                </c:pt>
                <c:pt idx="11">
                  <c:v>0.17091860692602881</c:v>
                </c:pt>
              </c:numCache>
            </c:numRef>
          </c:val>
          <c:extLst>
            <c:ext xmlns:c16="http://schemas.microsoft.com/office/drawing/2014/chart" uri="{C3380CC4-5D6E-409C-BE32-E72D297353CC}">
              <c16:uniqueId val="{00000002-A94E-44B3-8E29-1C854B8FD466}"/>
            </c:ext>
          </c:extLst>
        </c:ser>
        <c:ser>
          <c:idx val="3"/>
          <c:order val="3"/>
          <c:tx>
            <c:strRef>
              <c:f>'% Bar Graph'!$E$15</c:f>
              <c:strCache>
                <c:ptCount val="1"/>
                <c:pt idx="0">
                  <c:v>Private rented</c:v>
                </c:pt>
              </c:strCache>
            </c:strRef>
          </c:tx>
          <c:spPr>
            <a:solidFill>
              <a:srgbClr val="95A17E"/>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Bar Graph'!$A$16:$A$27</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 Total</c:v>
                </c:pt>
                <c:pt idx="11">
                  <c:v>England</c:v>
                </c:pt>
              </c:strCache>
            </c:strRef>
          </c:cat>
          <c:val>
            <c:numRef>
              <c:f>'% Bar Graph'!$E$16:$E$27</c:f>
              <c:numCache>
                <c:formatCode>0%</c:formatCode>
                <c:ptCount val="12"/>
                <c:pt idx="0">
                  <c:v>0.17991413418637933</c:v>
                </c:pt>
                <c:pt idx="1">
                  <c:v>0.17657628630911074</c:v>
                </c:pt>
                <c:pt idx="2">
                  <c:v>0.32321054347319889</c:v>
                </c:pt>
                <c:pt idx="3">
                  <c:v>0.17713120034356883</c:v>
                </c:pt>
                <c:pt idx="4">
                  <c:v>0.18291547516126888</c:v>
                </c:pt>
                <c:pt idx="5">
                  <c:v>0.26801428112268388</c:v>
                </c:pt>
                <c:pt idx="6">
                  <c:v>0.14364222095887816</c:v>
                </c:pt>
                <c:pt idx="7">
                  <c:v>0.17541973534819696</c:v>
                </c:pt>
                <c:pt idx="8">
                  <c:v>0.15315418255097696</c:v>
                </c:pt>
                <c:pt idx="9">
                  <c:v>0.15905104643443627</c:v>
                </c:pt>
                <c:pt idx="10">
                  <c:v>0.20541925102101094</c:v>
                </c:pt>
                <c:pt idx="11">
                  <c:v>0.20459428270549454</c:v>
                </c:pt>
              </c:numCache>
            </c:numRef>
          </c:val>
          <c:extLst>
            <c:ext xmlns:c16="http://schemas.microsoft.com/office/drawing/2014/chart" uri="{C3380CC4-5D6E-409C-BE32-E72D297353CC}">
              <c16:uniqueId val="{00000003-A94E-44B3-8E29-1C854B8FD466}"/>
            </c:ext>
          </c:extLst>
        </c:ser>
        <c:ser>
          <c:idx val="4"/>
          <c:order val="4"/>
          <c:tx>
            <c:strRef>
              <c:f>'% Bar Graph'!$F$15</c:f>
              <c:strCache>
                <c:ptCount val="1"/>
                <c:pt idx="0">
                  <c:v>Lives rent free</c:v>
                </c:pt>
              </c:strCache>
            </c:strRef>
          </c:tx>
          <c:spPr>
            <a:solidFill>
              <a:srgbClr val="8D9293"/>
            </a:solidFill>
            <a:ln>
              <a:noFill/>
            </a:ln>
            <a:effectLst/>
          </c:spPr>
          <c:invertIfNegative val="0"/>
          <c:dLbls>
            <c:delete val="1"/>
          </c:dLbls>
          <c:cat>
            <c:strRef>
              <c:f>'% Bar Graph'!$A$16:$A$27</c:f>
              <c:strCache>
                <c:ptCount val="12"/>
                <c:pt idx="0">
                  <c:v>Bolton</c:v>
                </c:pt>
                <c:pt idx="1">
                  <c:v>Bury</c:v>
                </c:pt>
                <c:pt idx="2">
                  <c:v>Manchester</c:v>
                </c:pt>
                <c:pt idx="3">
                  <c:v>Oldham</c:v>
                </c:pt>
                <c:pt idx="4">
                  <c:v>Rochdale</c:v>
                </c:pt>
                <c:pt idx="5">
                  <c:v>Salford</c:v>
                </c:pt>
                <c:pt idx="6">
                  <c:v>Stockport</c:v>
                </c:pt>
                <c:pt idx="7">
                  <c:v>Tameside</c:v>
                </c:pt>
                <c:pt idx="8">
                  <c:v>Trafford</c:v>
                </c:pt>
                <c:pt idx="9">
                  <c:v>Wigan</c:v>
                </c:pt>
                <c:pt idx="10">
                  <c:v>GM Total</c:v>
                </c:pt>
                <c:pt idx="11">
                  <c:v>England</c:v>
                </c:pt>
              </c:strCache>
            </c:strRef>
          </c:cat>
          <c:val>
            <c:numRef>
              <c:f>'% Bar Graph'!$F$16:$F$27</c:f>
              <c:numCache>
                <c:formatCode>0%</c:formatCode>
                <c:ptCount val="12"/>
                <c:pt idx="0">
                  <c:v>2.4160282852091928E-3</c:v>
                </c:pt>
                <c:pt idx="1">
                  <c:v>1.4746703678001388E-3</c:v>
                </c:pt>
                <c:pt idx="2">
                  <c:v>2.0816839752247009E-3</c:v>
                </c:pt>
                <c:pt idx="3">
                  <c:v>2.5875026841314149E-3</c:v>
                </c:pt>
                <c:pt idx="4">
                  <c:v>2.0504976613242888E-3</c:v>
                </c:pt>
                <c:pt idx="5">
                  <c:v>2.8058410139249635E-3</c:v>
                </c:pt>
                <c:pt idx="6">
                  <c:v>7.5800644305476592E-4</c:v>
                </c:pt>
                <c:pt idx="7">
                  <c:v>1.0248475288112773E-3</c:v>
                </c:pt>
                <c:pt idx="8">
                  <c:v>6.7519139079038942E-4</c:v>
                </c:pt>
                <c:pt idx="9">
                  <c:v>2.641417141259914E-3</c:v>
                </c:pt>
                <c:pt idx="10">
                  <c:v>1.9036803921768327E-3</c:v>
                </c:pt>
                <c:pt idx="11">
                  <c:v>1.3021372810347804E-3</c:v>
                </c:pt>
              </c:numCache>
            </c:numRef>
          </c:val>
          <c:extLst>
            <c:ext xmlns:c16="http://schemas.microsoft.com/office/drawing/2014/chart" uri="{C3380CC4-5D6E-409C-BE32-E72D297353CC}">
              <c16:uniqueId val="{00000004-A94E-44B3-8E29-1C854B8FD466}"/>
            </c:ext>
          </c:extLst>
        </c:ser>
        <c:dLbls>
          <c:dLblPos val="ctr"/>
          <c:showLegendKey val="0"/>
          <c:showVal val="1"/>
          <c:showCatName val="0"/>
          <c:showSerName val="0"/>
          <c:showPercent val="0"/>
          <c:showBubbleSize val="0"/>
        </c:dLbls>
        <c:gapWidth val="20"/>
        <c:overlap val="100"/>
        <c:axId val="1126417232"/>
        <c:axId val="1126418480"/>
      </c:barChart>
      <c:catAx>
        <c:axId val="112641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26418480"/>
        <c:crosses val="autoZero"/>
        <c:auto val="1"/>
        <c:lblAlgn val="ctr"/>
        <c:lblOffset val="100"/>
        <c:noMultiLvlLbl val="0"/>
      </c:catAx>
      <c:valAx>
        <c:axId val="1126418480"/>
        <c:scaling>
          <c:orientation val="minMax"/>
          <c:max val="1"/>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2641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3047977357921"/>
          <c:y val="6.4265577913871885E-2"/>
          <c:w val="0.85593566469987592"/>
          <c:h val="0.78291546139315171"/>
        </c:manualLayout>
      </c:layout>
      <c:lineChart>
        <c:grouping val="standard"/>
        <c:varyColors val="0"/>
        <c:ser>
          <c:idx val="1"/>
          <c:order val="0"/>
          <c:tx>
            <c:strRef>
              <c:f>'Timeseries Graph'!$C$1</c:f>
              <c:strCache>
                <c:ptCount val="1"/>
                <c:pt idx="0">
                  <c:v>Owned</c:v>
                </c:pt>
              </c:strCache>
            </c:strRef>
          </c:tx>
          <c:spPr>
            <a:ln w="28575" cap="rnd">
              <a:solidFill>
                <a:srgbClr val="2D516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'Timeseries Graph'!$B$2:$B$6</c:f>
              <c:numCache>
                <c:formatCode>General</c:formatCode>
                <c:ptCount val="5"/>
                <c:pt idx="0">
                  <c:v>1981</c:v>
                </c:pt>
                <c:pt idx="1">
                  <c:v>1991</c:v>
                </c:pt>
                <c:pt idx="2">
                  <c:v>2001</c:v>
                </c:pt>
                <c:pt idx="3">
                  <c:v>2011</c:v>
                </c:pt>
                <c:pt idx="4">
                  <c:v>2021</c:v>
                </c:pt>
              </c:numCache>
            </c:numRef>
          </c:cat>
          <c:val>
            <c:numRef>
              <c:f>'Timeseries Graph'!$C$2:$C$6</c:f>
              <c:numCache>
                <c:formatCode>#,##0</c:formatCode>
                <c:ptCount val="5"/>
                <c:pt idx="0">
                  <c:v>538567</c:v>
                </c:pt>
                <c:pt idx="1">
                  <c:v>639912</c:v>
                </c:pt>
                <c:pt idx="2">
                  <c:v>674164</c:v>
                </c:pt>
                <c:pt idx="3">
                  <c:v>678367</c:v>
                </c:pt>
                <c:pt idx="4">
                  <c:v>683585</c:v>
                </c:pt>
              </c:numCache>
            </c:numRef>
          </c:val>
          <c:smooth val="0"/>
          <c:extLst>
            <c:ext xmlns:c16="http://schemas.microsoft.com/office/drawing/2014/chart" uri="{C3380CC4-5D6E-409C-BE32-E72D297353CC}">
              <c16:uniqueId val="{00000000-CDB4-405E-BFF2-4925BD92F3A3}"/>
            </c:ext>
          </c:extLst>
        </c:ser>
        <c:ser>
          <c:idx val="3"/>
          <c:order val="1"/>
          <c:tx>
            <c:strRef>
              <c:f>'Timeseries Graph'!$E$1</c:f>
              <c:strCache>
                <c:ptCount val="1"/>
                <c:pt idx="0">
                  <c:v>Social rented</c:v>
                </c:pt>
              </c:strCache>
            </c:strRef>
          </c:tx>
          <c:spPr>
            <a:ln w="28575" cap="rnd">
              <a:solidFill>
                <a:srgbClr val="D5573B"/>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'Timeseries Graph'!$B$2:$B$6</c:f>
              <c:numCache>
                <c:formatCode>General</c:formatCode>
                <c:ptCount val="5"/>
                <c:pt idx="0">
                  <c:v>1981</c:v>
                </c:pt>
                <c:pt idx="1">
                  <c:v>1991</c:v>
                </c:pt>
                <c:pt idx="2">
                  <c:v>2001</c:v>
                </c:pt>
                <c:pt idx="3">
                  <c:v>2011</c:v>
                </c:pt>
                <c:pt idx="4">
                  <c:v>2021</c:v>
                </c:pt>
              </c:numCache>
            </c:numRef>
          </c:cat>
          <c:val>
            <c:numRef>
              <c:f>'Timeseries Graph'!$E$2:$E$6</c:f>
              <c:numCache>
                <c:formatCode>#,##0</c:formatCode>
                <c:ptCount val="5"/>
                <c:pt idx="0">
                  <c:v>332159</c:v>
                </c:pt>
                <c:pt idx="1">
                  <c:v>291829</c:v>
                </c:pt>
                <c:pt idx="2">
                  <c:v>248545</c:v>
                </c:pt>
                <c:pt idx="3">
                  <c:v>247540</c:v>
                </c:pt>
                <c:pt idx="4">
                  <c:v>243403</c:v>
                </c:pt>
              </c:numCache>
            </c:numRef>
          </c:val>
          <c:smooth val="0"/>
          <c:extLst>
            <c:ext xmlns:c16="http://schemas.microsoft.com/office/drawing/2014/chart" uri="{C3380CC4-5D6E-409C-BE32-E72D297353CC}">
              <c16:uniqueId val="{00000001-CDB4-405E-BFF2-4925BD92F3A3}"/>
            </c:ext>
          </c:extLst>
        </c:ser>
        <c:ser>
          <c:idx val="4"/>
          <c:order val="2"/>
          <c:tx>
            <c:strRef>
              <c:f>'Timeseries Graph'!$F$1</c:f>
              <c:strCache>
                <c:ptCount val="1"/>
                <c:pt idx="0">
                  <c:v>Private rented</c:v>
                </c:pt>
              </c:strCache>
            </c:strRef>
          </c:tx>
          <c:spPr>
            <a:ln w="28575" cap="rnd">
              <a:solidFill>
                <a:srgbClr val="95A17E"/>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'Timeseries Graph'!$B$2:$B$6</c:f>
              <c:numCache>
                <c:formatCode>General</c:formatCode>
                <c:ptCount val="5"/>
                <c:pt idx="0">
                  <c:v>1981</c:v>
                </c:pt>
                <c:pt idx="1">
                  <c:v>1991</c:v>
                </c:pt>
                <c:pt idx="2">
                  <c:v>2001</c:v>
                </c:pt>
                <c:pt idx="3">
                  <c:v>2011</c:v>
                </c:pt>
                <c:pt idx="4">
                  <c:v>2021</c:v>
                </c:pt>
              </c:numCache>
            </c:numRef>
          </c:cat>
          <c:val>
            <c:numRef>
              <c:f>'Timeseries Graph'!$F$2:$F$6</c:f>
              <c:numCache>
                <c:formatCode>#,##0</c:formatCode>
                <c:ptCount val="5"/>
                <c:pt idx="0">
                  <c:v>65386</c:v>
                </c:pt>
                <c:pt idx="1">
                  <c:v>55559</c:v>
                </c:pt>
                <c:pt idx="2">
                  <c:v>78867</c:v>
                </c:pt>
                <c:pt idx="3">
                  <c:v>181095</c:v>
                </c:pt>
                <c:pt idx="4">
                  <c:v>242034</c:v>
                </c:pt>
              </c:numCache>
            </c:numRef>
          </c:val>
          <c:smooth val="0"/>
          <c:extLst>
            <c:ext xmlns:c16="http://schemas.microsoft.com/office/drawing/2014/chart" uri="{C3380CC4-5D6E-409C-BE32-E72D297353CC}">
              <c16:uniqueId val="{00000002-CDB4-405E-BFF2-4925BD92F3A3}"/>
            </c:ext>
          </c:extLst>
        </c:ser>
        <c:dLbls>
          <c:dLblPos val="ctr"/>
          <c:showLegendKey val="0"/>
          <c:showVal val="1"/>
          <c:showCatName val="0"/>
          <c:showSerName val="0"/>
          <c:showPercent val="0"/>
          <c:showBubbleSize val="0"/>
        </c:dLbls>
        <c:smooth val="0"/>
        <c:axId val="1881940912"/>
        <c:axId val="1881935920"/>
      </c:lineChart>
      <c:catAx>
        <c:axId val="188194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1935920"/>
        <c:crosses val="autoZero"/>
        <c:auto val="1"/>
        <c:lblAlgn val="ctr"/>
        <c:lblOffset val="100"/>
        <c:noMultiLvlLbl val="0"/>
      </c:catAx>
      <c:valAx>
        <c:axId val="1881935920"/>
        <c:scaling>
          <c:orientation val="minMax"/>
          <c:max val="7000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8194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8" ma:contentTypeDescription="Create a new document." ma:contentTypeScope="" ma:versionID="e7330d75805c6de7540ed961e9006a17">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7ef6cc727cb884e4b2fe2387fab48d2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1f7bd27-d9e4-4e62-be6c-eaf418590226}"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6e983a-f1d7-4d3c-91db-252f29f3e159">
      <Terms xmlns="http://schemas.microsoft.com/office/infopath/2007/PartnerControls"/>
    </lcf76f155ced4ddcb4097134ff3c332f>
    <_ip_UnifiedCompliancePolicyUIAction xmlns="http://schemas.microsoft.com/sharepoint/v3" xsi:nil="true"/>
    <TaxCatchAll xmlns="2e35a3c0-6932-4795-bc29-a2b24e509738"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F0EE-AFE3-4CE6-820D-B22B949A5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987E2-D33B-44BA-98B0-5EF3668E9A72}">
  <ds:schemaRefs>
    <ds:schemaRef ds:uri="http://schemas.microsoft.com/sharepoint/v3/contenttype/forms"/>
  </ds:schemaRefs>
</ds:datastoreItem>
</file>

<file path=customXml/itemProps3.xml><?xml version="1.0" encoding="utf-8"?>
<ds:datastoreItem xmlns:ds="http://schemas.openxmlformats.org/officeDocument/2006/customXml" ds:itemID="{081F4DF2-493F-49D8-95B0-ACA97CAD4612}">
  <ds:schemaRefs>
    <ds:schemaRef ds:uri="http://schemas.microsoft.com/office/2006/metadata/properties"/>
    <ds:schemaRef ds:uri="http://schemas.microsoft.com/office/infopath/2007/PartnerControls"/>
    <ds:schemaRef ds:uri="066e983a-f1d7-4d3c-91db-252f29f3e159"/>
    <ds:schemaRef ds:uri="http://schemas.microsoft.com/sharepoint/v3"/>
    <ds:schemaRef ds:uri="2e35a3c0-6932-4795-bc29-a2b24e509738"/>
  </ds:schemaRefs>
</ds:datastoreItem>
</file>

<file path=customXml/itemProps4.xml><?xml version="1.0" encoding="utf-8"?>
<ds:datastoreItem xmlns:ds="http://schemas.openxmlformats.org/officeDocument/2006/customXml" ds:itemID="{1FD1B3CA-8735-4730-992F-778E94FC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Ottiwell, David</dc:creator>
  <cp:keywords/>
  <dc:description/>
  <cp:lastModifiedBy>Ottiwell, David</cp:lastModifiedBy>
  <cp:revision>7</cp:revision>
  <dcterms:created xsi:type="dcterms:W3CDTF">2023-04-15T06:05:00Z</dcterms:created>
  <dcterms:modified xsi:type="dcterms:W3CDTF">2023-04-15T06:10:00Z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