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8753990" w:displacedByCustomXml="next"/>
    <w:bookmarkEnd w:id="0" w:displacedByCustomXml="next"/>
    <w:bookmarkStart w:id="1" w:name="_Toc61984578" w:displacedByCustomXml="next"/>
    <w:bookmarkEnd w:id="1" w:displacedByCustomXml="next"/>
    <w:bookmarkStart w:id="2" w:name="_Toc61294764" w:displacedByCustomXml="next"/>
    <w:bookmarkStart w:id="3" w:name="_Toc61984580" w:displacedByCustomXml="next"/>
    <w:sdt>
      <w:sdtPr>
        <w:rPr>
          <w:rFonts w:eastAsiaTheme="minorHAnsi" w:cstheme="minorBidi"/>
          <w:b w:val="0"/>
          <w:bCs w:val="0"/>
          <w:noProof w:val="0"/>
          <w:color w:val="000000" w:themeColor="text1"/>
          <w:sz w:val="24"/>
          <w:szCs w:val="22"/>
        </w:rPr>
        <w:id w:val="-1571263057"/>
        <w:docPartObj>
          <w:docPartGallery w:val="Cover Pages"/>
          <w:docPartUnique/>
        </w:docPartObj>
      </w:sdtPr>
      <w:sdtEndPr/>
      <w:sdtContent>
        <w:p w14:paraId="2ACD3E3D" w14:textId="77777777" w:rsidR="000D108F" w:rsidRDefault="000D108F" w:rsidP="00A12E9E">
          <w:pPr>
            <w:pStyle w:val="Heading1"/>
          </w:pPr>
          <w:r w:rsidRPr="007A6358">
            <w:t xml:space="preserve"> </w:t>
          </w:r>
          <w:r w:rsidRPr="00A12E9E">
            <w:t>Census 2021 Briefing</w:t>
          </w:r>
          <w:r w:rsidRPr="007A6358">
            <w:t xml:space="preserve"> </w:t>
          </w:r>
        </w:p>
        <w:p w14:paraId="1ED9808E" w14:textId="5A5FA2F8" w:rsidR="000D108F" w:rsidRDefault="000D108F" w:rsidP="00A12E9E">
          <w:pPr>
            <w:pStyle w:val="Heading1"/>
          </w:pPr>
          <w:r w:rsidRPr="007A6358">
            <w:drawing>
              <wp:anchor distT="0" distB="0" distL="114300" distR="114300" simplePos="0" relativeHeight="251658240" behindDoc="1" locked="1" layoutInCell="1" allowOverlap="0" wp14:anchorId="7072A118" wp14:editId="789B0608">
                <wp:simplePos x="0" y="0"/>
                <wp:positionH relativeFrom="page">
                  <wp:posOffset>10160</wp:posOffset>
                </wp:positionH>
                <wp:positionV relativeFrom="page">
                  <wp:posOffset>0</wp:posOffset>
                </wp:positionV>
                <wp:extent cx="7665720" cy="1084453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5720" cy="10844530"/>
                        </a:xfrm>
                        <a:prstGeom prst="rect">
                          <a:avLst/>
                        </a:prstGeom>
                      </pic:spPr>
                    </pic:pic>
                  </a:graphicData>
                </a:graphic>
                <wp14:sizeRelH relativeFrom="margin">
                  <wp14:pctWidth>0</wp14:pctWidth>
                </wp14:sizeRelH>
                <wp14:sizeRelV relativeFrom="margin">
                  <wp14:pctHeight>0</wp14:pctHeight>
                </wp14:sizeRelV>
              </wp:anchor>
            </w:drawing>
          </w:r>
          <w:r w:rsidR="00F716D7">
            <w:t>Sexual Orientation</w:t>
          </w:r>
          <w:r w:rsidR="009F0494">
            <w:t xml:space="preserve"> and Gender Identity</w:t>
          </w:r>
        </w:p>
        <w:p w14:paraId="19258BA0" w14:textId="703BB494" w:rsidR="000D108F" w:rsidRDefault="000D108F" w:rsidP="000D108F">
          <w:pPr>
            <w:rPr>
              <w:color w:val="FFFFFF" w:themeColor="background1"/>
              <w:sz w:val="36"/>
              <w:szCs w:val="32"/>
            </w:rPr>
          </w:pPr>
          <w:r>
            <w:rPr>
              <w:color w:val="FFFFFF" w:themeColor="background1"/>
              <w:sz w:val="36"/>
              <w:szCs w:val="32"/>
            </w:rPr>
            <w:t>GMCA Research</w:t>
          </w:r>
        </w:p>
        <w:p w14:paraId="506A29E7" w14:textId="77777777" w:rsidR="000D108F" w:rsidRDefault="000D108F" w:rsidP="000D108F">
          <w:pPr>
            <w:rPr>
              <w:color w:val="FFFFFF" w:themeColor="background1"/>
              <w:sz w:val="36"/>
              <w:szCs w:val="36"/>
            </w:rPr>
          </w:pPr>
        </w:p>
        <w:p w14:paraId="13D66647" w14:textId="77777777" w:rsidR="000D108F" w:rsidRDefault="000D108F" w:rsidP="000D108F">
          <w:pPr>
            <w:rPr>
              <w:color w:val="FFFFFF" w:themeColor="background1"/>
              <w:sz w:val="36"/>
              <w:szCs w:val="36"/>
            </w:rPr>
          </w:pPr>
        </w:p>
        <w:p w14:paraId="4EFF78E2" w14:textId="6506C661" w:rsidR="00C94896" w:rsidRPr="00C94896" w:rsidRDefault="00646170" w:rsidP="004912AA">
          <w:r>
            <w:rPr>
              <w:rStyle w:val="Frontpagesub-titleChar"/>
            </w:rPr>
            <w:t>June</w:t>
          </w:r>
          <w:r w:rsidR="000D108F" w:rsidRPr="00A12E9E">
            <w:rPr>
              <w:rStyle w:val="Frontpagesub-titleChar"/>
            </w:rPr>
            <w:t xml:space="preserve"> 2023</w:t>
          </w:r>
          <w:r w:rsidR="000D108F">
            <w:br w:type="page"/>
          </w:r>
        </w:p>
      </w:sdtContent>
    </w:sdt>
    <w:bookmarkEnd w:id="2" w:displacedByCustomXml="prev"/>
    <w:bookmarkEnd w:id="3" w:displacedByCustomXml="prev"/>
    <w:p w14:paraId="28BED534" w14:textId="1D949C10" w:rsidR="00332E59" w:rsidRDefault="00C06B4B" w:rsidP="00332E59">
      <w:pPr>
        <w:rPr>
          <w:sz w:val="20"/>
          <w:szCs w:val="20"/>
          <w:lang w:eastAsia="en-GB"/>
        </w:rPr>
      </w:pPr>
      <w:r>
        <w:rPr>
          <w:noProof/>
        </w:rPr>
        <w:lastRenderedPageBreak/>
        <mc:AlternateContent>
          <mc:Choice Requires="wps">
            <w:drawing>
              <wp:inline distT="0" distB="0" distL="0" distR="0" wp14:anchorId="5D82AF1F" wp14:editId="3DB34008">
                <wp:extent cx="5592445" cy="1404620"/>
                <wp:effectExtent l="0" t="0" r="27305" b="127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1404620"/>
                        </a:xfrm>
                        <a:prstGeom prst="rect">
                          <a:avLst/>
                        </a:prstGeom>
                        <a:solidFill>
                          <a:schemeClr val="accent1"/>
                        </a:solidFill>
                        <a:ln w="19050">
                          <a:solidFill>
                            <a:schemeClr val="accent1"/>
                          </a:solidFill>
                          <a:miter lim="800000"/>
                          <a:headEnd/>
                          <a:tailEnd/>
                        </a:ln>
                      </wps:spPr>
                      <wps:txbx>
                        <w:txbxContent>
                          <w:p w14:paraId="68A5C494" w14:textId="29D14694" w:rsidR="00786EA9" w:rsidRPr="007222D5" w:rsidRDefault="00786EA9" w:rsidP="00786EA9">
                            <w:pPr>
                              <w:rPr>
                                <w:b/>
                                <w:bCs/>
                                <w:color w:val="FFFFFF" w:themeColor="background1"/>
                              </w:rPr>
                            </w:pPr>
                            <w:r w:rsidRPr="007222D5">
                              <w:rPr>
                                <w:b/>
                                <w:bCs/>
                                <w:color w:val="FFFFFF" w:themeColor="background1"/>
                              </w:rPr>
                              <w:t>Dataset</w:t>
                            </w:r>
                            <w:r w:rsidR="00401278">
                              <w:rPr>
                                <w:b/>
                                <w:bCs/>
                                <w:color w:val="FFFFFF" w:themeColor="background1"/>
                              </w:rPr>
                              <w:t>s</w:t>
                            </w:r>
                            <w:r w:rsidRPr="007222D5">
                              <w:rPr>
                                <w:b/>
                                <w:bCs/>
                                <w:color w:val="FFFFFF" w:themeColor="background1"/>
                              </w:rPr>
                              <w:t xml:space="preserve">: </w:t>
                            </w:r>
                            <w:r w:rsidR="00F716D7">
                              <w:rPr>
                                <w:b/>
                                <w:bCs/>
                                <w:color w:val="FFFFFF" w:themeColor="background1"/>
                              </w:rPr>
                              <w:t xml:space="preserve">Sexual </w:t>
                            </w:r>
                            <w:r w:rsidR="0011357B">
                              <w:rPr>
                                <w:b/>
                                <w:bCs/>
                                <w:color w:val="FFFFFF" w:themeColor="background1"/>
                              </w:rPr>
                              <w:t>o</w:t>
                            </w:r>
                            <w:r w:rsidR="00F716D7">
                              <w:rPr>
                                <w:b/>
                                <w:bCs/>
                                <w:color w:val="FFFFFF" w:themeColor="background1"/>
                              </w:rPr>
                              <w:t>rientation</w:t>
                            </w:r>
                            <w:r w:rsidR="0011357B">
                              <w:rPr>
                                <w:b/>
                                <w:bCs/>
                                <w:color w:val="FFFFFF" w:themeColor="background1"/>
                              </w:rPr>
                              <w:t xml:space="preserve"> </w:t>
                            </w:r>
                            <w:r w:rsidR="00401278">
                              <w:rPr>
                                <w:b/>
                                <w:bCs/>
                                <w:color w:val="FFFFFF" w:themeColor="background1"/>
                              </w:rPr>
                              <w:t>and gender identity</w:t>
                            </w:r>
                          </w:p>
                          <w:p w14:paraId="3A734EF0" w14:textId="4D5F77CB" w:rsidR="00786EA9" w:rsidRPr="009B3442" w:rsidRDefault="00786EA9" w:rsidP="00786EA9">
                            <w:pPr>
                              <w:rPr>
                                <w:rFonts w:cs="Arial"/>
                                <w:color w:val="FFFFFF" w:themeColor="background1"/>
                                <w:szCs w:val="24"/>
                              </w:rPr>
                            </w:pPr>
                            <w:r w:rsidRPr="007A6358">
                              <w:rPr>
                                <w:rFonts w:cs="Arial"/>
                                <w:b/>
                                <w:bCs/>
                                <w:color w:val="FFFFFF" w:themeColor="background1"/>
                                <w:szCs w:val="24"/>
                              </w:rPr>
                              <w:t>Datalink</w:t>
                            </w:r>
                            <w:r>
                              <w:rPr>
                                <w:rFonts w:cs="Arial"/>
                                <w:b/>
                                <w:bCs/>
                                <w:color w:val="FFFFFF" w:themeColor="background1"/>
                                <w:szCs w:val="24"/>
                              </w:rPr>
                              <w:t>: the dataset</w:t>
                            </w:r>
                            <w:r w:rsidR="0035132D">
                              <w:rPr>
                                <w:rFonts w:cs="Arial"/>
                                <w:b/>
                                <w:bCs/>
                                <w:color w:val="FFFFFF" w:themeColor="background1"/>
                                <w:szCs w:val="24"/>
                              </w:rPr>
                              <w:t>s</w:t>
                            </w:r>
                            <w:r>
                              <w:rPr>
                                <w:rFonts w:cs="Arial"/>
                                <w:b/>
                                <w:bCs/>
                                <w:color w:val="FFFFFF" w:themeColor="background1"/>
                                <w:szCs w:val="24"/>
                              </w:rPr>
                              <w:t xml:space="preserve"> used for this briefing </w:t>
                            </w:r>
                            <w:r w:rsidRPr="009B3442">
                              <w:rPr>
                                <w:rFonts w:cs="Arial"/>
                                <w:b/>
                                <w:bCs/>
                                <w:color w:val="FFFFFF" w:themeColor="background1"/>
                                <w:szCs w:val="24"/>
                              </w:rPr>
                              <w:t>can be accessed</w:t>
                            </w:r>
                            <w:r w:rsidR="00977571">
                              <w:rPr>
                                <w:rFonts w:cs="Arial"/>
                                <w:b/>
                                <w:bCs/>
                                <w:color w:val="FFFFFF" w:themeColor="background1"/>
                                <w:szCs w:val="24"/>
                              </w:rPr>
                              <w:t xml:space="preserve"> </w:t>
                            </w:r>
                            <w:hyperlink r:id="rId12" w:history="1">
                              <w:r w:rsidR="00977571" w:rsidRPr="005F4AF7">
                                <w:rPr>
                                  <w:rStyle w:val="Hyperlink"/>
                                  <w:rFonts w:cs="Arial"/>
                                  <w:b/>
                                  <w:bCs/>
                                  <w:szCs w:val="24"/>
                                </w:rPr>
                                <w:t>her</w:t>
                              </w:r>
                              <w:r w:rsidR="005F4AF7" w:rsidRPr="005F4AF7">
                                <w:rPr>
                                  <w:rStyle w:val="Hyperlink"/>
                                  <w:rFonts w:cs="Arial"/>
                                  <w:b/>
                                  <w:bCs/>
                                  <w:szCs w:val="24"/>
                                </w:rPr>
                                <w:t>e</w:t>
                              </w:r>
                            </w:hyperlink>
                            <w:r w:rsidR="00056491">
                              <w:rPr>
                                <w:rFonts w:cs="Arial"/>
                                <w:b/>
                                <w:bCs/>
                                <w:color w:val="FFFFFF" w:themeColor="background1"/>
                                <w:szCs w:val="24"/>
                              </w:rPr>
                              <w:t xml:space="preserve"> and</w:t>
                            </w:r>
                            <w:r w:rsidR="009B3442">
                              <w:rPr>
                                <w:rFonts w:cs="Arial"/>
                                <w:b/>
                                <w:bCs/>
                                <w:color w:val="FFFFFF" w:themeColor="background1"/>
                                <w:szCs w:val="24"/>
                              </w:rPr>
                              <w:t xml:space="preserve"> </w:t>
                            </w:r>
                            <w:hyperlink r:id="rId13" w:history="1">
                              <w:r w:rsidR="009B3442" w:rsidRPr="009B3442">
                                <w:rPr>
                                  <w:rStyle w:val="Hyperlink"/>
                                  <w:rFonts w:cs="Arial"/>
                                  <w:b/>
                                  <w:bCs/>
                                  <w:color w:val="FFFFFF" w:themeColor="background1"/>
                                  <w:szCs w:val="24"/>
                                </w:rPr>
                                <w:t>here</w:t>
                              </w:r>
                            </w:hyperlink>
                            <w:r w:rsidR="0093110D" w:rsidRPr="009B3442">
                              <w:rPr>
                                <w:rFonts w:cs="Arial"/>
                                <w:b/>
                                <w:bCs/>
                                <w:color w:val="FFFFFF" w:themeColor="background1"/>
                                <w:szCs w:val="24"/>
                              </w:rPr>
                              <w:t>.</w:t>
                            </w:r>
                          </w:p>
                          <w:p w14:paraId="74A8199D" w14:textId="47E01FC1" w:rsidR="00786EA9" w:rsidRDefault="00786EA9" w:rsidP="00786EA9">
                            <w:pPr>
                              <w:rPr>
                                <w:rFonts w:cs="Arial"/>
                                <w:color w:val="FFFFFF" w:themeColor="background1"/>
                                <w:szCs w:val="24"/>
                              </w:rPr>
                            </w:pPr>
                            <w:r w:rsidRPr="007A6358">
                              <w:rPr>
                                <w:rFonts w:cs="Arial"/>
                                <w:b/>
                                <w:bCs/>
                                <w:color w:val="FFFFFF" w:themeColor="background1"/>
                                <w:szCs w:val="24"/>
                              </w:rPr>
                              <w:t>Definition</w:t>
                            </w:r>
                            <w:r w:rsidRPr="007A6358">
                              <w:rPr>
                                <w:rFonts w:cs="Arial"/>
                                <w:color w:val="FFFFFF" w:themeColor="background1"/>
                                <w:szCs w:val="24"/>
                              </w:rPr>
                              <w:t xml:space="preserve">: </w:t>
                            </w:r>
                            <w:r w:rsidR="00056491">
                              <w:rPr>
                                <w:rFonts w:cs="Arial"/>
                                <w:color w:val="FFFFFF" w:themeColor="background1"/>
                                <w:szCs w:val="24"/>
                              </w:rPr>
                              <w:t xml:space="preserve">This briefing </w:t>
                            </w:r>
                            <w:r w:rsidR="00B17688">
                              <w:rPr>
                                <w:rFonts w:cs="Arial"/>
                                <w:color w:val="FFFFFF" w:themeColor="background1"/>
                                <w:szCs w:val="24"/>
                              </w:rPr>
                              <w:t>covers two census questions. ‘</w:t>
                            </w:r>
                            <w:r w:rsidR="0011357B">
                              <w:rPr>
                                <w:rFonts w:cs="Arial"/>
                                <w:color w:val="FFFFFF" w:themeColor="background1"/>
                                <w:szCs w:val="24"/>
                              </w:rPr>
                              <w:t>Sexual orientation</w:t>
                            </w:r>
                            <w:r w:rsidR="00B17688">
                              <w:rPr>
                                <w:rFonts w:cs="Arial"/>
                                <w:color w:val="FFFFFF" w:themeColor="background1"/>
                                <w:szCs w:val="24"/>
                              </w:rPr>
                              <w:t>’</w:t>
                            </w:r>
                            <w:r w:rsidR="0011357B">
                              <w:rPr>
                                <w:rFonts w:cs="Arial"/>
                                <w:color w:val="FFFFFF" w:themeColor="background1"/>
                                <w:szCs w:val="24"/>
                              </w:rPr>
                              <w:t xml:space="preserve"> is an umbrella term for sexual identity, attraction and behaviour. </w:t>
                            </w:r>
                            <w:r w:rsidR="00B17688">
                              <w:rPr>
                                <w:rFonts w:cs="Arial"/>
                                <w:color w:val="FFFFFF" w:themeColor="background1"/>
                                <w:szCs w:val="24"/>
                              </w:rPr>
                              <w:t>‘</w:t>
                            </w:r>
                            <w:r w:rsidR="00F614F2">
                              <w:rPr>
                                <w:rFonts w:cs="Arial"/>
                                <w:color w:val="FFFFFF" w:themeColor="background1"/>
                                <w:szCs w:val="24"/>
                              </w:rPr>
                              <w:t>Gender identity</w:t>
                            </w:r>
                            <w:r w:rsidR="00B47141">
                              <w:rPr>
                                <w:rFonts w:cs="Arial"/>
                                <w:color w:val="FFFFFF" w:themeColor="background1"/>
                                <w:szCs w:val="24"/>
                              </w:rPr>
                              <w:t xml:space="preserve">’ </w:t>
                            </w:r>
                            <w:r w:rsidR="004D4CC0">
                              <w:rPr>
                                <w:rFonts w:cs="Arial"/>
                                <w:color w:val="FFFFFF" w:themeColor="background1"/>
                                <w:szCs w:val="24"/>
                              </w:rPr>
                              <w:t xml:space="preserve">refers to </w:t>
                            </w:r>
                            <w:r w:rsidR="009F0494">
                              <w:rPr>
                                <w:rFonts w:cs="Arial"/>
                                <w:color w:val="FFFFFF" w:themeColor="background1"/>
                                <w:szCs w:val="24"/>
                              </w:rPr>
                              <w:t>how a</w:t>
                            </w:r>
                            <w:r w:rsidR="00B47141">
                              <w:rPr>
                                <w:rFonts w:cs="Arial"/>
                                <w:color w:val="FFFFFF" w:themeColor="background1"/>
                                <w:szCs w:val="24"/>
                              </w:rPr>
                              <w:t>n individual</w:t>
                            </w:r>
                            <w:r w:rsidR="009F0494">
                              <w:rPr>
                                <w:rFonts w:cs="Arial"/>
                                <w:color w:val="FFFFFF" w:themeColor="background1"/>
                                <w:szCs w:val="24"/>
                              </w:rPr>
                              <w:t xml:space="preserve"> perceives their gender.</w:t>
                            </w:r>
                          </w:p>
                          <w:p w14:paraId="6FEB805D" w14:textId="013A0981" w:rsidR="00786EA9" w:rsidRPr="007A6358" w:rsidRDefault="00786EA9" w:rsidP="00786EA9">
                            <w:pPr>
                              <w:contextualSpacing/>
                              <w:rPr>
                                <w:rFonts w:cs="Arial"/>
                                <w:color w:val="FFFFFF" w:themeColor="background1"/>
                                <w:szCs w:val="24"/>
                              </w:rPr>
                            </w:pPr>
                            <w:r w:rsidRPr="007A6358">
                              <w:rPr>
                                <w:rFonts w:cs="Arial"/>
                                <w:b/>
                                <w:bCs/>
                                <w:color w:val="FFFFFF" w:themeColor="background1"/>
                                <w:szCs w:val="24"/>
                              </w:rPr>
                              <w:t>Census day</w:t>
                            </w:r>
                            <w:r w:rsidRPr="007A6358">
                              <w:rPr>
                                <w:rFonts w:cs="Arial"/>
                                <w:color w:val="FFFFFF" w:themeColor="background1"/>
                                <w:szCs w:val="24"/>
                              </w:rPr>
                              <w:t xml:space="preserve">: The </w:t>
                            </w:r>
                            <w:r>
                              <w:rPr>
                                <w:rFonts w:cs="Arial"/>
                                <w:color w:val="FFFFFF" w:themeColor="background1"/>
                                <w:szCs w:val="24"/>
                              </w:rPr>
                              <w:t xml:space="preserve">2021 census </w:t>
                            </w:r>
                            <w:r w:rsidRPr="007A6358">
                              <w:rPr>
                                <w:rFonts w:cs="Arial"/>
                                <w:color w:val="FFFFFF" w:themeColor="background1"/>
                                <w:szCs w:val="24"/>
                              </w:rPr>
                              <w:t>was held in England and Wales on 21 March 202</w:t>
                            </w:r>
                            <w:r w:rsidR="00181477">
                              <w:rPr>
                                <w:rFonts w:cs="Arial"/>
                                <w:color w:val="FFFFFF" w:themeColor="background1"/>
                                <w:szCs w:val="24"/>
                              </w:rPr>
                              <w:t>1.</w:t>
                            </w:r>
                            <w:r>
                              <w:rPr>
                                <w:rFonts w:cs="Arial"/>
                                <w:color w:val="FFFFFF" w:themeColor="background1"/>
                                <w:szCs w:val="24"/>
                              </w:rPr>
                              <w:t xml:space="preserve"> It</w:t>
                            </w:r>
                            <w:r w:rsidRPr="00183F03">
                              <w:rPr>
                                <w:rFonts w:cs="Arial"/>
                                <w:color w:val="FFFFFF" w:themeColor="background1"/>
                                <w:szCs w:val="24"/>
                              </w:rPr>
                              <w:t xml:space="preserve"> was undertaken during the Covid-19 pandemic so may not show </w:t>
                            </w:r>
                            <w:r w:rsidR="00775B0E">
                              <w:rPr>
                                <w:rFonts w:cs="Arial"/>
                                <w:color w:val="FFFFFF" w:themeColor="background1"/>
                                <w:szCs w:val="24"/>
                              </w:rPr>
                              <w:t>‘</w:t>
                            </w:r>
                            <w:r w:rsidRPr="00183F03">
                              <w:rPr>
                                <w:rFonts w:cs="Arial"/>
                                <w:color w:val="FFFFFF" w:themeColor="background1"/>
                                <w:szCs w:val="24"/>
                              </w:rPr>
                              <w:t>normal</w:t>
                            </w:r>
                            <w:r w:rsidR="00775B0E">
                              <w:rPr>
                                <w:rFonts w:cs="Arial"/>
                                <w:color w:val="FFFFFF" w:themeColor="background1"/>
                                <w:szCs w:val="24"/>
                              </w:rPr>
                              <w:t>’</w:t>
                            </w:r>
                            <w:r w:rsidRPr="00183F03">
                              <w:rPr>
                                <w:rFonts w:cs="Arial"/>
                                <w:color w:val="FFFFFF" w:themeColor="background1"/>
                                <w:szCs w:val="24"/>
                              </w:rPr>
                              <w:t xml:space="preserve"> population and household patterns due to temporary changes in living circumstances during the pandemic.</w:t>
                            </w:r>
                          </w:p>
                        </w:txbxContent>
                      </wps:txbx>
                      <wps:bodyPr rot="0" vert="horz" wrap="square" lIns="91440" tIns="45720" rIns="91440" bIns="45720" anchor="t" anchorCtr="0">
                        <a:spAutoFit/>
                      </wps:bodyPr>
                    </wps:wsp>
                  </a:graphicData>
                </a:graphic>
              </wp:inline>
            </w:drawing>
          </mc:Choice>
          <mc:Fallback>
            <w:pict>
              <v:shapetype w14:anchorId="5D82AF1F" id="_x0000_t202" coordsize="21600,21600" o:spt="202" path="m,l,21600r21600,l21600,xe">
                <v:stroke joinstyle="miter"/>
                <v:path gradientshapeok="t" o:connecttype="rect"/>
              </v:shapetype>
              <v:shape id="Text Box 8" o:spid="_x0000_s1026" type="#_x0000_t202" style="width:440.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5ZDwIAACcEAAAOAAAAZHJzL2Uyb0RvYy54bWysk99u2yAUxu8n7R0Q94udyOkaK07Vpcs0&#10;qfsjdX2AE4xjNMxhQGJnT78DTtOovavmCwQ+8HHO73wsb4ZOs4N0XqGp+HSScyaNwFqZXcUff20+&#10;XHPmA5gaNBpZ8aP0/Gb1/t2yt6WcYYu6lo6RiPFlbyvehmDLLPOilR34CVppKNig6yDQ0u2y2kFP&#10;6p3OZnl+lfXoautQSO/p790Y5Kuk3zRShB9N42VguuKUW0ijS+M2jtlqCeXOgW2VOKUBb8iiA2Xo&#10;0rPUHQRge6deSXVKOPTYhInALsOmUUKmGqiaaf6imocWrEy1EBxvz5j8/5MV3w8P9qdjYfiEAzUw&#10;FeHtPYrfnhlct2B28tY57FsJNV08jciy3vrydDSi9qWPItv+G9bUZNgHTEJD47pIhepkpE4NOJ6h&#10;yyEwQT/n88WsKOacCYpNi7y4mqW2ZFA+HbfOhy8SOxYnFXfU1SQPh3sfYjpQPm2Jt3nUqt4ordMi&#10;OkmutWMHIA+AENKEsYgXO7VhPWWwyOf5SOFtMp0K5Gituopf5/EbPRbxfTZ18lsApcc5Za7NiWdE&#10;OMIMw3agjZHrFusjkXU4OpdeGk1adH8568m1Ffd/9uAkZ/qroe4spkURbZ4WxfwjoWTuMrK9jIAR&#10;JFXxwNk4XYf0NBI3e0td3KjE9zmTU67kxoT99HKi3S/Xadfz+179AwAA//8DAFBLAwQUAAYACAAA&#10;ACEAPomZFdsAAAAFAQAADwAAAGRycy9kb3ducmV2LnhtbEyPwU7DMBBE70j8g7VIXCpqNweI0jgV&#10;QlQCbi0VZzfexlHjdWRv28DXY7jAZaXRjGbe1qvJD+KMMfWBNCzmCgRSG2xPnYbd+/quBJHYkDVD&#10;INTwiQlWzfVVbSobLrTB85Y7kUsoVUaDYx4rKVPr0Js0DyNS9g4hesNZxk7aaC653A+yUOpeetNT&#10;XnBmxCeH7XF78hre1OvkPnabl3hYx+cvObPtjFnr25vpcQmCceK/MPzgZ3RoMtM+nMgmMWjIj/Dv&#10;zV5ZqgcQew1FsShANrX8T998AwAA//8DAFBLAQItABQABgAIAAAAIQC2gziS/gAAAOEBAAATAAAA&#10;AAAAAAAAAAAAAAAAAABbQ29udGVudF9UeXBlc10ueG1sUEsBAi0AFAAGAAgAAAAhADj9If/WAAAA&#10;lAEAAAsAAAAAAAAAAAAAAAAALwEAAF9yZWxzLy5yZWxzUEsBAi0AFAAGAAgAAAAhABC1/lkPAgAA&#10;JwQAAA4AAAAAAAAAAAAAAAAALgIAAGRycy9lMm9Eb2MueG1sUEsBAi0AFAAGAAgAAAAhAD6JmRXb&#10;AAAABQEAAA8AAAAAAAAAAAAAAAAAaQQAAGRycy9kb3ducmV2LnhtbFBLBQYAAAAABAAEAPMAAABx&#10;BQAAAAA=&#10;" fillcolor="#2c5060 [3204]" strokecolor="#2c5060 [3204]" strokeweight="1.5pt">
                <v:textbox style="mso-fit-shape-to-text:t">
                  <w:txbxContent>
                    <w:p w14:paraId="68A5C494" w14:textId="29D14694" w:rsidR="00786EA9" w:rsidRPr="007222D5" w:rsidRDefault="00786EA9" w:rsidP="00786EA9">
                      <w:pPr>
                        <w:rPr>
                          <w:b/>
                          <w:bCs/>
                          <w:color w:val="FFFFFF" w:themeColor="background1"/>
                        </w:rPr>
                      </w:pPr>
                      <w:r w:rsidRPr="007222D5">
                        <w:rPr>
                          <w:b/>
                          <w:bCs/>
                          <w:color w:val="FFFFFF" w:themeColor="background1"/>
                        </w:rPr>
                        <w:t>Dataset</w:t>
                      </w:r>
                      <w:r w:rsidR="00401278">
                        <w:rPr>
                          <w:b/>
                          <w:bCs/>
                          <w:color w:val="FFFFFF" w:themeColor="background1"/>
                        </w:rPr>
                        <w:t>s</w:t>
                      </w:r>
                      <w:r w:rsidRPr="007222D5">
                        <w:rPr>
                          <w:b/>
                          <w:bCs/>
                          <w:color w:val="FFFFFF" w:themeColor="background1"/>
                        </w:rPr>
                        <w:t xml:space="preserve">: </w:t>
                      </w:r>
                      <w:r w:rsidR="00F716D7">
                        <w:rPr>
                          <w:b/>
                          <w:bCs/>
                          <w:color w:val="FFFFFF" w:themeColor="background1"/>
                        </w:rPr>
                        <w:t xml:space="preserve">Sexual </w:t>
                      </w:r>
                      <w:r w:rsidR="0011357B">
                        <w:rPr>
                          <w:b/>
                          <w:bCs/>
                          <w:color w:val="FFFFFF" w:themeColor="background1"/>
                        </w:rPr>
                        <w:t>o</w:t>
                      </w:r>
                      <w:r w:rsidR="00F716D7">
                        <w:rPr>
                          <w:b/>
                          <w:bCs/>
                          <w:color w:val="FFFFFF" w:themeColor="background1"/>
                        </w:rPr>
                        <w:t>rientation</w:t>
                      </w:r>
                      <w:r w:rsidR="0011357B">
                        <w:rPr>
                          <w:b/>
                          <w:bCs/>
                          <w:color w:val="FFFFFF" w:themeColor="background1"/>
                        </w:rPr>
                        <w:t xml:space="preserve"> </w:t>
                      </w:r>
                      <w:r w:rsidR="00401278">
                        <w:rPr>
                          <w:b/>
                          <w:bCs/>
                          <w:color w:val="FFFFFF" w:themeColor="background1"/>
                        </w:rPr>
                        <w:t>and gender identity</w:t>
                      </w:r>
                    </w:p>
                    <w:p w14:paraId="3A734EF0" w14:textId="4D5F77CB" w:rsidR="00786EA9" w:rsidRPr="009B3442" w:rsidRDefault="00786EA9" w:rsidP="00786EA9">
                      <w:pPr>
                        <w:rPr>
                          <w:rFonts w:cs="Arial"/>
                          <w:color w:val="FFFFFF" w:themeColor="background1"/>
                          <w:szCs w:val="24"/>
                        </w:rPr>
                      </w:pPr>
                      <w:r w:rsidRPr="007A6358">
                        <w:rPr>
                          <w:rFonts w:cs="Arial"/>
                          <w:b/>
                          <w:bCs/>
                          <w:color w:val="FFFFFF" w:themeColor="background1"/>
                          <w:szCs w:val="24"/>
                        </w:rPr>
                        <w:t>Datalink</w:t>
                      </w:r>
                      <w:r>
                        <w:rPr>
                          <w:rFonts w:cs="Arial"/>
                          <w:b/>
                          <w:bCs/>
                          <w:color w:val="FFFFFF" w:themeColor="background1"/>
                          <w:szCs w:val="24"/>
                        </w:rPr>
                        <w:t>: the dataset</w:t>
                      </w:r>
                      <w:r w:rsidR="0035132D">
                        <w:rPr>
                          <w:rFonts w:cs="Arial"/>
                          <w:b/>
                          <w:bCs/>
                          <w:color w:val="FFFFFF" w:themeColor="background1"/>
                          <w:szCs w:val="24"/>
                        </w:rPr>
                        <w:t>s</w:t>
                      </w:r>
                      <w:r>
                        <w:rPr>
                          <w:rFonts w:cs="Arial"/>
                          <w:b/>
                          <w:bCs/>
                          <w:color w:val="FFFFFF" w:themeColor="background1"/>
                          <w:szCs w:val="24"/>
                        </w:rPr>
                        <w:t xml:space="preserve"> used for this briefing </w:t>
                      </w:r>
                      <w:r w:rsidRPr="009B3442">
                        <w:rPr>
                          <w:rFonts w:cs="Arial"/>
                          <w:b/>
                          <w:bCs/>
                          <w:color w:val="FFFFFF" w:themeColor="background1"/>
                          <w:szCs w:val="24"/>
                        </w:rPr>
                        <w:t>can be accessed</w:t>
                      </w:r>
                      <w:r w:rsidR="00977571">
                        <w:rPr>
                          <w:rFonts w:cs="Arial"/>
                          <w:b/>
                          <w:bCs/>
                          <w:color w:val="FFFFFF" w:themeColor="background1"/>
                          <w:szCs w:val="24"/>
                        </w:rPr>
                        <w:t xml:space="preserve"> </w:t>
                      </w:r>
                      <w:hyperlink r:id="rId14" w:history="1">
                        <w:r w:rsidR="00977571" w:rsidRPr="005F4AF7">
                          <w:rPr>
                            <w:rStyle w:val="Hyperlink"/>
                            <w:rFonts w:cs="Arial"/>
                            <w:b/>
                            <w:bCs/>
                            <w:szCs w:val="24"/>
                          </w:rPr>
                          <w:t>her</w:t>
                        </w:r>
                        <w:r w:rsidR="005F4AF7" w:rsidRPr="005F4AF7">
                          <w:rPr>
                            <w:rStyle w:val="Hyperlink"/>
                            <w:rFonts w:cs="Arial"/>
                            <w:b/>
                            <w:bCs/>
                            <w:szCs w:val="24"/>
                          </w:rPr>
                          <w:t>e</w:t>
                        </w:r>
                      </w:hyperlink>
                      <w:r w:rsidR="00056491">
                        <w:rPr>
                          <w:rFonts w:cs="Arial"/>
                          <w:b/>
                          <w:bCs/>
                          <w:color w:val="FFFFFF" w:themeColor="background1"/>
                          <w:szCs w:val="24"/>
                        </w:rPr>
                        <w:t xml:space="preserve"> and</w:t>
                      </w:r>
                      <w:r w:rsidR="009B3442">
                        <w:rPr>
                          <w:rFonts w:cs="Arial"/>
                          <w:b/>
                          <w:bCs/>
                          <w:color w:val="FFFFFF" w:themeColor="background1"/>
                          <w:szCs w:val="24"/>
                        </w:rPr>
                        <w:t xml:space="preserve"> </w:t>
                      </w:r>
                      <w:hyperlink r:id="rId15" w:history="1">
                        <w:r w:rsidR="009B3442" w:rsidRPr="009B3442">
                          <w:rPr>
                            <w:rStyle w:val="Hyperlink"/>
                            <w:rFonts w:cs="Arial"/>
                            <w:b/>
                            <w:bCs/>
                            <w:color w:val="FFFFFF" w:themeColor="background1"/>
                            <w:szCs w:val="24"/>
                          </w:rPr>
                          <w:t>here</w:t>
                        </w:r>
                      </w:hyperlink>
                      <w:r w:rsidR="0093110D" w:rsidRPr="009B3442">
                        <w:rPr>
                          <w:rFonts w:cs="Arial"/>
                          <w:b/>
                          <w:bCs/>
                          <w:color w:val="FFFFFF" w:themeColor="background1"/>
                          <w:szCs w:val="24"/>
                        </w:rPr>
                        <w:t>.</w:t>
                      </w:r>
                    </w:p>
                    <w:p w14:paraId="74A8199D" w14:textId="47E01FC1" w:rsidR="00786EA9" w:rsidRDefault="00786EA9" w:rsidP="00786EA9">
                      <w:pPr>
                        <w:rPr>
                          <w:rFonts w:cs="Arial"/>
                          <w:color w:val="FFFFFF" w:themeColor="background1"/>
                          <w:szCs w:val="24"/>
                        </w:rPr>
                      </w:pPr>
                      <w:r w:rsidRPr="007A6358">
                        <w:rPr>
                          <w:rFonts w:cs="Arial"/>
                          <w:b/>
                          <w:bCs/>
                          <w:color w:val="FFFFFF" w:themeColor="background1"/>
                          <w:szCs w:val="24"/>
                        </w:rPr>
                        <w:t>Definition</w:t>
                      </w:r>
                      <w:r w:rsidRPr="007A6358">
                        <w:rPr>
                          <w:rFonts w:cs="Arial"/>
                          <w:color w:val="FFFFFF" w:themeColor="background1"/>
                          <w:szCs w:val="24"/>
                        </w:rPr>
                        <w:t xml:space="preserve">: </w:t>
                      </w:r>
                      <w:r w:rsidR="00056491">
                        <w:rPr>
                          <w:rFonts w:cs="Arial"/>
                          <w:color w:val="FFFFFF" w:themeColor="background1"/>
                          <w:szCs w:val="24"/>
                        </w:rPr>
                        <w:t xml:space="preserve">This briefing </w:t>
                      </w:r>
                      <w:r w:rsidR="00B17688">
                        <w:rPr>
                          <w:rFonts w:cs="Arial"/>
                          <w:color w:val="FFFFFF" w:themeColor="background1"/>
                          <w:szCs w:val="24"/>
                        </w:rPr>
                        <w:t>covers two census questions. ‘</w:t>
                      </w:r>
                      <w:r w:rsidR="0011357B">
                        <w:rPr>
                          <w:rFonts w:cs="Arial"/>
                          <w:color w:val="FFFFFF" w:themeColor="background1"/>
                          <w:szCs w:val="24"/>
                        </w:rPr>
                        <w:t>Sexual orientation</w:t>
                      </w:r>
                      <w:r w:rsidR="00B17688">
                        <w:rPr>
                          <w:rFonts w:cs="Arial"/>
                          <w:color w:val="FFFFFF" w:themeColor="background1"/>
                          <w:szCs w:val="24"/>
                        </w:rPr>
                        <w:t>’</w:t>
                      </w:r>
                      <w:r w:rsidR="0011357B">
                        <w:rPr>
                          <w:rFonts w:cs="Arial"/>
                          <w:color w:val="FFFFFF" w:themeColor="background1"/>
                          <w:szCs w:val="24"/>
                        </w:rPr>
                        <w:t xml:space="preserve"> is an umbrella term for sexual identity, attraction and behaviour. </w:t>
                      </w:r>
                      <w:r w:rsidR="00B17688">
                        <w:rPr>
                          <w:rFonts w:cs="Arial"/>
                          <w:color w:val="FFFFFF" w:themeColor="background1"/>
                          <w:szCs w:val="24"/>
                        </w:rPr>
                        <w:t>‘</w:t>
                      </w:r>
                      <w:r w:rsidR="00F614F2">
                        <w:rPr>
                          <w:rFonts w:cs="Arial"/>
                          <w:color w:val="FFFFFF" w:themeColor="background1"/>
                          <w:szCs w:val="24"/>
                        </w:rPr>
                        <w:t>Gender identity</w:t>
                      </w:r>
                      <w:r w:rsidR="00B47141">
                        <w:rPr>
                          <w:rFonts w:cs="Arial"/>
                          <w:color w:val="FFFFFF" w:themeColor="background1"/>
                          <w:szCs w:val="24"/>
                        </w:rPr>
                        <w:t xml:space="preserve">’ </w:t>
                      </w:r>
                      <w:r w:rsidR="004D4CC0">
                        <w:rPr>
                          <w:rFonts w:cs="Arial"/>
                          <w:color w:val="FFFFFF" w:themeColor="background1"/>
                          <w:szCs w:val="24"/>
                        </w:rPr>
                        <w:t xml:space="preserve">refers to </w:t>
                      </w:r>
                      <w:r w:rsidR="009F0494">
                        <w:rPr>
                          <w:rFonts w:cs="Arial"/>
                          <w:color w:val="FFFFFF" w:themeColor="background1"/>
                          <w:szCs w:val="24"/>
                        </w:rPr>
                        <w:t>how a</w:t>
                      </w:r>
                      <w:r w:rsidR="00B47141">
                        <w:rPr>
                          <w:rFonts w:cs="Arial"/>
                          <w:color w:val="FFFFFF" w:themeColor="background1"/>
                          <w:szCs w:val="24"/>
                        </w:rPr>
                        <w:t>n individual</w:t>
                      </w:r>
                      <w:r w:rsidR="009F0494">
                        <w:rPr>
                          <w:rFonts w:cs="Arial"/>
                          <w:color w:val="FFFFFF" w:themeColor="background1"/>
                          <w:szCs w:val="24"/>
                        </w:rPr>
                        <w:t xml:space="preserve"> perceives their gender.</w:t>
                      </w:r>
                    </w:p>
                    <w:p w14:paraId="6FEB805D" w14:textId="013A0981" w:rsidR="00786EA9" w:rsidRPr="007A6358" w:rsidRDefault="00786EA9" w:rsidP="00786EA9">
                      <w:pPr>
                        <w:contextualSpacing/>
                        <w:rPr>
                          <w:rFonts w:cs="Arial"/>
                          <w:color w:val="FFFFFF" w:themeColor="background1"/>
                          <w:szCs w:val="24"/>
                        </w:rPr>
                      </w:pPr>
                      <w:r w:rsidRPr="007A6358">
                        <w:rPr>
                          <w:rFonts w:cs="Arial"/>
                          <w:b/>
                          <w:bCs/>
                          <w:color w:val="FFFFFF" w:themeColor="background1"/>
                          <w:szCs w:val="24"/>
                        </w:rPr>
                        <w:t>Census day</w:t>
                      </w:r>
                      <w:r w:rsidRPr="007A6358">
                        <w:rPr>
                          <w:rFonts w:cs="Arial"/>
                          <w:color w:val="FFFFFF" w:themeColor="background1"/>
                          <w:szCs w:val="24"/>
                        </w:rPr>
                        <w:t xml:space="preserve">: The </w:t>
                      </w:r>
                      <w:r>
                        <w:rPr>
                          <w:rFonts w:cs="Arial"/>
                          <w:color w:val="FFFFFF" w:themeColor="background1"/>
                          <w:szCs w:val="24"/>
                        </w:rPr>
                        <w:t xml:space="preserve">2021 census </w:t>
                      </w:r>
                      <w:r w:rsidRPr="007A6358">
                        <w:rPr>
                          <w:rFonts w:cs="Arial"/>
                          <w:color w:val="FFFFFF" w:themeColor="background1"/>
                          <w:szCs w:val="24"/>
                        </w:rPr>
                        <w:t>was held in England and Wales on 21 March 202</w:t>
                      </w:r>
                      <w:r w:rsidR="00181477">
                        <w:rPr>
                          <w:rFonts w:cs="Arial"/>
                          <w:color w:val="FFFFFF" w:themeColor="background1"/>
                          <w:szCs w:val="24"/>
                        </w:rPr>
                        <w:t>1.</w:t>
                      </w:r>
                      <w:r>
                        <w:rPr>
                          <w:rFonts w:cs="Arial"/>
                          <w:color w:val="FFFFFF" w:themeColor="background1"/>
                          <w:szCs w:val="24"/>
                        </w:rPr>
                        <w:t xml:space="preserve"> It</w:t>
                      </w:r>
                      <w:r w:rsidRPr="00183F03">
                        <w:rPr>
                          <w:rFonts w:cs="Arial"/>
                          <w:color w:val="FFFFFF" w:themeColor="background1"/>
                          <w:szCs w:val="24"/>
                        </w:rPr>
                        <w:t xml:space="preserve"> was undertaken during the Covid-19 pandemic so may not show </w:t>
                      </w:r>
                      <w:r w:rsidR="00775B0E">
                        <w:rPr>
                          <w:rFonts w:cs="Arial"/>
                          <w:color w:val="FFFFFF" w:themeColor="background1"/>
                          <w:szCs w:val="24"/>
                        </w:rPr>
                        <w:t>‘</w:t>
                      </w:r>
                      <w:r w:rsidRPr="00183F03">
                        <w:rPr>
                          <w:rFonts w:cs="Arial"/>
                          <w:color w:val="FFFFFF" w:themeColor="background1"/>
                          <w:szCs w:val="24"/>
                        </w:rPr>
                        <w:t>normal</w:t>
                      </w:r>
                      <w:r w:rsidR="00775B0E">
                        <w:rPr>
                          <w:rFonts w:cs="Arial"/>
                          <w:color w:val="FFFFFF" w:themeColor="background1"/>
                          <w:szCs w:val="24"/>
                        </w:rPr>
                        <w:t>’</w:t>
                      </w:r>
                      <w:r w:rsidRPr="00183F03">
                        <w:rPr>
                          <w:rFonts w:cs="Arial"/>
                          <w:color w:val="FFFFFF" w:themeColor="background1"/>
                          <w:szCs w:val="24"/>
                        </w:rPr>
                        <w:t xml:space="preserve"> population and household patterns due to temporary changes in living circumstances during the pandemic.</w:t>
                      </w:r>
                    </w:p>
                  </w:txbxContent>
                </v:textbox>
                <w10:anchorlock/>
              </v:shape>
            </w:pict>
          </mc:Fallback>
        </mc:AlternateContent>
      </w:r>
    </w:p>
    <w:p w14:paraId="490F55EB" w14:textId="77777777" w:rsidR="00612FD7" w:rsidRDefault="00612FD7" w:rsidP="00332E59">
      <w:pPr>
        <w:spacing w:line="259" w:lineRule="auto"/>
        <w:rPr>
          <w:rFonts w:asciiTheme="minorHAnsi" w:hAnsiTheme="minorHAnsi"/>
          <w:b/>
          <w:bCs/>
          <w:color w:val="2C5060" w:themeColor="accent1"/>
          <w:sz w:val="52"/>
          <w:szCs w:val="40"/>
        </w:rPr>
      </w:pPr>
    </w:p>
    <w:p w14:paraId="0BD08CC1" w14:textId="19255A8B" w:rsidR="00332E59" w:rsidRPr="00A12E9E" w:rsidRDefault="00332E59" w:rsidP="00332E59">
      <w:pPr>
        <w:spacing w:line="259" w:lineRule="auto"/>
        <w:rPr>
          <w:rFonts w:asciiTheme="minorHAnsi" w:hAnsiTheme="minorHAnsi"/>
          <w:b/>
          <w:bCs/>
          <w:color w:val="2C5060" w:themeColor="accent1"/>
          <w:sz w:val="52"/>
          <w:szCs w:val="40"/>
        </w:rPr>
      </w:pPr>
      <w:r w:rsidRPr="00A12E9E">
        <w:rPr>
          <w:rFonts w:asciiTheme="minorHAnsi" w:hAnsiTheme="minorHAnsi"/>
          <w:b/>
          <w:bCs/>
          <w:color w:val="2C5060" w:themeColor="accent1"/>
          <w:sz w:val="52"/>
          <w:szCs w:val="40"/>
        </w:rPr>
        <w:t>Key points</w:t>
      </w:r>
    </w:p>
    <w:p w14:paraId="4BFAE4A4" w14:textId="5332D19C" w:rsidR="00DC4763" w:rsidRDefault="0041028D" w:rsidP="00CD64D7">
      <w:pPr>
        <w:pStyle w:val="ListParagraph"/>
      </w:pPr>
      <w:r>
        <w:t xml:space="preserve">Some </w:t>
      </w:r>
      <w:r w:rsidR="00DC4763">
        <w:t>89.3%</w:t>
      </w:r>
      <w:r>
        <w:t xml:space="preserve"> of Greater Manchester residents described themselves as straight or heterosexual</w:t>
      </w:r>
      <w:r w:rsidR="006D6B9A">
        <w:t>,</w:t>
      </w:r>
      <w:r w:rsidR="007D2F33">
        <w:t xml:space="preserve"> </w:t>
      </w:r>
      <w:r w:rsidR="005D0887">
        <w:t xml:space="preserve">using the categories available on the 2021 census. This was very similar to </w:t>
      </w:r>
      <w:r w:rsidR="00DD40E0">
        <w:t>the</w:t>
      </w:r>
      <w:r w:rsidR="005D0887">
        <w:t xml:space="preserve"> pattern for England as a whole (89.4%).</w:t>
      </w:r>
      <w:r w:rsidR="00DC4763">
        <w:t xml:space="preserve"> The proportion was highest in Wigan</w:t>
      </w:r>
      <w:r w:rsidR="007D2F33">
        <w:t xml:space="preserve"> (</w:t>
      </w:r>
      <w:r w:rsidR="00DC4763">
        <w:t>92.0%</w:t>
      </w:r>
      <w:r w:rsidR="007D2F33">
        <w:t>)</w:t>
      </w:r>
      <w:r w:rsidR="00034489">
        <w:t xml:space="preserve"> and </w:t>
      </w:r>
      <w:r w:rsidR="00DC4763">
        <w:t xml:space="preserve">lowest </w:t>
      </w:r>
      <w:r w:rsidR="00034489">
        <w:t>in Manchester (</w:t>
      </w:r>
      <w:r w:rsidR="00DC4763">
        <w:t>84.6%</w:t>
      </w:r>
      <w:r w:rsidR="00034489">
        <w:t>)</w:t>
      </w:r>
      <w:r w:rsidR="00DC4763">
        <w:t>.</w:t>
      </w:r>
    </w:p>
    <w:p w14:paraId="331243C4" w14:textId="05B899C1" w:rsidR="000737D5" w:rsidRDefault="000737D5" w:rsidP="00CD64D7">
      <w:pPr>
        <w:pStyle w:val="ListParagraph"/>
      </w:pPr>
      <w:r w:rsidRPr="008B5FC2">
        <w:t xml:space="preserve">A higher proportion of residents answered that they were </w:t>
      </w:r>
      <w:r>
        <w:t>g</w:t>
      </w:r>
      <w:r w:rsidRPr="008B5FC2">
        <w:t xml:space="preserve">ay or </w:t>
      </w:r>
      <w:r>
        <w:t>l</w:t>
      </w:r>
      <w:r w:rsidRPr="008B5FC2">
        <w:t>esbian in Greater Manchester (2.0</w:t>
      </w:r>
      <w:r>
        <w:t>%</w:t>
      </w:r>
      <w:r w:rsidRPr="008B5FC2">
        <w:t>) than in England (1.5</w:t>
      </w:r>
      <w:r>
        <w:t>%</w:t>
      </w:r>
      <w:r w:rsidRPr="008B5FC2">
        <w:t xml:space="preserve">). </w:t>
      </w:r>
    </w:p>
    <w:p w14:paraId="43FF5C77" w14:textId="51DDD431" w:rsidR="00806428" w:rsidRDefault="004F4660" w:rsidP="00CD64D7">
      <w:pPr>
        <w:pStyle w:val="ListParagraph"/>
      </w:pPr>
      <w:r>
        <w:t>There were</w:t>
      </w:r>
      <w:r w:rsidR="00B76EC4">
        <w:t xml:space="preserve"> </w:t>
      </w:r>
      <w:r w:rsidR="00507268">
        <w:t>6,4</w:t>
      </w:r>
      <w:r w:rsidR="00B0570C">
        <w:t>50</w:t>
      </w:r>
      <w:r w:rsidR="00507268">
        <w:t xml:space="preserve"> </w:t>
      </w:r>
      <w:r>
        <w:t>people</w:t>
      </w:r>
      <w:r w:rsidR="00E54190">
        <w:t xml:space="preserve"> (0.</w:t>
      </w:r>
      <w:r w:rsidR="004A7E8B">
        <w:t>3</w:t>
      </w:r>
      <w:r w:rsidR="003E33B4">
        <w:t xml:space="preserve">%) </w:t>
      </w:r>
      <w:r w:rsidR="002C49F3">
        <w:t xml:space="preserve">in Greater Manchester </w:t>
      </w:r>
      <w:r>
        <w:t xml:space="preserve">who </w:t>
      </w:r>
      <w:r w:rsidR="00E54190">
        <w:t xml:space="preserve">said their gender was different to </w:t>
      </w:r>
      <w:r w:rsidR="00E248ED">
        <w:t xml:space="preserve">the sex they were </w:t>
      </w:r>
      <w:r w:rsidR="00BA03DD">
        <w:t>registered with at birth</w:t>
      </w:r>
      <w:r w:rsidR="00B023BC">
        <w:t xml:space="preserve"> (0.2</w:t>
      </w:r>
      <w:r w:rsidR="00771F1A">
        <w:t>% in England)</w:t>
      </w:r>
      <w:r w:rsidR="00BA03DD">
        <w:t xml:space="preserve">. </w:t>
      </w:r>
      <w:r w:rsidR="00827903">
        <w:t xml:space="preserve">Some </w:t>
      </w:r>
      <w:r w:rsidR="00DF4131">
        <w:t>99.3%</w:t>
      </w:r>
      <w:r w:rsidR="0032782C">
        <w:t xml:space="preserve"> of residents</w:t>
      </w:r>
      <w:r w:rsidR="0038216D">
        <w:t xml:space="preserve"> who answered the question</w:t>
      </w:r>
      <w:r w:rsidR="00DF4131">
        <w:t xml:space="preserve"> said their gender was the same</w:t>
      </w:r>
      <w:r w:rsidR="009F60A9">
        <w:t>.</w:t>
      </w:r>
    </w:p>
    <w:p w14:paraId="64C61693" w14:textId="61E95FEA" w:rsidR="00B76EC4" w:rsidRDefault="004F4660" w:rsidP="00CD64D7">
      <w:pPr>
        <w:pStyle w:val="ListParagraph"/>
      </w:pPr>
      <w:r>
        <w:t>Some</w:t>
      </w:r>
      <w:r w:rsidR="00B0570C">
        <w:t xml:space="preserve"> </w:t>
      </w:r>
      <w:r w:rsidR="0054753B">
        <w:t>2,650</w:t>
      </w:r>
      <w:r w:rsidR="00240CFC">
        <w:t xml:space="preserve"> people described themselves as</w:t>
      </w:r>
      <w:r w:rsidR="0054753B">
        <w:t xml:space="preserve"> </w:t>
      </w:r>
      <w:r w:rsidR="000F2919">
        <w:t xml:space="preserve">trans men </w:t>
      </w:r>
      <w:r>
        <w:t xml:space="preserve">and </w:t>
      </w:r>
      <w:r w:rsidR="0015294F">
        <w:t xml:space="preserve">2,530 </w:t>
      </w:r>
      <w:r>
        <w:t xml:space="preserve">as </w:t>
      </w:r>
      <w:r w:rsidR="0015294F">
        <w:t xml:space="preserve">trans </w:t>
      </w:r>
      <w:r w:rsidR="001D40BB">
        <w:t xml:space="preserve">women </w:t>
      </w:r>
      <w:r>
        <w:t xml:space="preserve">in Greater Manchester in 2021 </w:t>
      </w:r>
      <w:r w:rsidR="001D40BB">
        <w:t xml:space="preserve">(both 0.1% </w:t>
      </w:r>
      <w:r w:rsidR="00143AF2">
        <w:t>of residents who answered a question on gender identity</w:t>
      </w:r>
      <w:r w:rsidR="0086234F">
        <w:t>)</w:t>
      </w:r>
      <w:r w:rsidR="00706C8B">
        <w:t>.</w:t>
      </w:r>
      <w:r w:rsidR="00162112">
        <w:t xml:space="preserve"> </w:t>
      </w:r>
      <w:r w:rsidR="001F4F57">
        <w:t xml:space="preserve">This </w:t>
      </w:r>
      <w:r w:rsidR="001F5E04">
        <w:t xml:space="preserve">response </w:t>
      </w:r>
      <w:r w:rsidR="004B4F46">
        <w:t xml:space="preserve">was similar to national </w:t>
      </w:r>
      <w:r w:rsidR="001F5E04">
        <w:t>patterns.</w:t>
      </w:r>
    </w:p>
    <w:p w14:paraId="6413EFFC" w14:textId="26EB4DE1" w:rsidR="00476D27" w:rsidRDefault="00BA03DD" w:rsidP="00476D27">
      <w:pPr>
        <w:pStyle w:val="ListParagraph"/>
      </w:pPr>
      <w:r>
        <w:t xml:space="preserve">A total of </w:t>
      </w:r>
      <w:r w:rsidR="00290443">
        <w:t xml:space="preserve">1,595 people described themselves as non-binary (less than </w:t>
      </w:r>
      <w:r w:rsidR="004F4660">
        <w:t>0.1%</w:t>
      </w:r>
      <w:r w:rsidR="00B1784F">
        <w:t>).</w:t>
      </w:r>
      <w:r w:rsidR="00D40800">
        <w:t xml:space="preserve"> </w:t>
      </w:r>
    </w:p>
    <w:p w14:paraId="1D462BC9" w14:textId="77777777" w:rsidR="004F4660" w:rsidRDefault="004F4660" w:rsidP="004F4660">
      <w:pPr>
        <w:pStyle w:val="ListParagraph"/>
        <w:numPr>
          <w:ilvl w:val="0"/>
          <w:numId w:val="0"/>
        </w:numPr>
        <w:ind w:left="720"/>
      </w:pPr>
    </w:p>
    <w:p w14:paraId="1CA6C212" w14:textId="77777777" w:rsidR="007767D0" w:rsidRDefault="00496D41" w:rsidP="6F61DFA8">
      <w:pPr>
        <w:rPr>
          <w:rFonts w:asciiTheme="minorHAnsi" w:hAnsiTheme="minorHAnsi"/>
          <w:b/>
          <w:bCs/>
          <w:color w:val="2C5060" w:themeColor="accent1"/>
          <w:sz w:val="52"/>
          <w:szCs w:val="40"/>
        </w:rPr>
      </w:pPr>
      <w:r>
        <w:rPr>
          <w:rFonts w:asciiTheme="minorHAnsi" w:hAnsiTheme="minorHAnsi"/>
          <w:b/>
          <w:bCs/>
          <w:color w:val="2C5060" w:themeColor="accent1"/>
          <w:sz w:val="52"/>
          <w:szCs w:val="52"/>
        </w:rPr>
        <w:lastRenderedPageBreak/>
        <w:t>Introduction</w:t>
      </w:r>
    </w:p>
    <w:p w14:paraId="38CAAD15" w14:textId="131FC459" w:rsidR="00FB66D2" w:rsidRPr="007767D0" w:rsidRDefault="00FB66D2" w:rsidP="6F61DFA8">
      <w:pPr>
        <w:rPr>
          <w:rFonts w:asciiTheme="minorHAnsi" w:hAnsiTheme="minorHAnsi"/>
          <w:b/>
          <w:bCs/>
          <w:color w:val="2C5060" w:themeColor="accent1"/>
          <w:sz w:val="52"/>
          <w:szCs w:val="40"/>
        </w:rPr>
      </w:pPr>
      <w:r>
        <w:rPr>
          <w:rFonts w:eastAsia="Arial" w:cs="Arial"/>
          <w:szCs w:val="24"/>
        </w:rPr>
        <w:t xml:space="preserve">For the first time the 2021 census contained questions on </w:t>
      </w:r>
      <w:r w:rsidR="006E53C7">
        <w:rPr>
          <w:rFonts w:eastAsia="Arial" w:cs="Arial"/>
          <w:szCs w:val="24"/>
        </w:rPr>
        <w:t>sexual orientation and gender identi</w:t>
      </w:r>
      <w:r w:rsidR="00501DC4">
        <w:rPr>
          <w:rFonts w:eastAsia="Arial" w:cs="Arial"/>
          <w:szCs w:val="24"/>
        </w:rPr>
        <w:t xml:space="preserve">ty. </w:t>
      </w:r>
      <w:r w:rsidR="004F4660">
        <w:rPr>
          <w:rFonts w:eastAsia="Arial" w:cs="Arial"/>
          <w:szCs w:val="24"/>
        </w:rPr>
        <w:t>The</w:t>
      </w:r>
      <w:r w:rsidR="00072CEE">
        <w:rPr>
          <w:rFonts w:eastAsia="Arial" w:cs="Arial"/>
          <w:szCs w:val="24"/>
        </w:rPr>
        <w:t xml:space="preserve"> language used to discuss </w:t>
      </w:r>
      <w:r w:rsidR="004F5F1E">
        <w:rPr>
          <w:rFonts w:eastAsia="Arial" w:cs="Arial"/>
          <w:szCs w:val="24"/>
        </w:rPr>
        <w:t>these topics</w:t>
      </w:r>
      <w:r w:rsidR="00B42F76">
        <w:rPr>
          <w:rFonts w:eastAsia="Arial" w:cs="Arial"/>
          <w:szCs w:val="24"/>
        </w:rPr>
        <w:t xml:space="preserve"> is evolving</w:t>
      </w:r>
      <w:r w:rsidR="002D7214">
        <w:rPr>
          <w:rFonts w:eastAsia="Arial" w:cs="Arial"/>
          <w:szCs w:val="24"/>
        </w:rPr>
        <w:t xml:space="preserve"> and to some extent </w:t>
      </w:r>
      <w:r w:rsidR="003131DE">
        <w:rPr>
          <w:rFonts w:eastAsia="Arial" w:cs="Arial"/>
          <w:szCs w:val="24"/>
        </w:rPr>
        <w:t>novel</w:t>
      </w:r>
      <w:r w:rsidR="002D7214">
        <w:rPr>
          <w:rFonts w:eastAsia="Arial" w:cs="Arial"/>
          <w:szCs w:val="24"/>
        </w:rPr>
        <w:t xml:space="preserve">. </w:t>
      </w:r>
      <w:r w:rsidR="003131DE">
        <w:rPr>
          <w:rFonts w:eastAsia="Arial" w:cs="Arial"/>
          <w:szCs w:val="24"/>
        </w:rPr>
        <w:t xml:space="preserve">Care </w:t>
      </w:r>
      <w:r w:rsidR="007866BC">
        <w:rPr>
          <w:rFonts w:eastAsia="Arial" w:cs="Arial"/>
          <w:szCs w:val="24"/>
        </w:rPr>
        <w:t xml:space="preserve">has been taken </w:t>
      </w:r>
      <w:r w:rsidR="0005644D">
        <w:rPr>
          <w:rFonts w:eastAsia="Arial" w:cs="Arial"/>
          <w:szCs w:val="24"/>
        </w:rPr>
        <w:t xml:space="preserve">to clarify terms, but it is worth bearing in mind that </w:t>
      </w:r>
      <w:r w:rsidR="00546559">
        <w:rPr>
          <w:rFonts w:eastAsia="Arial" w:cs="Arial"/>
          <w:szCs w:val="24"/>
        </w:rPr>
        <w:t xml:space="preserve">there are </w:t>
      </w:r>
      <w:r w:rsidR="00A14C04">
        <w:rPr>
          <w:rFonts w:eastAsia="Arial" w:cs="Arial"/>
          <w:szCs w:val="24"/>
        </w:rPr>
        <w:t xml:space="preserve">debates around </w:t>
      </w:r>
      <w:r w:rsidR="005357D8">
        <w:rPr>
          <w:rFonts w:eastAsia="Arial" w:cs="Arial"/>
          <w:szCs w:val="24"/>
        </w:rPr>
        <w:t>some</w:t>
      </w:r>
      <w:r w:rsidR="00A14C04">
        <w:rPr>
          <w:rFonts w:eastAsia="Arial" w:cs="Arial"/>
          <w:szCs w:val="24"/>
        </w:rPr>
        <w:t xml:space="preserve"> </w:t>
      </w:r>
      <w:r w:rsidR="00EB5684">
        <w:rPr>
          <w:rFonts w:eastAsia="Arial" w:cs="Arial"/>
          <w:szCs w:val="24"/>
        </w:rPr>
        <w:t>distinctions</w:t>
      </w:r>
      <w:r w:rsidR="00A14C04">
        <w:rPr>
          <w:rFonts w:eastAsia="Arial" w:cs="Arial"/>
          <w:szCs w:val="24"/>
        </w:rPr>
        <w:t>.</w:t>
      </w:r>
      <w:r w:rsidR="00817810">
        <w:rPr>
          <w:rFonts w:eastAsia="Arial" w:cs="Arial"/>
          <w:szCs w:val="24"/>
        </w:rPr>
        <w:t xml:space="preserve"> This briefing examines sexual orientation first and then gender identity. </w:t>
      </w:r>
    </w:p>
    <w:p w14:paraId="7F3E5709" w14:textId="522BCA19" w:rsidR="004B4F05" w:rsidRPr="00496D41" w:rsidRDefault="004B4F05" w:rsidP="6F61DFA8">
      <w:pPr>
        <w:rPr>
          <w:rFonts w:asciiTheme="minorHAnsi" w:hAnsiTheme="minorHAnsi"/>
          <w:b/>
          <w:bCs/>
          <w:color w:val="auto"/>
          <w:sz w:val="36"/>
          <w:szCs w:val="28"/>
        </w:rPr>
      </w:pPr>
      <w:r w:rsidRPr="00496D41">
        <w:rPr>
          <w:rFonts w:asciiTheme="minorHAnsi" w:hAnsiTheme="minorHAnsi"/>
          <w:b/>
          <w:bCs/>
          <w:color w:val="auto"/>
          <w:sz w:val="36"/>
          <w:szCs w:val="28"/>
        </w:rPr>
        <w:t>Sexual orientation</w:t>
      </w:r>
    </w:p>
    <w:p w14:paraId="74983924" w14:textId="3FE54613" w:rsidR="00FF629C" w:rsidRDefault="00AF542F" w:rsidP="6F61DFA8">
      <w:pPr>
        <w:rPr>
          <w:rFonts w:eastAsia="Arial" w:cs="Arial"/>
          <w:szCs w:val="24"/>
        </w:rPr>
      </w:pPr>
      <w:r>
        <w:rPr>
          <w:rFonts w:eastAsia="Arial" w:cs="Arial"/>
          <w:szCs w:val="24"/>
        </w:rPr>
        <w:t>S</w:t>
      </w:r>
      <w:r w:rsidR="00B7764D">
        <w:rPr>
          <w:rFonts w:eastAsia="Arial" w:cs="Arial"/>
          <w:szCs w:val="24"/>
        </w:rPr>
        <w:t xml:space="preserve">exual orientation </w:t>
      </w:r>
      <w:r w:rsidR="00B86AEB">
        <w:rPr>
          <w:rFonts w:eastAsia="Arial" w:cs="Arial"/>
          <w:szCs w:val="24"/>
        </w:rPr>
        <w:t>covers</w:t>
      </w:r>
      <w:r w:rsidR="00B7764D">
        <w:rPr>
          <w:rFonts w:eastAsia="Arial" w:cs="Arial"/>
          <w:szCs w:val="24"/>
        </w:rPr>
        <w:t xml:space="preserve"> sexual identity, attraction and behaviour. The question was voluntary </w:t>
      </w:r>
      <w:r w:rsidR="00601ABE">
        <w:rPr>
          <w:rFonts w:eastAsia="Arial" w:cs="Arial"/>
          <w:szCs w:val="24"/>
        </w:rPr>
        <w:t xml:space="preserve">among residents over the age of 16 </w:t>
      </w:r>
      <w:r w:rsidR="00B7764D">
        <w:rPr>
          <w:rFonts w:eastAsia="Arial" w:cs="Arial"/>
          <w:szCs w:val="24"/>
        </w:rPr>
        <w:t xml:space="preserve">and some 92.5% of people answered it </w:t>
      </w:r>
      <w:r w:rsidR="00A11E4E">
        <w:rPr>
          <w:rFonts w:eastAsia="Arial" w:cs="Arial"/>
          <w:szCs w:val="24"/>
        </w:rPr>
        <w:t xml:space="preserve">nationally </w:t>
      </w:r>
      <w:r w:rsidR="00B7764D">
        <w:rPr>
          <w:rFonts w:eastAsia="Arial" w:cs="Arial"/>
          <w:szCs w:val="24"/>
        </w:rPr>
        <w:t>(93.1% in Greater Manchester).</w:t>
      </w:r>
      <w:r w:rsidR="0011357B">
        <w:rPr>
          <w:rFonts w:eastAsia="Arial" w:cs="Arial"/>
          <w:szCs w:val="24"/>
        </w:rPr>
        <w:t xml:space="preserve"> </w:t>
      </w:r>
      <w:r w:rsidR="38177E28" w:rsidRPr="6F61DFA8">
        <w:rPr>
          <w:rFonts w:eastAsia="Arial" w:cs="Arial"/>
          <w:szCs w:val="24"/>
        </w:rPr>
        <w:t xml:space="preserve">Across </w:t>
      </w:r>
      <w:r w:rsidR="00B7764D">
        <w:rPr>
          <w:rFonts w:eastAsia="Arial" w:cs="Arial"/>
          <w:szCs w:val="24"/>
        </w:rPr>
        <w:t xml:space="preserve">the city region of </w:t>
      </w:r>
      <w:r w:rsidR="38177E28" w:rsidRPr="6F61DFA8">
        <w:rPr>
          <w:rFonts w:eastAsia="Arial" w:cs="Arial"/>
          <w:szCs w:val="24"/>
        </w:rPr>
        <w:t xml:space="preserve">Greater Manchester 89.3% </w:t>
      </w:r>
      <w:r w:rsidR="00C13586">
        <w:rPr>
          <w:rFonts w:eastAsia="Arial" w:cs="Arial"/>
          <w:szCs w:val="24"/>
        </w:rPr>
        <w:t xml:space="preserve">of residents </w:t>
      </w:r>
      <w:r w:rsidR="00B7764D">
        <w:rPr>
          <w:rFonts w:eastAsia="Arial" w:cs="Arial"/>
          <w:szCs w:val="24"/>
        </w:rPr>
        <w:t>said they were straight or heterosexual</w:t>
      </w:r>
      <w:r w:rsidR="00FF629C">
        <w:rPr>
          <w:rFonts w:eastAsia="Arial" w:cs="Arial"/>
          <w:szCs w:val="24"/>
        </w:rPr>
        <w:t xml:space="preserve"> - in line with national patterns. </w:t>
      </w:r>
      <w:r w:rsidR="001F1758">
        <w:rPr>
          <w:rFonts w:eastAsia="Arial" w:cs="Arial"/>
          <w:szCs w:val="24"/>
        </w:rPr>
        <w:t>In Manchester and Salford</w:t>
      </w:r>
      <w:r w:rsidR="00DF79FB">
        <w:rPr>
          <w:rFonts w:eastAsia="Arial" w:cs="Arial"/>
          <w:szCs w:val="24"/>
        </w:rPr>
        <w:t>,</w:t>
      </w:r>
      <w:r w:rsidR="00D6694F">
        <w:rPr>
          <w:rFonts w:eastAsia="Arial" w:cs="Arial"/>
          <w:szCs w:val="24"/>
        </w:rPr>
        <w:t xml:space="preserve"> however,</w:t>
      </w:r>
      <w:r w:rsidR="001F1758">
        <w:rPr>
          <w:rFonts w:eastAsia="Arial" w:cs="Arial"/>
          <w:szCs w:val="24"/>
        </w:rPr>
        <w:t xml:space="preserve"> the proportions </w:t>
      </w:r>
      <w:r w:rsidR="00254B91">
        <w:rPr>
          <w:rFonts w:eastAsia="Arial" w:cs="Arial"/>
          <w:szCs w:val="24"/>
        </w:rPr>
        <w:t xml:space="preserve">who answered this way </w:t>
      </w:r>
      <w:r w:rsidR="007A6050">
        <w:rPr>
          <w:rFonts w:eastAsia="Arial" w:cs="Arial"/>
          <w:szCs w:val="24"/>
        </w:rPr>
        <w:t>dropped</w:t>
      </w:r>
      <w:r w:rsidR="001F1758">
        <w:rPr>
          <w:rFonts w:eastAsia="Arial" w:cs="Arial"/>
          <w:szCs w:val="24"/>
        </w:rPr>
        <w:t xml:space="preserve"> </w:t>
      </w:r>
      <w:r w:rsidR="005F2F05">
        <w:rPr>
          <w:rFonts w:eastAsia="Arial" w:cs="Arial"/>
          <w:szCs w:val="24"/>
        </w:rPr>
        <w:t xml:space="preserve">well </w:t>
      </w:r>
      <w:r w:rsidR="001F1758">
        <w:rPr>
          <w:rFonts w:eastAsia="Arial" w:cs="Arial"/>
          <w:szCs w:val="24"/>
        </w:rPr>
        <w:t>below the average</w:t>
      </w:r>
      <w:r w:rsidR="004F4660">
        <w:rPr>
          <w:rFonts w:eastAsia="Arial" w:cs="Arial"/>
          <w:szCs w:val="24"/>
        </w:rPr>
        <w:t xml:space="preserve"> </w:t>
      </w:r>
      <w:r w:rsidR="004F4660">
        <w:rPr>
          <w:rFonts w:eastAsia="Arial" w:cs="Arial"/>
          <w:szCs w:val="24"/>
        </w:rPr>
        <w:t>(84.6%</w:t>
      </w:r>
      <w:r w:rsidR="004F4660">
        <w:rPr>
          <w:rFonts w:eastAsia="Arial" w:cs="Arial"/>
          <w:szCs w:val="24"/>
        </w:rPr>
        <w:t xml:space="preserve"> and </w:t>
      </w:r>
      <w:r w:rsidR="004F4660">
        <w:rPr>
          <w:rFonts w:eastAsia="Arial" w:cs="Arial"/>
          <w:szCs w:val="24"/>
        </w:rPr>
        <w:t>86.4%</w:t>
      </w:r>
      <w:r w:rsidR="004F4660">
        <w:rPr>
          <w:rFonts w:eastAsia="Arial" w:cs="Arial"/>
          <w:szCs w:val="24"/>
        </w:rPr>
        <w:t xml:space="preserve"> respectively</w:t>
      </w:r>
      <w:r w:rsidR="004F4660">
        <w:rPr>
          <w:rFonts w:eastAsia="Arial" w:cs="Arial"/>
          <w:szCs w:val="24"/>
        </w:rPr>
        <w:t>)</w:t>
      </w:r>
      <w:r w:rsidR="001F1758">
        <w:rPr>
          <w:rFonts w:eastAsia="Arial" w:cs="Arial"/>
          <w:szCs w:val="24"/>
        </w:rPr>
        <w:t>.</w:t>
      </w:r>
    </w:p>
    <w:p w14:paraId="67F1FF00" w14:textId="22E2D8B6" w:rsidR="00DF0D79" w:rsidRDefault="00DF0D79" w:rsidP="00DF0D79">
      <w:pPr>
        <w:rPr>
          <w:rFonts w:eastAsia="Arial" w:cs="Arial"/>
          <w:szCs w:val="24"/>
        </w:rPr>
      </w:pPr>
      <w:r>
        <w:rPr>
          <w:rFonts w:eastAsia="Arial" w:cs="Arial"/>
          <w:szCs w:val="24"/>
        </w:rPr>
        <w:t xml:space="preserve">Some 2% of Greater Manchester residents described themselves as gay or lesbian (compared with 1.5% in England). </w:t>
      </w:r>
      <w:r w:rsidR="006616C0">
        <w:rPr>
          <w:rFonts w:eastAsia="Arial" w:cs="Arial"/>
          <w:szCs w:val="24"/>
        </w:rPr>
        <w:t xml:space="preserve">The proportion was highest in Manchester and Salford (3.3% in both). </w:t>
      </w:r>
      <w:r>
        <w:rPr>
          <w:rFonts w:eastAsia="Arial" w:cs="Arial"/>
          <w:szCs w:val="24"/>
        </w:rPr>
        <w:t xml:space="preserve">Residents who described themselves as bisexual constituted 1.4% of the </w:t>
      </w:r>
      <w:r w:rsidR="006616C0">
        <w:rPr>
          <w:rFonts w:eastAsia="Arial" w:cs="Arial"/>
          <w:szCs w:val="24"/>
        </w:rPr>
        <w:t xml:space="preserve">Greater Manchester </w:t>
      </w:r>
      <w:r>
        <w:rPr>
          <w:rFonts w:eastAsia="Arial" w:cs="Arial"/>
          <w:szCs w:val="24"/>
        </w:rPr>
        <w:t>population (1.3% in England</w:t>
      </w:r>
      <w:r w:rsidRPr="6F61DFA8">
        <w:rPr>
          <w:rFonts w:eastAsia="Arial" w:cs="Arial"/>
          <w:szCs w:val="24"/>
        </w:rPr>
        <w:t>)</w:t>
      </w:r>
      <w:r>
        <w:rPr>
          <w:rFonts w:eastAsia="Arial" w:cs="Arial"/>
          <w:szCs w:val="24"/>
        </w:rPr>
        <w:t xml:space="preserve">. </w:t>
      </w:r>
    </w:p>
    <w:p w14:paraId="63205E6D" w14:textId="6B9DB7F5" w:rsidR="00DF0D79" w:rsidRDefault="006616C0" w:rsidP="00DF0D79">
      <w:pPr>
        <w:rPr>
          <w:rFonts w:eastAsia="Arial" w:cs="Arial"/>
          <w:szCs w:val="24"/>
        </w:rPr>
      </w:pPr>
      <w:r>
        <w:rPr>
          <w:rFonts w:eastAsia="Arial" w:cs="Arial"/>
          <w:szCs w:val="24"/>
        </w:rPr>
        <w:t>When the gay and lesbian category is combined with a range of others into an ‘LGB+ grouping’</w:t>
      </w:r>
      <w:r w:rsidRPr="008E5A2F">
        <w:rPr>
          <w:rStyle w:val="FootnoteReference"/>
          <w:rFonts w:cs="Arial"/>
          <w:szCs w:val="24"/>
        </w:rPr>
        <w:footnoteReference w:id="2"/>
      </w:r>
      <w:r>
        <w:rPr>
          <w:rFonts w:eastAsia="Arial" w:cs="Arial"/>
          <w:szCs w:val="24"/>
        </w:rPr>
        <w:t xml:space="preserve">, </w:t>
      </w:r>
      <w:r w:rsidR="001C34A9">
        <w:rPr>
          <w:rFonts w:eastAsia="Arial" w:cs="Arial"/>
          <w:szCs w:val="24"/>
        </w:rPr>
        <w:t>then 6.7% of Manchester residents were LGB+</w:t>
      </w:r>
      <w:r w:rsidR="00294040">
        <w:rPr>
          <w:rFonts w:eastAsia="Arial" w:cs="Arial"/>
          <w:szCs w:val="24"/>
        </w:rPr>
        <w:t xml:space="preserve">, followed by </w:t>
      </w:r>
      <w:r w:rsidR="00DF0D79">
        <w:rPr>
          <w:rFonts w:eastAsia="Arial" w:cs="Arial"/>
          <w:szCs w:val="24"/>
        </w:rPr>
        <w:t xml:space="preserve">Salford </w:t>
      </w:r>
      <w:r w:rsidR="00294040">
        <w:rPr>
          <w:rFonts w:eastAsia="Arial" w:cs="Arial"/>
          <w:szCs w:val="24"/>
        </w:rPr>
        <w:t>(</w:t>
      </w:r>
      <w:r w:rsidR="00DF0D79">
        <w:rPr>
          <w:rFonts w:eastAsia="Arial" w:cs="Arial"/>
          <w:szCs w:val="24"/>
        </w:rPr>
        <w:t>5.6%</w:t>
      </w:r>
      <w:r w:rsidR="00294040">
        <w:rPr>
          <w:rFonts w:eastAsia="Arial" w:cs="Arial"/>
          <w:szCs w:val="24"/>
        </w:rPr>
        <w:t>)</w:t>
      </w:r>
      <w:r w:rsidR="00DF0D79">
        <w:rPr>
          <w:rFonts w:eastAsia="Arial" w:cs="Arial"/>
          <w:szCs w:val="24"/>
        </w:rPr>
        <w:t xml:space="preserve">. </w:t>
      </w:r>
      <w:r w:rsidR="00190103">
        <w:rPr>
          <w:rFonts w:eastAsia="Arial" w:cs="Arial"/>
          <w:szCs w:val="24"/>
        </w:rPr>
        <w:t>All other districts were below average.</w:t>
      </w:r>
      <w:r w:rsidR="00DF0D79">
        <w:rPr>
          <w:rFonts w:eastAsia="Arial" w:cs="Arial"/>
          <w:szCs w:val="24"/>
        </w:rPr>
        <w:t xml:space="preserve"> Out of more than 300 local authorities in England, Manchester </w:t>
      </w:r>
      <w:r w:rsidR="005A4E26">
        <w:rPr>
          <w:rFonts w:eastAsia="Arial" w:cs="Arial"/>
          <w:szCs w:val="24"/>
        </w:rPr>
        <w:t>had more LGB+ people than any other (29,222). Leeds was next with 27,962, followed by Birmingham (26,804) and Brighton and Hove (25,247)</w:t>
      </w:r>
      <w:r w:rsidR="00DF0D79">
        <w:rPr>
          <w:rFonts w:eastAsia="Arial" w:cs="Arial"/>
          <w:szCs w:val="24"/>
        </w:rPr>
        <w:t xml:space="preserve">. </w:t>
      </w:r>
    </w:p>
    <w:p w14:paraId="34F15EEB" w14:textId="05D61FA7" w:rsidR="00BC43DE" w:rsidRDefault="001F1758" w:rsidP="00D546CE">
      <w:pPr>
        <w:rPr>
          <w:rFonts w:eastAsia="Arial" w:cs="Arial"/>
          <w:szCs w:val="24"/>
        </w:rPr>
      </w:pPr>
      <w:r>
        <w:rPr>
          <w:rFonts w:eastAsia="Arial" w:cs="Arial"/>
          <w:szCs w:val="24"/>
        </w:rPr>
        <w:lastRenderedPageBreak/>
        <w:t xml:space="preserve">The chart below shows the numbers of Greater Manchester residents who </w:t>
      </w:r>
      <w:r w:rsidR="00254B91">
        <w:rPr>
          <w:rFonts w:eastAsia="Arial" w:cs="Arial"/>
          <w:szCs w:val="24"/>
        </w:rPr>
        <w:t>picked categories</w:t>
      </w:r>
      <w:r w:rsidR="006616C0">
        <w:rPr>
          <w:rFonts w:eastAsia="Arial" w:cs="Arial"/>
          <w:szCs w:val="24"/>
        </w:rPr>
        <w:t xml:space="preserve"> other than straight</w:t>
      </w:r>
      <w:r w:rsidR="004F4660">
        <w:rPr>
          <w:rFonts w:eastAsia="Arial" w:cs="Arial"/>
          <w:szCs w:val="24"/>
        </w:rPr>
        <w:t xml:space="preserve"> or </w:t>
      </w:r>
      <w:r w:rsidR="006616C0">
        <w:rPr>
          <w:rFonts w:eastAsia="Arial" w:cs="Arial"/>
          <w:szCs w:val="24"/>
        </w:rPr>
        <w:t>heterosexual</w:t>
      </w:r>
      <w:r w:rsidR="00F85B21">
        <w:rPr>
          <w:rFonts w:eastAsia="Arial" w:cs="Arial"/>
          <w:szCs w:val="24"/>
        </w:rPr>
        <w:t>. Below that, a table gives the district</w:t>
      </w:r>
      <w:r w:rsidR="004F4660">
        <w:rPr>
          <w:rFonts w:eastAsia="Arial" w:cs="Arial"/>
          <w:szCs w:val="24"/>
        </w:rPr>
        <w:t xml:space="preserve"> </w:t>
      </w:r>
      <w:r w:rsidR="00F85B21">
        <w:rPr>
          <w:rFonts w:eastAsia="Arial" w:cs="Arial"/>
          <w:szCs w:val="24"/>
        </w:rPr>
        <w:t>level totals.</w:t>
      </w:r>
      <w:r w:rsidR="00F83EF5">
        <w:rPr>
          <w:rFonts w:eastAsia="Arial" w:cs="Arial"/>
          <w:szCs w:val="24"/>
        </w:rPr>
        <w:t xml:space="preserve"> </w:t>
      </w:r>
      <w:r w:rsidR="0011357B">
        <w:rPr>
          <w:rFonts w:eastAsia="Arial" w:cs="Arial"/>
          <w:szCs w:val="24"/>
        </w:rPr>
        <w:t>We do not know from the census how respondents interpreted the terms</w:t>
      </w:r>
      <w:r w:rsidR="00A17E1F">
        <w:rPr>
          <w:rFonts w:eastAsia="Arial" w:cs="Arial"/>
          <w:szCs w:val="24"/>
        </w:rPr>
        <w:t xml:space="preserve"> of the question</w:t>
      </w:r>
      <w:r w:rsidR="0011357B">
        <w:rPr>
          <w:rFonts w:eastAsia="Arial" w:cs="Arial"/>
          <w:szCs w:val="24"/>
        </w:rPr>
        <w:t xml:space="preserve"> – only that they selected these responses</w:t>
      </w:r>
      <w:r w:rsidR="005219EE" w:rsidRPr="005219EE">
        <w:rPr>
          <w:rFonts w:eastAsia="Arial" w:cs="Arial"/>
          <w:szCs w:val="24"/>
        </w:rPr>
        <w:t xml:space="preserve"> </w:t>
      </w:r>
      <w:r w:rsidR="005219EE">
        <w:rPr>
          <w:rFonts w:eastAsia="Arial" w:cs="Arial"/>
          <w:szCs w:val="24"/>
        </w:rPr>
        <w:t>to describe themselves</w:t>
      </w:r>
      <w:r w:rsidR="00157BF0">
        <w:rPr>
          <w:rStyle w:val="FootnoteReference"/>
          <w:rFonts w:eastAsia="Arial" w:cs="Arial"/>
          <w:szCs w:val="24"/>
        </w:rPr>
        <w:footnoteReference w:id="3"/>
      </w:r>
      <w:r w:rsidR="0011357B" w:rsidRPr="008E5A2F">
        <w:rPr>
          <w:rFonts w:eastAsia="Arial" w:cs="Arial"/>
          <w:szCs w:val="24"/>
        </w:rPr>
        <w:t>.</w:t>
      </w:r>
      <w:r w:rsidR="00DD3E76">
        <w:rPr>
          <w:rFonts w:eastAsia="Arial" w:cs="Arial"/>
          <w:szCs w:val="24"/>
        </w:rPr>
        <w:t xml:space="preserve"> </w:t>
      </w:r>
    </w:p>
    <w:p w14:paraId="264433AE" w14:textId="62D9CB6B" w:rsidR="00E0226A" w:rsidRPr="00B81EF4" w:rsidRDefault="00E0226A" w:rsidP="00D546CE">
      <w:pPr>
        <w:rPr>
          <w:rFonts w:eastAsia="Arial" w:cs="Arial"/>
          <w:b/>
          <w:bCs/>
          <w:szCs w:val="24"/>
        </w:rPr>
      </w:pPr>
      <w:r w:rsidRPr="00B81EF4">
        <w:rPr>
          <w:rFonts w:eastAsia="Arial" w:cs="Arial"/>
          <w:b/>
          <w:bCs/>
          <w:szCs w:val="24"/>
        </w:rPr>
        <w:t>Sexual orientation other than straight</w:t>
      </w:r>
      <w:r w:rsidR="00FF1D13">
        <w:rPr>
          <w:rFonts w:eastAsia="Arial" w:cs="Arial"/>
          <w:b/>
          <w:bCs/>
          <w:szCs w:val="24"/>
        </w:rPr>
        <w:t>/</w:t>
      </w:r>
      <w:r w:rsidRPr="00B81EF4">
        <w:rPr>
          <w:rFonts w:eastAsia="Arial" w:cs="Arial"/>
          <w:b/>
          <w:bCs/>
          <w:szCs w:val="24"/>
        </w:rPr>
        <w:t>heterosexual,</w:t>
      </w:r>
      <w:r w:rsidR="00B81EF4">
        <w:rPr>
          <w:rFonts w:eastAsia="Arial" w:cs="Arial"/>
          <w:b/>
          <w:bCs/>
          <w:szCs w:val="24"/>
        </w:rPr>
        <w:t xml:space="preserve"> </w:t>
      </w:r>
      <w:r w:rsidR="00B81EF4" w:rsidRPr="00B81EF4">
        <w:rPr>
          <w:rFonts w:eastAsia="Arial" w:cs="Arial"/>
          <w:b/>
          <w:bCs/>
          <w:szCs w:val="24"/>
        </w:rPr>
        <w:t>Greater Manchester, 2021</w:t>
      </w:r>
    </w:p>
    <w:p w14:paraId="61B019DB" w14:textId="6506B4D3" w:rsidR="001F1758" w:rsidRDefault="001F1758" w:rsidP="00190103">
      <w:pPr>
        <w:jc w:val="center"/>
        <w:rPr>
          <w:rFonts w:cs="Arial"/>
          <w:b/>
          <w:bCs/>
          <w:color w:val="333333"/>
          <w:sz w:val="26"/>
          <w:szCs w:val="26"/>
          <w:shd w:val="clear" w:color="auto" w:fill="FFFFFF"/>
        </w:rPr>
      </w:pPr>
      <w:r>
        <w:rPr>
          <w:noProof/>
        </w:rPr>
        <w:drawing>
          <wp:inline distT="0" distB="0" distL="0" distR="0" wp14:anchorId="1FAE10A4" wp14:editId="692471F3">
            <wp:extent cx="5134610" cy="2628900"/>
            <wp:effectExtent l="0" t="0" r="8890" b="0"/>
            <wp:docPr id="1" name="Chart 1" descr="This chart shows the number of residents, by sexual orientation category excluding Straight or Heterosexual. The chart shows that Gay or Lesbian is the highest group, followed by Bisexual, with Pansexual, Asexual, Queer and All Other Sexual Orientations significantly smaller groups.">
              <a:extLst xmlns:a="http://schemas.openxmlformats.org/drawingml/2006/main">
                <a:ext uri="{FF2B5EF4-FFF2-40B4-BE49-F238E27FC236}">
                  <a16:creationId xmlns:a16="http://schemas.microsoft.com/office/drawing/2014/main" id="{E7EE570C-4C37-409A-8DC0-16B988D930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77ED7D" w14:textId="1809113E" w:rsidR="006A5450" w:rsidRPr="006A5450" w:rsidRDefault="001F1758" w:rsidP="006A5450">
      <w:pPr>
        <w:shd w:val="clear" w:color="auto" w:fill="FFFFFF"/>
        <w:spacing w:after="150" w:line="240" w:lineRule="auto"/>
        <w:rPr>
          <w:rFonts w:eastAsia="Times New Roman" w:cs="Arial"/>
          <w:i/>
          <w:iCs/>
          <w:color w:val="333333"/>
          <w:szCs w:val="24"/>
          <w:lang w:eastAsia="en-GB"/>
        </w:rPr>
      </w:pPr>
      <w:r w:rsidRPr="00BB1064">
        <w:rPr>
          <w:rFonts w:eastAsia="Times New Roman" w:cs="Arial"/>
          <w:i/>
          <w:iCs/>
          <w:color w:val="333333"/>
          <w:szCs w:val="24"/>
          <w:lang w:eastAsia="en-GB"/>
        </w:rPr>
        <w:t>Source: 2021 Census, ONS</w:t>
      </w:r>
    </w:p>
    <w:tbl>
      <w:tblPr>
        <w:tblStyle w:val="GridTable5Dark-Accent1"/>
        <w:tblpPr w:leftFromText="180" w:rightFromText="180" w:vertAnchor="text" w:horzAnchor="margin" w:tblpXSpec="center" w:tblpY="288"/>
        <w:tblW w:w="10910" w:type="dxa"/>
        <w:tblLook w:val="04A0" w:firstRow="1" w:lastRow="0" w:firstColumn="1" w:lastColumn="0" w:noHBand="0" w:noVBand="1"/>
      </w:tblPr>
      <w:tblGrid>
        <w:gridCol w:w="2480"/>
        <w:gridCol w:w="1724"/>
        <w:gridCol w:w="1603"/>
        <w:gridCol w:w="1276"/>
        <w:gridCol w:w="2126"/>
        <w:gridCol w:w="1701"/>
      </w:tblGrid>
      <w:tr w:rsidR="0054606A" w:rsidRPr="0030560C" w14:paraId="16E990CA" w14:textId="77777777" w:rsidTr="00ED18A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80" w:type="dxa"/>
            <w:noWrap/>
            <w:hideMark/>
          </w:tcPr>
          <w:p w14:paraId="3755CC8B" w14:textId="77777777" w:rsidR="0054606A" w:rsidRPr="0030560C" w:rsidRDefault="0054606A" w:rsidP="00ED18AB">
            <w:pPr>
              <w:spacing w:line="240" w:lineRule="auto"/>
              <w:jc w:val="center"/>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Local Authority</w:t>
            </w:r>
          </w:p>
        </w:tc>
        <w:tc>
          <w:tcPr>
            <w:tcW w:w="1724" w:type="dxa"/>
            <w:noWrap/>
            <w:hideMark/>
          </w:tcPr>
          <w:p w14:paraId="7194BDBF" w14:textId="77777777" w:rsidR="0054606A" w:rsidRPr="0030560C" w:rsidRDefault="0054606A" w:rsidP="00ED18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Straight or Heterosexual</w:t>
            </w:r>
          </w:p>
        </w:tc>
        <w:tc>
          <w:tcPr>
            <w:tcW w:w="1603" w:type="dxa"/>
            <w:noWrap/>
            <w:hideMark/>
          </w:tcPr>
          <w:p w14:paraId="72402CA3" w14:textId="77777777" w:rsidR="0054606A" w:rsidRPr="0030560C" w:rsidRDefault="0054606A" w:rsidP="00ED18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Gay or Lesbian</w:t>
            </w:r>
          </w:p>
        </w:tc>
        <w:tc>
          <w:tcPr>
            <w:tcW w:w="1276" w:type="dxa"/>
            <w:noWrap/>
            <w:hideMark/>
          </w:tcPr>
          <w:p w14:paraId="22FD6AEB" w14:textId="77777777" w:rsidR="0054606A" w:rsidRPr="0030560C" w:rsidRDefault="0054606A" w:rsidP="00ED18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Bisexual</w:t>
            </w:r>
          </w:p>
        </w:tc>
        <w:tc>
          <w:tcPr>
            <w:tcW w:w="2126" w:type="dxa"/>
            <w:noWrap/>
            <w:hideMark/>
          </w:tcPr>
          <w:p w14:paraId="6EFB7D07" w14:textId="77777777" w:rsidR="0054606A" w:rsidRPr="0030560C" w:rsidRDefault="0054606A" w:rsidP="00ED18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All other sexual orientations</w:t>
            </w:r>
          </w:p>
        </w:tc>
        <w:tc>
          <w:tcPr>
            <w:tcW w:w="1701" w:type="dxa"/>
            <w:noWrap/>
            <w:hideMark/>
          </w:tcPr>
          <w:p w14:paraId="40F87692" w14:textId="77777777" w:rsidR="0054606A" w:rsidRPr="0030560C" w:rsidRDefault="0054606A" w:rsidP="00ED18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Not answered</w:t>
            </w:r>
          </w:p>
        </w:tc>
      </w:tr>
      <w:tr w:rsidR="0054606A" w:rsidRPr="0030560C" w14:paraId="0E709D10" w14:textId="77777777" w:rsidTr="00ED18A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80" w:type="dxa"/>
            <w:noWrap/>
            <w:hideMark/>
          </w:tcPr>
          <w:p w14:paraId="19644F61" w14:textId="77777777" w:rsidR="0054606A" w:rsidRPr="0030560C" w:rsidRDefault="0054606A" w:rsidP="00ED18AB">
            <w:pPr>
              <w:spacing w:line="240" w:lineRule="auto"/>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Bolton</w:t>
            </w:r>
          </w:p>
        </w:tc>
        <w:tc>
          <w:tcPr>
            <w:tcW w:w="1724" w:type="dxa"/>
            <w:noWrap/>
            <w:hideMark/>
          </w:tcPr>
          <w:p w14:paraId="38460658"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210,665</w:t>
            </w:r>
          </w:p>
        </w:tc>
        <w:tc>
          <w:tcPr>
            <w:tcW w:w="1603" w:type="dxa"/>
            <w:noWrap/>
            <w:hideMark/>
          </w:tcPr>
          <w:p w14:paraId="716E2A18"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2,806</w:t>
            </w:r>
          </w:p>
        </w:tc>
        <w:tc>
          <w:tcPr>
            <w:tcW w:w="1276" w:type="dxa"/>
            <w:noWrap/>
            <w:hideMark/>
          </w:tcPr>
          <w:p w14:paraId="2A51C98A"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2,317</w:t>
            </w:r>
          </w:p>
        </w:tc>
        <w:tc>
          <w:tcPr>
            <w:tcW w:w="2126" w:type="dxa"/>
            <w:noWrap/>
            <w:hideMark/>
          </w:tcPr>
          <w:p w14:paraId="1EAD7F7D"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570</w:t>
            </w:r>
          </w:p>
        </w:tc>
        <w:tc>
          <w:tcPr>
            <w:tcW w:w="1701" w:type="dxa"/>
            <w:noWrap/>
            <w:hideMark/>
          </w:tcPr>
          <w:p w14:paraId="01009569"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15,931</w:t>
            </w:r>
          </w:p>
        </w:tc>
      </w:tr>
      <w:tr w:rsidR="0054606A" w:rsidRPr="0030560C" w14:paraId="60251297" w14:textId="77777777" w:rsidTr="00ED18AB">
        <w:trPr>
          <w:trHeight w:val="280"/>
        </w:trPr>
        <w:tc>
          <w:tcPr>
            <w:cnfStyle w:val="001000000000" w:firstRow="0" w:lastRow="0" w:firstColumn="1" w:lastColumn="0" w:oddVBand="0" w:evenVBand="0" w:oddHBand="0" w:evenHBand="0" w:firstRowFirstColumn="0" w:firstRowLastColumn="0" w:lastRowFirstColumn="0" w:lastRowLastColumn="0"/>
            <w:tcW w:w="2480" w:type="dxa"/>
            <w:noWrap/>
            <w:hideMark/>
          </w:tcPr>
          <w:p w14:paraId="11461FF8" w14:textId="77777777" w:rsidR="0054606A" w:rsidRPr="0030560C" w:rsidRDefault="0054606A" w:rsidP="00ED18AB">
            <w:pPr>
              <w:spacing w:line="240" w:lineRule="auto"/>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Bury</w:t>
            </w:r>
          </w:p>
        </w:tc>
        <w:tc>
          <w:tcPr>
            <w:tcW w:w="1724" w:type="dxa"/>
            <w:noWrap/>
            <w:hideMark/>
          </w:tcPr>
          <w:p w14:paraId="4A453211"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140,309</w:t>
            </w:r>
          </w:p>
        </w:tc>
        <w:tc>
          <w:tcPr>
            <w:tcW w:w="1603" w:type="dxa"/>
            <w:noWrap/>
            <w:hideMark/>
          </w:tcPr>
          <w:p w14:paraId="5B9E8483"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2,443</w:t>
            </w:r>
          </w:p>
        </w:tc>
        <w:tc>
          <w:tcPr>
            <w:tcW w:w="1276" w:type="dxa"/>
            <w:noWrap/>
            <w:hideMark/>
          </w:tcPr>
          <w:p w14:paraId="6B4E7EF0"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1,524</w:t>
            </w:r>
          </w:p>
        </w:tc>
        <w:tc>
          <w:tcPr>
            <w:tcW w:w="2126" w:type="dxa"/>
            <w:noWrap/>
            <w:hideMark/>
          </w:tcPr>
          <w:p w14:paraId="3D68A5DD"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395</w:t>
            </w:r>
          </w:p>
        </w:tc>
        <w:tc>
          <w:tcPr>
            <w:tcW w:w="1701" w:type="dxa"/>
            <w:noWrap/>
            <w:hideMark/>
          </w:tcPr>
          <w:p w14:paraId="72AFDFAE"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10,202</w:t>
            </w:r>
          </w:p>
        </w:tc>
      </w:tr>
      <w:tr w:rsidR="0054606A" w:rsidRPr="0030560C" w14:paraId="69C64705" w14:textId="77777777" w:rsidTr="00ED18A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80" w:type="dxa"/>
            <w:noWrap/>
            <w:hideMark/>
          </w:tcPr>
          <w:p w14:paraId="094718C7" w14:textId="77777777" w:rsidR="0054606A" w:rsidRPr="0030560C" w:rsidRDefault="0054606A" w:rsidP="00ED18AB">
            <w:pPr>
              <w:spacing w:line="240" w:lineRule="auto"/>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Manchester</w:t>
            </w:r>
          </w:p>
        </w:tc>
        <w:tc>
          <w:tcPr>
            <w:tcW w:w="1724" w:type="dxa"/>
            <w:noWrap/>
            <w:hideMark/>
          </w:tcPr>
          <w:p w14:paraId="078E4FAE"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370,576</w:t>
            </w:r>
          </w:p>
        </w:tc>
        <w:tc>
          <w:tcPr>
            <w:tcW w:w="1603" w:type="dxa"/>
            <w:noWrap/>
            <w:hideMark/>
          </w:tcPr>
          <w:p w14:paraId="79938154"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14,608</w:t>
            </w:r>
          </w:p>
        </w:tc>
        <w:tc>
          <w:tcPr>
            <w:tcW w:w="1276" w:type="dxa"/>
            <w:noWrap/>
            <w:hideMark/>
          </w:tcPr>
          <w:p w14:paraId="2AD5596B"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11,782</w:t>
            </w:r>
          </w:p>
        </w:tc>
        <w:tc>
          <w:tcPr>
            <w:tcW w:w="2126" w:type="dxa"/>
            <w:noWrap/>
            <w:hideMark/>
          </w:tcPr>
          <w:p w14:paraId="55D438E8"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2,830</w:t>
            </w:r>
          </w:p>
        </w:tc>
        <w:tc>
          <w:tcPr>
            <w:tcW w:w="1701" w:type="dxa"/>
            <w:noWrap/>
            <w:hideMark/>
          </w:tcPr>
          <w:p w14:paraId="499810B8"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38,162</w:t>
            </w:r>
          </w:p>
        </w:tc>
      </w:tr>
      <w:tr w:rsidR="0054606A" w:rsidRPr="0030560C" w14:paraId="0F813786" w14:textId="77777777" w:rsidTr="00ED18AB">
        <w:trPr>
          <w:trHeight w:val="280"/>
        </w:trPr>
        <w:tc>
          <w:tcPr>
            <w:cnfStyle w:val="001000000000" w:firstRow="0" w:lastRow="0" w:firstColumn="1" w:lastColumn="0" w:oddVBand="0" w:evenVBand="0" w:oddHBand="0" w:evenHBand="0" w:firstRowFirstColumn="0" w:firstRowLastColumn="0" w:lastRowFirstColumn="0" w:lastRowLastColumn="0"/>
            <w:tcW w:w="2480" w:type="dxa"/>
            <w:noWrap/>
            <w:hideMark/>
          </w:tcPr>
          <w:p w14:paraId="769F8565" w14:textId="77777777" w:rsidR="0054606A" w:rsidRPr="0030560C" w:rsidRDefault="0054606A" w:rsidP="00ED18AB">
            <w:pPr>
              <w:spacing w:line="240" w:lineRule="auto"/>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Oldham</w:t>
            </w:r>
          </w:p>
        </w:tc>
        <w:tc>
          <w:tcPr>
            <w:tcW w:w="1724" w:type="dxa"/>
            <w:noWrap/>
            <w:hideMark/>
          </w:tcPr>
          <w:p w14:paraId="60CD7A30"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169,261</w:t>
            </w:r>
          </w:p>
        </w:tc>
        <w:tc>
          <w:tcPr>
            <w:tcW w:w="1603" w:type="dxa"/>
            <w:noWrap/>
            <w:hideMark/>
          </w:tcPr>
          <w:p w14:paraId="45D55F13"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2,153</w:t>
            </w:r>
          </w:p>
        </w:tc>
        <w:tc>
          <w:tcPr>
            <w:tcW w:w="1276" w:type="dxa"/>
            <w:noWrap/>
            <w:hideMark/>
          </w:tcPr>
          <w:p w14:paraId="25AD3B5D"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1,541</w:t>
            </w:r>
          </w:p>
        </w:tc>
        <w:tc>
          <w:tcPr>
            <w:tcW w:w="2126" w:type="dxa"/>
            <w:noWrap/>
            <w:hideMark/>
          </w:tcPr>
          <w:p w14:paraId="01CB2200"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489</w:t>
            </w:r>
          </w:p>
        </w:tc>
        <w:tc>
          <w:tcPr>
            <w:tcW w:w="1701" w:type="dxa"/>
            <w:noWrap/>
            <w:hideMark/>
          </w:tcPr>
          <w:p w14:paraId="68E40ADA"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13,594</w:t>
            </w:r>
          </w:p>
        </w:tc>
      </w:tr>
      <w:tr w:rsidR="0054606A" w:rsidRPr="0030560C" w14:paraId="0EBB82DA" w14:textId="77777777" w:rsidTr="00ED18A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80" w:type="dxa"/>
            <w:noWrap/>
            <w:hideMark/>
          </w:tcPr>
          <w:p w14:paraId="6B3BD07E" w14:textId="77777777" w:rsidR="0054606A" w:rsidRPr="0030560C" w:rsidRDefault="0054606A" w:rsidP="00ED18AB">
            <w:pPr>
              <w:spacing w:line="240" w:lineRule="auto"/>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Rochdale</w:t>
            </w:r>
          </w:p>
        </w:tc>
        <w:tc>
          <w:tcPr>
            <w:tcW w:w="1724" w:type="dxa"/>
            <w:noWrap/>
            <w:hideMark/>
          </w:tcPr>
          <w:p w14:paraId="70BA502E"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159,265</w:t>
            </w:r>
          </w:p>
        </w:tc>
        <w:tc>
          <w:tcPr>
            <w:tcW w:w="1603" w:type="dxa"/>
            <w:noWrap/>
            <w:hideMark/>
          </w:tcPr>
          <w:p w14:paraId="36A2EFD2"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2,040</w:t>
            </w:r>
          </w:p>
        </w:tc>
        <w:tc>
          <w:tcPr>
            <w:tcW w:w="1276" w:type="dxa"/>
            <w:noWrap/>
            <w:hideMark/>
          </w:tcPr>
          <w:p w14:paraId="23D70F8D"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1,514</w:t>
            </w:r>
          </w:p>
        </w:tc>
        <w:tc>
          <w:tcPr>
            <w:tcW w:w="2126" w:type="dxa"/>
            <w:noWrap/>
            <w:hideMark/>
          </w:tcPr>
          <w:p w14:paraId="0C7C59E9"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412</w:t>
            </w:r>
          </w:p>
        </w:tc>
        <w:tc>
          <w:tcPr>
            <w:tcW w:w="1701" w:type="dxa"/>
            <w:noWrap/>
            <w:hideMark/>
          </w:tcPr>
          <w:p w14:paraId="1991F047"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11,714</w:t>
            </w:r>
          </w:p>
        </w:tc>
      </w:tr>
      <w:tr w:rsidR="0054606A" w:rsidRPr="0030560C" w14:paraId="50F3B6C1" w14:textId="77777777" w:rsidTr="00ED18AB">
        <w:trPr>
          <w:trHeight w:val="280"/>
        </w:trPr>
        <w:tc>
          <w:tcPr>
            <w:cnfStyle w:val="001000000000" w:firstRow="0" w:lastRow="0" w:firstColumn="1" w:lastColumn="0" w:oddVBand="0" w:evenVBand="0" w:oddHBand="0" w:evenHBand="0" w:firstRowFirstColumn="0" w:firstRowLastColumn="0" w:lastRowFirstColumn="0" w:lastRowLastColumn="0"/>
            <w:tcW w:w="2480" w:type="dxa"/>
            <w:noWrap/>
            <w:hideMark/>
          </w:tcPr>
          <w:p w14:paraId="4A979B5E" w14:textId="77777777" w:rsidR="0054606A" w:rsidRPr="0030560C" w:rsidRDefault="0054606A" w:rsidP="00ED18AB">
            <w:pPr>
              <w:spacing w:line="240" w:lineRule="auto"/>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Salford</w:t>
            </w:r>
          </w:p>
        </w:tc>
        <w:tc>
          <w:tcPr>
            <w:tcW w:w="1724" w:type="dxa"/>
            <w:noWrap/>
            <w:hideMark/>
          </w:tcPr>
          <w:p w14:paraId="35304B80"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187,447</w:t>
            </w:r>
          </w:p>
        </w:tc>
        <w:tc>
          <w:tcPr>
            <w:tcW w:w="1603" w:type="dxa"/>
            <w:noWrap/>
            <w:hideMark/>
          </w:tcPr>
          <w:p w14:paraId="18CD4BFD"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7,181</w:t>
            </w:r>
          </w:p>
        </w:tc>
        <w:tc>
          <w:tcPr>
            <w:tcW w:w="1276" w:type="dxa"/>
            <w:noWrap/>
            <w:hideMark/>
          </w:tcPr>
          <w:p w14:paraId="16E8DE43"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4,142</w:t>
            </w:r>
          </w:p>
        </w:tc>
        <w:tc>
          <w:tcPr>
            <w:tcW w:w="2126" w:type="dxa"/>
            <w:noWrap/>
            <w:hideMark/>
          </w:tcPr>
          <w:p w14:paraId="7EA37066"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925</w:t>
            </w:r>
          </w:p>
        </w:tc>
        <w:tc>
          <w:tcPr>
            <w:tcW w:w="1701" w:type="dxa"/>
            <w:noWrap/>
            <w:hideMark/>
          </w:tcPr>
          <w:p w14:paraId="5F1C04DF"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17,230</w:t>
            </w:r>
          </w:p>
        </w:tc>
      </w:tr>
      <w:tr w:rsidR="0054606A" w:rsidRPr="0030560C" w14:paraId="5542B371" w14:textId="77777777" w:rsidTr="00ED18A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80" w:type="dxa"/>
            <w:noWrap/>
            <w:hideMark/>
          </w:tcPr>
          <w:p w14:paraId="30B6D87D" w14:textId="77777777" w:rsidR="0054606A" w:rsidRPr="0030560C" w:rsidRDefault="0054606A" w:rsidP="00ED18AB">
            <w:pPr>
              <w:spacing w:line="240" w:lineRule="auto"/>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Stockport</w:t>
            </w:r>
          </w:p>
        </w:tc>
        <w:tc>
          <w:tcPr>
            <w:tcW w:w="1724" w:type="dxa"/>
            <w:noWrap/>
            <w:hideMark/>
          </w:tcPr>
          <w:p w14:paraId="719C0D19"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217,470</w:t>
            </w:r>
          </w:p>
        </w:tc>
        <w:tc>
          <w:tcPr>
            <w:tcW w:w="1603" w:type="dxa"/>
            <w:noWrap/>
            <w:hideMark/>
          </w:tcPr>
          <w:p w14:paraId="0AAF622F"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3,983</w:t>
            </w:r>
          </w:p>
        </w:tc>
        <w:tc>
          <w:tcPr>
            <w:tcW w:w="1276" w:type="dxa"/>
            <w:noWrap/>
            <w:hideMark/>
          </w:tcPr>
          <w:p w14:paraId="05566059"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2,502</w:t>
            </w:r>
          </w:p>
        </w:tc>
        <w:tc>
          <w:tcPr>
            <w:tcW w:w="2126" w:type="dxa"/>
            <w:noWrap/>
            <w:hideMark/>
          </w:tcPr>
          <w:p w14:paraId="5DBADD71"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637</w:t>
            </w:r>
          </w:p>
        </w:tc>
        <w:tc>
          <w:tcPr>
            <w:tcW w:w="1701" w:type="dxa"/>
            <w:noWrap/>
            <w:hideMark/>
          </w:tcPr>
          <w:p w14:paraId="64CE3135"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14,335</w:t>
            </w:r>
          </w:p>
        </w:tc>
      </w:tr>
      <w:tr w:rsidR="0054606A" w:rsidRPr="0030560C" w14:paraId="5BF14B0B" w14:textId="77777777" w:rsidTr="00ED18AB">
        <w:trPr>
          <w:trHeight w:val="280"/>
        </w:trPr>
        <w:tc>
          <w:tcPr>
            <w:cnfStyle w:val="001000000000" w:firstRow="0" w:lastRow="0" w:firstColumn="1" w:lastColumn="0" w:oddVBand="0" w:evenVBand="0" w:oddHBand="0" w:evenHBand="0" w:firstRowFirstColumn="0" w:firstRowLastColumn="0" w:lastRowFirstColumn="0" w:lastRowLastColumn="0"/>
            <w:tcW w:w="2480" w:type="dxa"/>
            <w:noWrap/>
            <w:hideMark/>
          </w:tcPr>
          <w:p w14:paraId="7AEAD32F" w14:textId="77777777" w:rsidR="0054606A" w:rsidRPr="0030560C" w:rsidRDefault="0054606A" w:rsidP="00ED18AB">
            <w:pPr>
              <w:spacing w:line="240" w:lineRule="auto"/>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Tameside</w:t>
            </w:r>
          </w:p>
        </w:tc>
        <w:tc>
          <w:tcPr>
            <w:tcW w:w="1724" w:type="dxa"/>
            <w:noWrap/>
            <w:hideMark/>
          </w:tcPr>
          <w:p w14:paraId="1DB4A9D0"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168,142</w:t>
            </w:r>
          </w:p>
        </w:tc>
        <w:tc>
          <w:tcPr>
            <w:tcW w:w="1603" w:type="dxa"/>
            <w:noWrap/>
            <w:hideMark/>
          </w:tcPr>
          <w:p w14:paraId="36E34E3B"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3,315</w:t>
            </w:r>
          </w:p>
        </w:tc>
        <w:tc>
          <w:tcPr>
            <w:tcW w:w="1276" w:type="dxa"/>
            <w:noWrap/>
            <w:hideMark/>
          </w:tcPr>
          <w:p w14:paraId="493CF3B7"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2,081</w:t>
            </w:r>
          </w:p>
        </w:tc>
        <w:tc>
          <w:tcPr>
            <w:tcW w:w="2126" w:type="dxa"/>
            <w:noWrap/>
            <w:hideMark/>
          </w:tcPr>
          <w:p w14:paraId="425E9BDB"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612</w:t>
            </w:r>
          </w:p>
        </w:tc>
        <w:tc>
          <w:tcPr>
            <w:tcW w:w="1701" w:type="dxa"/>
            <w:noWrap/>
            <w:hideMark/>
          </w:tcPr>
          <w:p w14:paraId="428DFB5F"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10,985</w:t>
            </w:r>
          </w:p>
        </w:tc>
      </w:tr>
      <w:tr w:rsidR="0054606A" w:rsidRPr="0030560C" w14:paraId="270F7AD7" w14:textId="77777777" w:rsidTr="00ED18A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80" w:type="dxa"/>
            <w:noWrap/>
            <w:hideMark/>
          </w:tcPr>
          <w:p w14:paraId="52D8D58A" w14:textId="77777777" w:rsidR="0054606A" w:rsidRPr="0030560C" w:rsidRDefault="0054606A" w:rsidP="00ED18AB">
            <w:pPr>
              <w:spacing w:line="240" w:lineRule="auto"/>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Trafford</w:t>
            </w:r>
          </w:p>
        </w:tc>
        <w:tc>
          <w:tcPr>
            <w:tcW w:w="1724" w:type="dxa"/>
            <w:noWrap/>
            <w:hideMark/>
          </w:tcPr>
          <w:p w14:paraId="6384E23A"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169,221</w:t>
            </w:r>
          </w:p>
        </w:tc>
        <w:tc>
          <w:tcPr>
            <w:tcW w:w="1603" w:type="dxa"/>
            <w:noWrap/>
            <w:hideMark/>
          </w:tcPr>
          <w:p w14:paraId="7BE7B5C4"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3,032</w:t>
            </w:r>
          </w:p>
        </w:tc>
        <w:tc>
          <w:tcPr>
            <w:tcW w:w="1276" w:type="dxa"/>
            <w:noWrap/>
            <w:hideMark/>
          </w:tcPr>
          <w:p w14:paraId="03351339"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1,857</w:t>
            </w:r>
          </w:p>
        </w:tc>
        <w:tc>
          <w:tcPr>
            <w:tcW w:w="2126" w:type="dxa"/>
            <w:noWrap/>
            <w:hideMark/>
          </w:tcPr>
          <w:p w14:paraId="262F1E4B"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523</w:t>
            </w:r>
          </w:p>
        </w:tc>
        <w:tc>
          <w:tcPr>
            <w:tcW w:w="1701" w:type="dxa"/>
            <w:noWrap/>
            <w:hideMark/>
          </w:tcPr>
          <w:p w14:paraId="78A9D9A5"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11,519</w:t>
            </w:r>
          </w:p>
        </w:tc>
      </w:tr>
      <w:tr w:rsidR="0054606A" w:rsidRPr="0030560C" w14:paraId="654B486E" w14:textId="77777777" w:rsidTr="00ED18AB">
        <w:trPr>
          <w:trHeight w:val="290"/>
        </w:trPr>
        <w:tc>
          <w:tcPr>
            <w:cnfStyle w:val="001000000000" w:firstRow="0" w:lastRow="0" w:firstColumn="1" w:lastColumn="0" w:oddVBand="0" w:evenVBand="0" w:oddHBand="0" w:evenHBand="0" w:firstRowFirstColumn="0" w:firstRowLastColumn="0" w:lastRowFirstColumn="0" w:lastRowLastColumn="0"/>
            <w:tcW w:w="2480" w:type="dxa"/>
            <w:noWrap/>
            <w:hideMark/>
          </w:tcPr>
          <w:p w14:paraId="17E8532A" w14:textId="77777777" w:rsidR="0054606A" w:rsidRPr="0030560C" w:rsidRDefault="0054606A" w:rsidP="00ED18AB">
            <w:pPr>
              <w:spacing w:line="240" w:lineRule="auto"/>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Wigan</w:t>
            </w:r>
          </w:p>
        </w:tc>
        <w:tc>
          <w:tcPr>
            <w:tcW w:w="1724" w:type="dxa"/>
            <w:noWrap/>
            <w:hideMark/>
          </w:tcPr>
          <w:p w14:paraId="46CB298E"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247,126</w:t>
            </w:r>
          </w:p>
        </w:tc>
        <w:tc>
          <w:tcPr>
            <w:tcW w:w="1603" w:type="dxa"/>
            <w:noWrap/>
            <w:hideMark/>
          </w:tcPr>
          <w:p w14:paraId="7B06085F"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3,885</w:t>
            </w:r>
          </w:p>
        </w:tc>
        <w:tc>
          <w:tcPr>
            <w:tcW w:w="1276" w:type="dxa"/>
            <w:noWrap/>
            <w:hideMark/>
          </w:tcPr>
          <w:p w14:paraId="317C11E9"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2,381</w:t>
            </w:r>
          </w:p>
        </w:tc>
        <w:tc>
          <w:tcPr>
            <w:tcW w:w="2126" w:type="dxa"/>
            <w:noWrap/>
            <w:hideMark/>
          </w:tcPr>
          <w:p w14:paraId="7FC7D29C"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507</w:t>
            </w:r>
          </w:p>
        </w:tc>
        <w:tc>
          <w:tcPr>
            <w:tcW w:w="1701" w:type="dxa"/>
            <w:noWrap/>
            <w:hideMark/>
          </w:tcPr>
          <w:p w14:paraId="2FE7A901" w14:textId="77777777" w:rsidR="0054606A" w:rsidRPr="0011357B" w:rsidRDefault="0054606A" w:rsidP="00ED18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14,795</w:t>
            </w:r>
          </w:p>
        </w:tc>
      </w:tr>
      <w:tr w:rsidR="0054606A" w:rsidRPr="0030560C" w14:paraId="43D72433" w14:textId="77777777" w:rsidTr="00ED18A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80" w:type="dxa"/>
            <w:noWrap/>
            <w:hideMark/>
          </w:tcPr>
          <w:p w14:paraId="14267F3A" w14:textId="77777777" w:rsidR="0054606A" w:rsidRPr="0030560C" w:rsidRDefault="0054606A" w:rsidP="00ED18AB">
            <w:pPr>
              <w:spacing w:line="240" w:lineRule="auto"/>
              <w:rPr>
                <w:rFonts w:eastAsia="Times New Roman" w:cs="Arial"/>
                <w:color w:val="FFFFFF" w:themeColor="background1"/>
                <w:szCs w:val="24"/>
                <w:lang w:eastAsia="en-GB"/>
              </w:rPr>
            </w:pPr>
            <w:r w:rsidRPr="0030560C">
              <w:rPr>
                <w:rFonts w:eastAsia="Times New Roman" w:cs="Arial"/>
                <w:color w:val="FFFFFF" w:themeColor="background1"/>
                <w:szCs w:val="24"/>
                <w:lang w:eastAsia="en-GB"/>
              </w:rPr>
              <w:t>Greater Manchester</w:t>
            </w:r>
          </w:p>
        </w:tc>
        <w:tc>
          <w:tcPr>
            <w:tcW w:w="1724" w:type="dxa"/>
            <w:noWrap/>
            <w:hideMark/>
          </w:tcPr>
          <w:p w14:paraId="23EB90B0"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2,039,482</w:t>
            </w:r>
          </w:p>
        </w:tc>
        <w:tc>
          <w:tcPr>
            <w:tcW w:w="1603" w:type="dxa"/>
            <w:noWrap/>
            <w:hideMark/>
          </w:tcPr>
          <w:p w14:paraId="1F1A87C1"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45,446</w:t>
            </w:r>
          </w:p>
        </w:tc>
        <w:tc>
          <w:tcPr>
            <w:tcW w:w="1276" w:type="dxa"/>
            <w:noWrap/>
            <w:hideMark/>
          </w:tcPr>
          <w:p w14:paraId="57D6CC75"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31,641</w:t>
            </w:r>
          </w:p>
        </w:tc>
        <w:tc>
          <w:tcPr>
            <w:tcW w:w="2126" w:type="dxa"/>
            <w:noWrap/>
            <w:hideMark/>
          </w:tcPr>
          <w:p w14:paraId="666E7A12"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7,900</w:t>
            </w:r>
          </w:p>
        </w:tc>
        <w:tc>
          <w:tcPr>
            <w:tcW w:w="1701" w:type="dxa"/>
            <w:noWrap/>
            <w:hideMark/>
          </w:tcPr>
          <w:p w14:paraId="374DEF03" w14:textId="77777777" w:rsidR="0054606A" w:rsidRPr="0011357B" w:rsidRDefault="0054606A" w:rsidP="00ED18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11357B">
              <w:rPr>
                <w:rFonts w:eastAsia="Times New Roman" w:cs="Arial"/>
                <w:color w:val="auto"/>
                <w:szCs w:val="24"/>
                <w:lang w:eastAsia="en-GB"/>
              </w:rPr>
              <w:t>158,467</w:t>
            </w:r>
          </w:p>
        </w:tc>
      </w:tr>
    </w:tbl>
    <w:p w14:paraId="2F9497C3" w14:textId="7DDD045F" w:rsidR="0054606A" w:rsidRDefault="0054606A" w:rsidP="0054606A">
      <w:pPr>
        <w:rPr>
          <w:rStyle w:val="Hyperlink"/>
          <w:rFonts w:cs="Arial"/>
          <w:b/>
          <w:bCs/>
          <w:color w:val="000000" w:themeColor="text1"/>
          <w:szCs w:val="24"/>
          <w:u w:val="none"/>
        </w:rPr>
      </w:pPr>
      <w:r>
        <w:rPr>
          <w:rStyle w:val="Hyperlink"/>
          <w:rFonts w:cs="Arial"/>
          <w:b/>
          <w:bCs/>
          <w:color w:val="000000" w:themeColor="text1"/>
          <w:szCs w:val="24"/>
          <w:u w:val="none"/>
        </w:rPr>
        <w:t>Number of residents by local authority and identified sexual orientation, 2021</w:t>
      </w:r>
    </w:p>
    <w:p w14:paraId="2B486722" w14:textId="786821F0" w:rsidR="003E0F02" w:rsidRPr="0054606A" w:rsidRDefault="0054606A" w:rsidP="003E0F02">
      <w:pPr>
        <w:rPr>
          <w:rFonts w:cs="Arial"/>
          <w:szCs w:val="24"/>
        </w:rPr>
      </w:pPr>
      <w:r w:rsidRPr="0030560C">
        <w:rPr>
          <w:rFonts w:cs="Arial"/>
          <w:szCs w:val="24"/>
        </w:rPr>
        <w:t>Source: ONS, Nomis - 2021 Census</w:t>
      </w:r>
    </w:p>
    <w:p w14:paraId="59A125ED" w14:textId="77777777" w:rsidR="004F4660" w:rsidRDefault="004F4660" w:rsidP="003E0F02">
      <w:pPr>
        <w:rPr>
          <w:rFonts w:asciiTheme="minorHAnsi" w:hAnsiTheme="minorHAnsi"/>
          <w:b/>
          <w:bCs/>
          <w:color w:val="auto"/>
          <w:sz w:val="36"/>
          <w:szCs w:val="28"/>
        </w:rPr>
      </w:pPr>
    </w:p>
    <w:p w14:paraId="6DC70D15" w14:textId="0288EAB7" w:rsidR="003E0F02" w:rsidRPr="002E0981" w:rsidRDefault="003E0F02" w:rsidP="003E0F02">
      <w:pPr>
        <w:rPr>
          <w:rFonts w:asciiTheme="minorHAnsi" w:hAnsiTheme="minorHAnsi"/>
          <w:b/>
          <w:bCs/>
          <w:color w:val="auto"/>
          <w:sz w:val="36"/>
          <w:szCs w:val="28"/>
        </w:rPr>
      </w:pPr>
      <w:r>
        <w:rPr>
          <w:rFonts w:asciiTheme="minorHAnsi" w:hAnsiTheme="minorHAnsi"/>
          <w:b/>
          <w:bCs/>
          <w:color w:val="auto"/>
          <w:sz w:val="36"/>
          <w:szCs w:val="28"/>
        </w:rPr>
        <w:t>Gender</w:t>
      </w:r>
      <w:r w:rsidR="00B571A2">
        <w:rPr>
          <w:rFonts w:asciiTheme="minorHAnsi" w:hAnsiTheme="minorHAnsi"/>
          <w:b/>
          <w:bCs/>
          <w:color w:val="auto"/>
          <w:sz w:val="36"/>
          <w:szCs w:val="28"/>
        </w:rPr>
        <w:t xml:space="preserve"> and sexual orientation</w:t>
      </w:r>
    </w:p>
    <w:p w14:paraId="77334D2A" w14:textId="0E0C9510" w:rsidR="004866C6" w:rsidRDefault="006F5C93" w:rsidP="004866C6">
      <w:pPr>
        <w:rPr>
          <w:rFonts w:cs="Arial"/>
          <w:b/>
          <w:bCs/>
          <w:color w:val="333333"/>
          <w:sz w:val="26"/>
          <w:szCs w:val="26"/>
          <w:shd w:val="clear" w:color="auto" w:fill="FFFFFF"/>
        </w:rPr>
      </w:pPr>
      <w:r>
        <w:rPr>
          <w:rFonts w:eastAsia="Arial" w:cs="Arial"/>
          <w:szCs w:val="24"/>
        </w:rPr>
        <w:t>More women described themselves as bisexual (1.9%</w:t>
      </w:r>
      <w:r w:rsidR="00774710">
        <w:rPr>
          <w:rFonts w:eastAsia="Arial" w:cs="Arial"/>
          <w:szCs w:val="24"/>
        </w:rPr>
        <w:t xml:space="preserve"> of women</w:t>
      </w:r>
      <w:r>
        <w:rPr>
          <w:rFonts w:eastAsia="Arial" w:cs="Arial"/>
          <w:szCs w:val="24"/>
        </w:rPr>
        <w:t>) than gay or lesbian (1.4%)</w:t>
      </w:r>
      <w:r w:rsidR="003E0F02">
        <w:rPr>
          <w:rFonts w:eastAsia="Arial" w:cs="Arial"/>
          <w:szCs w:val="24"/>
        </w:rPr>
        <w:t xml:space="preserve"> in Greater Manchester</w:t>
      </w:r>
      <w:r w:rsidR="00E01397">
        <w:rPr>
          <w:rFonts w:eastAsia="Arial" w:cs="Arial"/>
          <w:szCs w:val="24"/>
        </w:rPr>
        <w:t xml:space="preserve">. </w:t>
      </w:r>
      <w:r w:rsidR="00465420">
        <w:rPr>
          <w:rFonts w:eastAsia="Arial" w:cs="Arial"/>
          <w:szCs w:val="24"/>
        </w:rPr>
        <w:t>A</w:t>
      </w:r>
      <w:r w:rsidR="00113F85">
        <w:rPr>
          <w:rFonts w:eastAsia="Arial" w:cs="Arial"/>
          <w:szCs w:val="24"/>
        </w:rPr>
        <w:t>mong men</w:t>
      </w:r>
      <w:r w:rsidR="00CB69E9">
        <w:rPr>
          <w:rFonts w:eastAsia="Arial" w:cs="Arial"/>
          <w:szCs w:val="24"/>
        </w:rPr>
        <w:t>,</w:t>
      </w:r>
      <w:r w:rsidR="00113F85">
        <w:rPr>
          <w:rFonts w:eastAsia="Arial" w:cs="Arial"/>
          <w:szCs w:val="24"/>
        </w:rPr>
        <w:t xml:space="preserve"> </w:t>
      </w:r>
      <w:r w:rsidR="00E01397">
        <w:rPr>
          <w:rFonts w:cs="Arial"/>
          <w:szCs w:val="24"/>
        </w:rPr>
        <w:t>2.6% identified as gay</w:t>
      </w:r>
      <w:r w:rsidR="00113F85">
        <w:rPr>
          <w:rFonts w:cs="Arial"/>
          <w:szCs w:val="24"/>
        </w:rPr>
        <w:t xml:space="preserve"> and</w:t>
      </w:r>
      <w:r w:rsidR="00E01397">
        <w:rPr>
          <w:rFonts w:cs="Arial"/>
          <w:szCs w:val="24"/>
        </w:rPr>
        <w:t xml:space="preserve"> 0.9% said they were bisexual. </w:t>
      </w:r>
    </w:p>
    <w:p w14:paraId="294FF9CB" w14:textId="47B2D99C" w:rsidR="00DB6B79" w:rsidRDefault="00DB6B79" w:rsidP="00332E59">
      <w:pPr>
        <w:rPr>
          <w:rFonts w:cs="Arial"/>
          <w:szCs w:val="24"/>
        </w:rPr>
      </w:pPr>
      <w:r>
        <w:rPr>
          <w:rFonts w:cs="Arial"/>
          <w:b/>
          <w:bCs/>
          <w:szCs w:val="24"/>
        </w:rPr>
        <w:t xml:space="preserve">Gay or </w:t>
      </w:r>
      <w:r w:rsidR="00970F27">
        <w:rPr>
          <w:rFonts w:cs="Arial"/>
          <w:b/>
          <w:bCs/>
          <w:szCs w:val="24"/>
        </w:rPr>
        <w:t>l</w:t>
      </w:r>
      <w:r>
        <w:rPr>
          <w:rFonts w:cs="Arial"/>
          <w:b/>
          <w:bCs/>
          <w:szCs w:val="24"/>
        </w:rPr>
        <w:t xml:space="preserve">esbian, </w:t>
      </w:r>
      <w:r w:rsidR="00970F27">
        <w:rPr>
          <w:rFonts w:cs="Arial"/>
          <w:b/>
          <w:bCs/>
          <w:szCs w:val="24"/>
        </w:rPr>
        <w:t>b</w:t>
      </w:r>
      <w:r>
        <w:rPr>
          <w:rFonts w:cs="Arial"/>
          <w:b/>
          <w:bCs/>
          <w:szCs w:val="24"/>
        </w:rPr>
        <w:t xml:space="preserve">isexual or </w:t>
      </w:r>
      <w:r w:rsidR="00EC17EB">
        <w:rPr>
          <w:rFonts w:cs="Arial"/>
          <w:b/>
          <w:bCs/>
          <w:szCs w:val="24"/>
        </w:rPr>
        <w:t>‘o</w:t>
      </w:r>
      <w:r>
        <w:rPr>
          <w:rFonts w:cs="Arial"/>
          <w:b/>
          <w:bCs/>
          <w:szCs w:val="24"/>
        </w:rPr>
        <w:t>ther</w:t>
      </w:r>
      <w:r w:rsidR="00EC17EB">
        <w:rPr>
          <w:rFonts w:cs="Arial"/>
          <w:b/>
          <w:bCs/>
          <w:szCs w:val="24"/>
        </w:rPr>
        <w:t>’</w:t>
      </w:r>
      <w:r>
        <w:rPr>
          <w:rFonts w:cs="Arial"/>
          <w:b/>
          <w:bCs/>
          <w:szCs w:val="24"/>
        </w:rPr>
        <w:t xml:space="preserve"> </w:t>
      </w:r>
      <w:r w:rsidR="00EC17EB">
        <w:rPr>
          <w:rFonts w:cs="Arial"/>
          <w:b/>
          <w:bCs/>
          <w:szCs w:val="24"/>
        </w:rPr>
        <w:t>s</w:t>
      </w:r>
      <w:r>
        <w:rPr>
          <w:rFonts w:cs="Arial"/>
          <w:b/>
          <w:bCs/>
          <w:szCs w:val="24"/>
        </w:rPr>
        <w:t xml:space="preserve">exual </w:t>
      </w:r>
      <w:r w:rsidR="00EC17EB">
        <w:rPr>
          <w:rFonts w:cs="Arial"/>
          <w:b/>
          <w:bCs/>
          <w:szCs w:val="24"/>
        </w:rPr>
        <w:t>o</w:t>
      </w:r>
      <w:r>
        <w:rPr>
          <w:rFonts w:cs="Arial"/>
          <w:b/>
          <w:bCs/>
          <w:szCs w:val="24"/>
        </w:rPr>
        <w:t>rientation, by gender, 2021</w:t>
      </w:r>
      <w:r w:rsidR="00032DF0">
        <w:rPr>
          <w:noProof/>
        </w:rPr>
        <w:drawing>
          <wp:inline distT="0" distB="0" distL="0" distR="0" wp14:anchorId="0B794B02" wp14:editId="2FA9233B">
            <wp:extent cx="5111750" cy="2755900"/>
            <wp:effectExtent l="0" t="0" r="12700" b="6350"/>
            <wp:docPr id="11" name="Chart 11" descr="This chart shows the proportion of all residents across Greater Manchester, by gender, who identify as either Gay or Lesbian, Bisexual or All other sexual orientations. The chart indicates that there is a significantly larger proportion of males than females identifying as Gay or Lesbian, but equally a larger proportion of females identifying as Bisexual. All other sexual orientations appears to be comparable across genders.">
              <a:extLst xmlns:a="http://schemas.openxmlformats.org/drawingml/2006/main">
                <a:ext uri="{FF2B5EF4-FFF2-40B4-BE49-F238E27FC236}">
                  <a16:creationId xmlns:a16="http://schemas.microsoft.com/office/drawing/2014/main" id="{34151212-68B7-B938-32E6-42630B7024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3244BA" w14:textId="4DEAE2C8" w:rsidR="0054606A" w:rsidRPr="0054606A" w:rsidRDefault="00DB6B79" w:rsidP="00DB6B79">
      <w:pPr>
        <w:tabs>
          <w:tab w:val="left" w:pos="7320"/>
        </w:tabs>
        <w:rPr>
          <w:rStyle w:val="Hyperlink"/>
          <w:rFonts w:cs="Arial"/>
          <w:i/>
          <w:iCs/>
          <w:color w:val="2C5060" w:themeColor="accent1"/>
          <w:szCs w:val="24"/>
        </w:rPr>
      </w:pPr>
      <w:r w:rsidRPr="00FF3FF5">
        <w:rPr>
          <w:rFonts w:cs="Arial"/>
          <w:i/>
          <w:iCs/>
          <w:szCs w:val="24"/>
        </w:rPr>
        <w:t xml:space="preserve">Source: ONS, Nomis - </w:t>
      </w:r>
      <w:hyperlink r:id="rId18" w:history="1">
        <w:r w:rsidRPr="00731089">
          <w:rPr>
            <w:rStyle w:val="Hyperlink"/>
            <w:rFonts w:cs="Arial"/>
            <w:i/>
            <w:iCs/>
            <w:color w:val="2C5060" w:themeColor="accent1"/>
            <w:szCs w:val="24"/>
          </w:rPr>
          <w:t>2021 Census</w:t>
        </w:r>
      </w:hyperlink>
    </w:p>
    <w:p w14:paraId="5E29B33F" w14:textId="5670B62D" w:rsidR="00162A47" w:rsidRDefault="00162A47" w:rsidP="00E0784F">
      <w:pPr>
        <w:rPr>
          <w:rFonts w:asciiTheme="minorHAnsi" w:hAnsiTheme="minorHAnsi"/>
          <w:b/>
          <w:bCs/>
          <w:color w:val="auto"/>
          <w:sz w:val="36"/>
          <w:szCs w:val="28"/>
        </w:rPr>
      </w:pPr>
      <w:r>
        <w:rPr>
          <w:rFonts w:asciiTheme="minorHAnsi" w:hAnsiTheme="minorHAnsi"/>
          <w:b/>
          <w:bCs/>
          <w:color w:val="auto"/>
          <w:sz w:val="36"/>
          <w:szCs w:val="28"/>
        </w:rPr>
        <w:t>Age</w:t>
      </w:r>
      <w:r w:rsidR="007A410C">
        <w:rPr>
          <w:rFonts w:asciiTheme="minorHAnsi" w:hAnsiTheme="minorHAnsi"/>
          <w:b/>
          <w:bCs/>
          <w:color w:val="auto"/>
          <w:sz w:val="36"/>
          <w:szCs w:val="28"/>
        </w:rPr>
        <w:t xml:space="preserve"> (orientation)</w:t>
      </w:r>
    </w:p>
    <w:p w14:paraId="78D366AE" w14:textId="1638DED4" w:rsidR="008F2411" w:rsidRPr="0061128D" w:rsidRDefault="00AC01E2" w:rsidP="0061128D">
      <w:r>
        <w:t>Among younger residents a</w:t>
      </w:r>
      <w:r w:rsidR="004777A2">
        <w:t>ged between 16 and 34</w:t>
      </w:r>
      <w:r w:rsidR="00B778C1">
        <w:t xml:space="preserve">, </w:t>
      </w:r>
      <w:r w:rsidR="004777A2">
        <w:t xml:space="preserve">85.5% identified as </w:t>
      </w:r>
      <w:r w:rsidR="00B778C1">
        <w:t>s</w:t>
      </w:r>
      <w:r w:rsidR="004777A2">
        <w:t xml:space="preserve">traight or </w:t>
      </w:r>
      <w:r w:rsidR="00B778C1">
        <w:t>h</w:t>
      </w:r>
      <w:r w:rsidR="004777A2">
        <w:t xml:space="preserve">eterosexual, compared with 91.9% amongst residents aged 55 and over. </w:t>
      </w:r>
      <w:r w:rsidR="008413FA">
        <w:t>Meanwhile, 6.8% of younger residents</w:t>
      </w:r>
      <w:r w:rsidR="00BE7488">
        <w:t xml:space="preserve"> </w:t>
      </w:r>
      <w:r w:rsidR="005957BE">
        <w:t xml:space="preserve">(50,000 people) </w:t>
      </w:r>
      <w:r w:rsidR="00BE7488">
        <w:t>said they were gay or lesbian</w:t>
      </w:r>
      <w:r w:rsidR="00273AE7">
        <w:t>, while among older</w:t>
      </w:r>
      <w:r w:rsidR="00F34BA4">
        <w:t xml:space="preserve"> residents</w:t>
      </w:r>
      <w:r w:rsidR="00C4021D">
        <w:t xml:space="preserve"> </w:t>
      </w:r>
      <w:r w:rsidR="00273AE7">
        <w:t>1.1%</w:t>
      </w:r>
      <w:r w:rsidR="005957BE">
        <w:t xml:space="preserve"> did so (8,300). </w:t>
      </w:r>
    </w:p>
    <w:p w14:paraId="7A5409B4" w14:textId="77777777" w:rsidR="00747A86" w:rsidRDefault="00747A86" w:rsidP="0061128D">
      <w:pPr>
        <w:rPr>
          <w:rFonts w:asciiTheme="minorHAnsi" w:hAnsiTheme="minorHAnsi"/>
          <w:b/>
          <w:bCs/>
          <w:color w:val="auto"/>
          <w:sz w:val="36"/>
          <w:szCs w:val="28"/>
        </w:rPr>
      </w:pPr>
    </w:p>
    <w:p w14:paraId="604A5E0A" w14:textId="2A257707" w:rsidR="0061128D" w:rsidRPr="00747A86" w:rsidRDefault="0061128D" w:rsidP="0061128D">
      <w:pPr>
        <w:rPr>
          <w:rFonts w:asciiTheme="minorHAnsi" w:hAnsiTheme="minorHAnsi"/>
          <w:b/>
          <w:bCs/>
          <w:color w:val="2C5060" w:themeColor="accent1"/>
          <w:sz w:val="52"/>
          <w:szCs w:val="52"/>
        </w:rPr>
      </w:pPr>
      <w:r w:rsidRPr="00747A86">
        <w:rPr>
          <w:rFonts w:asciiTheme="minorHAnsi" w:hAnsiTheme="minorHAnsi"/>
          <w:b/>
          <w:bCs/>
          <w:color w:val="2C5060" w:themeColor="accent1"/>
          <w:sz w:val="52"/>
          <w:szCs w:val="52"/>
        </w:rPr>
        <w:t>Gender identity</w:t>
      </w:r>
    </w:p>
    <w:p w14:paraId="0F1B6FA1" w14:textId="77777777" w:rsidR="008F2411" w:rsidRDefault="008F2411" w:rsidP="008F2411">
      <w:pPr>
        <w:shd w:val="clear" w:color="auto" w:fill="FFFFFF"/>
        <w:spacing w:before="100" w:beforeAutospacing="1" w:after="100" w:afterAutospacing="1"/>
        <w:rPr>
          <w:rFonts w:eastAsia="Times New Roman" w:cs="Arial"/>
          <w:szCs w:val="24"/>
          <w:lang w:eastAsia="en-GB"/>
        </w:rPr>
      </w:pPr>
      <w:r w:rsidRPr="003145EB">
        <w:rPr>
          <w:rFonts w:eastAsia="Times New Roman" w:cs="Arial"/>
          <w:szCs w:val="24"/>
          <w:lang w:eastAsia="en-GB"/>
        </w:rPr>
        <w:t>A total of 93.7% of the residents of Greater Manchester aged over 16 said that their gender identity was the same as that with which they were registered at birth (99.3% of those who answered the gender identity question</w:t>
      </w:r>
      <w:r>
        <w:rPr>
          <w:rFonts w:eastAsia="Times New Roman" w:cs="Arial"/>
          <w:szCs w:val="24"/>
          <w:lang w:eastAsia="en-GB"/>
        </w:rPr>
        <w:t>)</w:t>
      </w:r>
      <w:r w:rsidRPr="003145EB">
        <w:rPr>
          <w:rFonts w:eastAsia="Times New Roman" w:cs="Arial"/>
          <w:szCs w:val="24"/>
          <w:lang w:eastAsia="en-GB"/>
        </w:rPr>
        <w:t>.</w:t>
      </w:r>
    </w:p>
    <w:p w14:paraId="5FAB3A61" w14:textId="3F4AE49B" w:rsidR="007C023E" w:rsidRDefault="008F2411" w:rsidP="008F2411">
      <w:pPr>
        <w:shd w:val="clear" w:color="auto" w:fill="FFFFFF"/>
        <w:spacing w:before="100" w:beforeAutospacing="1" w:after="100" w:afterAutospacing="1"/>
        <w:rPr>
          <w:rFonts w:eastAsia="Times New Roman" w:cs="Arial"/>
          <w:szCs w:val="24"/>
          <w:lang w:eastAsia="en-GB"/>
        </w:rPr>
      </w:pPr>
      <w:r>
        <w:rPr>
          <w:rFonts w:eastAsia="Times New Roman" w:cs="Arial"/>
          <w:szCs w:val="24"/>
          <w:lang w:eastAsia="en-GB"/>
        </w:rPr>
        <w:lastRenderedPageBreak/>
        <w:t>Some 6,442 residents (0.</w:t>
      </w:r>
      <w:r w:rsidR="0020344E">
        <w:rPr>
          <w:rFonts w:eastAsia="Times New Roman" w:cs="Arial"/>
          <w:szCs w:val="24"/>
          <w:lang w:eastAsia="en-GB"/>
        </w:rPr>
        <w:t>3</w:t>
      </w:r>
      <w:r>
        <w:rPr>
          <w:rFonts w:eastAsia="Times New Roman" w:cs="Arial"/>
          <w:szCs w:val="24"/>
          <w:lang w:eastAsia="en-GB"/>
        </w:rPr>
        <w:t>%) said their identity was different to their birth gender but stated no specific identity. There were 2,647 trans men and 2,528 trans women (both 0.1% of residents</w:t>
      </w:r>
      <w:r w:rsidR="003E0007">
        <w:rPr>
          <w:rStyle w:val="FootnoteReference"/>
          <w:rFonts w:eastAsia="Times New Roman" w:cs="Arial"/>
          <w:szCs w:val="24"/>
          <w:lang w:eastAsia="en-GB"/>
        </w:rPr>
        <w:footnoteReference w:id="4"/>
      </w:r>
      <w:r>
        <w:rPr>
          <w:rFonts w:eastAsia="Times New Roman" w:cs="Arial"/>
          <w:szCs w:val="24"/>
          <w:lang w:eastAsia="en-GB"/>
        </w:rPr>
        <w:t xml:space="preserve">), according to the census. Meanwhile, 1,594 residents defined their identity as non-binary and a further 855 residents selected the ‘all other gender identities’ category. When combined, the non-binary and ‘all other gender identities’ group constituted 0.1% of residents. </w:t>
      </w:r>
    </w:p>
    <w:tbl>
      <w:tblPr>
        <w:tblStyle w:val="GridTable5Dark-Accent1"/>
        <w:tblpPr w:leftFromText="180" w:rightFromText="180" w:vertAnchor="text" w:horzAnchor="margin" w:tblpXSpec="center" w:tblpY="3004"/>
        <w:tblW w:w="10233" w:type="dxa"/>
        <w:tblLook w:val="04A0" w:firstRow="1" w:lastRow="0" w:firstColumn="1" w:lastColumn="0" w:noHBand="0" w:noVBand="1"/>
      </w:tblPr>
      <w:tblGrid>
        <w:gridCol w:w="5972"/>
        <w:gridCol w:w="1550"/>
        <w:gridCol w:w="1558"/>
        <w:gridCol w:w="1254"/>
      </w:tblGrid>
      <w:tr w:rsidR="003435FF" w:rsidRPr="0030560C" w14:paraId="29E2122F" w14:textId="77777777" w:rsidTr="002944F4">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972" w:type="dxa"/>
            <w:noWrap/>
            <w:hideMark/>
          </w:tcPr>
          <w:p w14:paraId="280FB64B" w14:textId="77777777" w:rsidR="003435FF" w:rsidRPr="0030560C" w:rsidRDefault="003435FF" w:rsidP="003435FF">
            <w:pPr>
              <w:spacing w:line="240" w:lineRule="auto"/>
              <w:jc w:val="center"/>
              <w:rPr>
                <w:rFonts w:eastAsia="Times New Roman" w:cs="Arial"/>
                <w:color w:val="FFFFFF" w:themeColor="background1"/>
                <w:szCs w:val="24"/>
                <w:lang w:eastAsia="en-GB"/>
              </w:rPr>
            </w:pPr>
            <w:r>
              <w:rPr>
                <w:rFonts w:eastAsia="Times New Roman" w:cs="Arial"/>
                <w:color w:val="FFFFFF" w:themeColor="background1"/>
                <w:szCs w:val="24"/>
                <w:lang w:eastAsia="en-GB"/>
              </w:rPr>
              <w:t>Gender Identity (%)</w:t>
            </w:r>
          </w:p>
        </w:tc>
        <w:tc>
          <w:tcPr>
            <w:tcW w:w="1449" w:type="dxa"/>
            <w:noWrap/>
            <w:hideMark/>
          </w:tcPr>
          <w:p w14:paraId="7DD13502" w14:textId="77777777" w:rsidR="003435FF" w:rsidRDefault="003435FF" w:rsidP="003435F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1"/>
                <w:szCs w:val="24"/>
                <w:lang w:eastAsia="en-GB"/>
              </w:rPr>
            </w:pPr>
            <w:r>
              <w:rPr>
                <w:rFonts w:eastAsia="Times New Roman" w:cs="Arial"/>
                <w:color w:val="FFFFFF" w:themeColor="background1"/>
                <w:szCs w:val="24"/>
                <w:lang w:eastAsia="en-GB"/>
              </w:rPr>
              <w:t>Manchester</w:t>
            </w:r>
          </w:p>
          <w:p w14:paraId="5DEB7ECB" w14:textId="77777777" w:rsidR="003435FF" w:rsidRPr="0030560C" w:rsidRDefault="003435FF" w:rsidP="003435F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lang w:eastAsia="en-GB"/>
              </w:rPr>
            </w:pPr>
          </w:p>
        </w:tc>
        <w:tc>
          <w:tcPr>
            <w:tcW w:w="1558" w:type="dxa"/>
            <w:noWrap/>
            <w:hideMark/>
          </w:tcPr>
          <w:p w14:paraId="2E6C0F55" w14:textId="77777777" w:rsidR="003435FF" w:rsidRPr="0030560C" w:rsidRDefault="003435FF" w:rsidP="003435F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lang w:eastAsia="en-GB"/>
              </w:rPr>
            </w:pPr>
            <w:r>
              <w:rPr>
                <w:rFonts w:eastAsia="Times New Roman" w:cs="Arial"/>
                <w:color w:val="FFFFFF" w:themeColor="background1"/>
                <w:szCs w:val="24"/>
                <w:lang w:eastAsia="en-GB"/>
              </w:rPr>
              <w:t>Greater Manchester</w:t>
            </w:r>
          </w:p>
        </w:tc>
        <w:tc>
          <w:tcPr>
            <w:tcW w:w="1254" w:type="dxa"/>
            <w:noWrap/>
            <w:hideMark/>
          </w:tcPr>
          <w:p w14:paraId="029504B4" w14:textId="77777777" w:rsidR="003435FF" w:rsidRPr="0030560C" w:rsidRDefault="003435FF" w:rsidP="003435F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lang w:eastAsia="en-GB"/>
              </w:rPr>
            </w:pPr>
            <w:r>
              <w:rPr>
                <w:rFonts w:eastAsia="Times New Roman" w:cs="Arial"/>
                <w:color w:val="FFFFFF" w:themeColor="background1"/>
                <w:szCs w:val="24"/>
                <w:lang w:eastAsia="en-GB"/>
              </w:rPr>
              <w:t>England</w:t>
            </w:r>
          </w:p>
        </w:tc>
      </w:tr>
      <w:tr w:rsidR="003435FF" w:rsidRPr="0011357B" w14:paraId="6EF45F1D" w14:textId="77777777" w:rsidTr="002944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72" w:type="dxa"/>
            <w:noWrap/>
            <w:vAlign w:val="center"/>
            <w:hideMark/>
          </w:tcPr>
          <w:p w14:paraId="60E04FAB" w14:textId="77777777" w:rsidR="003435FF" w:rsidRPr="0033020A" w:rsidRDefault="003435FF" w:rsidP="003435FF">
            <w:pPr>
              <w:spacing w:line="240" w:lineRule="auto"/>
              <w:rPr>
                <w:rFonts w:eastAsia="Times New Roman" w:cs="Arial"/>
                <w:color w:val="FFFFFF" w:themeColor="background1"/>
                <w:szCs w:val="24"/>
                <w:lang w:eastAsia="en-GB"/>
              </w:rPr>
            </w:pPr>
            <w:r w:rsidRPr="0033020A">
              <w:rPr>
                <w:rFonts w:eastAsia="Times New Roman" w:cs="Arial"/>
                <w:color w:val="FFFFFF" w:themeColor="background1"/>
                <w:szCs w:val="24"/>
                <w:lang w:eastAsia="en-GB"/>
              </w:rPr>
              <w:t>Gender identity the same as sex registered at birth</w:t>
            </w:r>
          </w:p>
        </w:tc>
        <w:tc>
          <w:tcPr>
            <w:tcW w:w="1449" w:type="dxa"/>
            <w:noWrap/>
            <w:vAlign w:val="bottom"/>
            <w:hideMark/>
          </w:tcPr>
          <w:p w14:paraId="185D459D" w14:textId="77777777" w:rsidR="003435FF" w:rsidRPr="0011357B" w:rsidRDefault="003435FF" w:rsidP="003435F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91.7%</w:t>
            </w:r>
          </w:p>
        </w:tc>
        <w:tc>
          <w:tcPr>
            <w:tcW w:w="1558" w:type="dxa"/>
            <w:noWrap/>
            <w:vAlign w:val="bottom"/>
            <w:hideMark/>
          </w:tcPr>
          <w:p w14:paraId="4D44607E" w14:textId="77777777" w:rsidR="003435FF" w:rsidRPr="0011357B" w:rsidRDefault="003435FF" w:rsidP="003435F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93.7%</w:t>
            </w:r>
          </w:p>
        </w:tc>
        <w:tc>
          <w:tcPr>
            <w:tcW w:w="1254" w:type="dxa"/>
            <w:noWrap/>
            <w:vAlign w:val="bottom"/>
            <w:hideMark/>
          </w:tcPr>
          <w:p w14:paraId="53368E0D" w14:textId="77777777" w:rsidR="003435FF" w:rsidRPr="0011357B" w:rsidRDefault="003435FF" w:rsidP="003435F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93.5%</w:t>
            </w:r>
          </w:p>
        </w:tc>
      </w:tr>
      <w:tr w:rsidR="003435FF" w:rsidRPr="0011357B" w14:paraId="197CEEA0" w14:textId="77777777" w:rsidTr="002944F4">
        <w:trPr>
          <w:trHeight w:val="270"/>
        </w:trPr>
        <w:tc>
          <w:tcPr>
            <w:cnfStyle w:val="001000000000" w:firstRow="0" w:lastRow="0" w:firstColumn="1" w:lastColumn="0" w:oddVBand="0" w:evenVBand="0" w:oddHBand="0" w:evenHBand="0" w:firstRowFirstColumn="0" w:firstRowLastColumn="0" w:lastRowFirstColumn="0" w:lastRowLastColumn="0"/>
            <w:tcW w:w="5972" w:type="dxa"/>
            <w:noWrap/>
            <w:vAlign w:val="center"/>
            <w:hideMark/>
          </w:tcPr>
          <w:p w14:paraId="2FF1C5EF" w14:textId="77777777" w:rsidR="003435FF" w:rsidRPr="0033020A" w:rsidRDefault="003435FF" w:rsidP="003435FF">
            <w:pPr>
              <w:spacing w:line="240" w:lineRule="auto"/>
              <w:rPr>
                <w:rFonts w:eastAsia="Times New Roman" w:cs="Arial"/>
                <w:color w:val="FFFFFF" w:themeColor="background1"/>
                <w:szCs w:val="24"/>
                <w:lang w:eastAsia="en-GB"/>
              </w:rPr>
            </w:pPr>
            <w:r w:rsidRPr="0033020A">
              <w:rPr>
                <w:rFonts w:eastAsia="Times New Roman" w:cs="Arial"/>
                <w:color w:val="FFFFFF" w:themeColor="background1"/>
                <w:szCs w:val="24"/>
                <w:lang w:eastAsia="en-GB"/>
              </w:rPr>
              <w:t>Gender identity different from sex registered at birth but no specific identity given</w:t>
            </w:r>
          </w:p>
        </w:tc>
        <w:tc>
          <w:tcPr>
            <w:tcW w:w="1449" w:type="dxa"/>
            <w:noWrap/>
            <w:vAlign w:val="bottom"/>
            <w:hideMark/>
          </w:tcPr>
          <w:p w14:paraId="694338F7" w14:textId="77777777" w:rsidR="003435FF" w:rsidRPr="0011357B" w:rsidRDefault="003435FF" w:rsidP="003435F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0.5%</w:t>
            </w:r>
          </w:p>
        </w:tc>
        <w:tc>
          <w:tcPr>
            <w:tcW w:w="1558" w:type="dxa"/>
            <w:noWrap/>
            <w:vAlign w:val="bottom"/>
            <w:hideMark/>
          </w:tcPr>
          <w:p w14:paraId="52ED3F16" w14:textId="77777777" w:rsidR="003435FF" w:rsidRPr="0011357B" w:rsidRDefault="003435FF" w:rsidP="003435F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0.3%</w:t>
            </w:r>
          </w:p>
        </w:tc>
        <w:tc>
          <w:tcPr>
            <w:tcW w:w="1254" w:type="dxa"/>
            <w:noWrap/>
            <w:vAlign w:val="bottom"/>
            <w:hideMark/>
          </w:tcPr>
          <w:p w14:paraId="729A0349" w14:textId="77777777" w:rsidR="003435FF" w:rsidRPr="0011357B" w:rsidRDefault="003435FF" w:rsidP="003435F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0.2%</w:t>
            </w:r>
          </w:p>
        </w:tc>
      </w:tr>
      <w:tr w:rsidR="003435FF" w:rsidRPr="0011357B" w14:paraId="42B4699E" w14:textId="77777777" w:rsidTr="002944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72" w:type="dxa"/>
            <w:noWrap/>
            <w:vAlign w:val="center"/>
            <w:hideMark/>
          </w:tcPr>
          <w:p w14:paraId="68DB2133" w14:textId="77777777" w:rsidR="003435FF" w:rsidRPr="0033020A" w:rsidRDefault="003435FF" w:rsidP="003435FF">
            <w:pPr>
              <w:spacing w:line="240" w:lineRule="auto"/>
              <w:rPr>
                <w:rFonts w:eastAsia="Times New Roman" w:cs="Arial"/>
                <w:color w:val="FFFFFF" w:themeColor="background1"/>
                <w:szCs w:val="24"/>
                <w:lang w:eastAsia="en-GB"/>
              </w:rPr>
            </w:pPr>
            <w:r w:rsidRPr="0033020A">
              <w:rPr>
                <w:rFonts w:eastAsia="Times New Roman" w:cs="Arial"/>
                <w:color w:val="FFFFFF" w:themeColor="background1"/>
                <w:szCs w:val="24"/>
                <w:lang w:eastAsia="en-GB"/>
              </w:rPr>
              <w:t>Trans woman</w:t>
            </w:r>
          </w:p>
        </w:tc>
        <w:tc>
          <w:tcPr>
            <w:tcW w:w="1449" w:type="dxa"/>
            <w:noWrap/>
            <w:vAlign w:val="bottom"/>
            <w:hideMark/>
          </w:tcPr>
          <w:p w14:paraId="3995A0C2" w14:textId="77777777" w:rsidR="003435FF" w:rsidRPr="0011357B" w:rsidRDefault="003435FF" w:rsidP="003435F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0.2%</w:t>
            </w:r>
          </w:p>
        </w:tc>
        <w:tc>
          <w:tcPr>
            <w:tcW w:w="1558" w:type="dxa"/>
            <w:noWrap/>
            <w:vAlign w:val="bottom"/>
            <w:hideMark/>
          </w:tcPr>
          <w:p w14:paraId="3C44F64A" w14:textId="77777777" w:rsidR="003435FF" w:rsidRPr="0011357B" w:rsidRDefault="003435FF" w:rsidP="003435F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0.1%</w:t>
            </w:r>
          </w:p>
        </w:tc>
        <w:tc>
          <w:tcPr>
            <w:tcW w:w="1254" w:type="dxa"/>
            <w:noWrap/>
            <w:vAlign w:val="bottom"/>
            <w:hideMark/>
          </w:tcPr>
          <w:p w14:paraId="3CA9371F" w14:textId="77777777" w:rsidR="003435FF" w:rsidRPr="0011357B" w:rsidRDefault="003435FF" w:rsidP="003435F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0.1%</w:t>
            </w:r>
          </w:p>
        </w:tc>
      </w:tr>
      <w:tr w:rsidR="003435FF" w:rsidRPr="0011357B" w14:paraId="07E697A9" w14:textId="77777777" w:rsidTr="002944F4">
        <w:trPr>
          <w:trHeight w:val="270"/>
        </w:trPr>
        <w:tc>
          <w:tcPr>
            <w:cnfStyle w:val="001000000000" w:firstRow="0" w:lastRow="0" w:firstColumn="1" w:lastColumn="0" w:oddVBand="0" w:evenVBand="0" w:oddHBand="0" w:evenHBand="0" w:firstRowFirstColumn="0" w:firstRowLastColumn="0" w:lastRowFirstColumn="0" w:lastRowLastColumn="0"/>
            <w:tcW w:w="5972" w:type="dxa"/>
            <w:noWrap/>
            <w:vAlign w:val="center"/>
            <w:hideMark/>
          </w:tcPr>
          <w:p w14:paraId="1E44A592" w14:textId="77777777" w:rsidR="003435FF" w:rsidRPr="0033020A" w:rsidRDefault="003435FF" w:rsidP="003435FF">
            <w:pPr>
              <w:spacing w:line="240" w:lineRule="auto"/>
              <w:rPr>
                <w:rFonts w:eastAsia="Times New Roman" w:cs="Arial"/>
                <w:color w:val="FFFFFF" w:themeColor="background1"/>
                <w:szCs w:val="24"/>
                <w:lang w:eastAsia="en-GB"/>
              </w:rPr>
            </w:pPr>
            <w:r w:rsidRPr="0033020A">
              <w:rPr>
                <w:rFonts w:eastAsia="Times New Roman" w:cs="Arial"/>
                <w:color w:val="FFFFFF" w:themeColor="background1"/>
                <w:szCs w:val="24"/>
                <w:lang w:eastAsia="en-GB"/>
              </w:rPr>
              <w:t>Trans man</w:t>
            </w:r>
          </w:p>
        </w:tc>
        <w:tc>
          <w:tcPr>
            <w:tcW w:w="1449" w:type="dxa"/>
            <w:noWrap/>
            <w:vAlign w:val="bottom"/>
            <w:hideMark/>
          </w:tcPr>
          <w:p w14:paraId="4A909D57" w14:textId="77777777" w:rsidR="003435FF" w:rsidRPr="0011357B" w:rsidRDefault="003435FF" w:rsidP="003435F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0.2%</w:t>
            </w:r>
          </w:p>
        </w:tc>
        <w:tc>
          <w:tcPr>
            <w:tcW w:w="1558" w:type="dxa"/>
            <w:noWrap/>
            <w:vAlign w:val="bottom"/>
            <w:hideMark/>
          </w:tcPr>
          <w:p w14:paraId="28F10180" w14:textId="77777777" w:rsidR="003435FF" w:rsidRPr="0011357B" w:rsidRDefault="003435FF" w:rsidP="003435F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0.1%</w:t>
            </w:r>
          </w:p>
        </w:tc>
        <w:tc>
          <w:tcPr>
            <w:tcW w:w="1254" w:type="dxa"/>
            <w:noWrap/>
            <w:vAlign w:val="bottom"/>
            <w:hideMark/>
          </w:tcPr>
          <w:p w14:paraId="40D35EBF" w14:textId="77777777" w:rsidR="003435FF" w:rsidRPr="0011357B" w:rsidRDefault="003435FF" w:rsidP="003435F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0.1%</w:t>
            </w:r>
          </w:p>
        </w:tc>
      </w:tr>
      <w:tr w:rsidR="003435FF" w:rsidRPr="0011357B" w14:paraId="6DDF9026" w14:textId="77777777" w:rsidTr="002944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72" w:type="dxa"/>
            <w:noWrap/>
            <w:vAlign w:val="center"/>
            <w:hideMark/>
          </w:tcPr>
          <w:p w14:paraId="3454F2CE" w14:textId="77777777" w:rsidR="003435FF" w:rsidRPr="0033020A" w:rsidRDefault="003435FF" w:rsidP="003435FF">
            <w:pPr>
              <w:spacing w:line="240" w:lineRule="auto"/>
              <w:rPr>
                <w:rFonts w:eastAsia="Times New Roman" w:cs="Arial"/>
                <w:color w:val="FFFFFF" w:themeColor="background1"/>
                <w:szCs w:val="24"/>
                <w:lang w:eastAsia="en-GB"/>
              </w:rPr>
            </w:pPr>
            <w:r w:rsidRPr="0033020A">
              <w:rPr>
                <w:rFonts w:eastAsia="Times New Roman" w:cs="Arial"/>
                <w:color w:val="FFFFFF" w:themeColor="background1"/>
                <w:szCs w:val="24"/>
                <w:lang w:eastAsia="en-GB"/>
              </w:rPr>
              <w:t>All other gender identities</w:t>
            </w:r>
          </w:p>
        </w:tc>
        <w:tc>
          <w:tcPr>
            <w:tcW w:w="1449" w:type="dxa"/>
            <w:noWrap/>
            <w:vAlign w:val="bottom"/>
            <w:hideMark/>
          </w:tcPr>
          <w:p w14:paraId="39F39C75" w14:textId="77777777" w:rsidR="003435FF" w:rsidRPr="0011357B" w:rsidRDefault="003435FF" w:rsidP="003435F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0.2%</w:t>
            </w:r>
          </w:p>
        </w:tc>
        <w:tc>
          <w:tcPr>
            <w:tcW w:w="1558" w:type="dxa"/>
            <w:noWrap/>
            <w:vAlign w:val="bottom"/>
            <w:hideMark/>
          </w:tcPr>
          <w:p w14:paraId="51C60341" w14:textId="77777777" w:rsidR="003435FF" w:rsidRPr="0011357B" w:rsidRDefault="003435FF" w:rsidP="003435F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0.1%</w:t>
            </w:r>
          </w:p>
        </w:tc>
        <w:tc>
          <w:tcPr>
            <w:tcW w:w="1254" w:type="dxa"/>
            <w:noWrap/>
            <w:vAlign w:val="bottom"/>
            <w:hideMark/>
          </w:tcPr>
          <w:p w14:paraId="3477AAC8" w14:textId="77777777" w:rsidR="003435FF" w:rsidRPr="0011357B" w:rsidRDefault="003435FF" w:rsidP="003435F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0.1%</w:t>
            </w:r>
          </w:p>
        </w:tc>
      </w:tr>
      <w:tr w:rsidR="003435FF" w:rsidRPr="0011357B" w14:paraId="0C9249C0" w14:textId="77777777" w:rsidTr="002944F4">
        <w:trPr>
          <w:trHeight w:val="270"/>
        </w:trPr>
        <w:tc>
          <w:tcPr>
            <w:cnfStyle w:val="001000000000" w:firstRow="0" w:lastRow="0" w:firstColumn="1" w:lastColumn="0" w:oddVBand="0" w:evenVBand="0" w:oddHBand="0" w:evenHBand="0" w:firstRowFirstColumn="0" w:firstRowLastColumn="0" w:lastRowFirstColumn="0" w:lastRowLastColumn="0"/>
            <w:tcW w:w="5972" w:type="dxa"/>
            <w:noWrap/>
            <w:vAlign w:val="center"/>
            <w:hideMark/>
          </w:tcPr>
          <w:p w14:paraId="34A9E54F" w14:textId="77777777" w:rsidR="003435FF" w:rsidRPr="0033020A" w:rsidRDefault="003435FF" w:rsidP="003435FF">
            <w:pPr>
              <w:spacing w:line="240" w:lineRule="auto"/>
              <w:rPr>
                <w:rFonts w:eastAsia="Times New Roman" w:cs="Arial"/>
                <w:color w:val="FFFFFF" w:themeColor="background1"/>
                <w:szCs w:val="24"/>
                <w:lang w:eastAsia="en-GB"/>
              </w:rPr>
            </w:pPr>
            <w:r w:rsidRPr="0033020A">
              <w:rPr>
                <w:rFonts w:eastAsia="Times New Roman" w:cs="Arial"/>
                <w:color w:val="FFFFFF" w:themeColor="background1"/>
                <w:szCs w:val="24"/>
                <w:lang w:eastAsia="en-GB"/>
              </w:rPr>
              <w:t>Not answered</w:t>
            </w:r>
          </w:p>
        </w:tc>
        <w:tc>
          <w:tcPr>
            <w:tcW w:w="1449" w:type="dxa"/>
            <w:noWrap/>
            <w:vAlign w:val="bottom"/>
            <w:hideMark/>
          </w:tcPr>
          <w:p w14:paraId="74CEE9ED" w14:textId="77777777" w:rsidR="003435FF" w:rsidRPr="0011357B" w:rsidRDefault="003435FF" w:rsidP="003435F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7.3%</w:t>
            </w:r>
          </w:p>
        </w:tc>
        <w:tc>
          <w:tcPr>
            <w:tcW w:w="1558" w:type="dxa"/>
            <w:noWrap/>
            <w:vAlign w:val="bottom"/>
            <w:hideMark/>
          </w:tcPr>
          <w:p w14:paraId="40F12E52" w14:textId="77777777" w:rsidR="003435FF" w:rsidRPr="0011357B" w:rsidRDefault="003435FF" w:rsidP="003435F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5.7%</w:t>
            </w:r>
          </w:p>
        </w:tc>
        <w:tc>
          <w:tcPr>
            <w:tcW w:w="1254" w:type="dxa"/>
            <w:noWrap/>
            <w:vAlign w:val="bottom"/>
            <w:hideMark/>
          </w:tcPr>
          <w:p w14:paraId="7F8AD820" w14:textId="77777777" w:rsidR="003435FF" w:rsidRPr="0011357B" w:rsidRDefault="003435FF" w:rsidP="003435F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4"/>
                <w:lang w:eastAsia="en-GB"/>
              </w:rPr>
            </w:pPr>
            <w:r w:rsidRPr="00D8143F">
              <w:rPr>
                <w:rFonts w:eastAsia="Times New Roman" w:cs="Arial"/>
                <w:color w:val="000000"/>
                <w:szCs w:val="24"/>
                <w:lang w:eastAsia="en-GB"/>
              </w:rPr>
              <w:t>6.0%</w:t>
            </w:r>
          </w:p>
        </w:tc>
      </w:tr>
    </w:tbl>
    <w:p w14:paraId="62343C40" w14:textId="2781AF4D" w:rsidR="001B58FC" w:rsidRDefault="008F2411" w:rsidP="008F2411">
      <w:pPr>
        <w:shd w:val="clear" w:color="auto" w:fill="FFFFFF"/>
        <w:spacing w:before="100" w:beforeAutospacing="1" w:after="100" w:afterAutospacing="1"/>
        <w:rPr>
          <w:rFonts w:eastAsia="Times New Roman" w:cs="Arial"/>
          <w:szCs w:val="24"/>
          <w:lang w:eastAsia="en-GB"/>
        </w:rPr>
      </w:pPr>
      <w:r>
        <w:rPr>
          <w:rFonts w:eastAsia="Times New Roman" w:cs="Arial"/>
          <w:szCs w:val="24"/>
          <w:lang w:eastAsia="en-GB"/>
        </w:rPr>
        <w:t xml:space="preserve">Manchester was the district where there were notably different patterns than elsewhere in respect of gender identity – both in comparison with Greater Manchester and England as a whole. This was the case for those opting not to answer the gender identity question as well as </w:t>
      </w:r>
      <w:r w:rsidR="00411619">
        <w:rPr>
          <w:rFonts w:eastAsia="Times New Roman" w:cs="Arial"/>
          <w:szCs w:val="24"/>
          <w:lang w:eastAsia="en-GB"/>
        </w:rPr>
        <w:t xml:space="preserve">for </w:t>
      </w:r>
      <w:r>
        <w:rPr>
          <w:rFonts w:eastAsia="Times New Roman" w:cs="Arial"/>
          <w:szCs w:val="24"/>
          <w:lang w:eastAsia="en-GB"/>
        </w:rPr>
        <w:t>variances in other categories.</w:t>
      </w:r>
      <w:r w:rsidR="0034597A">
        <w:rPr>
          <w:rFonts w:eastAsia="Times New Roman" w:cs="Arial"/>
          <w:szCs w:val="24"/>
          <w:lang w:eastAsia="en-GB"/>
        </w:rPr>
        <w:t xml:space="preserve"> </w:t>
      </w:r>
      <w:r w:rsidR="00E4526D">
        <w:rPr>
          <w:rFonts w:eastAsia="Times New Roman" w:cs="Arial"/>
          <w:szCs w:val="24"/>
          <w:lang w:eastAsia="en-GB"/>
        </w:rPr>
        <w:t>Out o</w:t>
      </w:r>
      <w:r w:rsidR="0003034E">
        <w:rPr>
          <w:rFonts w:eastAsia="Times New Roman" w:cs="Arial"/>
          <w:szCs w:val="24"/>
          <w:lang w:eastAsia="en-GB"/>
        </w:rPr>
        <w:t xml:space="preserve">f more than 300 English local authorities, Manchester was fourteenth on the </w:t>
      </w:r>
      <w:r w:rsidR="001E55D6">
        <w:rPr>
          <w:rFonts w:eastAsia="Times New Roman" w:cs="Arial"/>
          <w:szCs w:val="24"/>
          <w:lang w:eastAsia="en-GB"/>
        </w:rPr>
        <w:t>prevalence</w:t>
      </w:r>
      <w:r w:rsidR="000B560F">
        <w:rPr>
          <w:rFonts w:eastAsia="Times New Roman" w:cs="Arial"/>
          <w:szCs w:val="24"/>
          <w:lang w:eastAsia="en-GB"/>
        </w:rPr>
        <w:t xml:space="preserve"> of residents who said their gender identity was different from their sex at birth.</w:t>
      </w:r>
      <w:r w:rsidR="001E55D6">
        <w:rPr>
          <w:rFonts w:eastAsia="Times New Roman" w:cs="Arial"/>
          <w:szCs w:val="24"/>
          <w:lang w:eastAsia="en-GB"/>
        </w:rPr>
        <w:t xml:space="preserve"> </w:t>
      </w:r>
    </w:p>
    <w:p w14:paraId="64E22CE2" w14:textId="1D1E2982" w:rsidR="00FF1D13" w:rsidRPr="00B324F7" w:rsidRDefault="006B68EB" w:rsidP="00B324F7">
      <w:pPr>
        <w:tabs>
          <w:tab w:val="left" w:pos="7320"/>
        </w:tabs>
        <w:rPr>
          <w:rFonts w:cs="Arial"/>
          <w:i/>
          <w:iCs/>
          <w:szCs w:val="24"/>
        </w:rPr>
      </w:pPr>
      <w:r w:rsidRPr="007A410C">
        <w:rPr>
          <w:rFonts w:cs="Arial"/>
          <w:i/>
          <w:iCs/>
          <w:szCs w:val="24"/>
        </w:rPr>
        <w:t xml:space="preserve">Source: </w:t>
      </w:r>
      <w:r>
        <w:rPr>
          <w:rFonts w:cs="Arial"/>
          <w:i/>
          <w:iCs/>
          <w:szCs w:val="24"/>
        </w:rPr>
        <w:t xml:space="preserve">ONS, Nomis - </w:t>
      </w:r>
      <w:hyperlink r:id="rId19" w:history="1">
        <w:r w:rsidRPr="00731089">
          <w:rPr>
            <w:rStyle w:val="Hyperlink"/>
            <w:rFonts w:cs="Arial"/>
            <w:i/>
            <w:iCs/>
            <w:color w:val="2C5060" w:themeColor="accent1"/>
            <w:szCs w:val="24"/>
          </w:rPr>
          <w:t>2021 Census</w:t>
        </w:r>
      </w:hyperlink>
    </w:p>
    <w:p w14:paraId="7EFF2859" w14:textId="06B961D5" w:rsidR="00EB6B4E" w:rsidRPr="007A410C" w:rsidRDefault="00EB6B4E" w:rsidP="007A410C">
      <w:pPr>
        <w:rPr>
          <w:rFonts w:asciiTheme="minorHAnsi" w:hAnsiTheme="minorHAnsi"/>
          <w:b/>
          <w:bCs/>
          <w:color w:val="auto"/>
          <w:sz w:val="36"/>
          <w:szCs w:val="28"/>
        </w:rPr>
      </w:pPr>
      <w:r w:rsidRPr="007A410C">
        <w:rPr>
          <w:rFonts w:asciiTheme="minorHAnsi" w:hAnsiTheme="minorHAnsi"/>
          <w:b/>
          <w:bCs/>
          <w:color w:val="auto"/>
          <w:sz w:val="36"/>
          <w:szCs w:val="28"/>
        </w:rPr>
        <w:t xml:space="preserve">Age </w:t>
      </w:r>
      <w:r w:rsidR="007A410C" w:rsidRPr="007A410C">
        <w:rPr>
          <w:rFonts w:asciiTheme="minorHAnsi" w:hAnsiTheme="minorHAnsi"/>
          <w:b/>
          <w:bCs/>
          <w:color w:val="auto"/>
          <w:sz w:val="36"/>
          <w:szCs w:val="28"/>
        </w:rPr>
        <w:t>(</w:t>
      </w:r>
      <w:r w:rsidR="00046D34">
        <w:rPr>
          <w:rFonts w:asciiTheme="minorHAnsi" w:hAnsiTheme="minorHAnsi"/>
          <w:b/>
          <w:bCs/>
          <w:color w:val="auto"/>
          <w:sz w:val="36"/>
          <w:szCs w:val="28"/>
        </w:rPr>
        <w:t xml:space="preserve">gender </w:t>
      </w:r>
      <w:r w:rsidR="007A410C" w:rsidRPr="007A410C">
        <w:rPr>
          <w:rFonts w:asciiTheme="minorHAnsi" w:hAnsiTheme="minorHAnsi"/>
          <w:b/>
          <w:bCs/>
          <w:color w:val="auto"/>
          <w:sz w:val="36"/>
          <w:szCs w:val="28"/>
        </w:rPr>
        <w:t>identity)</w:t>
      </w:r>
    </w:p>
    <w:p w14:paraId="3E0633FF" w14:textId="4583F8B1" w:rsidR="008F2411" w:rsidRDefault="008F2411" w:rsidP="008F2411">
      <w:pPr>
        <w:shd w:val="clear" w:color="auto" w:fill="FFFFFF"/>
        <w:spacing w:before="100" w:beforeAutospacing="1" w:after="100" w:afterAutospacing="1"/>
        <w:rPr>
          <w:rFonts w:eastAsia="Times New Roman" w:cs="Arial"/>
          <w:szCs w:val="24"/>
          <w:lang w:eastAsia="en-GB"/>
        </w:rPr>
      </w:pPr>
      <w:r>
        <w:rPr>
          <w:rFonts w:eastAsia="Times New Roman" w:cs="Arial"/>
          <w:szCs w:val="24"/>
          <w:lang w:eastAsia="en-GB"/>
        </w:rPr>
        <w:t>Some types of gender identity appear to be disproportionately accounted for by younger residents. The chart below shows proportions of responses</w:t>
      </w:r>
      <w:r w:rsidR="009E4764">
        <w:rPr>
          <w:rFonts w:eastAsia="Times New Roman" w:cs="Arial"/>
          <w:szCs w:val="24"/>
          <w:lang w:eastAsia="en-GB"/>
        </w:rPr>
        <w:t xml:space="preserve"> on gender identity</w:t>
      </w:r>
      <w:r>
        <w:rPr>
          <w:rFonts w:eastAsia="Times New Roman" w:cs="Arial"/>
          <w:szCs w:val="24"/>
          <w:lang w:eastAsia="en-GB"/>
        </w:rPr>
        <w:t xml:space="preserve"> by age bracket. Among residents who selected the ‘other gender identity’ </w:t>
      </w:r>
      <w:r w:rsidR="000A6707">
        <w:rPr>
          <w:rFonts w:eastAsia="Times New Roman" w:cs="Arial"/>
          <w:szCs w:val="24"/>
          <w:lang w:eastAsia="en-GB"/>
        </w:rPr>
        <w:t xml:space="preserve">option </w:t>
      </w:r>
      <w:r>
        <w:rPr>
          <w:rFonts w:eastAsia="Times New Roman" w:cs="Arial"/>
          <w:szCs w:val="24"/>
          <w:lang w:eastAsia="en-GB"/>
        </w:rPr>
        <w:t>(which includes non-binary)</w:t>
      </w:r>
      <w:r w:rsidR="000A6707">
        <w:rPr>
          <w:rFonts w:eastAsia="Times New Roman" w:cs="Arial"/>
          <w:szCs w:val="24"/>
          <w:lang w:eastAsia="en-GB"/>
        </w:rPr>
        <w:t>,</w:t>
      </w:r>
      <w:r>
        <w:rPr>
          <w:rFonts w:eastAsia="Times New Roman" w:cs="Arial"/>
          <w:szCs w:val="24"/>
          <w:lang w:eastAsia="en-GB"/>
        </w:rPr>
        <w:t xml:space="preserve"> those under the age of 24 accounted for just under half of all responses in this category (49%). </w:t>
      </w:r>
    </w:p>
    <w:p w14:paraId="7577485C" w14:textId="77777777" w:rsidR="00B324F7" w:rsidRDefault="00B324F7" w:rsidP="008F2411">
      <w:pPr>
        <w:shd w:val="clear" w:color="auto" w:fill="FFFFFF"/>
        <w:spacing w:before="100" w:beforeAutospacing="1" w:after="100" w:afterAutospacing="1"/>
        <w:rPr>
          <w:rFonts w:eastAsia="Times New Roman" w:cs="Arial"/>
          <w:b/>
          <w:bCs/>
          <w:szCs w:val="24"/>
          <w:lang w:eastAsia="en-GB"/>
        </w:rPr>
      </w:pPr>
    </w:p>
    <w:p w14:paraId="64DBE03F" w14:textId="292B1953" w:rsidR="008F2411" w:rsidRDefault="008F2411" w:rsidP="008F2411">
      <w:pPr>
        <w:shd w:val="clear" w:color="auto" w:fill="FFFFFF"/>
        <w:spacing w:before="100" w:beforeAutospacing="1" w:after="100" w:afterAutospacing="1"/>
        <w:rPr>
          <w:rFonts w:eastAsia="Times New Roman" w:cs="Arial"/>
          <w:b/>
          <w:bCs/>
          <w:szCs w:val="24"/>
          <w:lang w:eastAsia="en-GB"/>
        </w:rPr>
      </w:pPr>
      <w:r w:rsidRPr="00CF11FD">
        <w:rPr>
          <w:rFonts w:eastAsia="Times New Roman" w:cs="Arial"/>
          <w:b/>
          <w:bCs/>
          <w:szCs w:val="24"/>
          <w:lang w:eastAsia="en-GB"/>
        </w:rPr>
        <w:lastRenderedPageBreak/>
        <w:t>Gender identity by age (proportion of responses in category), 2021</w:t>
      </w:r>
    </w:p>
    <w:p w14:paraId="66ADAE53" w14:textId="265FCAC9" w:rsidR="008F2411" w:rsidRPr="00B27F29" w:rsidRDefault="00B27F29" w:rsidP="008F2411">
      <w:pPr>
        <w:shd w:val="clear" w:color="auto" w:fill="FFFFFF"/>
        <w:spacing w:before="100" w:beforeAutospacing="1" w:after="100" w:afterAutospacing="1"/>
        <w:rPr>
          <w:rFonts w:eastAsia="Times New Roman" w:cs="Arial"/>
          <w:b/>
          <w:bCs/>
          <w:szCs w:val="24"/>
          <w:lang w:eastAsia="en-GB"/>
        </w:rPr>
      </w:pPr>
      <w:r>
        <w:rPr>
          <w:noProof/>
        </w:rPr>
        <w:drawing>
          <wp:inline distT="0" distB="0" distL="0" distR="0" wp14:anchorId="28BABCAD" wp14:editId="2FBD52C2">
            <wp:extent cx="5731510" cy="3848100"/>
            <wp:effectExtent l="0" t="0" r="2540" b="0"/>
            <wp:docPr id="3" name="Chart 3" descr="This chart shows proportions of responses on gender identity by age bracket. The chart shows that residents aged 16 to 24 make up almost half of all the responses of those recorded other gender identity, with diminishing proportions through to the higher age groups. ">
              <a:extLst xmlns:a="http://schemas.openxmlformats.org/drawingml/2006/main">
                <a:ext uri="{FF2B5EF4-FFF2-40B4-BE49-F238E27FC236}">
                  <a16:creationId xmlns:a16="http://schemas.microsoft.com/office/drawing/2014/main" id="{253CA593-AF0D-5F61-8F7C-430D5FE24C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8F2411" w:rsidRPr="00E07673">
        <w:rPr>
          <w:rFonts w:eastAsia="Times New Roman" w:cs="Arial"/>
          <w:i/>
          <w:iCs/>
          <w:szCs w:val="24"/>
          <w:lang w:eastAsia="en-GB"/>
        </w:rPr>
        <w:t xml:space="preserve">Source: </w:t>
      </w:r>
      <w:r>
        <w:rPr>
          <w:rFonts w:cs="Arial"/>
          <w:i/>
          <w:iCs/>
          <w:szCs w:val="24"/>
        </w:rPr>
        <w:t xml:space="preserve">ONS, Nomis - </w:t>
      </w:r>
      <w:hyperlink r:id="rId21" w:history="1">
        <w:r w:rsidRPr="00731089">
          <w:rPr>
            <w:rStyle w:val="Hyperlink"/>
            <w:rFonts w:cs="Arial"/>
            <w:i/>
            <w:iCs/>
            <w:color w:val="2C5060" w:themeColor="accent1"/>
            <w:szCs w:val="24"/>
          </w:rPr>
          <w:t>2021 Census</w:t>
        </w:r>
      </w:hyperlink>
      <w:r>
        <w:rPr>
          <w:rStyle w:val="Hyperlink"/>
          <w:rFonts w:cs="Arial"/>
          <w:i/>
          <w:iCs/>
          <w:color w:val="2C5060" w:themeColor="accent1"/>
          <w:szCs w:val="24"/>
        </w:rPr>
        <w:t xml:space="preserve"> </w:t>
      </w:r>
      <w:r w:rsidR="008F2411" w:rsidRPr="00E07673">
        <w:rPr>
          <w:rFonts w:eastAsia="Times New Roman" w:cs="Arial"/>
          <w:i/>
          <w:iCs/>
          <w:szCs w:val="24"/>
          <w:lang w:eastAsia="en-GB"/>
        </w:rPr>
        <w:t>2021</w:t>
      </w:r>
    </w:p>
    <w:p w14:paraId="3005A2C2" w14:textId="51E9EDC4" w:rsidR="008F2411" w:rsidRDefault="008F2411" w:rsidP="008F2411">
      <w:pPr>
        <w:shd w:val="clear" w:color="auto" w:fill="FFFFFF"/>
        <w:spacing w:before="100" w:beforeAutospacing="1" w:after="100" w:afterAutospacing="1"/>
        <w:rPr>
          <w:rFonts w:eastAsia="Times New Roman" w:cs="Arial"/>
          <w:szCs w:val="24"/>
          <w:lang w:eastAsia="en-GB"/>
        </w:rPr>
      </w:pPr>
      <w:r>
        <w:rPr>
          <w:rFonts w:eastAsia="Times New Roman" w:cs="Arial"/>
          <w:szCs w:val="24"/>
          <w:lang w:eastAsia="en-GB"/>
        </w:rPr>
        <w:t xml:space="preserve">Although the questions on orientation and identity were separate, the census offers some insight into the </w:t>
      </w:r>
      <w:r w:rsidR="008374EE">
        <w:rPr>
          <w:rFonts w:eastAsia="Times New Roman" w:cs="Arial"/>
          <w:szCs w:val="24"/>
          <w:lang w:eastAsia="en-GB"/>
        </w:rPr>
        <w:t>interaction</w:t>
      </w:r>
      <w:r>
        <w:rPr>
          <w:rFonts w:eastAsia="Times New Roman" w:cs="Arial"/>
          <w:szCs w:val="24"/>
          <w:lang w:eastAsia="en-GB"/>
        </w:rPr>
        <w:t xml:space="preserve"> between </w:t>
      </w:r>
      <w:r w:rsidR="00897067">
        <w:rPr>
          <w:rFonts w:eastAsia="Times New Roman" w:cs="Arial"/>
          <w:szCs w:val="24"/>
          <w:lang w:eastAsia="en-GB"/>
        </w:rPr>
        <w:t>them</w:t>
      </w:r>
      <w:r>
        <w:rPr>
          <w:rFonts w:eastAsia="Times New Roman" w:cs="Arial"/>
          <w:szCs w:val="24"/>
          <w:lang w:eastAsia="en-GB"/>
        </w:rPr>
        <w:t xml:space="preserve">. Aside from heterosexual residents, and those who identify with the sex they were registered with at birth, the majority of trans residents in Greater Manchester said they were straight or heterosexual (50.6% of trans women; 57.3% of trans men). Meanwhile, among the ‘all other gender identities’ group, 86.7% identified as ‘lesbian, gay, bisexual or other (LGB+)’. The proportions </w:t>
      </w:r>
      <w:r w:rsidR="00CA2962">
        <w:rPr>
          <w:rFonts w:eastAsia="Times New Roman" w:cs="Arial"/>
          <w:szCs w:val="24"/>
          <w:lang w:eastAsia="en-GB"/>
        </w:rPr>
        <w:t>for</w:t>
      </w:r>
      <w:r>
        <w:rPr>
          <w:rFonts w:eastAsia="Times New Roman" w:cs="Arial"/>
          <w:szCs w:val="24"/>
          <w:lang w:eastAsia="en-GB"/>
        </w:rPr>
        <w:t xml:space="preserve"> these responses were very similar to national</w:t>
      </w:r>
      <w:r w:rsidR="00046D34">
        <w:rPr>
          <w:rFonts w:eastAsia="Times New Roman" w:cs="Arial"/>
          <w:szCs w:val="24"/>
          <w:lang w:eastAsia="en-GB"/>
        </w:rPr>
        <w:t xml:space="preserve"> patterns.</w:t>
      </w:r>
      <w:r>
        <w:rPr>
          <w:rFonts w:eastAsia="Times New Roman" w:cs="Arial"/>
          <w:szCs w:val="24"/>
          <w:lang w:eastAsia="en-GB"/>
        </w:rPr>
        <w:t xml:space="preserve"> </w:t>
      </w:r>
    </w:p>
    <w:p w14:paraId="10F5A682" w14:textId="77777777" w:rsidR="00332E59" w:rsidRPr="009A35DF" w:rsidRDefault="00332E59" w:rsidP="002E0981">
      <w:pPr>
        <w:pStyle w:val="Heading3"/>
        <w:rPr>
          <w:color w:val="595959" w:themeColor="text1" w:themeTint="A6"/>
          <w:sz w:val="28"/>
        </w:rPr>
      </w:pPr>
      <w:r w:rsidRPr="002E0981">
        <w:t>Reflections</w:t>
      </w:r>
    </w:p>
    <w:p w14:paraId="057E9168" w14:textId="36F9F188" w:rsidR="0055748D" w:rsidRDefault="00B34CE8" w:rsidP="00294040">
      <w:r>
        <w:t xml:space="preserve">Large cities </w:t>
      </w:r>
      <w:r w:rsidR="00061FF2">
        <w:t>can</w:t>
      </w:r>
      <w:r>
        <w:t xml:space="preserve"> have a reputation for being</w:t>
      </w:r>
      <w:r w:rsidR="0002683B">
        <w:t xml:space="preserve"> relatively</w:t>
      </w:r>
      <w:r>
        <w:t xml:space="preserve"> tolerant and welcoming</w:t>
      </w:r>
      <w:r w:rsidR="0002683B">
        <w:t xml:space="preserve"> of people who see themselves as ‘different’ in various ways. </w:t>
      </w:r>
      <w:r w:rsidR="00B8672F">
        <w:t xml:space="preserve">This may help explain why </w:t>
      </w:r>
      <w:r w:rsidR="00692594">
        <w:t>the</w:t>
      </w:r>
      <w:r w:rsidR="00560524">
        <w:t xml:space="preserve"> districts of Greater Manchester which contain the city centre</w:t>
      </w:r>
      <w:r w:rsidR="00065FA7">
        <w:t xml:space="preserve"> of Manchester</w:t>
      </w:r>
      <w:r w:rsidR="00B8672F">
        <w:t xml:space="preserve"> </w:t>
      </w:r>
      <w:r w:rsidR="0055748D">
        <w:t>were</w:t>
      </w:r>
      <w:r w:rsidR="00D845AC">
        <w:t xml:space="preserve"> less ‘straight’ than the rest of the conurbation. </w:t>
      </w:r>
      <w:r w:rsidR="003D32FF">
        <w:t xml:space="preserve">These districts drive the </w:t>
      </w:r>
      <w:r w:rsidR="00692594">
        <w:t>variations</w:t>
      </w:r>
      <w:r w:rsidR="003D32FF">
        <w:t xml:space="preserve"> described </w:t>
      </w:r>
      <w:r w:rsidR="00DD03A1">
        <w:t>in this briefing</w:t>
      </w:r>
      <w:r w:rsidR="00FF1D13">
        <w:t>.</w:t>
      </w:r>
    </w:p>
    <w:p w14:paraId="44FC4531" w14:textId="77777777" w:rsidR="00294040" w:rsidRDefault="007F0C90" w:rsidP="00294040">
      <w:r>
        <w:lastRenderedPageBreak/>
        <w:t>On sexual orientation, there is variation by age and gender in responses</w:t>
      </w:r>
      <w:r w:rsidR="00B16922">
        <w:t xml:space="preserve">. For example, whereas a </w:t>
      </w:r>
      <w:r w:rsidR="0066386D">
        <w:t>higher proportion</w:t>
      </w:r>
      <w:r w:rsidR="00B16922">
        <w:t xml:space="preserve"> </w:t>
      </w:r>
      <w:r w:rsidR="000C71A0">
        <w:t xml:space="preserve">of women </w:t>
      </w:r>
      <w:r w:rsidR="00B16922">
        <w:t>say they are bisexual, rather than gay or lesbian, among men the proportion who see themselves as gay is higher.</w:t>
      </w:r>
      <w:r w:rsidR="00522C6C">
        <w:t xml:space="preserve"> </w:t>
      </w:r>
      <w:r w:rsidR="00BD57B0">
        <w:t xml:space="preserve">On identity, meanwhile, there are some notable differences among </w:t>
      </w:r>
      <w:r w:rsidR="002E30D2">
        <w:t>age groups</w:t>
      </w:r>
      <w:r w:rsidR="004E579A">
        <w:t xml:space="preserve">. These are </w:t>
      </w:r>
      <w:r w:rsidR="002E30D2">
        <w:t xml:space="preserve">especially obvious in respect of </w:t>
      </w:r>
      <w:r w:rsidR="004A375C">
        <w:t>the ‘other’ category (mostly made up of people who see themselves as non-binary</w:t>
      </w:r>
      <w:r w:rsidR="00D2095D">
        <w:t>)</w:t>
      </w:r>
      <w:r w:rsidR="004A375C">
        <w:t xml:space="preserve">. </w:t>
      </w:r>
    </w:p>
    <w:p w14:paraId="3D1933CE" w14:textId="7E6D5FAC" w:rsidR="00C17D4D" w:rsidRDefault="00C008E6" w:rsidP="00294040">
      <w:r>
        <w:t xml:space="preserve">It is possible that the </w:t>
      </w:r>
      <w:r w:rsidR="007B200D">
        <w:t xml:space="preserve">number of residents who did not answer the sexual orientation question on the census </w:t>
      </w:r>
      <w:r w:rsidR="007B200D" w:rsidRPr="009554C3">
        <w:t>(158,467</w:t>
      </w:r>
      <w:r w:rsidR="00B517A2" w:rsidRPr="00B517A2">
        <w:t xml:space="preserve"> </w:t>
      </w:r>
      <w:r w:rsidR="00B517A2">
        <w:t>in Greater Manchester</w:t>
      </w:r>
      <w:r w:rsidR="007B200D" w:rsidRPr="009554C3">
        <w:t>)</w:t>
      </w:r>
      <w:r w:rsidR="007B200D">
        <w:t xml:space="preserve"> </w:t>
      </w:r>
      <w:r w:rsidR="00D22E87">
        <w:t xml:space="preserve">could be taken to suggest an undercount of the </w:t>
      </w:r>
      <w:r w:rsidR="00802856" w:rsidRPr="009554C3">
        <w:t>L</w:t>
      </w:r>
      <w:r w:rsidR="00802856">
        <w:t>GBT</w:t>
      </w:r>
      <w:r w:rsidR="00802856" w:rsidRPr="009554C3">
        <w:t>+ population</w:t>
      </w:r>
      <w:r w:rsidR="00C17D4D">
        <w:t xml:space="preserve">. </w:t>
      </w:r>
      <w:r w:rsidR="00C17D4D" w:rsidRPr="009554C3">
        <w:t xml:space="preserve">A recent </w:t>
      </w:r>
      <w:r w:rsidR="00C17D4D">
        <w:t>H</w:t>
      </w:r>
      <w:r w:rsidR="00C17D4D" w:rsidRPr="009554C3">
        <w:t xml:space="preserve">ouse of </w:t>
      </w:r>
      <w:r w:rsidR="00C17D4D">
        <w:t>C</w:t>
      </w:r>
      <w:r w:rsidR="00C17D4D" w:rsidRPr="009554C3">
        <w:t xml:space="preserve">ommons </w:t>
      </w:r>
      <w:r w:rsidR="00C17D4D">
        <w:t xml:space="preserve">paper </w:t>
      </w:r>
      <w:r w:rsidR="00C17D4D" w:rsidRPr="009554C3">
        <w:t>noted that those who “chose not to respond might well identify as LGBT+ in other contexts but didn’t wish to share this on the census.”</w:t>
      </w:r>
      <w:r w:rsidR="00C17D4D">
        <w:rPr>
          <w:rStyle w:val="FootnoteReference"/>
        </w:rPr>
        <w:footnoteReference w:id="5"/>
      </w:r>
      <w:r w:rsidR="00746C25">
        <w:t xml:space="preserve"> However, it is not possible to know this from the census alone</w:t>
      </w:r>
      <w:r w:rsidR="00255BB1">
        <w:t xml:space="preserve"> and would necessitate other kinds of research.</w:t>
      </w:r>
    </w:p>
    <w:p w14:paraId="6DDCBF89" w14:textId="77777777" w:rsidR="00490B9F" w:rsidRDefault="00490B9F" w:rsidP="00490B9F"/>
    <w:p w14:paraId="781C5996" w14:textId="23C34066" w:rsidR="00490B9F" w:rsidRDefault="00490B9F" w:rsidP="00490B9F">
      <w:pPr>
        <w:pStyle w:val="Heading3"/>
      </w:pPr>
      <w:r>
        <w:t>Further reading</w:t>
      </w:r>
    </w:p>
    <w:p w14:paraId="16B3F9E8" w14:textId="35EE94C9" w:rsidR="00490B9F" w:rsidRDefault="00490B9F" w:rsidP="00490B9F">
      <w:r>
        <w:t xml:space="preserve">The ONS briefing on sexual orientation can be read </w:t>
      </w:r>
      <w:hyperlink r:id="rId22" w:history="1">
        <w:r w:rsidRPr="00B07478">
          <w:rPr>
            <w:rStyle w:val="Hyperlink"/>
          </w:rPr>
          <w:t>here</w:t>
        </w:r>
      </w:hyperlink>
    </w:p>
    <w:p w14:paraId="712CCEF8" w14:textId="20B58EC3" w:rsidR="00490B9F" w:rsidRDefault="00490B9F" w:rsidP="00490B9F">
      <w:r>
        <w:t xml:space="preserve">The ONS briefing on gender identity can be read </w:t>
      </w:r>
      <w:hyperlink r:id="rId23" w:history="1">
        <w:r w:rsidRPr="00302D8A">
          <w:rPr>
            <w:rStyle w:val="Hyperlink"/>
          </w:rPr>
          <w:t>here</w:t>
        </w:r>
      </w:hyperlink>
    </w:p>
    <w:p w14:paraId="10EF102F" w14:textId="75B80EA2" w:rsidR="00BF0BCA" w:rsidRDefault="00BF0BCA" w:rsidP="00876375">
      <w:pPr>
        <w:pStyle w:val="ListParagraph"/>
        <w:numPr>
          <w:ilvl w:val="0"/>
          <w:numId w:val="0"/>
        </w:numPr>
        <w:ind w:left="720"/>
      </w:pPr>
    </w:p>
    <w:sectPr w:rsidR="00BF0BCA" w:rsidSect="00914F53">
      <w:headerReference w:type="default" r:id="rId24"/>
      <w:footerReference w:type="default" r:id="rId25"/>
      <w:pgSz w:w="11906" w:h="16838" w:code="9"/>
      <w:pgMar w:top="1794"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EE84" w14:textId="77777777" w:rsidR="001C10A5" w:rsidRDefault="001C10A5">
      <w:pPr>
        <w:spacing w:after="0" w:line="240" w:lineRule="auto"/>
      </w:pPr>
      <w:r>
        <w:separator/>
      </w:r>
    </w:p>
  </w:endnote>
  <w:endnote w:type="continuationSeparator" w:id="0">
    <w:p w14:paraId="314D4DDF" w14:textId="77777777" w:rsidR="001C10A5" w:rsidRDefault="001C10A5">
      <w:pPr>
        <w:spacing w:after="0" w:line="240" w:lineRule="auto"/>
      </w:pPr>
      <w:r>
        <w:continuationSeparator/>
      </w:r>
    </w:p>
  </w:endnote>
  <w:endnote w:type="continuationNotice" w:id="1">
    <w:p w14:paraId="11965D47" w14:textId="77777777" w:rsidR="001C10A5" w:rsidRDefault="001C10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39336348" w14:textId="77777777" w:rsidR="00E07B85" w:rsidRPr="00D31BB7" w:rsidRDefault="002F4BA4"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C3C8" w14:textId="77777777" w:rsidR="001C10A5" w:rsidRDefault="001C10A5">
      <w:pPr>
        <w:spacing w:after="0" w:line="240" w:lineRule="auto"/>
      </w:pPr>
      <w:r>
        <w:separator/>
      </w:r>
    </w:p>
  </w:footnote>
  <w:footnote w:type="continuationSeparator" w:id="0">
    <w:p w14:paraId="58D86533" w14:textId="77777777" w:rsidR="001C10A5" w:rsidRDefault="001C10A5">
      <w:pPr>
        <w:spacing w:after="0" w:line="240" w:lineRule="auto"/>
      </w:pPr>
      <w:r>
        <w:continuationSeparator/>
      </w:r>
    </w:p>
  </w:footnote>
  <w:footnote w:type="continuationNotice" w:id="1">
    <w:p w14:paraId="5FDACB3A" w14:textId="77777777" w:rsidR="001C10A5" w:rsidRDefault="001C10A5">
      <w:pPr>
        <w:spacing w:after="0" w:line="240" w:lineRule="auto"/>
      </w:pPr>
    </w:p>
  </w:footnote>
  <w:footnote w:id="2">
    <w:p w14:paraId="585EC998" w14:textId="419C2635" w:rsidR="006616C0" w:rsidRDefault="006616C0" w:rsidP="006616C0">
      <w:pPr>
        <w:pStyle w:val="FootnoteText"/>
      </w:pPr>
      <w:r>
        <w:rPr>
          <w:rStyle w:val="FootnoteReference"/>
        </w:rPr>
        <w:footnoteRef/>
      </w:r>
      <w:r>
        <w:t xml:space="preserve"> LGB+ refers to people who are gay or lesbian, bisexual, pansexual, asexual, queer or </w:t>
      </w:r>
      <w:r w:rsidR="004F5F1E">
        <w:t>‘</w:t>
      </w:r>
      <w:r>
        <w:t>other</w:t>
      </w:r>
      <w:r w:rsidR="004F5F1E">
        <w:t xml:space="preserve"> sexual orientation’</w:t>
      </w:r>
      <w:r>
        <w:t xml:space="preserve">. </w:t>
      </w:r>
    </w:p>
  </w:footnote>
  <w:footnote w:id="3">
    <w:p w14:paraId="6883B4C4" w14:textId="453EA118" w:rsidR="00157BF0" w:rsidRDefault="00157BF0" w:rsidP="00157BF0">
      <w:pPr>
        <w:pStyle w:val="FootnoteText"/>
      </w:pPr>
      <w:r>
        <w:rPr>
          <w:rStyle w:val="FootnoteReference"/>
        </w:rPr>
        <w:footnoteRef/>
      </w:r>
      <w:r>
        <w:t xml:space="preserve"> The language of sexual orientation and gender identity is evolving and </w:t>
      </w:r>
      <w:r w:rsidR="005D0887">
        <w:t>generates different</w:t>
      </w:r>
      <w:r>
        <w:t xml:space="preserve"> perspectives. According to </w:t>
      </w:r>
      <w:hyperlink r:id="rId1" w:history="1">
        <w:r w:rsidRPr="00643039">
          <w:rPr>
            <w:rStyle w:val="Hyperlink"/>
          </w:rPr>
          <w:t>a guide</w:t>
        </w:r>
      </w:hyperlink>
      <w:r>
        <w:t xml:space="preserve"> from Stonewall, a charity, the distinction between gay/lesbian and queer is that those who identify as queer reject labels of orientation or gender identity; pansexuals are people whose romantic or sexual attractions are not limited by sex or gender; asexual people do not experience sexual attraction. Non-binary is an umbrella term for people whose gender identity does not sit comfortably with ‘man’ or ‘wom</w:t>
      </w:r>
      <w:r w:rsidR="00140ACC">
        <w:t>a</w:t>
      </w:r>
      <w:r>
        <w:t xml:space="preserve">n’ but does not describe </w:t>
      </w:r>
      <w:r w:rsidR="009E331F">
        <w:t>a</w:t>
      </w:r>
      <w:r>
        <w:t xml:space="preserve"> sexual orientation.</w:t>
      </w:r>
    </w:p>
  </w:footnote>
  <w:footnote w:id="4">
    <w:p w14:paraId="3730EF1E" w14:textId="46B0ABD9" w:rsidR="003E0007" w:rsidRDefault="003E0007">
      <w:pPr>
        <w:pStyle w:val="FootnoteText"/>
      </w:pPr>
      <w:r>
        <w:rPr>
          <w:rStyle w:val="FootnoteReference"/>
        </w:rPr>
        <w:footnoteRef/>
      </w:r>
      <w:r>
        <w:t xml:space="preserve"> </w:t>
      </w:r>
      <w:r w:rsidR="00B141CE">
        <w:t>When rounded to .1 of a decimal place</w:t>
      </w:r>
    </w:p>
  </w:footnote>
  <w:footnote w:id="5">
    <w:p w14:paraId="1697EF3B" w14:textId="77777777" w:rsidR="00C17D4D" w:rsidRDefault="00C17D4D" w:rsidP="00C17D4D">
      <w:pPr>
        <w:pStyle w:val="FootnoteText"/>
      </w:pPr>
      <w:r>
        <w:rPr>
          <w:rStyle w:val="FootnoteReference"/>
        </w:rPr>
        <w:footnoteRef/>
      </w:r>
      <w:r>
        <w:t xml:space="preserve"> </w:t>
      </w:r>
      <w:r w:rsidRPr="009554C3">
        <w:t>https://commonslibrary.parliament.uk/2021-census-what-do-we-know-about-the-lgbt-population/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5D12" w14:textId="77777777" w:rsidR="007222D5" w:rsidRDefault="002F4BA4">
    <w:pPr>
      <w:pStyle w:val="Header"/>
    </w:pPr>
    <w:r>
      <w:rPr>
        <w:noProof/>
      </w:rPr>
      <w:drawing>
        <wp:anchor distT="0" distB="0" distL="114300" distR="114300" simplePos="0" relativeHeight="251658240" behindDoc="1" locked="0" layoutInCell="1" allowOverlap="1" wp14:anchorId="2C0ED2F0" wp14:editId="632068F5">
          <wp:simplePos x="0" y="0"/>
          <wp:positionH relativeFrom="column">
            <wp:posOffset>4997144</wp:posOffset>
          </wp:positionH>
          <wp:positionV relativeFrom="paragraph">
            <wp:posOffset>22247</wp:posOffset>
          </wp:positionV>
          <wp:extent cx="1005840" cy="259080"/>
          <wp:effectExtent l="0" t="0" r="3810" b="7620"/>
          <wp:wrapTight wrapText="bothSides">
            <wp:wrapPolygon edited="0">
              <wp:start x="0" y="0"/>
              <wp:lineTo x="0" y="20647"/>
              <wp:lineTo x="21273" y="20647"/>
              <wp:lineTo x="21273" y="15882"/>
              <wp:lineTo x="20455" y="0"/>
              <wp:lineTo x="0" y="0"/>
            </wp:wrapPolygon>
          </wp:wrapTight>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0B65623" wp14:editId="1E1365EB">
          <wp:extent cx="923925" cy="388049"/>
          <wp:effectExtent l="0" t="0" r="0" b="0"/>
          <wp:docPr id="28" name="Picture 28" descr="JSNA - Demographics and population - Servic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SNA - Demographics and population - Service Detai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785" cy="412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85F5F"/>
    <w:multiLevelType w:val="multilevel"/>
    <w:tmpl w:val="FD8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B13FFC"/>
    <w:multiLevelType w:val="hybridMultilevel"/>
    <w:tmpl w:val="ED94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9F2145"/>
    <w:multiLevelType w:val="hybridMultilevel"/>
    <w:tmpl w:val="55E0CFC6"/>
    <w:lvl w:ilvl="0" w:tplc="64D0F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D78F9"/>
    <w:multiLevelType w:val="hybridMultilevel"/>
    <w:tmpl w:val="1750A7BC"/>
    <w:lvl w:ilvl="0" w:tplc="409062F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E800FA"/>
    <w:multiLevelType w:val="hybridMultilevel"/>
    <w:tmpl w:val="53C87434"/>
    <w:lvl w:ilvl="0" w:tplc="E8744B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558448">
    <w:abstractNumId w:val="4"/>
  </w:num>
  <w:num w:numId="2" w16cid:durableId="37900422">
    <w:abstractNumId w:val="2"/>
  </w:num>
  <w:num w:numId="3" w16cid:durableId="1788160055">
    <w:abstractNumId w:val="1"/>
  </w:num>
  <w:num w:numId="4" w16cid:durableId="1062949191">
    <w:abstractNumId w:val="0"/>
  </w:num>
  <w:num w:numId="5" w16cid:durableId="1314217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8F"/>
    <w:rsid w:val="000033ED"/>
    <w:rsid w:val="000104D3"/>
    <w:rsid w:val="00014C7A"/>
    <w:rsid w:val="00021921"/>
    <w:rsid w:val="00021D43"/>
    <w:rsid w:val="0002683B"/>
    <w:rsid w:val="00026E82"/>
    <w:rsid w:val="0003034E"/>
    <w:rsid w:val="00032DF0"/>
    <w:rsid w:val="00034489"/>
    <w:rsid w:val="00043426"/>
    <w:rsid w:val="00043AEF"/>
    <w:rsid w:val="000461C3"/>
    <w:rsid w:val="00046BFC"/>
    <w:rsid w:val="00046D34"/>
    <w:rsid w:val="000521F1"/>
    <w:rsid w:val="00055EA0"/>
    <w:rsid w:val="0005644D"/>
    <w:rsid w:val="00056491"/>
    <w:rsid w:val="000601BE"/>
    <w:rsid w:val="00060611"/>
    <w:rsid w:val="00061FF2"/>
    <w:rsid w:val="00063E67"/>
    <w:rsid w:val="00065FA7"/>
    <w:rsid w:val="0007174B"/>
    <w:rsid w:val="00072CEE"/>
    <w:rsid w:val="0007320D"/>
    <w:rsid w:val="000737D5"/>
    <w:rsid w:val="00073C3A"/>
    <w:rsid w:val="00076DA6"/>
    <w:rsid w:val="00080BCE"/>
    <w:rsid w:val="00084D55"/>
    <w:rsid w:val="0008708C"/>
    <w:rsid w:val="00095D00"/>
    <w:rsid w:val="000A05D2"/>
    <w:rsid w:val="000A2B25"/>
    <w:rsid w:val="000A3E7B"/>
    <w:rsid w:val="000A5896"/>
    <w:rsid w:val="000A6707"/>
    <w:rsid w:val="000B291A"/>
    <w:rsid w:val="000B560F"/>
    <w:rsid w:val="000C24D4"/>
    <w:rsid w:val="000C3166"/>
    <w:rsid w:val="000C71A0"/>
    <w:rsid w:val="000D108F"/>
    <w:rsid w:val="000D2A85"/>
    <w:rsid w:val="000D36AC"/>
    <w:rsid w:val="000D4100"/>
    <w:rsid w:val="000D5179"/>
    <w:rsid w:val="000D5F60"/>
    <w:rsid w:val="000D7B4A"/>
    <w:rsid w:val="000F2919"/>
    <w:rsid w:val="000F3BD0"/>
    <w:rsid w:val="000F5CC7"/>
    <w:rsid w:val="00107145"/>
    <w:rsid w:val="0011320F"/>
    <w:rsid w:val="0011357B"/>
    <w:rsid w:val="00113F85"/>
    <w:rsid w:val="0011610E"/>
    <w:rsid w:val="00120041"/>
    <w:rsid w:val="001207C5"/>
    <w:rsid w:val="0013149D"/>
    <w:rsid w:val="001320F5"/>
    <w:rsid w:val="00136029"/>
    <w:rsid w:val="00140A3F"/>
    <w:rsid w:val="00140ACC"/>
    <w:rsid w:val="00141E4F"/>
    <w:rsid w:val="00142F6B"/>
    <w:rsid w:val="00143AF2"/>
    <w:rsid w:val="00143CC0"/>
    <w:rsid w:val="00146417"/>
    <w:rsid w:val="00147690"/>
    <w:rsid w:val="001478B7"/>
    <w:rsid w:val="001518E5"/>
    <w:rsid w:val="0015294F"/>
    <w:rsid w:val="0015360C"/>
    <w:rsid w:val="00153C30"/>
    <w:rsid w:val="00157BF0"/>
    <w:rsid w:val="00161A55"/>
    <w:rsid w:val="00162112"/>
    <w:rsid w:val="00162A47"/>
    <w:rsid w:val="00163AA7"/>
    <w:rsid w:val="00164414"/>
    <w:rsid w:val="001709F0"/>
    <w:rsid w:val="00171A0F"/>
    <w:rsid w:val="00171D24"/>
    <w:rsid w:val="0018063B"/>
    <w:rsid w:val="00181477"/>
    <w:rsid w:val="00181E87"/>
    <w:rsid w:val="00182D10"/>
    <w:rsid w:val="00187ADC"/>
    <w:rsid w:val="00190103"/>
    <w:rsid w:val="00194322"/>
    <w:rsid w:val="0019441F"/>
    <w:rsid w:val="00195D9B"/>
    <w:rsid w:val="001A00AC"/>
    <w:rsid w:val="001B4803"/>
    <w:rsid w:val="001B58FC"/>
    <w:rsid w:val="001C10A5"/>
    <w:rsid w:val="001C2784"/>
    <w:rsid w:val="001C2E4F"/>
    <w:rsid w:val="001C34A9"/>
    <w:rsid w:val="001D1DAB"/>
    <w:rsid w:val="001D40BB"/>
    <w:rsid w:val="001E161E"/>
    <w:rsid w:val="001E51A9"/>
    <w:rsid w:val="001E55D6"/>
    <w:rsid w:val="001E5CBD"/>
    <w:rsid w:val="001E6CF2"/>
    <w:rsid w:val="001E7279"/>
    <w:rsid w:val="001F1758"/>
    <w:rsid w:val="001F2A22"/>
    <w:rsid w:val="001F4618"/>
    <w:rsid w:val="001F4F57"/>
    <w:rsid w:val="001F519B"/>
    <w:rsid w:val="001F53CD"/>
    <w:rsid w:val="001F5E04"/>
    <w:rsid w:val="001F6692"/>
    <w:rsid w:val="002006D4"/>
    <w:rsid w:val="00201348"/>
    <w:rsid w:val="0020344E"/>
    <w:rsid w:val="00207897"/>
    <w:rsid w:val="00210819"/>
    <w:rsid w:val="00216C03"/>
    <w:rsid w:val="00217ED1"/>
    <w:rsid w:val="002220B1"/>
    <w:rsid w:val="002235D9"/>
    <w:rsid w:val="00224535"/>
    <w:rsid w:val="00225962"/>
    <w:rsid w:val="00226215"/>
    <w:rsid w:val="0023142D"/>
    <w:rsid w:val="002335DD"/>
    <w:rsid w:val="002371EF"/>
    <w:rsid w:val="00240CFC"/>
    <w:rsid w:val="002423D0"/>
    <w:rsid w:val="00244256"/>
    <w:rsid w:val="00245C41"/>
    <w:rsid w:val="00253E2F"/>
    <w:rsid w:val="002548CC"/>
    <w:rsid w:val="00254B91"/>
    <w:rsid w:val="00255BB1"/>
    <w:rsid w:val="00256198"/>
    <w:rsid w:val="0026121B"/>
    <w:rsid w:val="00264F9E"/>
    <w:rsid w:val="002677BD"/>
    <w:rsid w:val="00270EC6"/>
    <w:rsid w:val="00271FAC"/>
    <w:rsid w:val="00273AE7"/>
    <w:rsid w:val="00282CD2"/>
    <w:rsid w:val="00286B57"/>
    <w:rsid w:val="00287210"/>
    <w:rsid w:val="00290443"/>
    <w:rsid w:val="00294040"/>
    <w:rsid w:val="002944F4"/>
    <w:rsid w:val="00294BE1"/>
    <w:rsid w:val="002A1C1C"/>
    <w:rsid w:val="002A5340"/>
    <w:rsid w:val="002B0319"/>
    <w:rsid w:val="002B37E7"/>
    <w:rsid w:val="002B4CB6"/>
    <w:rsid w:val="002C2667"/>
    <w:rsid w:val="002C2C69"/>
    <w:rsid w:val="002C41BE"/>
    <w:rsid w:val="002C49F3"/>
    <w:rsid w:val="002C6FE7"/>
    <w:rsid w:val="002C75B1"/>
    <w:rsid w:val="002D180C"/>
    <w:rsid w:val="002D7214"/>
    <w:rsid w:val="002E0981"/>
    <w:rsid w:val="002E1060"/>
    <w:rsid w:val="002E30D2"/>
    <w:rsid w:val="002E3BDD"/>
    <w:rsid w:val="002F0C1B"/>
    <w:rsid w:val="002F0FAD"/>
    <w:rsid w:val="002F16A6"/>
    <w:rsid w:val="002F3F19"/>
    <w:rsid w:val="002F4BA4"/>
    <w:rsid w:val="002F6047"/>
    <w:rsid w:val="00302D8A"/>
    <w:rsid w:val="0030560C"/>
    <w:rsid w:val="003061A1"/>
    <w:rsid w:val="00307A01"/>
    <w:rsid w:val="0031054A"/>
    <w:rsid w:val="003131DE"/>
    <w:rsid w:val="00313B94"/>
    <w:rsid w:val="00315499"/>
    <w:rsid w:val="003171AD"/>
    <w:rsid w:val="00317DB5"/>
    <w:rsid w:val="00321408"/>
    <w:rsid w:val="00325C96"/>
    <w:rsid w:val="003263C2"/>
    <w:rsid w:val="0032782C"/>
    <w:rsid w:val="00330CD5"/>
    <w:rsid w:val="00331753"/>
    <w:rsid w:val="003322CF"/>
    <w:rsid w:val="003323AE"/>
    <w:rsid w:val="00332E59"/>
    <w:rsid w:val="00332F0B"/>
    <w:rsid w:val="00335E33"/>
    <w:rsid w:val="00337D87"/>
    <w:rsid w:val="00342A5A"/>
    <w:rsid w:val="003435FF"/>
    <w:rsid w:val="0034597A"/>
    <w:rsid w:val="00346DC9"/>
    <w:rsid w:val="00347AB0"/>
    <w:rsid w:val="00350D5A"/>
    <w:rsid w:val="0035132D"/>
    <w:rsid w:val="00352C6F"/>
    <w:rsid w:val="00355F20"/>
    <w:rsid w:val="00360217"/>
    <w:rsid w:val="00364B40"/>
    <w:rsid w:val="0036569F"/>
    <w:rsid w:val="003663F2"/>
    <w:rsid w:val="00366A58"/>
    <w:rsid w:val="00372A2F"/>
    <w:rsid w:val="00374E7F"/>
    <w:rsid w:val="003769AF"/>
    <w:rsid w:val="00380790"/>
    <w:rsid w:val="0038216D"/>
    <w:rsid w:val="00387627"/>
    <w:rsid w:val="00387CE9"/>
    <w:rsid w:val="00390963"/>
    <w:rsid w:val="0039336E"/>
    <w:rsid w:val="00394213"/>
    <w:rsid w:val="00394F89"/>
    <w:rsid w:val="00394F9B"/>
    <w:rsid w:val="00396354"/>
    <w:rsid w:val="003B3B8B"/>
    <w:rsid w:val="003B5192"/>
    <w:rsid w:val="003B5516"/>
    <w:rsid w:val="003C1A1C"/>
    <w:rsid w:val="003C1AC9"/>
    <w:rsid w:val="003C2C7D"/>
    <w:rsid w:val="003C3F29"/>
    <w:rsid w:val="003D0B71"/>
    <w:rsid w:val="003D1786"/>
    <w:rsid w:val="003D32FF"/>
    <w:rsid w:val="003D6BC0"/>
    <w:rsid w:val="003E0007"/>
    <w:rsid w:val="003E0F02"/>
    <w:rsid w:val="003E1F5E"/>
    <w:rsid w:val="003E31E8"/>
    <w:rsid w:val="003E33B4"/>
    <w:rsid w:val="003E4876"/>
    <w:rsid w:val="003E65FC"/>
    <w:rsid w:val="003F1237"/>
    <w:rsid w:val="003F4134"/>
    <w:rsid w:val="003F6214"/>
    <w:rsid w:val="00401278"/>
    <w:rsid w:val="00407693"/>
    <w:rsid w:val="0041028D"/>
    <w:rsid w:val="00410911"/>
    <w:rsid w:val="00411619"/>
    <w:rsid w:val="00431341"/>
    <w:rsid w:val="0043235F"/>
    <w:rsid w:val="00435A2B"/>
    <w:rsid w:val="0044144D"/>
    <w:rsid w:val="00450A28"/>
    <w:rsid w:val="00452757"/>
    <w:rsid w:val="00453DE7"/>
    <w:rsid w:val="00461A22"/>
    <w:rsid w:val="00463BD6"/>
    <w:rsid w:val="00465420"/>
    <w:rsid w:val="0046785A"/>
    <w:rsid w:val="004701BB"/>
    <w:rsid w:val="00475652"/>
    <w:rsid w:val="00476456"/>
    <w:rsid w:val="00476D27"/>
    <w:rsid w:val="004775E1"/>
    <w:rsid w:val="004777A2"/>
    <w:rsid w:val="00477899"/>
    <w:rsid w:val="0048251D"/>
    <w:rsid w:val="00483445"/>
    <w:rsid w:val="00485B36"/>
    <w:rsid w:val="0048648E"/>
    <w:rsid w:val="004866C6"/>
    <w:rsid w:val="00487112"/>
    <w:rsid w:val="0048738A"/>
    <w:rsid w:val="00490B9F"/>
    <w:rsid w:val="004912A9"/>
    <w:rsid w:val="004912AA"/>
    <w:rsid w:val="00492B3F"/>
    <w:rsid w:val="00496096"/>
    <w:rsid w:val="00496D41"/>
    <w:rsid w:val="004A3109"/>
    <w:rsid w:val="004A375C"/>
    <w:rsid w:val="004A7E8B"/>
    <w:rsid w:val="004B11B3"/>
    <w:rsid w:val="004B3B26"/>
    <w:rsid w:val="004B4F05"/>
    <w:rsid w:val="004B4F46"/>
    <w:rsid w:val="004C2FF5"/>
    <w:rsid w:val="004C43D4"/>
    <w:rsid w:val="004D1860"/>
    <w:rsid w:val="004D4CC0"/>
    <w:rsid w:val="004D6940"/>
    <w:rsid w:val="004E0535"/>
    <w:rsid w:val="004E1833"/>
    <w:rsid w:val="004E2D6B"/>
    <w:rsid w:val="004E4E83"/>
    <w:rsid w:val="004E579A"/>
    <w:rsid w:val="004F0AA2"/>
    <w:rsid w:val="004F121A"/>
    <w:rsid w:val="004F4660"/>
    <w:rsid w:val="004F4AF9"/>
    <w:rsid w:val="004F5F1E"/>
    <w:rsid w:val="00501DC4"/>
    <w:rsid w:val="00504B26"/>
    <w:rsid w:val="00504C48"/>
    <w:rsid w:val="00505485"/>
    <w:rsid w:val="00507268"/>
    <w:rsid w:val="00513351"/>
    <w:rsid w:val="005210C5"/>
    <w:rsid w:val="005219EE"/>
    <w:rsid w:val="00522C6C"/>
    <w:rsid w:val="00524B31"/>
    <w:rsid w:val="00525608"/>
    <w:rsid w:val="0052573E"/>
    <w:rsid w:val="005344E8"/>
    <w:rsid w:val="005357D8"/>
    <w:rsid w:val="00535CC2"/>
    <w:rsid w:val="00536C06"/>
    <w:rsid w:val="0054441D"/>
    <w:rsid w:val="0054606A"/>
    <w:rsid w:val="00546559"/>
    <w:rsid w:val="0054753B"/>
    <w:rsid w:val="00551985"/>
    <w:rsid w:val="00553401"/>
    <w:rsid w:val="0055462C"/>
    <w:rsid w:val="00556F82"/>
    <w:rsid w:val="0055748D"/>
    <w:rsid w:val="00560524"/>
    <w:rsid w:val="005613BA"/>
    <w:rsid w:val="0056314D"/>
    <w:rsid w:val="0057309A"/>
    <w:rsid w:val="005852B4"/>
    <w:rsid w:val="005856A8"/>
    <w:rsid w:val="0058708B"/>
    <w:rsid w:val="00594461"/>
    <w:rsid w:val="005957BE"/>
    <w:rsid w:val="005A4261"/>
    <w:rsid w:val="005A4E26"/>
    <w:rsid w:val="005A5025"/>
    <w:rsid w:val="005B5402"/>
    <w:rsid w:val="005B618E"/>
    <w:rsid w:val="005D0887"/>
    <w:rsid w:val="005D25C6"/>
    <w:rsid w:val="005D508D"/>
    <w:rsid w:val="005D6397"/>
    <w:rsid w:val="005E2B5C"/>
    <w:rsid w:val="005E4B98"/>
    <w:rsid w:val="005E70BE"/>
    <w:rsid w:val="005F2F05"/>
    <w:rsid w:val="005F3016"/>
    <w:rsid w:val="005F360D"/>
    <w:rsid w:val="005F4AF7"/>
    <w:rsid w:val="005F5E11"/>
    <w:rsid w:val="005F784A"/>
    <w:rsid w:val="0060109F"/>
    <w:rsid w:val="00601ABE"/>
    <w:rsid w:val="00602A2C"/>
    <w:rsid w:val="00605CCA"/>
    <w:rsid w:val="006109A1"/>
    <w:rsid w:val="0061128D"/>
    <w:rsid w:val="00612582"/>
    <w:rsid w:val="00612FD7"/>
    <w:rsid w:val="00615111"/>
    <w:rsid w:val="00621524"/>
    <w:rsid w:val="006216F3"/>
    <w:rsid w:val="00622EBF"/>
    <w:rsid w:val="00623398"/>
    <w:rsid w:val="00630B17"/>
    <w:rsid w:val="00630D22"/>
    <w:rsid w:val="00635523"/>
    <w:rsid w:val="00643039"/>
    <w:rsid w:val="006446D9"/>
    <w:rsid w:val="00645E53"/>
    <w:rsid w:val="00646170"/>
    <w:rsid w:val="00647D99"/>
    <w:rsid w:val="0065001C"/>
    <w:rsid w:val="00656E22"/>
    <w:rsid w:val="006616C0"/>
    <w:rsid w:val="0066386D"/>
    <w:rsid w:val="0066711D"/>
    <w:rsid w:val="00667BAA"/>
    <w:rsid w:val="00670274"/>
    <w:rsid w:val="00670C43"/>
    <w:rsid w:val="00673948"/>
    <w:rsid w:val="00674E67"/>
    <w:rsid w:val="00680D74"/>
    <w:rsid w:val="00681085"/>
    <w:rsid w:val="00681773"/>
    <w:rsid w:val="00690E02"/>
    <w:rsid w:val="00692594"/>
    <w:rsid w:val="00692EE3"/>
    <w:rsid w:val="0069411C"/>
    <w:rsid w:val="006945A1"/>
    <w:rsid w:val="006945A5"/>
    <w:rsid w:val="00697A74"/>
    <w:rsid w:val="00697C61"/>
    <w:rsid w:val="006A5450"/>
    <w:rsid w:val="006A5FF1"/>
    <w:rsid w:val="006A78DC"/>
    <w:rsid w:val="006B0DAF"/>
    <w:rsid w:val="006B1298"/>
    <w:rsid w:val="006B587A"/>
    <w:rsid w:val="006B68EB"/>
    <w:rsid w:val="006B6D97"/>
    <w:rsid w:val="006B791F"/>
    <w:rsid w:val="006C0B24"/>
    <w:rsid w:val="006C1D11"/>
    <w:rsid w:val="006C37FA"/>
    <w:rsid w:val="006D2F18"/>
    <w:rsid w:val="006D5943"/>
    <w:rsid w:val="006D6B9A"/>
    <w:rsid w:val="006E10F9"/>
    <w:rsid w:val="006E3E1E"/>
    <w:rsid w:val="006E53C7"/>
    <w:rsid w:val="006E787F"/>
    <w:rsid w:val="006F1251"/>
    <w:rsid w:val="006F1AE7"/>
    <w:rsid w:val="006F3A1B"/>
    <w:rsid w:val="006F4FDE"/>
    <w:rsid w:val="006F5BA0"/>
    <w:rsid w:val="006F5C93"/>
    <w:rsid w:val="00701255"/>
    <w:rsid w:val="007054F2"/>
    <w:rsid w:val="00706C8B"/>
    <w:rsid w:val="0071034D"/>
    <w:rsid w:val="00722B0E"/>
    <w:rsid w:val="00722FD6"/>
    <w:rsid w:val="00731089"/>
    <w:rsid w:val="0073611F"/>
    <w:rsid w:val="00736785"/>
    <w:rsid w:val="00746C25"/>
    <w:rsid w:val="00747A86"/>
    <w:rsid w:val="00750046"/>
    <w:rsid w:val="00753E87"/>
    <w:rsid w:val="00770EA3"/>
    <w:rsid w:val="00771F1A"/>
    <w:rsid w:val="00774710"/>
    <w:rsid w:val="00775B0E"/>
    <w:rsid w:val="007767D0"/>
    <w:rsid w:val="00776C3A"/>
    <w:rsid w:val="007866BC"/>
    <w:rsid w:val="00786AE3"/>
    <w:rsid w:val="00786EA9"/>
    <w:rsid w:val="00793B38"/>
    <w:rsid w:val="007976B6"/>
    <w:rsid w:val="007A1F94"/>
    <w:rsid w:val="007A410C"/>
    <w:rsid w:val="007A4EE8"/>
    <w:rsid w:val="007A6050"/>
    <w:rsid w:val="007A79AE"/>
    <w:rsid w:val="007B200D"/>
    <w:rsid w:val="007B26D5"/>
    <w:rsid w:val="007B624A"/>
    <w:rsid w:val="007B630D"/>
    <w:rsid w:val="007C023E"/>
    <w:rsid w:val="007C0A91"/>
    <w:rsid w:val="007C0C29"/>
    <w:rsid w:val="007C78FC"/>
    <w:rsid w:val="007D13BE"/>
    <w:rsid w:val="007D1DAB"/>
    <w:rsid w:val="007D2F33"/>
    <w:rsid w:val="007D6FB3"/>
    <w:rsid w:val="007D728B"/>
    <w:rsid w:val="007E104D"/>
    <w:rsid w:val="007E2E46"/>
    <w:rsid w:val="007E3045"/>
    <w:rsid w:val="007E465C"/>
    <w:rsid w:val="007E5E07"/>
    <w:rsid w:val="007F0C90"/>
    <w:rsid w:val="007F51C6"/>
    <w:rsid w:val="007F7CA3"/>
    <w:rsid w:val="0080005C"/>
    <w:rsid w:val="00802856"/>
    <w:rsid w:val="0080531D"/>
    <w:rsid w:val="00806428"/>
    <w:rsid w:val="00810342"/>
    <w:rsid w:val="008108AA"/>
    <w:rsid w:val="00814CD9"/>
    <w:rsid w:val="00817031"/>
    <w:rsid w:val="00817810"/>
    <w:rsid w:val="0082701D"/>
    <w:rsid w:val="00827903"/>
    <w:rsid w:val="0083259F"/>
    <w:rsid w:val="00833801"/>
    <w:rsid w:val="00833AEE"/>
    <w:rsid w:val="00837294"/>
    <w:rsid w:val="008374EE"/>
    <w:rsid w:val="008413FA"/>
    <w:rsid w:val="0084559F"/>
    <w:rsid w:val="00845A28"/>
    <w:rsid w:val="00855087"/>
    <w:rsid w:val="008550C4"/>
    <w:rsid w:val="00855653"/>
    <w:rsid w:val="00856912"/>
    <w:rsid w:val="00861E03"/>
    <w:rsid w:val="0086234F"/>
    <w:rsid w:val="00862F7F"/>
    <w:rsid w:val="00870B9A"/>
    <w:rsid w:val="008720BC"/>
    <w:rsid w:val="00876375"/>
    <w:rsid w:val="00881BB7"/>
    <w:rsid w:val="0088212B"/>
    <w:rsid w:val="008875B5"/>
    <w:rsid w:val="00897067"/>
    <w:rsid w:val="008A2E7A"/>
    <w:rsid w:val="008A3776"/>
    <w:rsid w:val="008B21DC"/>
    <w:rsid w:val="008B303B"/>
    <w:rsid w:val="008B412A"/>
    <w:rsid w:val="008B5FC2"/>
    <w:rsid w:val="008B606A"/>
    <w:rsid w:val="008C6CE3"/>
    <w:rsid w:val="008D4C20"/>
    <w:rsid w:val="008D6994"/>
    <w:rsid w:val="008E4991"/>
    <w:rsid w:val="008E5A2F"/>
    <w:rsid w:val="008E6EF2"/>
    <w:rsid w:val="008F0EAB"/>
    <w:rsid w:val="008F22AA"/>
    <w:rsid w:val="008F2411"/>
    <w:rsid w:val="008F58E5"/>
    <w:rsid w:val="008F6134"/>
    <w:rsid w:val="00900224"/>
    <w:rsid w:val="009033C4"/>
    <w:rsid w:val="00904A5D"/>
    <w:rsid w:val="0090617C"/>
    <w:rsid w:val="0091076F"/>
    <w:rsid w:val="00914F53"/>
    <w:rsid w:val="00927CF5"/>
    <w:rsid w:val="0093110D"/>
    <w:rsid w:val="0093420C"/>
    <w:rsid w:val="009364E7"/>
    <w:rsid w:val="009447C9"/>
    <w:rsid w:val="009508D8"/>
    <w:rsid w:val="009511CF"/>
    <w:rsid w:val="009554C3"/>
    <w:rsid w:val="00957F58"/>
    <w:rsid w:val="0096054A"/>
    <w:rsid w:val="0096431D"/>
    <w:rsid w:val="00970F27"/>
    <w:rsid w:val="00972A18"/>
    <w:rsid w:val="00974D08"/>
    <w:rsid w:val="00975B16"/>
    <w:rsid w:val="00977571"/>
    <w:rsid w:val="00977A6E"/>
    <w:rsid w:val="00981011"/>
    <w:rsid w:val="00981049"/>
    <w:rsid w:val="0099334B"/>
    <w:rsid w:val="009948F7"/>
    <w:rsid w:val="00994C4D"/>
    <w:rsid w:val="00997406"/>
    <w:rsid w:val="00997DF5"/>
    <w:rsid w:val="009B3442"/>
    <w:rsid w:val="009C0079"/>
    <w:rsid w:val="009C009F"/>
    <w:rsid w:val="009C4D50"/>
    <w:rsid w:val="009C5336"/>
    <w:rsid w:val="009C71EC"/>
    <w:rsid w:val="009D2BFF"/>
    <w:rsid w:val="009E0E3F"/>
    <w:rsid w:val="009E15BE"/>
    <w:rsid w:val="009E270B"/>
    <w:rsid w:val="009E27C0"/>
    <w:rsid w:val="009E331F"/>
    <w:rsid w:val="009E35F6"/>
    <w:rsid w:val="009E3FB7"/>
    <w:rsid w:val="009E4764"/>
    <w:rsid w:val="009F0494"/>
    <w:rsid w:val="009F22B4"/>
    <w:rsid w:val="009F3D97"/>
    <w:rsid w:val="009F60A9"/>
    <w:rsid w:val="00A02431"/>
    <w:rsid w:val="00A0695C"/>
    <w:rsid w:val="00A11E4E"/>
    <w:rsid w:val="00A12E9E"/>
    <w:rsid w:val="00A13330"/>
    <w:rsid w:val="00A14C04"/>
    <w:rsid w:val="00A16485"/>
    <w:rsid w:val="00A16E1F"/>
    <w:rsid w:val="00A17E1F"/>
    <w:rsid w:val="00A23AD1"/>
    <w:rsid w:val="00A2418A"/>
    <w:rsid w:val="00A353A6"/>
    <w:rsid w:val="00A5166D"/>
    <w:rsid w:val="00A516B5"/>
    <w:rsid w:val="00A523CA"/>
    <w:rsid w:val="00A5615E"/>
    <w:rsid w:val="00A65C32"/>
    <w:rsid w:val="00A705F4"/>
    <w:rsid w:val="00A733C4"/>
    <w:rsid w:val="00A8030D"/>
    <w:rsid w:val="00A8213C"/>
    <w:rsid w:val="00A829BD"/>
    <w:rsid w:val="00A84AA9"/>
    <w:rsid w:val="00A9145E"/>
    <w:rsid w:val="00A93C92"/>
    <w:rsid w:val="00AA20FC"/>
    <w:rsid w:val="00AA449A"/>
    <w:rsid w:val="00AA6275"/>
    <w:rsid w:val="00AB074A"/>
    <w:rsid w:val="00AB3FD1"/>
    <w:rsid w:val="00AB58DB"/>
    <w:rsid w:val="00AB5DDA"/>
    <w:rsid w:val="00AB633D"/>
    <w:rsid w:val="00AC01E2"/>
    <w:rsid w:val="00AC03C8"/>
    <w:rsid w:val="00AC03E5"/>
    <w:rsid w:val="00AC06DE"/>
    <w:rsid w:val="00AC077A"/>
    <w:rsid w:val="00AC2337"/>
    <w:rsid w:val="00AD4BCE"/>
    <w:rsid w:val="00AD6000"/>
    <w:rsid w:val="00AE0B64"/>
    <w:rsid w:val="00AE402E"/>
    <w:rsid w:val="00AE4B05"/>
    <w:rsid w:val="00AF542F"/>
    <w:rsid w:val="00B023BC"/>
    <w:rsid w:val="00B040A0"/>
    <w:rsid w:val="00B0570C"/>
    <w:rsid w:val="00B07478"/>
    <w:rsid w:val="00B141CE"/>
    <w:rsid w:val="00B16922"/>
    <w:rsid w:val="00B17688"/>
    <w:rsid w:val="00B1784F"/>
    <w:rsid w:val="00B20072"/>
    <w:rsid w:val="00B22673"/>
    <w:rsid w:val="00B24CD0"/>
    <w:rsid w:val="00B2720C"/>
    <w:rsid w:val="00B27F29"/>
    <w:rsid w:val="00B314B4"/>
    <w:rsid w:val="00B31A85"/>
    <w:rsid w:val="00B324F7"/>
    <w:rsid w:val="00B34CE8"/>
    <w:rsid w:val="00B351E1"/>
    <w:rsid w:val="00B41A46"/>
    <w:rsid w:val="00B4253F"/>
    <w:rsid w:val="00B42DCA"/>
    <w:rsid w:val="00B42F76"/>
    <w:rsid w:val="00B458A6"/>
    <w:rsid w:val="00B466C1"/>
    <w:rsid w:val="00B47141"/>
    <w:rsid w:val="00B501E1"/>
    <w:rsid w:val="00B5033F"/>
    <w:rsid w:val="00B51622"/>
    <w:rsid w:val="00B517A2"/>
    <w:rsid w:val="00B53DA3"/>
    <w:rsid w:val="00B53E97"/>
    <w:rsid w:val="00B570D8"/>
    <w:rsid w:val="00B571A2"/>
    <w:rsid w:val="00B60FCA"/>
    <w:rsid w:val="00B637D3"/>
    <w:rsid w:val="00B66AF4"/>
    <w:rsid w:val="00B76EC4"/>
    <w:rsid w:val="00B7764D"/>
    <w:rsid w:val="00B778C1"/>
    <w:rsid w:val="00B77994"/>
    <w:rsid w:val="00B80767"/>
    <w:rsid w:val="00B80F16"/>
    <w:rsid w:val="00B81EF4"/>
    <w:rsid w:val="00B8672F"/>
    <w:rsid w:val="00B86AEB"/>
    <w:rsid w:val="00B87644"/>
    <w:rsid w:val="00B87AAC"/>
    <w:rsid w:val="00B97B7B"/>
    <w:rsid w:val="00BA03DD"/>
    <w:rsid w:val="00BA2CB5"/>
    <w:rsid w:val="00BA5747"/>
    <w:rsid w:val="00BB40E1"/>
    <w:rsid w:val="00BB6FE6"/>
    <w:rsid w:val="00BC43DE"/>
    <w:rsid w:val="00BD0887"/>
    <w:rsid w:val="00BD0F4C"/>
    <w:rsid w:val="00BD1B64"/>
    <w:rsid w:val="00BD57AC"/>
    <w:rsid w:val="00BD57B0"/>
    <w:rsid w:val="00BD6F93"/>
    <w:rsid w:val="00BE0E49"/>
    <w:rsid w:val="00BE2A44"/>
    <w:rsid w:val="00BE545D"/>
    <w:rsid w:val="00BE6EC3"/>
    <w:rsid w:val="00BE7488"/>
    <w:rsid w:val="00BF05F0"/>
    <w:rsid w:val="00BF0BCA"/>
    <w:rsid w:val="00BF2274"/>
    <w:rsid w:val="00BF3828"/>
    <w:rsid w:val="00C008E6"/>
    <w:rsid w:val="00C02836"/>
    <w:rsid w:val="00C06B4B"/>
    <w:rsid w:val="00C12B5B"/>
    <w:rsid w:val="00C13586"/>
    <w:rsid w:val="00C137E5"/>
    <w:rsid w:val="00C17704"/>
    <w:rsid w:val="00C17D4D"/>
    <w:rsid w:val="00C21A3D"/>
    <w:rsid w:val="00C360EC"/>
    <w:rsid w:val="00C4021D"/>
    <w:rsid w:val="00C40FC7"/>
    <w:rsid w:val="00C501BD"/>
    <w:rsid w:val="00C545A8"/>
    <w:rsid w:val="00C64AAB"/>
    <w:rsid w:val="00C64CC8"/>
    <w:rsid w:val="00C65972"/>
    <w:rsid w:val="00C71C39"/>
    <w:rsid w:val="00C72B2F"/>
    <w:rsid w:val="00C73CA5"/>
    <w:rsid w:val="00C73F3D"/>
    <w:rsid w:val="00C76D08"/>
    <w:rsid w:val="00C832A2"/>
    <w:rsid w:val="00C8537C"/>
    <w:rsid w:val="00C865F0"/>
    <w:rsid w:val="00C94896"/>
    <w:rsid w:val="00C9730E"/>
    <w:rsid w:val="00CA2962"/>
    <w:rsid w:val="00CA5E55"/>
    <w:rsid w:val="00CA6089"/>
    <w:rsid w:val="00CB33E1"/>
    <w:rsid w:val="00CB3D77"/>
    <w:rsid w:val="00CB3F5E"/>
    <w:rsid w:val="00CB69E9"/>
    <w:rsid w:val="00CB7967"/>
    <w:rsid w:val="00CC0293"/>
    <w:rsid w:val="00CC192A"/>
    <w:rsid w:val="00CC1A22"/>
    <w:rsid w:val="00CC1E73"/>
    <w:rsid w:val="00CC3358"/>
    <w:rsid w:val="00CC3C0A"/>
    <w:rsid w:val="00CC629D"/>
    <w:rsid w:val="00CC7319"/>
    <w:rsid w:val="00CD1AF9"/>
    <w:rsid w:val="00CD4F7C"/>
    <w:rsid w:val="00CD64D7"/>
    <w:rsid w:val="00CD7EF7"/>
    <w:rsid w:val="00CE27F9"/>
    <w:rsid w:val="00CE3F86"/>
    <w:rsid w:val="00CF11FD"/>
    <w:rsid w:val="00CF2CD0"/>
    <w:rsid w:val="00CF4BDB"/>
    <w:rsid w:val="00CF700C"/>
    <w:rsid w:val="00D03648"/>
    <w:rsid w:val="00D04A76"/>
    <w:rsid w:val="00D06E83"/>
    <w:rsid w:val="00D075F0"/>
    <w:rsid w:val="00D07B7C"/>
    <w:rsid w:val="00D179B4"/>
    <w:rsid w:val="00D2095D"/>
    <w:rsid w:val="00D217DF"/>
    <w:rsid w:val="00D22E87"/>
    <w:rsid w:val="00D236D8"/>
    <w:rsid w:val="00D314C2"/>
    <w:rsid w:val="00D328BB"/>
    <w:rsid w:val="00D37C16"/>
    <w:rsid w:val="00D40800"/>
    <w:rsid w:val="00D40BFF"/>
    <w:rsid w:val="00D41599"/>
    <w:rsid w:val="00D46F1A"/>
    <w:rsid w:val="00D47A88"/>
    <w:rsid w:val="00D50EFE"/>
    <w:rsid w:val="00D51767"/>
    <w:rsid w:val="00D53ED4"/>
    <w:rsid w:val="00D54282"/>
    <w:rsid w:val="00D546CE"/>
    <w:rsid w:val="00D558B7"/>
    <w:rsid w:val="00D60FA2"/>
    <w:rsid w:val="00D6694F"/>
    <w:rsid w:val="00D7316C"/>
    <w:rsid w:val="00D735EF"/>
    <w:rsid w:val="00D845AC"/>
    <w:rsid w:val="00D87B99"/>
    <w:rsid w:val="00D87E8B"/>
    <w:rsid w:val="00D954DD"/>
    <w:rsid w:val="00D958B3"/>
    <w:rsid w:val="00D9653D"/>
    <w:rsid w:val="00DA5CCB"/>
    <w:rsid w:val="00DB6B79"/>
    <w:rsid w:val="00DC2434"/>
    <w:rsid w:val="00DC4763"/>
    <w:rsid w:val="00DC75B8"/>
    <w:rsid w:val="00DC7EEA"/>
    <w:rsid w:val="00DD03A1"/>
    <w:rsid w:val="00DD0A4E"/>
    <w:rsid w:val="00DD3E76"/>
    <w:rsid w:val="00DD40E0"/>
    <w:rsid w:val="00DD43D5"/>
    <w:rsid w:val="00DD7543"/>
    <w:rsid w:val="00DE086A"/>
    <w:rsid w:val="00DE1DE0"/>
    <w:rsid w:val="00DE2733"/>
    <w:rsid w:val="00DE3917"/>
    <w:rsid w:val="00DE4BD5"/>
    <w:rsid w:val="00DE6E15"/>
    <w:rsid w:val="00DF0AD7"/>
    <w:rsid w:val="00DF0D79"/>
    <w:rsid w:val="00DF135A"/>
    <w:rsid w:val="00DF3562"/>
    <w:rsid w:val="00DF4131"/>
    <w:rsid w:val="00DF759E"/>
    <w:rsid w:val="00DF79FB"/>
    <w:rsid w:val="00E01397"/>
    <w:rsid w:val="00E0177B"/>
    <w:rsid w:val="00E0226A"/>
    <w:rsid w:val="00E03895"/>
    <w:rsid w:val="00E0784F"/>
    <w:rsid w:val="00E11709"/>
    <w:rsid w:val="00E17925"/>
    <w:rsid w:val="00E248ED"/>
    <w:rsid w:val="00E24AB4"/>
    <w:rsid w:val="00E262C4"/>
    <w:rsid w:val="00E32141"/>
    <w:rsid w:val="00E34DF1"/>
    <w:rsid w:val="00E35744"/>
    <w:rsid w:val="00E44603"/>
    <w:rsid w:val="00E4526D"/>
    <w:rsid w:val="00E50B58"/>
    <w:rsid w:val="00E54190"/>
    <w:rsid w:val="00E57DB9"/>
    <w:rsid w:val="00E61F55"/>
    <w:rsid w:val="00E65E0E"/>
    <w:rsid w:val="00E81EC0"/>
    <w:rsid w:val="00E873A0"/>
    <w:rsid w:val="00E901E2"/>
    <w:rsid w:val="00E96DFD"/>
    <w:rsid w:val="00E9748B"/>
    <w:rsid w:val="00EA55F9"/>
    <w:rsid w:val="00EA681B"/>
    <w:rsid w:val="00EB19C2"/>
    <w:rsid w:val="00EB5684"/>
    <w:rsid w:val="00EB6B4E"/>
    <w:rsid w:val="00EB753C"/>
    <w:rsid w:val="00EC05EB"/>
    <w:rsid w:val="00EC0711"/>
    <w:rsid w:val="00EC17EB"/>
    <w:rsid w:val="00ED57F5"/>
    <w:rsid w:val="00ED7080"/>
    <w:rsid w:val="00EE2AFC"/>
    <w:rsid w:val="00EF163F"/>
    <w:rsid w:val="00EF284A"/>
    <w:rsid w:val="00EF6C89"/>
    <w:rsid w:val="00F0336A"/>
    <w:rsid w:val="00F14075"/>
    <w:rsid w:val="00F208F1"/>
    <w:rsid w:val="00F24BC1"/>
    <w:rsid w:val="00F24EE1"/>
    <w:rsid w:val="00F2607C"/>
    <w:rsid w:val="00F30986"/>
    <w:rsid w:val="00F32547"/>
    <w:rsid w:val="00F3330A"/>
    <w:rsid w:val="00F34BA4"/>
    <w:rsid w:val="00F37E1D"/>
    <w:rsid w:val="00F42C18"/>
    <w:rsid w:val="00F44948"/>
    <w:rsid w:val="00F47731"/>
    <w:rsid w:val="00F51269"/>
    <w:rsid w:val="00F55087"/>
    <w:rsid w:val="00F551EA"/>
    <w:rsid w:val="00F614F2"/>
    <w:rsid w:val="00F621CC"/>
    <w:rsid w:val="00F716C9"/>
    <w:rsid w:val="00F716D7"/>
    <w:rsid w:val="00F71B40"/>
    <w:rsid w:val="00F73363"/>
    <w:rsid w:val="00F74CE0"/>
    <w:rsid w:val="00F750FF"/>
    <w:rsid w:val="00F8165B"/>
    <w:rsid w:val="00F82C1B"/>
    <w:rsid w:val="00F83EF5"/>
    <w:rsid w:val="00F84466"/>
    <w:rsid w:val="00F85387"/>
    <w:rsid w:val="00F85B21"/>
    <w:rsid w:val="00F879DE"/>
    <w:rsid w:val="00F95726"/>
    <w:rsid w:val="00FA0547"/>
    <w:rsid w:val="00FA3B55"/>
    <w:rsid w:val="00FA4040"/>
    <w:rsid w:val="00FB24D1"/>
    <w:rsid w:val="00FB5DE6"/>
    <w:rsid w:val="00FB66D2"/>
    <w:rsid w:val="00FD25EA"/>
    <w:rsid w:val="00FE089E"/>
    <w:rsid w:val="00FE18DD"/>
    <w:rsid w:val="00FE352B"/>
    <w:rsid w:val="00FF1D13"/>
    <w:rsid w:val="00FF1EB0"/>
    <w:rsid w:val="00FF3FF5"/>
    <w:rsid w:val="00FF629C"/>
    <w:rsid w:val="00FF77D4"/>
    <w:rsid w:val="00FF77EC"/>
    <w:rsid w:val="01101C32"/>
    <w:rsid w:val="38177E28"/>
    <w:rsid w:val="54FCCB2F"/>
    <w:rsid w:val="68527D41"/>
    <w:rsid w:val="6F61DFA8"/>
    <w:rsid w:val="737BD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9B39"/>
  <w15:chartTrackingRefBased/>
  <w15:docId w15:val="{B24A53BD-463B-40D6-A40E-1E393348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08F"/>
    <w:pPr>
      <w:spacing w:line="360" w:lineRule="auto"/>
    </w:pPr>
    <w:rPr>
      <w:rFonts w:ascii="Arial" w:hAnsi="Arial"/>
      <w:color w:val="000000" w:themeColor="text1"/>
      <w:sz w:val="24"/>
    </w:rPr>
  </w:style>
  <w:style w:type="paragraph" w:styleId="Heading1">
    <w:name w:val="heading 1"/>
    <w:basedOn w:val="Normal"/>
    <w:next w:val="Normal"/>
    <w:link w:val="Heading1Char"/>
    <w:autoRedefine/>
    <w:uiPriority w:val="9"/>
    <w:qFormat/>
    <w:rsid w:val="00A12E9E"/>
    <w:pPr>
      <w:keepNext/>
      <w:keepLines/>
      <w:spacing w:before="3240" w:after="0" w:line="240" w:lineRule="auto"/>
      <w:outlineLvl w:val="0"/>
    </w:pPr>
    <w:rPr>
      <w:rFonts w:eastAsiaTheme="majorEastAsia" w:cs="Arial"/>
      <w:b/>
      <w:bCs/>
      <w:noProof/>
      <w:color w:val="FFFFFF" w:themeColor="background1"/>
      <w:sz w:val="72"/>
      <w:szCs w:val="40"/>
    </w:rPr>
  </w:style>
  <w:style w:type="paragraph" w:styleId="Heading3">
    <w:name w:val="heading 3"/>
    <w:basedOn w:val="Normal"/>
    <w:next w:val="Normal"/>
    <w:link w:val="Heading3Char"/>
    <w:autoRedefine/>
    <w:uiPriority w:val="9"/>
    <w:unhideWhenUsed/>
    <w:qFormat/>
    <w:rsid w:val="002E0981"/>
    <w:pPr>
      <w:spacing w:line="240" w:lineRule="auto"/>
      <w:outlineLvl w:val="2"/>
    </w:pPr>
    <w:rPr>
      <w:rFonts w:asciiTheme="minorHAnsi" w:hAnsiTheme="minorHAnsi"/>
      <w:b/>
      <w:bCs/>
      <w:color w:val="auto"/>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E9E"/>
    <w:rPr>
      <w:rFonts w:ascii="Arial" w:eastAsiaTheme="majorEastAsia" w:hAnsi="Arial" w:cs="Arial"/>
      <w:b/>
      <w:bCs/>
      <w:noProof/>
      <w:color w:val="FFFFFF" w:themeColor="background1"/>
      <w:sz w:val="72"/>
      <w:szCs w:val="40"/>
    </w:rPr>
  </w:style>
  <w:style w:type="table" w:styleId="TableGrid">
    <w:name w:val="Table Grid"/>
    <w:basedOn w:val="TableNormal"/>
    <w:uiPriority w:val="39"/>
    <w:rsid w:val="000D1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CD64D7"/>
    <w:pPr>
      <w:numPr>
        <w:numId w:val="5"/>
      </w:numPr>
      <w:contextualSpacing/>
    </w:pPr>
    <w:rPr>
      <w:rFonts w:cs="Arial"/>
      <w:szCs w:val="24"/>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CD64D7"/>
    <w:rPr>
      <w:rFonts w:ascii="Arial" w:hAnsi="Arial" w:cs="Arial"/>
      <w:color w:val="000000" w:themeColor="text1"/>
      <w:sz w:val="24"/>
      <w:szCs w:val="24"/>
    </w:rPr>
  </w:style>
  <w:style w:type="character" w:styleId="CommentReference">
    <w:name w:val="annotation reference"/>
    <w:basedOn w:val="DefaultParagraphFont"/>
    <w:uiPriority w:val="99"/>
    <w:semiHidden/>
    <w:unhideWhenUsed/>
    <w:rsid w:val="000D108F"/>
    <w:rPr>
      <w:sz w:val="16"/>
      <w:szCs w:val="16"/>
    </w:rPr>
  </w:style>
  <w:style w:type="paragraph" w:styleId="CommentText">
    <w:name w:val="annotation text"/>
    <w:basedOn w:val="Normal"/>
    <w:link w:val="CommentTextChar"/>
    <w:uiPriority w:val="99"/>
    <w:unhideWhenUsed/>
    <w:rsid w:val="000D108F"/>
    <w:pPr>
      <w:spacing w:line="240" w:lineRule="auto"/>
    </w:pPr>
    <w:rPr>
      <w:sz w:val="20"/>
      <w:szCs w:val="20"/>
    </w:rPr>
  </w:style>
  <w:style w:type="character" w:customStyle="1" w:styleId="CommentTextChar">
    <w:name w:val="Comment Text Char"/>
    <w:basedOn w:val="DefaultParagraphFont"/>
    <w:link w:val="CommentText"/>
    <w:uiPriority w:val="99"/>
    <w:rsid w:val="000D108F"/>
    <w:rPr>
      <w:rFonts w:ascii="Arial" w:hAnsi="Arial"/>
      <w:color w:val="000000" w:themeColor="text1"/>
      <w:sz w:val="20"/>
      <w:szCs w:val="20"/>
    </w:rPr>
  </w:style>
  <w:style w:type="paragraph" w:styleId="Header">
    <w:name w:val="header"/>
    <w:basedOn w:val="Normal"/>
    <w:link w:val="HeaderChar"/>
    <w:uiPriority w:val="99"/>
    <w:unhideWhenUsed/>
    <w:rsid w:val="000D1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08F"/>
    <w:rPr>
      <w:rFonts w:ascii="Arial" w:hAnsi="Arial"/>
      <w:color w:val="000000" w:themeColor="text1"/>
      <w:sz w:val="24"/>
    </w:rPr>
  </w:style>
  <w:style w:type="character" w:styleId="Hyperlink">
    <w:name w:val="Hyperlink"/>
    <w:basedOn w:val="DefaultParagraphFont"/>
    <w:uiPriority w:val="99"/>
    <w:unhideWhenUsed/>
    <w:rsid w:val="000D108F"/>
    <w:rPr>
      <w:color w:val="5C5B5A"/>
      <w:u w:val="single"/>
    </w:rPr>
  </w:style>
  <w:style w:type="paragraph" w:customStyle="1" w:styleId="PageNumber1">
    <w:name w:val="Page Number1"/>
    <w:basedOn w:val="Footer"/>
    <w:link w:val="PagenumberChar"/>
    <w:qFormat/>
    <w:rsid w:val="000D108F"/>
    <w:pPr>
      <w:spacing w:before="120"/>
      <w:jc w:val="right"/>
    </w:pPr>
    <w:rPr>
      <w:b/>
      <w:color w:val="2C5060" w:themeColor="accent1"/>
      <w:sz w:val="28"/>
    </w:rPr>
  </w:style>
  <w:style w:type="character" w:customStyle="1" w:styleId="PagenumberChar">
    <w:name w:val="Page number Char"/>
    <w:basedOn w:val="FooterChar"/>
    <w:link w:val="PageNumber1"/>
    <w:rsid w:val="000D108F"/>
    <w:rPr>
      <w:rFonts w:ascii="Arial" w:hAnsi="Arial"/>
      <w:b/>
      <w:color w:val="2C5060" w:themeColor="accent1"/>
      <w:sz w:val="28"/>
    </w:rPr>
  </w:style>
  <w:style w:type="paragraph" w:styleId="Footer">
    <w:name w:val="footer"/>
    <w:basedOn w:val="Normal"/>
    <w:link w:val="FooterChar"/>
    <w:uiPriority w:val="99"/>
    <w:unhideWhenUsed/>
    <w:rsid w:val="000D1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08F"/>
    <w:rPr>
      <w:rFonts w:ascii="Arial" w:hAnsi="Arial"/>
      <w:color w:val="000000" w:themeColor="text1"/>
      <w:sz w:val="24"/>
    </w:rPr>
  </w:style>
  <w:style w:type="paragraph" w:styleId="Revision">
    <w:name w:val="Revision"/>
    <w:hidden/>
    <w:uiPriority w:val="99"/>
    <w:semiHidden/>
    <w:rsid w:val="006D2F18"/>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40769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C6CE3"/>
    <w:rPr>
      <w:b/>
      <w:bCs/>
    </w:rPr>
  </w:style>
  <w:style w:type="character" w:customStyle="1" w:styleId="CommentSubjectChar">
    <w:name w:val="Comment Subject Char"/>
    <w:basedOn w:val="CommentTextChar"/>
    <w:link w:val="CommentSubject"/>
    <w:uiPriority w:val="99"/>
    <w:semiHidden/>
    <w:rsid w:val="008C6CE3"/>
    <w:rPr>
      <w:rFonts w:ascii="Arial" w:hAnsi="Arial"/>
      <w:b/>
      <w:bCs/>
      <w:color w:val="000000" w:themeColor="text1"/>
      <w:sz w:val="20"/>
      <w:szCs w:val="20"/>
    </w:rPr>
  </w:style>
  <w:style w:type="paragraph" w:styleId="FootnoteText">
    <w:name w:val="footnote text"/>
    <w:basedOn w:val="Normal"/>
    <w:link w:val="FootnoteTextChar"/>
    <w:uiPriority w:val="99"/>
    <w:semiHidden/>
    <w:unhideWhenUsed/>
    <w:rsid w:val="00332E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E59"/>
    <w:rPr>
      <w:rFonts w:ascii="Arial" w:hAnsi="Arial"/>
      <w:color w:val="000000" w:themeColor="text1"/>
      <w:sz w:val="20"/>
      <w:szCs w:val="20"/>
    </w:rPr>
  </w:style>
  <w:style w:type="character" w:styleId="FootnoteReference">
    <w:name w:val="footnote reference"/>
    <w:basedOn w:val="DefaultParagraphFont"/>
    <w:uiPriority w:val="99"/>
    <w:semiHidden/>
    <w:unhideWhenUsed/>
    <w:rsid w:val="00332E59"/>
    <w:rPr>
      <w:vertAlign w:val="superscript"/>
    </w:rPr>
  </w:style>
  <w:style w:type="character" w:customStyle="1" w:styleId="Frontpagesub-titleChar">
    <w:name w:val="Front page sub-title Char"/>
    <w:basedOn w:val="DefaultParagraphFont"/>
    <w:link w:val="Frontpagesub-title"/>
    <w:rsid w:val="00A12E9E"/>
    <w:rPr>
      <w:rFonts w:ascii="Arial" w:hAnsi="Arial"/>
      <w:color w:val="FFFFFF" w:themeColor="background1"/>
      <w:sz w:val="36"/>
      <w:szCs w:val="32"/>
    </w:rPr>
  </w:style>
  <w:style w:type="paragraph" w:customStyle="1" w:styleId="Frontpagesub-title">
    <w:name w:val="Front page sub-title"/>
    <w:basedOn w:val="Normal"/>
    <w:link w:val="Frontpagesub-titleChar"/>
    <w:autoRedefine/>
    <w:qFormat/>
    <w:rsid w:val="00A12E9E"/>
    <w:pPr>
      <w:spacing w:before="1200" w:line="240" w:lineRule="auto"/>
      <w:contextualSpacing/>
    </w:pPr>
    <w:rPr>
      <w:color w:val="FFFFFF" w:themeColor="background1"/>
      <w:sz w:val="36"/>
      <w:szCs w:val="32"/>
    </w:rPr>
  </w:style>
  <w:style w:type="character" w:customStyle="1" w:styleId="Heading3Char">
    <w:name w:val="Heading 3 Char"/>
    <w:basedOn w:val="DefaultParagraphFont"/>
    <w:link w:val="Heading3"/>
    <w:uiPriority w:val="9"/>
    <w:rsid w:val="002E0981"/>
    <w:rPr>
      <w:b/>
      <w:bCs/>
      <w:sz w:val="36"/>
      <w:szCs w:val="28"/>
    </w:rPr>
  </w:style>
  <w:style w:type="character" w:styleId="UnresolvedMention">
    <w:name w:val="Unresolved Mention"/>
    <w:basedOn w:val="DefaultParagraphFont"/>
    <w:uiPriority w:val="99"/>
    <w:semiHidden/>
    <w:unhideWhenUsed/>
    <w:rsid w:val="00F716D7"/>
    <w:rPr>
      <w:color w:val="605E5C"/>
      <w:shd w:val="clear" w:color="auto" w:fill="E1DFDD"/>
    </w:rPr>
  </w:style>
  <w:style w:type="paragraph" w:styleId="NormalWeb">
    <w:name w:val="Normal (Web)"/>
    <w:basedOn w:val="Normal"/>
    <w:uiPriority w:val="99"/>
    <w:semiHidden/>
    <w:unhideWhenUsed/>
    <w:rsid w:val="00DB6B79"/>
    <w:pPr>
      <w:spacing w:before="100" w:beforeAutospacing="1" w:after="100" w:afterAutospacing="1" w:line="240" w:lineRule="auto"/>
    </w:pPr>
    <w:rPr>
      <w:rFonts w:ascii="Times New Roman" w:eastAsia="Times New Roman" w:hAnsi="Times New Roman" w:cs="Times New Roman"/>
      <w:color w:val="auto"/>
      <w:szCs w:val="24"/>
      <w:lang w:eastAsia="en-GB"/>
    </w:rPr>
  </w:style>
  <w:style w:type="table" w:styleId="GridTable5Dark-Accent1">
    <w:name w:val="Grid Table 5 Dark Accent 1"/>
    <w:basedOn w:val="TableNormal"/>
    <w:uiPriority w:val="50"/>
    <w:rsid w:val="00305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F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50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50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50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5060" w:themeFill="accent1"/>
      </w:tcPr>
    </w:tblStylePr>
    <w:tblStylePr w:type="band1Vert">
      <w:tblPr/>
      <w:tcPr>
        <w:shd w:val="clear" w:color="auto" w:fill="99BFD0" w:themeFill="accent1" w:themeFillTint="66"/>
      </w:tcPr>
    </w:tblStylePr>
    <w:tblStylePr w:type="band1Horz">
      <w:tblPr/>
      <w:tcPr>
        <w:shd w:val="clear" w:color="auto" w:fill="99BFD0" w:themeFill="accent1" w:themeFillTint="66"/>
      </w:tcPr>
    </w:tblStylePr>
  </w:style>
  <w:style w:type="character" w:customStyle="1" w:styleId="cf01">
    <w:name w:val="cf01"/>
    <w:basedOn w:val="DefaultParagraphFont"/>
    <w:rsid w:val="009554C3"/>
    <w:rPr>
      <w:rFonts w:ascii="Segoe UI" w:hAnsi="Segoe UI" w:cs="Segoe UI" w:hint="default"/>
      <w:sz w:val="18"/>
      <w:szCs w:val="18"/>
    </w:rPr>
  </w:style>
  <w:style w:type="paragraph" w:styleId="BalloonText">
    <w:name w:val="Balloon Text"/>
    <w:basedOn w:val="Normal"/>
    <w:link w:val="BalloonTextChar"/>
    <w:uiPriority w:val="99"/>
    <w:semiHidden/>
    <w:unhideWhenUsed/>
    <w:rsid w:val="00AD4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BCE"/>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10829">
      <w:bodyDiv w:val="1"/>
      <w:marLeft w:val="0"/>
      <w:marRight w:val="0"/>
      <w:marTop w:val="0"/>
      <w:marBottom w:val="0"/>
      <w:divBdr>
        <w:top w:val="none" w:sz="0" w:space="0" w:color="auto"/>
        <w:left w:val="none" w:sz="0" w:space="0" w:color="auto"/>
        <w:bottom w:val="none" w:sz="0" w:space="0" w:color="auto"/>
        <w:right w:val="none" w:sz="0" w:space="0" w:color="auto"/>
      </w:divBdr>
    </w:div>
    <w:div w:id="663362311">
      <w:bodyDiv w:val="1"/>
      <w:marLeft w:val="0"/>
      <w:marRight w:val="0"/>
      <w:marTop w:val="0"/>
      <w:marBottom w:val="0"/>
      <w:divBdr>
        <w:top w:val="none" w:sz="0" w:space="0" w:color="auto"/>
        <w:left w:val="none" w:sz="0" w:space="0" w:color="auto"/>
        <w:bottom w:val="none" w:sz="0" w:space="0" w:color="auto"/>
        <w:right w:val="none" w:sz="0" w:space="0" w:color="auto"/>
      </w:divBdr>
    </w:div>
    <w:div w:id="10822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misweb.co.uk/query/construct/summary.asp?mode=construct&amp;version=0&amp;dataset=2135" TargetMode="External"/><Relationship Id="rId18" Type="http://schemas.openxmlformats.org/officeDocument/2006/relationships/hyperlink" Target="https://www.nomisweb.co.uk/sources/census_202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omisweb.co.uk/datasets/c2021rm035" TargetMode="External"/><Relationship Id="rId7" Type="http://schemas.openxmlformats.org/officeDocument/2006/relationships/settings" Target="settings.xml"/><Relationship Id="rId12" Type="http://schemas.openxmlformats.org/officeDocument/2006/relationships/hyperlink" Target="https://www.ons.gov.uk/peoplepopulationandcommunity/culturalidentity/sexuality/bulletins/sexualorientationenglandandwales/census2021" TargetMode="External"/><Relationship Id="rId17" Type="http://schemas.openxmlformats.org/officeDocument/2006/relationships/chart" Target="charts/chart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omisweb.co.uk/query/construct/summary.asp?mode=construct&amp;version=0&amp;dataset=2135" TargetMode="External"/><Relationship Id="rId23" Type="http://schemas.openxmlformats.org/officeDocument/2006/relationships/hyperlink" Target="https://www.ons.gov.uk/peoplepopulationandcommunity/culturalidentity/genderidentity/bulletins/genderidentityenglandandwales/census2021" TargetMode="External"/><Relationship Id="rId10" Type="http://schemas.openxmlformats.org/officeDocument/2006/relationships/endnotes" Target="endnotes.xml"/><Relationship Id="rId19" Type="http://schemas.openxmlformats.org/officeDocument/2006/relationships/hyperlink" Target="https://www.nomisweb.co.uk/datasets/c2021rm0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peoplepopulationandcommunity/culturalidentity/sexuality/bulletins/sexualorientationenglandandwales/census2021" TargetMode="External"/><Relationship Id="rId22" Type="http://schemas.openxmlformats.org/officeDocument/2006/relationships/hyperlink" Target="https://www.ons.gov.uk/peoplepopulationandcommunity/culturalidentity/sexuality/bulletins/sexualorientationenglandandwales/census2021"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tonewall.org.uk/list-lgbtq-ter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gmfs.local\gmca\gmca_data\Secure%20Folders\Research\Work\Projects\Reform\PSR22xx_Jack%20Bennett%20Folder\1.%20Census%20Group\1.%20Sexual%20Orientation\GLA%20-%20Rewrite\Sexual%20Orientation%20other%20than%20Straight%20or%20Heterosexual,%20Greater%20Manchester,%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gmfs.local\gmca\gmca_data\Secure%20Folders\Research\Work\Projects\Reform\PSR22xx_Jack%20Bennett%20Folder\1.%20Census%20Group\1.%20Sexual%20Orientation\RM189%20-%20Sexual%20Orientation%20by%20sex\RM189%20-%20GM;%20NW;%20Eng.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gmfs.local\gmca\gmca_data\Secure%20Folders\Research\Work\Projects\Reform\PSR22xx_Jack%20Bennett%20Folder\1.%20Census%20Group\3.%20Gender%20Identity\Chart_Redux.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Data!$C$2</c:f>
              <c:strCache>
                <c:ptCount val="1"/>
                <c:pt idx="0">
                  <c:v>Greater Manchester</c:v>
                </c:pt>
              </c:strCache>
            </c:strRef>
          </c:tx>
          <c:spPr>
            <a:solidFill>
              <a:srgbClr val="2C506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Data!$B$3:$B$8</c:f>
              <c:strCache>
                <c:ptCount val="6"/>
                <c:pt idx="0">
                  <c:v>All other sexual orientations</c:v>
                </c:pt>
                <c:pt idx="1">
                  <c:v>Queer</c:v>
                </c:pt>
                <c:pt idx="2">
                  <c:v>Asexual</c:v>
                </c:pt>
                <c:pt idx="3">
                  <c:v>Pansexual</c:v>
                </c:pt>
                <c:pt idx="4">
                  <c:v>Bisexual</c:v>
                </c:pt>
                <c:pt idx="5">
                  <c:v>Gay or Lesbian</c:v>
                </c:pt>
              </c:strCache>
            </c:strRef>
          </c:cat>
          <c:val>
            <c:numRef>
              <c:f>Data!$C$3:$C$8</c:f>
              <c:numCache>
                <c:formatCode>#,##0</c:formatCode>
                <c:ptCount val="6"/>
                <c:pt idx="0">
                  <c:v>450</c:v>
                </c:pt>
                <c:pt idx="1">
                  <c:v>751</c:v>
                </c:pt>
                <c:pt idx="2">
                  <c:v>1276</c:v>
                </c:pt>
                <c:pt idx="3">
                  <c:v>5422</c:v>
                </c:pt>
                <c:pt idx="4">
                  <c:v>31638</c:v>
                </c:pt>
                <c:pt idx="5">
                  <c:v>45446</c:v>
                </c:pt>
              </c:numCache>
            </c:numRef>
          </c:val>
          <c:extLst>
            <c:ext xmlns:c16="http://schemas.microsoft.com/office/drawing/2014/chart" uri="{C3380CC4-5D6E-409C-BE32-E72D297353CC}">
              <c16:uniqueId val="{00000000-0535-4909-BBBB-EC08F6BE75A9}"/>
            </c:ext>
          </c:extLst>
        </c:ser>
        <c:dLbls>
          <c:showLegendKey val="0"/>
          <c:showVal val="0"/>
          <c:showCatName val="0"/>
          <c:showSerName val="0"/>
          <c:showPercent val="0"/>
          <c:showBubbleSize val="0"/>
        </c:dLbls>
        <c:gapWidth val="30"/>
        <c:axId val="70911456"/>
        <c:axId val="70718704"/>
      </c:barChart>
      <c:catAx>
        <c:axId val="70911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spc="-100" baseline="0">
                <a:solidFill>
                  <a:schemeClr val="dk1"/>
                </a:solidFill>
                <a:latin typeface="Arial" panose="020B0604020202020204" pitchFamily="34" charset="0"/>
                <a:ea typeface="+mn-ea"/>
                <a:cs typeface="Arial" panose="020B0604020202020204" pitchFamily="34" charset="0"/>
              </a:defRPr>
            </a:pPr>
            <a:endParaRPr lang="en-US"/>
          </a:p>
        </c:txPr>
        <c:crossAx val="70718704"/>
        <c:crosses val="autoZero"/>
        <c:auto val="1"/>
        <c:lblAlgn val="ctr"/>
        <c:lblOffset val="100"/>
        <c:noMultiLvlLbl val="0"/>
      </c:catAx>
      <c:valAx>
        <c:axId val="70718704"/>
        <c:scaling>
          <c:orientation val="minMax"/>
        </c:scaling>
        <c:delete val="0"/>
        <c:axPos val="b"/>
        <c:majorGridlines>
          <c:spPr>
            <a:ln w="9525" cap="flat" cmpd="sng" algn="ctr">
              <a:solidFill>
                <a:schemeClr val="tx1">
                  <a:lumMod val="15000"/>
                  <a:lumOff val="85000"/>
                </a:schemeClr>
              </a:solidFill>
              <a:round/>
            </a:ln>
            <a:effectLst/>
          </c:spPr>
        </c:majorGridlines>
        <c:numFmt formatCode="#,##0;[Red]#,##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70911456"/>
        <c:crosses val="autoZero"/>
        <c:crossBetween val="between"/>
        <c:majorUnit val="10000"/>
        <c:minorUnit val="2000"/>
      </c:valAx>
      <c:spPr>
        <a:noFill/>
        <a:ln>
          <a:noFill/>
        </a:ln>
        <a:effectLst/>
      </c:spPr>
    </c:plotArea>
    <c:plotVisOnly val="1"/>
    <c:dispBlanksAs val="gap"/>
    <c:showDLblsOverMax val="0"/>
  </c:chart>
  <c:spPr>
    <a:solidFill>
      <a:schemeClr val="lt1"/>
    </a:solidFill>
    <a:ln w="19050" cap="flat" cmpd="sng" algn="ctr">
      <a:solidFill>
        <a:schemeClr val="tx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94238763632807"/>
          <c:y val="4.9785391051798189E-2"/>
          <c:w val="0.84542299603853865"/>
          <c:h val="0.72721554936943555"/>
        </c:manualLayout>
      </c:layout>
      <c:barChart>
        <c:barDir val="col"/>
        <c:grouping val="stacked"/>
        <c:varyColors val="0"/>
        <c:ser>
          <c:idx val="0"/>
          <c:order val="0"/>
          <c:tx>
            <c:strRef>
              <c:f>'Chart - Gender (Gay, Bi, Other)'!$C$9</c:f>
              <c:strCache>
                <c:ptCount val="1"/>
                <c:pt idx="0">
                  <c:v>Gay or Lesbian</c:v>
                </c:pt>
              </c:strCache>
            </c:strRef>
          </c:tx>
          <c:spPr>
            <a:solidFill>
              <a:srgbClr val="2C5060"/>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 Gender (Gay, Bi, Other)'!$B$10:$B$11</c:f>
              <c:strCache>
                <c:ptCount val="2"/>
                <c:pt idx="0">
                  <c:v>Male</c:v>
                </c:pt>
                <c:pt idx="1">
                  <c:v>Female</c:v>
                </c:pt>
              </c:strCache>
            </c:strRef>
          </c:cat>
          <c:val>
            <c:numRef>
              <c:f>'Chart - Gender (Gay, Bi, Other)'!$C$10:$C$11</c:f>
              <c:numCache>
                <c:formatCode>0.0%</c:formatCode>
                <c:ptCount val="2"/>
                <c:pt idx="0">
                  <c:v>0.69649224245928498</c:v>
                </c:pt>
                <c:pt idx="1">
                  <c:v>0.38032153453391293</c:v>
                </c:pt>
              </c:numCache>
            </c:numRef>
          </c:val>
          <c:extLst>
            <c:ext xmlns:c16="http://schemas.microsoft.com/office/drawing/2014/chart" uri="{C3380CC4-5D6E-409C-BE32-E72D297353CC}">
              <c16:uniqueId val="{00000000-47F5-4CE0-9160-0E4746496FE6}"/>
            </c:ext>
          </c:extLst>
        </c:ser>
        <c:ser>
          <c:idx val="1"/>
          <c:order val="1"/>
          <c:tx>
            <c:strRef>
              <c:f>'Chart - Gender (Gay, Bi, Other)'!$D$9</c:f>
              <c:strCache>
                <c:ptCount val="1"/>
                <c:pt idx="0">
                  <c:v>Bisexual</c:v>
                </c:pt>
              </c:strCache>
            </c:strRef>
          </c:tx>
          <c:spPr>
            <a:solidFill>
              <a:srgbClr val="D5573B"/>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 Gender (Gay, Bi, Other)'!$B$10:$B$11</c:f>
              <c:strCache>
                <c:ptCount val="2"/>
                <c:pt idx="0">
                  <c:v>Male</c:v>
                </c:pt>
                <c:pt idx="1">
                  <c:v>Female</c:v>
                </c:pt>
              </c:strCache>
            </c:strRef>
          </c:cat>
          <c:val>
            <c:numRef>
              <c:f>'Chart - Gender (Gay, Bi, Other)'!$D$10:$D$11</c:f>
              <c:numCache>
                <c:formatCode>0.0%</c:formatCode>
                <c:ptCount val="2"/>
                <c:pt idx="0">
                  <c:v>0.22858244193890334</c:v>
                </c:pt>
                <c:pt idx="1">
                  <c:v>0.50951033832424852</c:v>
                </c:pt>
              </c:numCache>
            </c:numRef>
          </c:val>
          <c:extLst>
            <c:ext xmlns:c16="http://schemas.microsoft.com/office/drawing/2014/chart" uri="{C3380CC4-5D6E-409C-BE32-E72D297353CC}">
              <c16:uniqueId val="{00000001-47F5-4CE0-9160-0E4746496FE6}"/>
            </c:ext>
          </c:extLst>
        </c:ser>
        <c:ser>
          <c:idx val="2"/>
          <c:order val="2"/>
          <c:tx>
            <c:strRef>
              <c:f>'Chart - Gender (Gay, Bi, Other)'!$E$9</c:f>
              <c:strCache>
                <c:ptCount val="1"/>
                <c:pt idx="0">
                  <c:v>All other sexual orientations</c:v>
                </c:pt>
              </c:strCache>
            </c:strRef>
          </c:tx>
          <c:spPr>
            <a:solidFill>
              <a:srgbClr val="95A17E"/>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 Gender (Gay, Bi, Other)'!$B$10:$B$11</c:f>
              <c:strCache>
                <c:ptCount val="2"/>
                <c:pt idx="0">
                  <c:v>Male</c:v>
                </c:pt>
                <c:pt idx="1">
                  <c:v>Female</c:v>
                </c:pt>
              </c:strCache>
            </c:strRef>
          </c:cat>
          <c:val>
            <c:numRef>
              <c:f>'Chart - Gender (Gay, Bi, Other)'!$E$10:$E$11</c:f>
              <c:numCache>
                <c:formatCode>0.0%</c:formatCode>
                <c:ptCount val="2"/>
                <c:pt idx="0">
                  <c:v>7.4925315601811704E-2</c:v>
                </c:pt>
                <c:pt idx="1">
                  <c:v>0.11016812714183859</c:v>
                </c:pt>
              </c:numCache>
            </c:numRef>
          </c:val>
          <c:extLst>
            <c:ext xmlns:c16="http://schemas.microsoft.com/office/drawing/2014/chart" uri="{C3380CC4-5D6E-409C-BE32-E72D297353CC}">
              <c16:uniqueId val="{00000002-47F5-4CE0-9160-0E4746496FE6}"/>
            </c:ext>
          </c:extLst>
        </c:ser>
        <c:dLbls>
          <c:showLegendKey val="0"/>
          <c:showVal val="0"/>
          <c:showCatName val="0"/>
          <c:showSerName val="0"/>
          <c:showPercent val="0"/>
          <c:showBubbleSize val="0"/>
        </c:dLbls>
        <c:gapWidth val="50"/>
        <c:overlap val="100"/>
        <c:axId val="1724742191"/>
        <c:axId val="50842111"/>
      </c:barChart>
      <c:catAx>
        <c:axId val="1724742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842111"/>
        <c:crosses val="autoZero"/>
        <c:auto val="1"/>
        <c:lblAlgn val="ctr"/>
        <c:lblOffset val="100"/>
        <c:noMultiLvlLbl val="0"/>
      </c:catAx>
      <c:valAx>
        <c:axId val="50842111"/>
        <c:scaling>
          <c:orientation val="minMax"/>
          <c:max val="1"/>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Proportion of LGB+</a:t>
                </a:r>
                <a:r>
                  <a:rPr lang="en-GB" sz="1200" baseline="0">
                    <a:latin typeface="Arial" panose="020B0604020202020204" pitchFamily="34" charset="0"/>
                    <a:cs typeface="Arial" panose="020B0604020202020204" pitchFamily="34" charset="0"/>
                  </a:rPr>
                  <a:t> residents</a:t>
                </a:r>
                <a:endParaRPr lang="en-GB" sz="120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24742191"/>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04187552669365"/>
          <c:y val="3.4405073252019351E-2"/>
          <c:w val="0.83416621448797956"/>
          <c:h val="0.73945349653075543"/>
        </c:manualLayout>
      </c:layout>
      <c:barChart>
        <c:barDir val="col"/>
        <c:grouping val="clustered"/>
        <c:varyColors val="0"/>
        <c:ser>
          <c:idx val="0"/>
          <c:order val="0"/>
          <c:tx>
            <c:strRef>
              <c:f>Chart!$B$3</c:f>
              <c:strCache>
                <c:ptCount val="1"/>
                <c:pt idx="0">
                  <c:v>Aged 16 to 24 years</c:v>
                </c:pt>
              </c:strCache>
            </c:strRef>
          </c:tx>
          <c:spPr>
            <a:solidFill>
              <a:srgbClr val="2C5060"/>
            </a:solidFill>
            <a:ln>
              <a:noFill/>
            </a:ln>
            <a:effectLst/>
          </c:spPr>
          <c:invertIfNegative val="0"/>
          <c:cat>
            <c:strRef>
              <c:f>Chart!$C$2:$G$2</c:f>
              <c:strCache>
                <c:ptCount val="5"/>
                <c:pt idx="0">
                  <c:v>Same as at birth</c:v>
                </c:pt>
                <c:pt idx="1">
                  <c:v>Different from at birth</c:v>
                </c:pt>
                <c:pt idx="2">
                  <c:v>Trans man</c:v>
                </c:pt>
                <c:pt idx="3">
                  <c:v>Trans woman</c:v>
                </c:pt>
                <c:pt idx="4">
                  <c:v>Other' gender identity</c:v>
                </c:pt>
              </c:strCache>
            </c:strRef>
          </c:cat>
          <c:val>
            <c:numRef>
              <c:f>Chart!$C$3:$G$3</c:f>
              <c:numCache>
                <c:formatCode>0.0%</c:formatCode>
                <c:ptCount val="5"/>
                <c:pt idx="0">
                  <c:v>0.1421185321317032</c:v>
                </c:pt>
                <c:pt idx="1">
                  <c:v>0.1438994101210804</c:v>
                </c:pt>
                <c:pt idx="2">
                  <c:v>0.23164269492808479</c:v>
                </c:pt>
                <c:pt idx="3">
                  <c:v>0.2218712988551125</c:v>
                </c:pt>
                <c:pt idx="4">
                  <c:v>0.490812576561862</c:v>
                </c:pt>
              </c:numCache>
            </c:numRef>
          </c:val>
          <c:extLst>
            <c:ext xmlns:c16="http://schemas.microsoft.com/office/drawing/2014/chart" uri="{C3380CC4-5D6E-409C-BE32-E72D297353CC}">
              <c16:uniqueId val="{00000000-45D0-47EB-A2BE-A138C4ECAD9B}"/>
            </c:ext>
          </c:extLst>
        </c:ser>
        <c:ser>
          <c:idx val="1"/>
          <c:order val="1"/>
          <c:tx>
            <c:strRef>
              <c:f>Chart!$B$4</c:f>
              <c:strCache>
                <c:ptCount val="1"/>
                <c:pt idx="0">
                  <c:v>Aged 25 to 34 years</c:v>
                </c:pt>
              </c:strCache>
            </c:strRef>
          </c:tx>
          <c:spPr>
            <a:solidFill>
              <a:srgbClr val="D5573B"/>
            </a:solidFill>
            <a:ln>
              <a:noFill/>
            </a:ln>
            <a:effectLst/>
          </c:spPr>
          <c:invertIfNegative val="0"/>
          <c:cat>
            <c:strRef>
              <c:f>Chart!$C$2:$G$2</c:f>
              <c:strCache>
                <c:ptCount val="5"/>
                <c:pt idx="0">
                  <c:v>Same as at birth</c:v>
                </c:pt>
                <c:pt idx="1">
                  <c:v>Different from at birth</c:v>
                </c:pt>
                <c:pt idx="2">
                  <c:v>Trans man</c:v>
                </c:pt>
                <c:pt idx="3">
                  <c:v>Trans woman</c:v>
                </c:pt>
                <c:pt idx="4">
                  <c:v>Other' gender identity</c:v>
                </c:pt>
              </c:strCache>
            </c:strRef>
          </c:cat>
          <c:val>
            <c:numRef>
              <c:f>Chart!$C$4:$G$4</c:f>
              <c:numCache>
                <c:formatCode>0.0%</c:formatCode>
                <c:ptCount val="5"/>
                <c:pt idx="0">
                  <c:v>0.18177569176149244</c:v>
                </c:pt>
                <c:pt idx="1">
                  <c:v>0.25566594225395839</c:v>
                </c:pt>
                <c:pt idx="2">
                  <c:v>0.19265707797123391</c:v>
                </c:pt>
                <c:pt idx="3">
                  <c:v>0.21910777733912357</c:v>
                </c:pt>
                <c:pt idx="4">
                  <c:v>0.31727235606369947</c:v>
                </c:pt>
              </c:numCache>
            </c:numRef>
          </c:val>
          <c:extLst>
            <c:ext xmlns:c16="http://schemas.microsoft.com/office/drawing/2014/chart" uri="{C3380CC4-5D6E-409C-BE32-E72D297353CC}">
              <c16:uniqueId val="{00000001-45D0-47EB-A2BE-A138C4ECAD9B}"/>
            </c:ext>
          </c:extLst>
        </c:ser>
        <c:ser>
          <c:idx val="2"/>
          <c:order val="2"/>
          <c:tx>
            <c:strRef>
              <c:f>Chart!$B$5</c:f>
              <c:strCache>
                <c:ptCount val="1"/>
                <c:pt idx="0">
                  <c:v>Aged 35 to 49 years</c:v>
                </c:pt>
              </c:strCache>
            </c:strRef>
          </c:tx>
          <c:spPr>
            <a:solidFill>
              <a:srgbClr val="8D9293"/>
            </a:solidFill>
            <a:ln>
              <a:noFill/>
            </a:ln>
            <a:effectLst/>
          </c:spPr>
          <c:invertIfNegative val="0"/>
          <c:cat>
            <c:strRef>
              <c:f>Chart!$C$2:$G$2</c:f>
              <c:strCache>
                <c:ptCount val="5"/>
                <c:pt idx="0">
                  <c:v>Same as at birth</c:v>
                </c:pt>
                <c:pt idx="1">
                  <c:v>Different from at birth</c:v>
                </c:pt>
                <c:pt idx="2">
                  <c:v>Trans man</c:v>
                </c:pt>
                <c:pt idx="3">
                  <c:v>Trans woman</c:v>
                </c:pt>
                <c:pt idx="4">
                  <c:v>Other' gender identity</c:v>
                </c:pt>
              </c:strCache>
            </c:strRef>
          </c:cat>
          <c:val>
            <c:numRef>
              <c:f>Chart!$C$5:$G$5</c:f>
              <c:numCache>
                <c:formatCode>0.0%</c:formatCode>
                <c:ptCount val="5"/>
                <c:pt idx="0">
                  <c:v>0.24747819389045672</c:v>
                </c:pt>
                <c:pt idx="1">
                  <c:v>0.33312635827382803</c:v>
                </c:pt>
                <c:pt idx="2">
                  <c:v>0.30885692657077973</c:v>
                </c:pt>
                <c:pt idx="3">
                  <c:v>0.28187919463087246</c:v>
                </c:pt>
                <c:pt idx="4">
                  <c:v>0.13107390771743568</c:v>
                </c:pt>
              </c:numCache>
            </c:numRef>
          </c:val>
          <c:extLst>
            <c:ext xmlns:c16="http://schemas.microsoft.com/office/drawing/2014/chart" uri="{C3380CC4-5D6E-409C-BE32-E72D297353CC}">
              <c16:uniqueId val="{00000002-45D0-47EB-A2BE-A138C4ECAD9B}"/>
            </c:ext>
          </c:extLst>
        </c:ser>
        <c:ser>
          <c:idx val="3"/>
          <c:order val="3"/>
          <c:tx>
            <c:strRef>
              <c:f>Chart!$B$6</c:f>
              <c:strCache>
                <c:ptCount val="1"/>
                <c:pt idx="0">
                  <c:v>Aged 50 to 64 years</c:v>
                </c:pt>
              </c:strCache>
            </c:strRef>
          </c:tx>
          <c:spPr>
            <a:solidFill>
              <a:srgbClr val="95A17E"/>
            </a:solidFill>
            <a:ln>
              <a:noFill/>
            </a:ln>
            <a:effectLst/>
          </c:spPr>
          <c:invertIfNegative val="0"/>
          <c:cat>
            <c:strRef>
              <c:f>Chart!$C$2:$G$2</c:f>
              <c:strCache>
                <c:ptCount val="5"/>
                <c:pt idx="0">
                  <c:v>Same as at birth</c:v>
                </c:pt>
                <c:pt idx="1">
                  <c:v>Different from at birth</c:v>
                </c:pt>
                <c:pt idx="2">
                  <c:v>Trans man</c:v>
                </c:pt>
                <c:pt idx="3">
                  <c:v>Trans woman</c:v>
                </c:pt>
                <c:pt idx="4">
                  <c:v>Other' gender identity</c:v>
                </c:pt>
              </c:strCache>
            </c:strRef>
          </c:cat>
          <c:val>
            <c:numRef>
              <c:f>Chart!$C$6:$G$6</c:f>
              <c:numCache>
                <c:formatCode>0.0%</c:formatCode>
                <c:ptCount val="5"/>
                <c:pt idx="0">
                  <c:v>0.23030345803626764</c:v>
                </c:pt>
                <c:pt idx="1">
                  <c:v>0.17618751940391184</c:v>
                </c:pt>
                <c:pt idx="2">
                  <c:v>0.17183951551854657</c:v>
                </c:pt>
                <c:pt idx="3">
                  <c:v>0.16383734701934466</c:v>
                </c:pt>
                <c:pt idx="4">
                  <c:v>5.2674561045324621E-2</c:v>
                </c:pt>
              </c:numCache>
            </c:numRef>
          </c:val>
          <c:extLst>
            <c:ext xmlns:c16="http://schemas.microsoft.com/office/drawing/2014/chart" uri="{C3380CC4-5D6E-409C-BE32-E72D297353CC}">
              <c16:uniqueId val="{00000003-45D0-47EB-A2BE-A138C4ECAD9B}"/>
            </c:ext>
          </c:extLst>
        </c:ser>
        <c:ser>
          <c:idx val="4"/>
          <c:order val="4"/>
          <c:tx>
            <c:strRef>
              <c:f>Chart!$B$7</c:f>
              <c:strCache>
                <c:ptCount val="1"/>
                <c:pt idx="0">
                  <c:v>Aged 65 years and over</c:v>
                </c:pt>
              </c:strCache>
            </c:strRef>
          </c:tx>
          <c:spPr>
            <a:solidFill>
              <a:srgbClr val="D5C5C8"/>
            </a:solidFill>
            <a:ln>
              <a:noFill/>
            </a:ln>
            <a:effectLst/>
          </c:spPr>
          <c:invertIfNegative val="0"/>
          <c:cat>
            <c:strRef>
              <c:f>Chart!$C$2:$G$2</c:f>
              <c:strCache>
                <c:ptCount val="5"/>
                <c:pt idx="0">
                  <c:v>Same as at birth</c:v>
                </c:pt>
                <c:pt idx="1">
                  <c:v>Different from at birth</c:v>
                </c:pt>
                <c:pt idx="2">
                  <c:v>Trans man</c:v>
                </c:pt>
                <c:pt idx="3">
                  <c:v>Trans woman</c:v>
                </c:pt>
                <c:pt idx="4">
                  <c:v>Other' gender identity</c:v>
                </c:pt>
              </c:strCache>
            </c:strRef>
          </c:cat>
          <c:val>
            <c:numRef>
              <c:f>Chart!$C$7:$G$7</c:f>
              <c:numCache>
                <c:formatCode>0.0%</c:formatCode>
                <c:ptCount val="5"/>
                <c:pt idx="0">
                  <c:v>0.19832412418008</c:v>
                </c:pt>
                <c:pt idx="1">
                  <c:v>9.1120769947221361E-2</c:v>
                </c:pt>
                <c:pt idx="2">
                  <c:v>9.5003785011355035E-2</c:v>
                </c:pt>
                <c:pt idx="3">
                  <c:v>0.11330438215554678</c:v>
                </c:pt>
                <c:pt idx="4">
                  <c:v>8.1665986116782364E-3</c:v>
                </c:pt>
              </c:numCache>
            </c:numRef>
          </c:val>
          <c:extLst>
            <c:ext xmlns:c16="http://schemas.microsoft.com/office/drawing/2014/chart" uri="{C3380CC4-5D6E-409C-BE32-E72D297353CC}">
              <c16:uniqueId val="{00000004-45D0-47EB-A2BE-A138C4ECAD9B}"/>
            </c:ext>
          </c:extLst>
        </c:ser>
        <c:dLbls>
          <c:showLegendKey val="0"/>
          <c:showVal val="0"/>
          <c:showCatName val="0"/>
          <c:showSerName val="0"/>
          <c:showPercent val="0"/>
          <c:showBubbleSize val="0"/>
        </c:dLbls>
        <c:gapWidth val="219"/>
        <c:overlap val="-27"/>
        <c:axId val="1938422511"/>
        <c:axId val="1938429231"/>
      </c:barChart>
      <c:catAx>
        <c:axId val="1938422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spc="-1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38429231"/>
        <c:crosses val="autoZero"/>
        <c:auto val="1"/>
        <c:lblAlgn val="ctr"/>
        <c:lblOffset val="100"/>
        <c:noMultiLvlLbl val="0"/>
      </c:catAx>
      <c:valAx>
        <c:axId val="19384292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0" i="0" baseline="0">
                    <a:effectLst/>
                    <a:latin typeface="Arial" panose="020B0604020202020204" pitchFamily="34" charset="0"/>
                    <a:cs typeface="Arial" panose="020B0604020202020204" pitchFamily="34" charset="0"/>
                  </a:rPr>
                  <a:t>% of response category</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38422511"/>
        <c:crosses val="autoZero"/>
        <c:crossBetween val="between"/>
      </c:valAx>
      <c:spPr>
        <a:noFill/>
        <a:ln>
          <a:noFill/>
        </a:ln>
        <a:effectLst/>
      </c:spPr>
    </c:plotArea>
    <c:legend>
      <c:legendPos val="b"/>
      <c:layout>
        <c:manualLayout>
          <c:xMode val="edge"/>
          <c:yMode val="edge"/>
          <c:x val="1.7620200732738462E-3"/>
          <c:y val="0.88748239390868222"/>
          <c:w val="0.99823797992672614"/>
          <c:h val="0.10369974792754866"/>
        </c:manualLayout>
      </c:layout>
      <c:overlay val="0"/>
      <c:spPr>
        <a:noFill/>
        <a:ln>
          <a:noFill/>
        </a:ln>
        <a:effectLst/>
      </c:spPr>
      <c:txPr>
        <a:bodyPr rot="0" spcFirstLastPara="1" vertOverflow="ellipsis" vert="horz" wrap="square" anchor="ctr" anchorCtr="1"/>
        <a:lstStyle/>
        <a:p>
          <a:pPr>
            <a:defRPr sz="1200" b="0" i="0" u="none" strike="noStrike" kern="1200" spc="-1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orporate Colours">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6e983a-f1d7-4d3c-91db-252f29f3e159">
      <Terms xmlns="http://schemas.microsoft.com/office/infopath/2007/PartnerControls"/>
    </lcf76f155ced4ddcb4097134ff3c332f>
    <_ip_UnifiedCompliancePolicyUIAction xmlns="http://schemas.microsoft.com/sharepoint/v3" xsi:nil="true"/>
    <TaxCatchAll xmlns="2e35a3c0-6932-4795-bc29-a2b24e509738"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8" ma:contentTypeDescription="Create a new document." ma:contentTypeScope="" ma:versionID="e7330d75805c6de7540ed961e9006a17">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7ef6cc727cb884e4b2fe2387fab48d28"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1f7bd27-d9e4-4e62-be6c-eaf418590226}"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30DEA-0859-4CD7-9DBF-F2C8FD6E66F9}">
  <ds:schemaRefs>
    <ds:schemaRef ds:uri="http://schemas.microsoft.com/sharepoint/v3/contenttype/forms"/>
  </ds:schemaRefs>
</ds:datastoreItem>
</file>

<file path=customXml/itemProps2.xml><?xml version="1.0" encoding="utf-8"?>
<ds:datastoreItem xmlns:ds="http://schemas.openxmlformats.org/officeDocument/2006/customXml" ds:itemID="{ED836BED-7616-4F63-9329-FB35691BAC2F}">
  <ds:schemaRefs>
    <ds:schemaRef ds:uri="http://schemas.microsoft.com/office/2006/metadata/properties"/>
    <ds:schemaRef ds:uri="http://schemas.microsoft.com/office/infopath/2007/PartnerControls"/>
    <ds:schemaRef ds:uri="066e983a-f1d7-4d3c-91db-252f29f3e159"/>
    <ds:schemaRef ds:uri="http://schemas.microsoft.com/sharepoint/v3"/>
    <ds:schemaRef ds:uri="2e35a3c0-6932-4795-bc29-a2b24e509738"/>
  </ds:schemaRefs>
</ds:datastoreItem>
</file>

<file path=customXml/itemProps3.xml><?xml version="1.0" encoding="utf-8"?>
<ds:datastoreItem xmlns:ds="http://schemas.openxmlformats.org/officeDocument/2006/customXml" ds:itemID="{E1B5F786-EB65-416E-8325-C32E62967B88}">
  <ds:schemaRefs>
    <ds:schemaRef ds:uri="http://schemas.openxmlformats.org/officeDocument/2006/bibliography"/>
  </ds:schemaRefs>
</ds:datastoreItem>
</file>

<file path=customXml/itemProps4.xml><?xml version="1.0" encoding="utf-8"?>
<ds:datastoreItem xmlns:ds="http://schemas.openxmlformats.org/officeDocument/2006/customXml" ds:itemID="{147D53B3-BD21-4DAE-9DD1-119E14307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Overell, Stephen</dc:creator>
  <cp:keywords/>
  <dc:description/>
  <cp:lastModifiedBy>Overell, Stephen</cp:lastModifiedBy>
  <cp:revision>3</cp:revision>
  <cp:lastPrinted>2023-06-29T19:04:00Z</cp:lastPrinted>
  <dcterms:created xsi:type="dcterms:W3CDTF">2023-06-29T18:59:00Z</dcterms:created>
  <dcterms:modified xsi:type="dcterms:W3CDTF">2023-06-29T19:44:00Z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MediaServiceImageTags">
    <vt:lpwstr/>
  </property>
</Properties>
</file>