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753990" w:displacedByCustomXml="next"/>
    <w:bookmarkEnd w:id="0" w:displacedByCustomXml="next"/>
    <w:bookmarkStart w:id="1" w:name="_Toc61294764" w:displacedByCustomXml="next"/>
    <w:bookmarkStart w:id="2" w:name="_Toc61984580" w:displacedByCustomXml="next"/>
    <w:sdt>
      <w:sdtPr>
        <w:rPr>
          <w:rFonts w:eastAsiaTheme="minorHAnsi" w:cstheme="minorBidi"/>
          <w:b w:val="0"/>
          <w:bCs w:val="0"/>
          <w:noProof w:val="0"/>
          <w:color w:val="000000" w:themeColor="text1"/>
          <w:sz w:val="24"/>
          <w:szCs w:val="22"/>
        </w:rPr>
        <w:id w:val="-1571263057"/>
        <w:docPartObj>
          <w:docPartGallery w:val="Cover Pages"/>
          <w:docPartUnique/>
        </w:docPartObj>
      </w:sdtPr>
      <w:sdtEndPr/>
      <w:sdtContent>
        <w:bookmarkStart w:id="3" w:name="_Toc61984578" w:displacedByCustomXml="prev"/>
        <w:p w14:paraId="2ACD3E3D" w14:textId="77777777" w:rsidR="000D108F" w:rsidRDefault="000D108F" w:rsidP="00A12E9E">
          <w:pPr>
            <w:pStyle w:val="Heading1"/>
          </w:pPr>
          <w:r w:rsidRPr="007A6358">
            <w:t xml:space="preserve"> </w:t>
          </w:r>
          <w:r w:rsidRPr="00A12E9E">
            <w:t>Census 2021 Briefing</w:t>
          </w:r>
          <w:r w:rsidRPr="007A6358">
            <w:t xml:space="preserve"> </w:t>
          </w:r>
        </w:p>
        <w:p w14:paraId="1ED9808E" w14:textId="66D72380" w:rsidR="000D108F" w:rsidRDefault="000D108F" w:rsidP="00A12E9E">
          <w:pPr>
            <w:pStyle w:val="Heading1"/>
          </w:pPr>
          <w:r w:rsidRPr="007A6358">
            <w:drawing>
              <wp:anchor distT="0" distB="0" distL="114300" distR="114300" simplePos="0" relativeHeight="251659264" behindDoc="1" locked="1" layoutInCell="1" allowOverlap="0" wp14:anchorId="7072A118" wp14:editId="789B0608">
                <wp:simplePos x="0" y="0"/>
                <wp:positionH relativeFrom="page">
                  <wp:posOffset>10160</wp:posOffset>
                </wp:positionH>
                <wp:positionV relativeFrom="page">
                  <wp:posOffset>0</wp:posOffset>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bookmarkEnd w:id="3"/>
          <w:r w:rsidR="006D406C">
            <w:t>Religious identity</w:t>
          </w:r>
        </w:p>
        <w:p w14:paraId="19258BA0" w14:textId="703BB494" w:rsidR="000D108F" w:rsidRDefault="000D108F" w:rsidP="000D108F">
          <w:pPr>
            <w:rPr>
              <w:color w:val="FFFFFF" w:themeColor="background1"/>
              <w:sz w:val="36"/>
              <w:szCs w:val="32"/>
            </w:rPr>
          </w:pPr>
          <w:r>
            <w:rPr>
              <w:color w:val="FFFFFF" w:themeColor="background1"/>
              <w:sz w:val="36"/>
              <w:szCs w:val="32"/>
            </w:rPr>
            <w:t>GMCA Research</w:t>
          </w:r>
        </w:p>
        <w:p w14:paraId="506A29E7" w14:textId="77777777" w:rsidR="000D108F" w:rsidRDefault="000D108F" w:rsidP="000D108F">
          <w:pPr>
            <w:rPr>
              <w:color w:val="FFFFFF" w:themeColor="background1"/>
              <w:sz w:val="36"/>
              <w:szCs w:val="36"/>
            </w:rPr>
          </w:pPr>
        </w:p>
        <w:p w14:paraId="13D66647" w14:textId="77777777" w:rsidR="000D108F" w:rsidRDefault="000D108F" w:rsidP="000D108F">
          <w:pPr>
            <w:rPr>
              <w:color w:val="FFFFFF" w:themeColor="background1"/>
              <w:sz w:val="36"/>
              <w:szCs w:val="36"/>
            </w:rPr>
          </w:pPr>
        </w:p>
        <w:p w14:paraId="4EFF78E2" w14:textId="14F4FBCE" w:rsidR="00C94896" w:rsidRPr="00C94896" w:rsidRDefault="004718F7" w:rsidP="004912AA">
          <w:r>
            <w:rPr>
              <w:rStyle w:val="Frontpagesub-titleChar"/>
            </w:rPr>
            <w:t>June</w:t>
          </w:r>
          <w:r w:rsidR="000D108F" w:rsidRPr="00A12E9E">
            <w:rPr>
              <w:rStyle w:val="Frontpagesub-titleChar"/>
            </w:rPr>
            <w:t xml:space="preserve"> 2023</w:t>
          </w:r>
          <w:r w:rsidR="000D108F">
            <w:br w:type="page"/>
          </w:r>
        </w:p>
      </w:sdtContent>
    </w:sdt>
    <w:bookmarkEnd w:id="1" w:displacedByCustomXml="prev"/>
    <w:bookmarkEnd w:id="2" w:displacedByCustomXml="prev"/>
    <w:p w14:paraId="28BED534" w14:textId="1D949C10" w:rsidR="00332E59" w:rsidRDefault="00C06B4B" w:rsidP="00332E59">
      <w:pPr>
        <w:rPr>
          <w:sz w:val="20"/>
          <w:szCs w:val="20"/>
          <w:lang w:eastAsia="en-GB"/>
        </w:rPr>
      </w:pPr>
      <w:r>
        <w:rPr>
          <w:noProof/>
        </w:rPr>
        <w:lastRenderedPageBreak/>
        <mc:AlternateContent>
          <mc:Choice Requires="wps">
            <w:drawing>
              <wp:inline distT="0" distB="0" distL="0" distR="0" wp14:anchorId="5D82AF1F" wp14:editId="3BAB6FFA">
                <wp:extent cx="5592445" cy="1404620"/>
                <wp:effectExtent l="0" t="0" r="27305" b="279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1404620"/>
                        </a:xfrm>
                        <a:prstGeom prst="rect">
                          <a:avLst/>
                        </a:prstGeom>
                        <a:solidFill>
                          <a:schemeClr val="accent1"/>
                        </a:solidFill>
                        <a:ln w="19050">
                          <a:solidFill>
                            <a:schemeClr val="accent1"/>
                          </a:solidFill>
                          <a:miter lim="800000"/>
                          <a:headEnd/>
                          <a:tailEnd/>
                        </a:ln>
                      </wps:spPr>
                      <wps:txbx>
                        <w:txbxContent>
                          <w:p w14:paraId="68A5C494" w14:textId="1829886D" w:rsidR="00786EA9" w:rsidRPr="007222D5" w:rsidRDefault="00786EA9" w:rsidP="00786EA9">
                            <w:pPr>
                              <w:rPr>
                                <w:b/>
                                <w:bCs/>
                                <w:color w:val="FFFFFF" w:themeColor="background1"/>
                              </w:rPr>
                            </w:pPr>
                            <w:r w:rsidRPr="007222D5">
                              <w:rPr>
                                <w:b/>
                                <w:bCs/>
                                <w:color w:val="FFFFFF" w:themeColor="background1"/>
                              </w:rPr>
                              <w:t xml:space="preserve">Dataset: </w:t>
                            </w:r>
                            <w:r w:rsidR="0098529B">
                              <w:rPr>
                                <w:b/>
                                <w:bCs/>
                                <w:color w:val="FFFFFF" w:themeColor="background1"/>
                              </w:rPr>
                              <w:t>Religion</w:t>
                            </w:r>
                          </w:p>
                          <w:p w14:paraId="3A734EF0" w14:textId="562E810A" w:rsidR="00786EA9" w:rsidRPr="004F121A"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the dataset used for this briefing can be accessed</w:t>
                            </w:r>
                            <w:r w:rsidR="00BE3D66" w:rsidRPr="006E30B9">
                              <w:rPr>
                                <w:rFonts w:cs="Arial"/>
                                <w:b/>
                                <w:bCs/>
                                <w:color w:val="FFFFFF" w:themeColor="background1"/>
                                <w:szCs w:val="24"/>
                              </w:rPr>
                              <w:t xml:space="preserve"> </w:t>
                            </w:r>
                            <w:hyperlink r:id="rId12" w:history="1">
                              <w:r w:rsidR="00BE3D66" w:rsidRPr="006E30B9">
                                <w:rPr>
                                  <w:rStyle w:val="Hyperlink"/>
                                  <w:rFonts w:cs="Arial"/>
                                  <w:b/>
                                  <w:color w:val="FFFFFF" w:themeColor="background1"/>
                                  <w:szCs w:val="24"/>
                                </w:rPr>
                                <w:t>here</w:t>
                              </w:r>
                            </w:hyperlink>
                            <w:r w:rsidR="00BE3D66" w:rsidRPr="006E30B9">
                              <w:rPr>
                                <w:rFonts w:cs="Arial"/>
                                <w:bCs/>
                                <w:color w:val="FFFFFF" w:themeColor="background1"/>
                                <w:szCs w:val="24"/>
                                <w:u w:color="FFFFFF" w:themeColor="background1"/>
                              </w:rPr>
                              <w:t>.</w:t>
                            </w:r>
                          </w:p>
                          <w:p w14:paraId="74A8199D" w14:textId="35E60E90"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009B6EB6">
                              <w:rPr>
                                <w:rFonts w:cs="Arial"/>
                                <w:color w:val="FFFFFF" w:themeColor="background1"/>
                                <w:szCs w:val="24"/>
                              </w:rPr>
                              <w:t xml:space="preserve">A voluntary question on the census </w:t>
                            </w:r>
                            <w:r w:rsidR="00A74E42">
                              <w:rPr>
                                <w:rFonts w:cs="Arial"/>
                                <w:color w:val="FFFFFF" w:themeColor="background1"/>
                                <w:szCs w:val="24"/>
                              </w:rPr>
                              <w:t xml:space="preserve">asks </w:t>
                            </w:r>
                            <w:r w:rsidR="004550ED">
                              <w:rPr>
                                <w:rFonts w:cs="Arial"/>
                                <w:color w:val="FFFFFF" w:themeColor="background1"/>
                                <w:szCs w:val="24"/>
                              </w:rPr>
                              <w:t xml:space="preserve">respondents for their religious faith. </w:t>
                            </w:r>
                            <w:r w:rsidR="009B6EB6">
                              <w:rPr>
                                <w:rFonts w:cs="Arial"/>
                                <w:color w:val="FFFFFF" w:themeColor="background1"/>
                                <w:szCs w:val="24"/>
                              </w:rPr>
                              <w:t xml:space="preserve">‘Religion’ refers to how residents respond to </w:t>
                            </w:r>
                            <w:r w:rsidR="004550ED">
                              <w:rPr>
                                <w:rFonts w:cs="Arial"/>
                                <w:color w:val="FFFFFF" w:themeColor="background1"/>
                                <w:szCs w:val="24"/>
                              </w:rPr>
                              <w:t>this question.</w:t>
                            </w:r>
                            <w:r w:rsidR="009B6EB6">
                              <w:rPr>
                                <w:rFonts w:cs="Arial"/>
                                <w:color w:val="FFFFFF" w:themeColor="background1"/>
                                <w:szCs w:val="24"/>
                              </w:rPr>
                              <w:t xml:space="preserve"> </w:t>
                            </w:r>
                          </w:p>
                          <w:p w14:paraId="6FEB805D" w14:textId="5CE44C82"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wps:txbx>
                      <wps:bodyPr rot="0" vert="horz" wrap="square" lIns="91440" tIns="45720" rIns="91440" bIns="45720" anchor="t" anchorCtr="0">
                        <a:spAutoFit/>
                      </wps:bodyPr>
                    </wps:wsp>
                  </a:graphicData>
                </a:graphic>
              </wp:inline>
            </w:drawing>
          </mc:Choice>
          <mc:Fallback>
            <w:pict>
              <v:shapetype w14:anchorId="5D82AF1F" id="_x0000_t202" coordsize="21600,21600" o:spt="202" path="m,l,21600r21600,l21600,xe">
                <v:stroke joinstyle="miter"/>
                <v:path gradientshapeok="t" o:connecttype="rect"/>
              </v:shapetype>
              <v:shape id="Text Box 2" o:spid="_x0000_s1026" type="#_x0000_t202" style="width:44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" fillcolor="#2c5060 [3204]" strokecolor="#2c5060 [3204]" strokeweight="1.5pt">
                <v:textbox style="mso-fit-shape-to-text:t">
                  <w:txbxContent>
                    <w:p w14:paraId="68A5C494" w14:textId="1829886D" w:rsidR="00786EA9" w:rsidRPr="007222D5" w:rsidRDefault="00786EA9" w:rsidP="00786EA9">
                      <w:pPr>
                        <w:rPr>
                          <w:b/>
                          <w:bCs/>
                          <w:color w:val="FFFFFF" w:themeColor="background1"/>
                        </w:rPr>
                      </w:pPr>
                      <w:r w:rsidRPr="007222D5">
                        <w:rPr>
                          <w:b/>
                          <w:bCs/>
                          <w:color w:val="FFFFFF" w:themeColor="background1"/>
                        </w:rPr>
                        <w:t xml:space="preserve">Dataset: </w:t>
                      </w:r>
                      <w:r w:rsidR="0098529B">
                        <w:rPr>
                          <w:b/>
                          <w:bCs/>
                          <w:color w:val="FFFFFF" w:themeColor="background1"/>
                        </w:rPr>
                        <w:t>Religion</w:t>
                      </w:r>
                    </w:p>
                    <w:p w14:paraId="3A734EF0" w14:textId="562E810A" w:rsidR="00786EA9" w:rsidRPr="004F121A" w:rsidRDefault="00786EA9" w:rsidP="00786EA9">
                      <w:pPr>
                        <w:rPr>
                          <w:rFonts w:cs="Arial"/>
                          <w:color w:val="FFFFFF" w:themeColor="background1"/>
                          <w:szCs w:val="24"/>
                        </w:rPr>
                      </w:pPr>
                      <w:r w:rsidRPr="007A6358">
                        <w:rPr>
                          <w:rFonts w:cs="Arial"/>
                          <w:b/>
                          <w:bCs/>
                          <w:color w:val="FFFFFF" w:themeColor="background1"/>
                          <w:szCs w:val="24"/>
                        </w:rPr>
                        <w:t>Datalink</w:t>
                      </w:r>
                      <w:r>
                        <w:rPr>
                          <w:rFonts w:cs="Arial"/>
                          <w:b/>
                          <w:bCs/>
                          <w:color w:val="FFFFFF" w:themeColor="background1"/>
                          <w:szCs w:val="24"/>
                        </w:rPr>
                        <w:t>: the dataset used for this briefing can be accessed</w:t>
                      </w:r>
                      <w:r w:rsidR="00BE3D66" w:rsidRPr="006E30B9">
                        <w:rPr>
                          <w:rFonts w:cs="Arial"/>
                          <w:b/>
                          <w:bCs/>
                          <w:color w:val="FFFFFF" w:themeColor="background1"/>
                          <w:szCs w:val="24"/>
                        </w:rPr>
                        <w:t xml:space="preserve"> </w:t>
                      </w:r>
                      <w:hyperlink r:id="rId13" w:history="1">
                        <w:r w:rsidR="00BE3D66" w:rsidRPr="006E30B9">
                          <w:rPr>
                            <w:rStyle w:val="Hyperlink"/>
                            <w:rFonts w:cs="Arial"/>
                            <w:b/>
                            <w:color w:val="FFFFFF" w:themeColor="background1"/>
                            <w:szCs w:val="24"/>
                          </w:rPr>
                          <w:t>here</w:t>
                        </w:r>
                      </w:hyperlink>
                      <w:r w:rsidR="00BE3D66" w:rsidRPr="006E30B9">
                        <w:rPr>
                          <w:rFonts w:cs="Arial"/>
                          <w:bCs/>
                          <w:color w:val="FFFFFF" w:themeColor="background1"/>
                          <w:szCs w:val="24"/>
                          <w:u w:color="FFFFFF" w:themeColor="background1"/>
                        </w:rPr>
                        <w:t>.</w:t>
                      </w:r>
                    </w:p>
                    <w:p w14:paraId="74A8199D" w14:textId="35E60E90" w:rsidR="00786EA9" w:rsidRDefault="00786EA9" w:rsidP="00786EA9">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009B6EB6">
                        <w:rPr>
                          <w:rFonts w:cs="Arial"/>
                          <w:color w:val="FFFFFF" w:themeColor="background1"/>
                          <w:szCs w:val="24"/>
                        </w:rPr>
                        <w:t xml:space="preserve">A voluntary question on the census </w:t>
                      </w:r>
                      <w:r w:rsidR="00A74E42">
                        <w:rPr>
                          <w:rFonts w:cs="Arial"/>
                          <w:color w:val="FFFFFF" w:themeColor="background1"/>
                          <w:szCs w:val="24"/>
                        </w:rPr>
                        <w:t xml:space="preserve">asks </w:t>
                      </w:r>
                      <w:r w:rsidR="004550ED">
                        <w:rPr>
                          <w:rFonts w:cs="Arial"/>
                          <w:color w:val="FFFFFF" w:themeColor="background1"/>
                          <w:szCs w:val="24"/>
                        </w:rPr>
                        <w:t xml:space="preserve">respondents for their religious faith. </w:t>
                      </w:r>
                      <w:r w:rsidR="009B6EB6">
                        <w:rPr>
                          <w:rFonts w:cs="Arial"/>
                          <w:color w:val="FFFFFF" w:themeColor="background1"/>
                          <w:szCs w:val="24"/>
                        </w:rPr>
                        <w:t xml:space="preserve">‘Religion’ refers to how residents respond to </w:t>
                      </w:r>
                      <w:r w:rsidR="004550ED">
                        <w:rPr>
                          <w:rFonts w:cs="Arial"/>
                          <w:color w:val="FFFFFF" w:themeColor="background1"/>
                          <w:szCs w:val="24"/>
                        </w:rPr>
                        <w:t>this question.</w:t>
                      </w:r>
                      <w:r w:rsidR="009B6EB6">
                        <w:rPr>
                          <w:rFonts w:cs="Arial"/>
                          <w:color w:val="FFFFFF" w:themeColor="background1"/>
                          <w:szCs w:val="24"/>
                        </w:rPr>
                        <w:t xml:space="preserve"> </w:t>
                      </w:r>
                    </w:p>
                    <w:p w14:paraId="6FEB805D" w14:textId="5CE44C82" w:rsidR="00786EA9" w:rsidRPr="007A6358" w:rsidRDefault="00786EA9" w:rsidP="00786EA9">
                      <w:pPr>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2021.</w:t>
                      </w:r>
                      <w:r>
                        <w:rPr>
                          <w:rFonts w:cs="Arial"/>
                          <w:color w:val="FFFFFF" w:themeColor="background1"/>
                          <w:szCs w:val="24"/>
                        </w:rPr>
                        <w:t xml:space="preserve"> It</w:t>
                      </w:r>
                      <w:r w:rsidRPr="00183F03">
                        <w:rPr>
                          <w:rFonts w:cs="Arial"/>
                          <w:color w:val="FFFFFF" w:themeColor="background1"/>
                          <w:szCs w:val="24"/>
                        </w:rPr>
                        <w:t xml:space="preserve"> was undertaken during the Covid-19 pandemic so may not show </w:t>
                      </w:r>
                      <w:r w:rsidR="00775B0E">
                        <w:rPr>
                          <w:rFonts w:cs="Arial"/>
                          <w:color w:val="FFFFFF" w:themeColor="background1"/>
                          <w:szCs w:val="24"/>
                        </w:rPr>
                        <w:t>‘</w:t>
                      </w:r>
                      <w:r w:rsidRPr="00183F03">
                        <w:rPr>
                          <w:rFonts w:cs="Arial"/>
                          <w:color w:val="FFFFFF" w:themeColor="background1"/>
                          <w:szCs w:val="24"/>
                        </w:rPr>
                        <w:t>normal</w:t>
                      </w:r>
                      <w:r w:rsidR="00775B0E">
                        <w:rPr>
                          <w:rFonts w:cs="Arial"/>
                          <w:color w:val="FFFFFF" w:themeColor="background1"/>
                          <w:szCs w:val="24"/>
                        </w:rPr>
                        <w:t>’</w:t>
                      </w:r>
                      <w:r w:rsidRPr="00183F03">
                        <w:rPr>
                          <w:rFonts w:cs="Arial"/>
                          <w:color w:val="FFFFFF" w:themeColor="background1"/>
                          <w:szCs w:val="24"/>
                        </w:rPr>
                        <w:t xml:space="preserve"> population and household patterns due to temporary changes in living circumstances during the pandemic.</w:t>
                      </w:r>
                    </w:p>
                  </w:txbxContent>
                </v:textbox>
                <w10:anchorlock/>
              </v:shape>
            </w:pict>
          </mc:Fallback>
        </mc:AlternateContent>
      </w:r>
    </w:p>
    <w:p w14:paraId="473B2462" w14:textId="5EC7C09E" w:rsidR="00C06B4B" w:rsidRDefault="00C06B4B" w:rsidP="00332E59">
      <w:pPr>
        <w:spacing w:line="259" w:lineRule="auto"/>
        <w:rPr>
          <w:b/>
          <w:bCs/>
          <w:color w:val="595959" w:themeColor="text1" w:themeTint="A6"/>
          <w:sz w:val="28"/>
          <w:szCs w:val="28"/>
        </w:rPr>
      </w:pPr>
    </w:p>
    <w:p w14:paraId="0BD08CC1" w14:textId="77777777" w:rsidR="00332E59" w:rsidRPr="003D060D" w:rsidRDefault="00332E59" w:rsidP="003D060D">
      <w:pPr>
        <w:pStyle w:val="Heading2"/>
        <w:rPr>
          <w:rFonts w:ascii="Arial" w:hAnsi="Arial" w:cs="Arial"/>
          <w:sz w:val="52"/>
          <w:szCs w:val="52"/>
        </w:rPr>
      </w:pPr>
      <w:r w:rsidRPr="003D060D">
        <w:rPr>
          <w:rFonts w:ascii="Arial" w:hAnsi="Arial" w:cs="Arial"/>
          <w:sz w:val="52"/>
          <w:szCs w:val="52"/>
        </w:rPr>
        <w:t>Key points</w:t>
      </w:r>
    </w:p>
    <w:p w14:paraId="51E5E993" w14:textId="77777777" w:rsidR="00843EDA" w:rsidRPr="006A5B02" w:rsidRDefault="009A09E7" w:rsidP="00843EDA">
      <w:pPr>
        <w:pStyle w:val="ListParagraph"/>
        <w:numPr>
          <w:ilvl w:val="0"/>
          <w:numId w:val="5"/>
        </w:numPr>
        <w:ind w:left="426"/>
      </w:pPr>
      <w:r>
        <w:t xml:space="preserve">Slightly under half of Greater Manchester residents </w:t>
      </w:r>
      <w:r w:rsidR="00122AF5">
        <w:t>described themselves as Christian according to the 2021 census (47.8% compared with 46.3% in England</w:t>
      </w:r>
      <w:r w:rsidR="00843EDA">
        <w:t xml:space="preserve">). </w:t>
      </w:r>
      <w:r w:rsidR="00843EDA" w:rsidRPr="006A5B02">
        <w:t xml:space="preserve">Wigan was the only district within Greater Manchester where </w:t>
      </w:r>
      <w:proofErr w:type="gramStart"/>
      <w:r w:rsidR="00843EDA" w:rsidRPr="006A5B02">
        <w:t>a majority of</w:t>
      </w:r>
      <w:proofErr w:type="gramEnd"/>
      <w:r w:rsidR="00843EDA" w:rsidRPr="006A5B02">
        <w:t xml:space="preserve"> residents </w:t>
      </w:r>
      <w:r w:rsidR="00843EDA">
        <w:t>described themselves as</w:t>
      </w:r>
      <w:r w:rsidR="00843EDA" w:rsidRPr="006A5B02">
        <w:t xml:space="preserve"> Christian (62.8%).</w:t>
      </w:r>
    </w:p>
    <w:p w14:paraId="6EC1D157" w14:textId="554A8BD0" w:rsidR="009745D2" w:rsidRPr="006A5B02" w:rsidRDefault="00843EDA" w:rsidP="0043006E">
      <w:pPr>
        <w:pStyle w:val="ListParagraph"/>
        <w:numPr>
          <w:ilvl w:val="0"/>
          <w:numId w:val="5"/>
        </w:numPr>
        <w:ind w:left="426"/>
      </w:pPr>
      <w:r>
        <w:t>However, t</w:t>
      </w:r>
      <w:r w:rsidR="009745D2" w:rsidRPr="006A5B02">
        <w:t xml:space="preserve">he city region is arguably ‘more religious’ than most of England: the proportion of residents who said they had ‘no religion’ was lower and the proportion who </w:t>
      </w:r>
      <w:r w:rsidR="00B015F7">
        <w:t>described them</w:t>
      </w:r>
      <w:r w:rsidR="000E3662">
        <w:t xml:space="preserve">selves as </w:t>
      </w:r>
      <w:r w:rsidR="009745D2" w:rsidRPr="006A5B02">
        <w:t>Christian, Muslim or Jewish was higher. (However, the proportion who said they were Hindu was lower</w:t>
      </w:r>
      <w:r w:rsidR="00893C3A">
        <w:t xml:space="preserve"> than in England</w:t>
      </w:r>
      <w:r w:rsidR="009745D2" w:rsidRPr="006A5B02">
        <w:t xml:space="preserve">). </w:t>
      </w:r>
    </w:p>
    <w:p w14:paraId="4C2F436E" w14:textId="11D27671" w:rsidR="009745D2" w:rsidRPr="006A5B02" w:rsidRDefault="009745D2" w:rsidP="0043006E">
      <w:pPr>
        <w:pStyle w:val="ListParagraph"/>
        <w:numPr>
          <w:ilvl w:val="0"/>
          <w:numId w:val="5"/>
        </w:numPr>
        <w:ind w:left="426"/>
      </w:pPr>
      <w:r w:rsidRPr="006A5B02">
        <w:t xml:space="preserve">There have been </w:t>
      </w:r>
      <w:r w:rsidR="00B443C9">
        <w:t xml:space="preserve">relatively </w:t>
      </w:r>
      <w:r w:rsidRPr="006A5B02">
        <w:t xml:space="preserve">rapid changes in the religious affiliations of residents in the decade since the previous census in 2011. The largest change was for those residents who said they had ‘no religion’ (up by 64% in Greater Manchester in the decade between censuses). </w:t>
      </w:r>
    </w:p>
    <w:p w14:paraId="4C3AB484" w14:textId="6C7B5BBC" w:rsidR="009745D2" w:rsidRPr="006A5B02" w:rsidRDefault="009745D2" w:rsidP="0043006E">
      <w:pPr>
        <w:pStyle w:val="ListParagraph"/>
        <w:numPr>
          <w:ilvl w:val="0"/>
          <w:numId w:val="5"/>
        </w:numPr>
        <w:ind w:left="426"/>
      </w:pPr>
      <w:r w:rsidRPr="006A5B02">
        <w:t>There was a decline of 19% among residents who said they were Christian between the census years of 2011 and 2021. Residents who said they were Muslim increased by 61%</w:t>
      </w:r>
      <w:r w:rsidR="00612110">
        <w:t xml:space="preserve">; </w:t>
      </w:r>
      <w:r w:rsidR="00924B00">
        <w:t>t</w:t>
      </w:r>
      <w:r w:rsidRPr="006A5B02">
        <w:t>hose who said they were Jewish rose by 12%</w:t>
      </w:r>
      <w:r w:rsidR="00612110">
        <w:t>;</w:t>
      </w:r>
      <w:r w:rsidRPr="006A5B02">
        <w:t xml:space="preserve"> and Hindus by 19%.</w:t>
      </w:r>
    </w:p>
    <w:p w14:paraId="2B31AC0E" w14:textId="77777777" w:rsidR="00924B00" w:rsidRDefault="00924B00" w:rsidP="00332E59">
      <w:pPr>
        <w:rPr>
          <w:rFonts w:asciiTheme="minorHAnsi" w:hAnsiTheme="minorHAnsi"/>
          <w:b/>
          <w:bCs/>
          <w:color w:val="2C5060" w:themeColor="accent1"/>
          <w:sz w:val="52"/>
          <w:szCs w:val="40"/>
        </w:rPr>
      </w:pPr>
    </w:p>
    <w:p w14:paraId="253977E6" w14:textId="6DBA9D4E" w:rsidR="00332E59" w:rsidRPr="00055408" w:rsidRDefault="00332E59" w:rsidP="006E30B9">
      <w:pPr>
        <w:pStyle w:val="Heading2"/>
        <w:rPr>
          <w:rFonts w:ascii="Arial" w:hAnsi="Arial" w:cs="Arial"/>
          <w:sz w:val="36"/>
          <w:szCs w:val="36"/>
        </w:rPr>
      </w:pPr>
      <w:r w:rsidRPr="00055408">
        <w:rPr>
          <w:rFonts w:ascii="Arial" w:hAnsi="Arial" w:cs="Arial"/>
          <w:sz w:val="36"/>
          <w:szCs w:val="36"/>
        </w:rPr>
        <w:lastRenderedPageBreak/>
        <w:t>Findings</w:t>
      </w:r>
    </w:p>
    <w:p w14:paraId="146CBE70" w14:textId="0DE2BD9D" w:rsidR="00162BE6" w:rsidRPr="006A5B02" w:rsidRDefault="00162BE6" w:rsidP="00162BE6">
      <w:pPr>
        <w:rPr>
          <w:rFonts w:cs="Arial"/>
          <w:szCs w:val="24"/>
        </w:rPr>
      </w:pPr>
      <w:r w:rsidRPr="006A5B02">
        <w:rPr>
          <w:rFonts w:cs="Arial"/>
          <w:szCs w:val="24"/>
        </w:rPr>
        <w:t xml:space="preserve">The 2021 census offered nine possible responses to a question on religious faith – ‘no religion’, Christian, Buddhist, Hindu, Jewish, Muslim, Sikh, ‘other religion’ and ‘not answered’. The religion question was voluntary. Some 94% of census respondents </w:t>
      </w:r>
      <w:r w:rsidR="00A136E5">
        <w:rPr>
          <w:rFonts w:cs="Arial"/>
          <w:szCs w:val="24"/>
        </w:rPr>
        <w:t>answered it.</w:t>
      </w:r>
    </w:p>
    <w:p w14:paraId="2AD29ABE" w14:textId="2ABDC82B" w:rsidR="00162BE6" w:rsidRPr="006A5B02" w:rsidRDefault="00162BE6" w:rsidP="00162BE6">
      <w:pPr>
        <w:rPr>
          <w:rFonts w:cs="Arial"/>
          <w:szCs w:val="24"/>
        </w:rPr>
      </w:pPr>
      <w:r w:rsidRPr="006A5B02">
        <w:rPr>
          <w:rFonts w:cs="Arial"/>
          <w:szCs w:val="24"/>
        </w:rPr>
        <w:t>In Greater Manchester</w:t>
      </w:r>
      <w:r w:rsidR="00216600">
        <w:rPr>
          <w:rFonts w:cs="Arial"/>
          <w:szCs w:val="24"/>
        </w:rPr>
        <w:t xml:space="preserve"> – as elsewhere in England and Wales </w:t>
      </w:r>
      <w:r w:rsidR="000C1684">
        <w:rPr>
          <w:rFonts w:cs="Arial"/>
          <w:szCs w:val="24"/>
        </w:rPr>
        <w:t>–</w:t>
      </w:r>
      <w:r w:rsidR="00216600">
        <w:rPr>
          <w:rFonts w:cs="Arial"/>
          <w:szCs w:val="24"/>
        </w:rPr>
        <w:t xml:space="preserve"> </w:t>
      </w:r>
      <w:r w:rsidR="000C1684">
        <w:rPr>
          <w:rFonts w:cs="Arial"/>
          <w:szCs w:val="24"/>
        </w:rPr>
        <w:t>Christianity has become a minority religion. Some</w:t>
      </w:r>
      <w:r w:rsidRPr="006A5B02">
        <w:rPr>
          <w:rFonts w:cs="Arial"/>
          <w:szCs w:val="24"/>
        </w:rPr>
        <w:t xml:space="preserve"> 47.8% of residents said that they were Christian (46.3% in England). The next most popular responses were ‘no religion’ (31.8%</w:t>
      </w:r>
      <w:r w:rsidR="004A75F7">
        <w:rPr>
          <w:rFonts w:cs="Arial"/>
          <w:szCs w:val="24"/>
        </w:rPr>
        <w:t>,</w:t>
      </w:r>
      <w:r w:rsidRPr="006A5B02">
        <w:rPr>
          <w:rFonts w:cs="Arial"/>
          <w:szCs w:val="24"/>
        </w:rPr>
        <w:t xml:space="preserve"> compared with 36.7% in England</w:t>
      </w:r>
      <w:r w:rsidR="004A75F7">
        <w:rPr>
          <w:rFonts w:cs="Arial"/>
          <w:szCs w:val="24"/>
        </w:rPr>
        <w:t>)</w:t>
      </w:r>
      <w:r w:rsidRPr="006A5B02">
        <w:rPr>
          <w:rFonts w:cs="Arial"/>
          <w:szCs w:val="24"/>
        </w:rPr>
        <w:t xml:space="preserve"> and Muslim (12.1%; 6.7% in England). Jewish people accounted for 1.2% of residents in Greater Manchester and Hindus for 1</w:t>
      </w:r>
      <w:r w:rsidR="00D36425">
        <w:rPr>
          <w:rFonts w:cs="Arial"/>
          <w:szCs w:val="24"/>
        </w:rPr>
        <w:t>.0</w:t>
      </w:r>
      <w:r w:rsidRPr="006A5B02">
        <w:rPr>
          <w:rFonts w:cs="Arial"/>
          <w:szCs w:val="24"/>
        </w:rPr>
        <w:t xml:space="preserve">% (compared with 0.5% and 1.8% respectively for England). Other faith groups accounted for less than 1% of residents. </w:t>
      </w:r>
    </w:p>
    <w:p w14:paraId="6C872C82" w14:textId="251135D4" w:rsidR="00162BE6" w:rsidRPr="006A5B02" w:rsidRDefault="006E0509" w:rsidP="00162BE6">
      <w:pPr>
        <w:rPr>
          <w:rFonts w:cs="Arial"/>
          <w:szCs w:val="24"/>
        </w:rPr>
      </w:pPr>
      <w:r>
        <w:rPr>
          <w:rFonts w:cs="Arial"/>
          <w:szCs w:val="24"/>
        </w:rPr>
        <w:t>T</w:t>
      </w:r>
      <w:r w:rsidR="00162BE6" w:rsidRPr="006A5B02">
        <w:rPr>
          <w:rFonts w:cs="Arial"/>
          <w:szCs w:val="24"/>
        </w:rPr>
        <w:t xml:space="preserve">here were large differences between the districts of Greater Manchester in the </w:t>
      </w:r>
      <w:r w:rsidR="00A123A6">
        <w:rPr>
          <w:rFonts w:cs="Arial"/>
          <w:szCs w:val="24"/>
        </w:rPr>
        <w:t>responses</w:t>
      </w:r>
      <w:r w:rsidR="00162BE6" w:rsidRPr="006A5B02">
        <w:rPr>
          <w:rFonts w:cs="Arial"/>
          <w:szCs w:val="24"/>
        </w:rPr>
        <w:t xml:space="preserve"> of residents. For example, in Wigan, 62.8% identified as Christian. Meanwhile, in Oldham slightly less than a quarter of residents (24.4%) said they were Muslims. Jewish people accounted for 5.5% of Bury residents. </w:t>
      </w:r>
    </w:p>
    <w:p w14:paraId="18C36DFE" w14:textId="77777777" w:rsidR="00162BE6" w:rsidRDefault="00162BE6" w:rsidP="00162BE6">
      <w:pPr>
        <w:rPr>
          <w:rFonts w:cs="Arial"/>
          <w:szCs w:val="24"/>
        </w:rPr>
      </w:pPr>
      <w:r w:rsidRPr="006A5B02">
        <w:rPr>
          <w:rFonts w:cs="Arial"/>
          <w:szCs w:val="24"/>
        </w:rPr>
        <w:t>Stockport was the only district of Greater Manchester where the proportion of residents who said they had ‘no religion’ (39.6%) was higher than the English average. In all other districts the ‘no religion’ response was lower.</w:t>
      </w:r>
    </w:p>
    <w:p w14:paraId="5897FDE4" w14:textId="1BADD504" w:rsidR="00350085" w:rsidRPr="006A5B02" w:rsidRDefault="00350085" w:rsidP="00350085">
      <w:pPr>
        <w:rPr>
          <w:rFonts w:cs="Arial"/>
          <w:szCs w:val="24"/>
        </w:rPr>
      </w:pPr>
      <w:r>
        <w:rPr>
          <w:rFonts w:cs="Arial"/>
          <w:szCs w:val="24"/>
        </w:rPr>
        <w:t xml:space="preserve">Overall, ‘people of faith’ – that is, all those who affiliated with one of the religious responses on the census - accounted for </w:t>
      </w:r>
      <w:r w:rsidR="001745C3">
        <w:rPr>
          <w:rFonts w:cs="Arial"/>
          <w:szCs w:val="24"/>
        </w:rPr>
        <w:t>63% of all residents</w:t>
      </w:r>
      <w:r w:rsidR="00B92F0E">
        <w:rPr>
          <w:rFonts w:cs="Arial"/>
          <w:szCs w:val="24"/>
        </w:rPr>
        <w:t>, or just over 1.8 million people</w:t>
      </w:r>
      <w:r w:rsidR="00204FA1">
        <w:rPr>
          <w:rFonts w:cs="Arial"/>
          <w:szCs w:val="24"/>
        </w:rPr>
        <w:t xml:space="preserve">. Those with ‘no religion’ accounted for </w:t>
      </w:r>
      <w:r w:rsidR="005E391B">
        <w:rPr>
          <w:rFonts w:cs="Arial"/>
          <w:szCs w:val="24"/>
        </w:rPr>
        <w:t>32%</w:t>
      </w:r>
      <w:r w:rsidR="00B92F0E">
        <w:rPr>
          <w:rFonts w:cs="Arial"/>
          <w:szCs w:val="24"/>
        </w:rPr>
        <w:t xml:space="preserve"> (915,590 people)</w:t>
      </w:r>
      <w:r w:rsidR="005E391B">
        <w:rPr>
          <w:rFonts w:cs="Arial"/>
          <w:szCs w:val="24"/>
        </w:rPr>
        <w:t xml:space="preserve">. </w:t>
      </w:r>
      <w:r w:rsidR="00C54CCE">
        <w:rPr>
          <w:rFonts w:cs="Arial"/>
          <w:szCs w:val="24"/>
        </w:rPr>
        <w:t xml:space="preserve">(The remainder declined to answer). </w:t>
      </w:r>
      <w:r>
        <w:rPr>
          <w:rFonts w:cs="Arial"/>
          <w:szCs w:val="24"/>
        </w:rPr>
        <w:t>This compares with 39% in England who said they had no religion.</w:t>
      </w:r>
    </w:p>
    <w:p w14:paraId="59F3FD7A" w14:textId="53CA763F" w:rsidR="00350085" w:rsidRDefault="00350085" w:rsidP="00350085">
      <w:pPr>
        <w:rPr>
          <w:rFonts w:cs="Arial"/>
          <w:szCs w:val="24"/>
        </w:rPr>
      </w:pPr>
      <w:r w:rsidRPr="006A5B02">
        <w:rPr>
          <w:rFonts w:cs="Arial"/>
          <w:szCs w:val="24"/>
        </w:rPr>
        <w:t>Among faith groups with smaller numbers of adherents, there were 9,530 Buddhists in Greater Manchester, 7,350 Sikhs and 10,800 who chose ‘other religion’ for their response, according to the 2021 census.</w:t>
      </w:r>
    </w:p>
    <w:p w14:paraId="4F08D21A" w14:textId="6694FA89" w:rsidR="00350085" w:rsidRPr="00B63D67" w:rsidRDefault="0063472E" w:rsidP="00332E59">
      <w:pPr>
        <w:rPr>
          <w:rFonts w:cs="Arial"/>
          <w:szCs w:val="24"/>
        </w:rPr>
      </w:pPr>
      <w:r>
        <w:rPr>
          <w:rFonts w:cs="Arial"/>
          <w:szCs w:val="24"/>
        </w:rPr>
        <w:t xml:space="preserve">Religious identity differs significantly by age. </w:t>
      </w:r>
      <w:r w:rsidR="0000293E">
        <w:rPr>
          <w:rFonts w:cs="Arial"/>
          <w:szCs w:val="24"/>
        </w:rPr>
        <w:t xml:space="preserve">The most popular response among young people aged between 16 and 24 to the religion question was ‘no religion’ </w:t>
      </w:r>
      <w:r w:rsidR="004E3634">
        <w:rPr>
          <w:rFonts w:cs="Arial"/>
          <w:szCs w:val="24"/>
        </w:rPr>
        <w:t>(40.6%</w:t>
      </w:r>
      <w:r w:rsidR="002373A2">
        <w:rPr>
          <w:rFonts w:cs="Arial"/>
          <w:szCs w:val="24"/>
        </w:rPr>
        <w:t xml:space="preserve"> in Greater Manchester</w:t>
      </w:r>
      <w:r w:rsidR="004E3634">
        <w:rPr>
          <w:rFonts w:cs="Arial"/>
          <w:szCs w:val="24"/>
        </w:rPr>
        <w:t xml:space="preserve">; 47.5% in England). </w:t>
      </w:r>
      <w:r w:rsidR="00AE295A">
        <w:rPr>
          <w:rFonts w:cs="Arial"/>
          <w:szCs w:val="24"/>
        </w:rPr>
        <w:t xml:space="preserve">However, by far the most </w:t>
      </w:r>
      <w:r w:rsidR="00AE295A">
        <w:rPr>
          <w:rFonts w:cs="Arial"/>
          <w:szCs w:val="24"/>
        </w:rPr>
        <w:lastRenderedPageBreak/>
        <w:t xml:space="preserve">common response among people aged between 65 and 74 was </w:t>
      </w:r>
      <w:r w:rsidR="00357771">
        <w:rPr>
          <w:rFonts w:cs="Arial"/>
          <w:szCs w:val="24"/>
        </w:rPr>
        <w:t>Christian (71.9%</w:t>
      </w:r>
      <w:r w:rsidR="00B63D67">
        <w:rPr>
          <w:rFonts w:cs="Arial"/>
          <w:szCs w:val="24"/>
        </w:rPr>
        <w:t xml:space="preserve"> in Greater Manchester</w:t>
      </w:r>
      <w:r w:rsidR="00357771">
        <w:rPr>
          <w:rFonts w:cs="Arial"/>
          <w:szCs w:val="24"/>
        </w:rPr>
        <w:t xml:space="preserve">; 68.4% in England). </w:t>
      </w:r>
    </w:p>
    <w:p w14:paraId="63758572" w14:textId="6BC4B458" w:rsidR="00332E59" w:rsidRPr="00B92F0E" w:rsidRDefault="00BB7636" w:rsidP="00332E59">
      <w:pPr>
        <w:rPr>
          <w:rFonts w:cs="Arial"/>
          <w:b/>
          <w:bCs/>
          <w:szCs w:val="24"/>
        </w:rPr>
      </w:pPr>
      <w:r w:rsidRPr="00B92F0E">
        <w:rPr>
          <w:rFonts w:cs="Arial"/>
          <w:b/>
          <w:bCs/>
          <w:szCs w:val="24"/>
        </w:rPr>
        <w:t>Religious identities of residents, 2021</w:t>
      </w:r>
    </w:p>
    <w:p w14:paraId="2E8D54A3" w14:textId="424AFF65" w:rsidR="00332E59" w:rsidRPr="00935B0A" w:rsidRDefault="00BB7636" w:rsidP="00BB7636">
      <w:pPr>
        <w:ind w:left="-851"/>
        <w:jc w:val="center"/>
        <w:rPr>
          <w:rFonts w:cs="Arial"/>
          <w:b/>
          <w:bCs/>
          <w:szCs w:val="24"/>
        </w:rPr>
      </w:pPr>
      <w:r>
        <w:rPr>
          <w:noProof/>
        </w:rPr>
        <w:drawing>
          <wp:inline distT="0" distB="0" distL="0" distR="0" wp14:anchorId="523492A4" wp14:editId="0A231827">
            <wp:extent cx="5286375" cy="3613150"/>
            <wp:effectExtent l="0" t="0" r="9525" b="6350"/>
            <wp:docPr id="1" name="Chart 1" descr="This chart provides an overview of how Greater Manchester residents responded to the voluntary question on religion in the 2021 census, with results shown for the ten Greater Manchester districts individually (and benchmarking information showing the breakdown of responses for Greater Manchester (GM) as a whole and for England as a whole). The chart indicates that the proportion of residents choosing the &quot;no religion&quot; category varies across GM but was lower than the England average in all districts except Stockport, and allows visual inspection of a range of other differences when comparing places across the city region.">
              <a:extLst xmlns:a="http://schemas.openxmlformats.org/drawingml/2006/main">
                <a:ext uri="{FF2B5EF4-FFF2-40B4-BE49-F238E27FC236}">
                  <a16:creationId xmlns:a16="http://schemas.microsoft.com/office/drawing/2014/main" id="{7EDCA6D9-083B-E0C5-525A-A84CB65E3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48F0F8" w14:textId="77777777" w:rsidR="005E6F36" w:rsidRPr="008F2B53" w:rsidRDefault="002E0981" w:rsidP="005E6F36">
      <w:pPr>
        <w:tabs>
          <w:tab w:val="left" w:pos="7320"/>
        </w:tabs>
        <w:rPr>
          <w:rStyle w:val="Hyperlink"/>
          <w:rFonts w:cs="Arial"/>
          <w:i/>
          <w:iCs/>
          <w:szCs w:val="24"/>
        </w:rPr>
      </w:pPr>
      <w:r w:rsidRPr="008F2B53">
        <w:rPr>
          <w:rFonts w:cs="Arial"/>
          <w:i/>
          <w:iCs/>
          <w:szCs w:val="24"/>
        </w:rPr>
        <w:t xml:space="preserve">Source: ONS, Nomis - </w:t>
      </w:r>
      <w:hyperlink r:id="rId15" w:history="1">
        <w:r w:rsidRPr="008F2B53">
          <w:rPr>
            <w:rStyle w:val="Hyperlink"/>
            <w:rFonts w:cs="Arial"/>
            <w:i/>
            <w:iCs/>
            <w:szCs w:val="24"/>
          </w:rPr>
          <w:t>2021 Census</w:t>
        </w:r>
      </w:hyperlink>
    </w:p>
    <w:p w14:paraId="6EF98283" w14:textId="73AEDC5E" w:rsidR="00B10CBD" w:rsidRPr="008F2B53" w:rsidRDefault="00B10CBD" w:rsidP="005E6F36">
      <w:pPr>
        <w:tabs>
          <w:tab w:val="left" w:pos="7320"/>
        </w:tabs>
        <w:rPr>
          <w:rFonts w:cs="Arial"/>
          <w:i/>
          <w:iCs/>
          <w:color w:val="5C5B5A"/>
          <w:szCs w:val="24"/>
          <w:u w:val="single"/>
        </w:rPr>
      </w:pPr>
      <w:r w:rsidRPr="008F2B53">
        <w:rPr>
          <w:rFonts w:cs="Arial"/>
          <w:i/>
          <w:iCs/>
          <w:szCs w:val="24"/>
        </w:rPr>
        <w:t>Note: religions accounting for less than 1% of responses have been removed from the chart for visual clarity. The ‘not answered’ category has also been removed. GM refers to Greater Manchester.</w:t>
      </w:r>
    </w:p>
    <w:p w14:paraId="2CBE4B39" w14:textId="77777777" w:rsidR="00923928" w:rsidRDefault="00923928" w:rsidP="001804A1">
      <w:pPr>
        <w:rPr>
          <w:rFonts w:cs="Arial"/>
          <w:b/>
          <w:bCs/>
          <w:szCs w:val="24"/>
        </w:rPr>
      </w:pPr>
    </w:p>
    <w:p w14:paraId="73279CA1" w14:textId="419C859A" w:rsidR="001804A1" w:rsidRPr="00FC7523" w:rsidRDefault="001804A1" w:rsidP="006E30B9">
      <w:pPr>
        <w:rPr>
          <w:sz w:val="28"/>
          <w:szCs w:val="28"/>
        </w:rPr>
      </w:pPr>
      <w:r w:rsidRPr="00FC7523">
        <w:rPr>
          <w:sz w:val="28"/>
          <w:szCs w:val="28"/>
        </w:rPr>
        <w:t>Change</w:t>
      </w:r>
    </w:p>
    <w:p w14:paraId="64A68E78" w14:textId="4B67C755" w:rsidR="009E136D" w:rsidRDefault="001804A1" w:rsidP="001804A1">
      <w:pPr>
        <w:rPr>
          <w:rFonts w:cs="Arial"/>
          <w:szCs w:val="24"/>
        </w:rPr>
      </w:pPr>
      <w:r w:rsidRPr="006A5B02">
        <w:rPr>
          <w:rFonts w:cs="Arial"/>
          <w:szCs w:val="24"/>
        </w:rPr>
        <w:t>Patterns of religious adherence have changed significantly in the city region since the previous census o</w:t>
      </w:r>
      <w:r>
        <w:rPr>
          <w:rFonts w:cs="Arial"/>
          <w:szCs w:val="24"/>
        </w:rPr>
        <w:t>f</w:t>
      </w:r>
      <w:r w:rsidRPr="006A5B02">
        <w:rPr>
          <w:rFonts w:cs="Arial"/>
          <w:szCs w:val="24"/>
        </w:rPr>
        <w:t xml:space="preserve"> 2011. </w:t>
      </w:r>
      <w:r>
        <w:rPr>
          <w:rFonts w:cs="Arial"/>
          <w:szCs w:val="24"/>
        </w:rPr>
        <w:t xml:space="preserve">The largest single change (in numerical terms) is the growth of residents who say they have ‘no religion’. This response increased from 557,130 Greater Manchester residents in 2011 up to 915,590 (an increase of 64%). </w:t>
      </w:r>
    </w:p>
    <w:p w14:paraId="5D2EC9BF" w14:textId="6B5AC016" w:rsidR="001804A1" w:rsidRDefault="001804A1" w:rsidP="001804A1">
      <w:pPr>
        <w:rPr>
          <w:rFonts w:cs="Arial"/>
          <w:szCs w:val="24"/>
        </w:rPr>
      </w:pPr>
      <w:r>
        <w:rPr>
          <w:rFonts w:cs="Arial"/>
          <w:szCs w:val="24"/>
        </w:rPr>
        <w:t xml:space="preserve">Other </w:t>
      </w:r>
      <w:r w:rsidR="005A6193">
        <w:rPr>
          <w:rFonts w:cs="Arial"/>
          <w:szCs w:val="24"/>
        </w:rPr>
        <w:t>significant</w:t>
      </w:r>
      <w:r>
        <w:rPr>
          <w:rFonts w:cs="Arial"/>
          <w:szCs w:val="24"/>
        </w:rPr>
        <w:t xml:space="preserve"> differences between 2011 and 2021 included:</w:t>
      </w:r>
    </w:p>
    <w:p w14:paraId="3CD2DBBB" w14:textId="07E6CFC6" w:rsidR="00D71423" w:rsidRDefault="001804A1" w:rsidP="00A01A2D">
      <w:pPr>
        <w:pStyle w:val="ListParagraph"/>
        <w:numPr>
          <w:ilvl w:val="0"/>
          <w:numId w:val="4"/>
        </w:numPr>
      </w:pPr>
      <w:r>
        <w:lastRenderedPageBreak/>
        <w:t>A</w:t>
      </w:r>
      <w:r w:rsidRPr="00817AB7">
        <w:t xml:space="preserve"> decline </w:t>
      </w:r>
      <w:r>
        <w:t xml:space="preserve">in the number </w:t>
      </w:r>
      <w:r w:rsidRPr="00817AB7">
        <w:t>of residents who said they were Christian. This response declined by -19% in Greater Manchester between census years (</w:t>
      </w:r>
      <w:r w:rsidR="009E136D">
        <w:t>-</w:t>
      </w:r>
      <w:r w:rsidRPr="00817AB7">
        <w:t>17%</w:t>
      </w:r>
      <w:r w:rsidR="006957EC">
        <w:t xml:space="preserve"> in England</w:t>
      </w:r>
      <w:r w:rsidRPr="00817AB7">
        <w:t>)</w:t>
      </w:r>
      <w:r>
        <w:t xml:space="preserve">. </w:t>
      </w:r>
      <w:r w:rsidR="00C231DC">
        <w:t xml:space="preserve">Among young people aged between 16 and 24 there was a </w:t>
      </w:r>
      <w:r w:rsidR="00F90848">
        <w:t xml:space="preserve">much larger </w:t>
      </w:r>
      <w:r w:rsidR="00C231DC">
        <w:t xml:space="preserve">decline of 37.7% </w:t>
      </w:r>
      <w:r w:rsidR="004D6413">
        <w:t>in those who described themselves as Christian</w:t>
      </w:r>
      <w:r w:rsidR="005C158A">
        <w:t xml:space="preserve"> in Greater Manchester</w:t>
      </w:r>
      <w:r w:rsidR="004D6413">
        <w:t xml:space="preserve">. </w:t>
      </w:r>
    </w:p>
    <w:p w14:paraId="3CBD93FB" w14:textId="77777777" w:rsidR="00D50161" w:rsidRDefault="00D50161" w:rsidP="00D50161">
      <w:pPr>
        <w:pStyle w:val="ListParagraph"/>
        <w:ind w:left="790"/>
      </w:pPr>
    </w:p>
    <w:p w14:paraId="478278DA" w14:textId="484BD58B" w:rsidR="00FF294A" w:rsidRDefault="001804A1" w:rsidP="005C158A">
      <w:pPr>
        <w:pStyle w:val="ListParagraph"/>
        <w:numPr>
          <w:ilvl w:val="0"/>
          <w:numId w:val="4"/>
        </w:numPr>
      </w:pPr>
      <w:r w:rsidRPr="00817AB7">
        <w:t>A</w:t>
      </w:r>
      <w:r>
        <w:t xml:space="preserve">n </w:t>
      </w:r>
      <w:r w:rsidRPr="00817AB7">
        <w:t xml:space="preserve">increase in the population who said they were Muslim. Those who answered ‘Muslim’ increased from 232,790 residents </w:t>
      </w:r>
      <w:r>
        <w:t xml:space="preserve">in 2011 </w:t>
      </w:r>
      <w:r w:rsidRPr="00817AB7">
        <w:t xml:space="preserve">to 373,875 </w:t>
      </w:r>
      <w:r>
        <w:t xml:space="preserve">in 2021 </w:t>
      </w:r>
      <w:r w:rsidRPr="00817AB7">
        <w:t xml:space="preserve">(an increase of 61% compared with a 43% increase in England). </w:t>
      </w:r>
    </w:p>
    <w:p w14:paraId="229E94C7" w14:textId="77777777" w:rsidR="005C158A" w:rsidRDefault="005C158A" w:rsidP="009E136D"/>
    <w:p w14:paraId="1D2FE1C7" w14:textId="204C1A6D" w:rsidR="00372274" w:rsidRPr="00B92F0E" w:rsidRDefault="0046698D" w:rsidP="009E136D">
      <w:pPr>
        <w:rPr>
          <w:b/>
          <w:bCs/>
        </w:rPr>
      </w:pPr>
      <w:r w:rsidRPr="00B92F0E">
        <w:rPr>
          <w:b/>
          <w:bCs/>
        </w:rPr>
        <w:t xml:space="preserve">Residents who </w:t>
      </w:r>
      <w:r w:rsidR="00365628" w:rsidRPr="00B92F0E">
        <w:rPr>
          <w:b/>
          <w:bCs/>
        </w:rPr>
        <w:t>said they had ‘no religion’</w:t>
      </w:r>
      <w:r w:rsidR="00FF294A" w:rsidRPr="00B92F0E">
        <w:rPr>
          <w:b/>
          <w:bCs/>
        </w:rPr>
        <w:t>, 2011-2021</w:t>
      </w:r>
    </w:p>
    <w:p w14:paraId="6C82067C" w14:textId="719FB169" w:rsidR="00ED6B70" w:rsidRDefault="00ED6B70" w:rsidP="004A2689">
      <w:pPr>
        <w:jc w:val="center"/>
        <w:rPr>
          <w:lang w:eastAsia="en-GB"/>
        </w:rPr>
      </w:pPr>
      <w:r>
        <w:rPr>
          <w:noProof/>
        </w:rPr>
        <w:drawing>
          <wp:inline distT="0" distB="0" distL="0" distR="0" wp14:anchorId="7FEF9EF1" wp14:editId="7DD7377D">
            <wp:extent cx="5772150" cy="3419475"/>
            <wp:effectExtent l="0" t="0" r="0" b="9525"/>
            <wp:docPr id="4" name="Chart 4" descr="This chart provides an overview of what proportion of residents said they had 'no religion', presenting figures for 2011 and 2021 for each of the ten Greater Manchester districts individually, for Greater Manchester as a whole, and for England overall. The chart visualises the growth of residents who say they have ‘no religion’ (which increased by 64% across GM as a whole), and confirms that all districts of the conurbation except Manchester underwent larger increases in this response than the English average (58%). ">
              <a:extLst xmlns:a="http://schemas.openxmlformats.org/drawingml/2006/main">
                <a:ext uri="{FF2B5EF4-FFF2-40B4-BE49-F238E27FC236}">
                  <a16:creationId xmlns:a16="http://schemas.microsoft.com/office/drawing/2014/main" id="{1C7FF056-B507-2FE1-6DBC-99AA5CA246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660E98" w14:textId="216A3556" w:rsidR="00365628" w:rsidRDefault="00365628" w:rsidP="00365628">
      <w:pPr>
        <w:rPr>
          <w:lang w:eastAsia="en-GB"/>
        </w:rPr>
      </w:pPr>
      <w:r>
        <w:rPr>
          <w:lang w:eastAsia="en-GB"/>
        </w:rPr>
        <w:t>Source: Census, 2011, 2021</w:t>
      </w:r>
      <w:r w:rsidR="002374CD">
        <w:rPr>
          <w:lang w:eastAsia="en-GB"/>
        </w:rPr>
        <w:t>; GM refers to Greater Manchester</w:t>
      </w:r>
    </w:p>
    <w:p w14:paraId="04830DE0" w14:textId="32B800D9" w:rsidR="00365628" w:rsidRDefault="00365628" w:rsidP="00365628">
      <w:pPr>
        <w:rPr>
          <w:lang w:eastAsia="en-GB"/>
        </w:rPr>
      </w:pPr>
    </w:p>
    <w:p w14:paraId="580560B1" w14:textId="615B5AAA" w:rsidR="00365628" w:rsidRDefault="00365628" w:rsidP="00365628">
      <w:pPr>
        <w:rPr>
          <w:lang w:eastAsia="en-GB"/>
        </w:rPr>
      </w:pPr>
    </w:p>
    <w:p w14:paraId="08B208F9" w14:textId="310EEA6F" w:rsidR="00365628" w:rsidRDefault="00365628" w:rsidP="00365628">
      <w:pPr>
        <w:rPr>
          <w:lang w:eastAsia="en-GB"/>
        </w:rPr>
      </w:pPr>
    </w:p>
    <w:p w14:paraId="3C9BFDDA" w14:textId="77777777" w:rsidR="005C158A" w:rsidRDefault="005C158A" w:rsidP="00365628">
      <w:pPr>
        <w:rPr>
          <w:lang w:eastAsia="en-GB"/>
        </w:rPr>
      </w:pPr>
    </w:p>
    <w:p w14:paraId="7ED676DD" w14:textId="77F7D776" w:rsidR="00365628" w:rsidRPr="00B92F0E" w:rsidRDefault="00365628" w:rsidP="00365628">
      <w:pPr>
        <w:rPr>
          <w:b/>
          <w:bCs/>
          <w:lang w:eastAsia="en-GB"/>
        </w:rPr>
      </w:pPr>
      <w:r w:rsidRPr="00B92F0E">
        <w:rPr>
          <w:b/>
          <w:bCs/>
          <w:lang w:eastAsia="en-GB"/>
        </w:rPr>
        <w:lastRenderedPageBreak/>
        <w:t>R</w:t>
      </w:r>
      <w:r w:rsidR="006B67BA" w:rsidRPr="00B92F0E">
        <w:rPr>
          <w:b/>
          <w:bCs/>
          <w:lang w:eastAsia="en-GB"/>
        </w:rPr>
        <w:t xml:space="preserve">esidents who </w:t>
      </w:r>
      <w:r w:rsidR="00765DC9" w:rsidRPr="00B92F0E">
        <w:rPr>
          <w:b/>
          <w:bCs/>
          <w:lang w:eastAsia="en-GB"/>
        </w:rPr>
        <w:t>described themselves</w:t>
      </w:r>
      <w:r w:rsidR="00FF294A" w:rsidRPr="00B92F0E">
        <w:rPr>
          <w:b/>
          <w:bCs/>
          <w:lang w:eastAsia="en-GB"/>
        </w:rPr>
        <w:t xml:space="preserve"> </w:t>
      </w:r>
      <w:r w:rsidR="00765DC9" w:rsidRPr="00B92F0E">
        <w:rPr>
          <w:b/>
          <w:bCs/>
          <w:lang w:eastAsia="en-GB"/>
        </w:rPr>
        <w:t xml:space="preserve">as </w:t>
      </w:r>
      <w:r w:rsidR="006B67BA" w:rsidRPr="00B92F0E">
        <w:rPr>
          <w:b/>
          <w:bCs/>
          <w:lang w:eastAsia="en-GB"/>
        </w:rPr>
        <w:t>Muslim</w:t>
      </w:r>
      <w:r w:rsidR="00FF294A" w:rsidRPr="00B92F0E">
        <w:rPr>
          <w:b/>
          <w:bCs/>
          <w:lang w:eastAsia="en-GB"/>
        </w:rPr>
        <w:t>, 2011-2021</w:t>
      </w:r>
    </w:p>
    <w:p w14:paraId="5469F9C3" w14:textId="6BB91A6B" w:rsidR="00ED6B70" w:rsidRDefault="00ED6B70" w:rsidP="004A2689">
      <w:pPr>
        <w:jc w:val="center"/>
        <w:rPr>
          <w:lang w:eastAsia="en-GB"/>
        </w:rPr>
      </w:pPr>
      <w:r>
        <w:rPr>
          <w:noProof/>
        </w:rPr>
        <w:drawing>
          <wp:inline distT="0" distB="0" distL="0" distR="0" wp14:anchorId="0845AD4A" wp14:editId="6ABCA2C3">
            <wp:extent cx="5819775" cy="3133725"/>
            <wp:effectExtent l="0" t="0" r="9525" b="9525"/>
            <wp:docPr id="5" name="Chart 5" descr="This chart provides an overview of what proportion of residents said they had 'no religion', presenting figures for 2011 and 2021 for each of the ten Greater Manchester districts individually, for Greater Manchester as a whole, and for England overall. The chart visualises the increase in the population who said they were Muslim (which is an important facet of the population change across GM; an overall increase of 61% compared with a 43% increase in England). ">
              <a:extLst xmlns:a="http://schemas.openxmlformats.org/drawingml/2006/main">
                <a:ext uri="{FF2B5EF4-FFF2-40B4-BE49-F238E27FC236}">
                  <a16:creationId xmlns:a16="http://schemas.microsoft.com/office/drawing/2014/main" id="{8DD23E2B-02A7-783D-B3ED-911B47963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26CA60" w14:textId="522EB92D" w:rsidR="008265F3" w:rsidRPr="005F456E" w:rsidRDefault="005F456E" w:rsidP="00733655">
      <w:pPr>
        <w:rPr>
          <w:rFonts w:cs="Arial"/>
          <w:szCs w:val="24"/>
        </w:rPr>
      </w:pPr>
      <w:r w:rsidRPr="005F456E">
        <w:rPr>
          <w:rFonts w:cs="Arial"/>
          <w:szCs w:val="24"/>
        </w:rPr>
        <w:t>Source: Census, 2011, 2021</w:t>
      </w:r>
    </w:p>
    <w:p w14:paraId="5D6C2FC7" w14:textId="77777777" w:rsidR="00B16814" w:rsidRDefault="00B16814" w:rsidP="00733655">
      <w:pPr>
        <w:rPr>
          <w:rFonts w:cs="Arial"/>
          <w:b/>
          <w:bCs/>
          <w:szCs w:val="24"/>
        </w:rPr>
      </w:pPr>
    </w:p>
    <w:p w14:paraId="6A58E088" w14:textId="0408B749" w:rsidR="00733655" w:rsidRPr="006E30B9" w:rsidRDefault="00733655" w:rsidP="00733655">
      <w:pPr>
        <w:rPr>
          <w:sz w:val="28"/>
          <w:szCs w:val="28"/>
        </w:rPr>
      </w:pPr>
      <w:r w:rsidRPr="006E30B9">
        <w:rPr>
          <w:sz w:val="28"/>
          <w:szCs w:val="28"/>
        </w:rPr>
        <w:t>Reflections</w:t>
      </w:r>
    </w:p>
    <w:p w14:paraId="6EAAB89D" w14:textId="451053AC" w:rsidR="00733655" w:rsidRDefault="00733655" w:rsidP="00733655">
      <w:pPr>
        <w:rPr>
          <w:rFonts w:cs="Arial"/>
          <w:szCs w:val="24"/>
        </w:rPr>
      </w:pPr>
      <w:r>
        <w:rPr>
          <w:rFonts w:cs="Arial"/>
          <w:szCs w:val="24"/>
        </w:rPr>
        <w:t>Religious identity is not reported on as frequently as topics such as ethnicity or disability. However, it</w:t>
      </w:r>
      <w:r w:rsidR="001919EC">
        <w:rPr>
          <w:rFonts w:cs="Arial"/>
          <w:szCs w:val="24"/>
        </w:rPr>
        <w:t xml:space="preserve"> may well be important to how r</w:t>
      </w:r>
      <w:r>
        <w:rPr>
          <w:rFonts w:cs="Arial"/>
          <w:szCs w:val="24"/>
        </w:rPr>
        <w:t xml:space="preserve">esidents see themselves. </w:t>
      </w:r>
    </w:p>
    <w:p w14:paraId="26795EDD" w14:textId="331654CA" w:rsidR="00733655" w:rsidRDefault="00733655" w:rsidP="00733655">
      <w:pPr>
        <w:rPr>
          <w:rFonts w:cs="Arial"/>
          <w:szCs w:val="24"/>
        </w:rPr>
      </w:pPr>
      <w:r>
        <w:rPr>
          <w:rFonts w:cs="Arial"/>
          <w:szCs w:val="24"/>
        </w:rPr>
        <w:t xml:space="preserve">In common with </w:t>
      </w:r>
      <w:r w:rsidR="00E91F0B">
        <w:rPr>
          <w:rFonts w:cs="Arial"/>
          <w:szCs w:val="24"/>
        </w:rPr>
        <w:t xml:space="preserve">many </w:t>
      </w:r>
      <w:r>
        <w:rPr>
          <w:rFonts w:cs="Arial"/>
          <w:szCs w:val="24"/>
        </w:rPr>
        <w:t xml:space="preserve">other English urban spaces Greater Manchester </w:t>
      </w:r>
      <w:r w:rsidR="00196C7F">
        <w:rPr>
          <w:rFonts w:cs="Arial"/>
          <w:szCs w:val="24"/>
        </w:rPr>
        <w:t>is religiously</w:t>
      </w:r>
      <w:r>
        <w:rPr>
          <w:rFonts w:cs="Arial"/>
          <w:szCs w:val="24"/>
        </w:rPr>
        <w:t xml:space="preserve"> diverse</w:t>
      </w:r>
      <w:r w:rsidR="00B92F0E">
        <w:rPr>
          <w:rFonts w:cs="Arial"/>
          <w:szCs w:val="24"/>
        </w:rPr>
        <w:t xml:space="preserve">, linking to its ethnic and cultural </w:t>
      </w:r>
      <w:r w:rsidR="000453D0">
        <w:rPr>
          <w:rFonts w:cs="Arial"/>
          <w:szCs w:val="24"/>
        </w:rPr>
        <w:t>mix</w:t>
      </w:r>
      <w:r>
        <w:rPr>
          <w:rFonts w:cs="Arial"/>
          <w:szCs w:val="24"/>
        </w:rPr>
        <w:t xml:space="preserve">. Although ‘Christian’ remained the most popular response when residents were asked for their religious identity in 2021, </w:t>
      </w:r>
      <w:r w:rsidR="00B92F0E">
        <w:rPr>
          <w:rFonts w:cs="Arial"/>
          <w:szCs w:val="24"/>
        </w:rPr>
        <w:t>a</w:t>
      </w:r>
      <w:r w:rsidR="00A70C95">
        <w:rPr>
          <w:rFonts w:cs="Arial"/>
          <w:szCs w:val="24"/>
        </w:rPr>
        <w:t xml:space="preserve"> minority of residents described th</w:t>
      </w:r>
      <w:r w:rsidR="00114A60">
        <w:rPr>
          <w:rFonts w:cs="Arial"/>
          <w:szCs w:val="24"/>
        </w:rPr>
        <w:t xml:space="preserve">emselves as Christian in the census. </w:t>
      </w:r>
      <w:r>
        <w:rPr>
          <w:rFonts w:cs="Arial"/>
          <w:szCs w:val="24"/>
        </w:rPr>
        <w:t xml:space="preserve"> </w:t>
      </w:r>
    </w:p>
    <w:p w14:paraId="193919A2" w14:textId="5CFE8E2F" w:rsidR="00733655" w:rsidRDefault="00733655" w:rsidP="00733655">
      <w:pPr>
        <w:rPr>
          <w:rFonts w:cs="Arial"/>
          <w:szCs w:val="24"/>
        </w:rPr>
      </w:pPr>
      <w:r>
        <w:rPr>
          <w:rFonts w:cs="Arial"/>
          <w:szCs w:val="24"/>
        </w:rPr>
        <w:t xml:space="preserve">Changes in religious adherence in British society are sometimes described as a process of ‘secularisation’. </w:t>
      </w:r>
      <w:r w:rsidR="00637AFC">
        <w:rPr>
          <w:rFonts w:cs="Arial"/>
          <w:szCs w:val="24"/>
        </w:rPr>
        <w:t xml:space="preserve">There are trends that support this idea. </w:t>
      </w:r>
      <w:r>
        <w:rPr>
          <w:rFonts w:cs="Arial"/>
          <w:szCs w:val="24"/>
        </w:rPr>
        <w:t xml:space="preserve">For instance, </w:t>
      </w:r>
      <w:r w:rsidR="006C576D">
        <w:rPr>
          <w:rFonts w:cs="Arial"/>
          <w:szCs w:val="24"/>
        </w:rPr>
        <w:t>a large</w:t>
      </w:r>
      <w:r>
        <w:rPr>
          <w:rFonts w:cs="Arial"/>
          <w:szCs w:val="24"/>
        </w:rPr>
        <w:t xml:space="preserve"> increase among those who said they had ‘no religion’</w:t>
      </w:r>
      <w:r w:rsidR="00B94A5E">
        <w:rPr>
          <w:rFonts w:cs="Arial"/>
          <w:szCs w:val="24"/>
        </w:rPr>
        <w:t xml:space="preserve"> between 2011 and 2021</w:t>
      </w:r>
      <w:r>
        <w:rPr>
          <w:rFonts w:cs="Arial"/>
          <w:szCs w:val="24"/>
        </w:rPr>
        <w:t xml:space="preserve">. </w:t>
      </w:r>
    </w:p>
    <w:p w14:paraId="37376678" w14:textId="7D3B910C" w:rsidR="00112D5C" w:rsidRPr="00084CD3" w:rsidRDefault="00733655" w:rsidP="00084CD3">
      <w:pPr>
        <w:rPr>
          <w:rFonts w:cs="Arial"/>
          <w:szCs w:val="24"/>
        </w:rPr>
      </w:pPr>
      <w:r>
        <w:rPr>
          <w:rFonts w:cs="Arial"/>
          <w:szCs w:val="24"/>
        </w:rPr>
        <w:t xml:space="preserve">However, in some ways ‘secularisation’ is a poor </w:t>
      </w:r>
      <w:r w:rsidR="002F7151">
        <w:rPr>
          <w:rFonts w:cs="Arial"/>
          <w:szCs w:val="24"/>
        </w:rPr>
        <w:t>description</w:t>
      </w:r>
      <w:r>
        <w:rPr>
          <w:rFonts w:cs="Arial"/>
          <w:szCs w:val="24"/>
        </w:rPr>
        <w:t>. Several religious group</w:t>
      </w:r>
      <w:r w:rsidR="00E500AC">
        <w:rPr>
          <w:rFonts w:cs="Arial"/>
          <w:szCs w:val="24"/>
        </w:rPr>
        <w:t>ing</w:t>
      </w:r>
      <w:r>
        <w:rPr>
          <w:rFonts w:cs="Arial"/>
          <w:szCs w:val="24"/>
        </w:rPr>
        <w:t xml:space="preserve">s </w:t>
      </w:r>
      <w:r w:rsidR="00E500AC">
        <w:rPr>
          <w:rFonts w:cs="Arial"/>
          <w:szCs w:val="24"/>
        </w:rPr>
        <w:t xml:space="preserve">of residents </w:t>
      </w:r>
      <w:r>
        <w:rPr>
          <w:rFonts w:cs="Arial"/>
          <w:szCs w:val="24"/>
        </w:rPr>
        <w:t xml:space="preserve">increased </w:t>
      </w:r>
      <w:r w:rsidR="00E500AC">
        <w:rPr>
          <w:rFonts w:cs="Arial"/>
          <w:szCs w:val="24"/>
        </w:rPr>
        <w:t>sharply</w:t>
      </w:r>
      <w:r w:rsidR="00084CD3">
        <w:rPr>
          <w:rFonts w:cs="Arial"/>
          <w:szCs w:val="24"/>
        </w:rPr>
        <w:t xml:space="preserve">. </w:t>
      </w:r>
      <w:r w:rsidR="00660902">
        <w:rPr>
          <w:rFonts w:cs="Arial"/>
          <w:szCs w:val="24"/>
        </w:rPr>
        <w:t>Furthermore</w:t>
      </w:r>
      <w:r>
        <w:rPr>
          <w:rFonts w:cs="Arial"/>
          <w:szCs w:val="24"/>
        </w:rPr>
        <w:t xml:space="preserve">, when ‘people of faith’ are combined, </w:t>
      </w:r>
      <w:r w:rsidR="00F269B4">
        <w:rPr>
          <w:rFonts w:cs="Arial"/>
          <w:szCs w:val="24"/>
        </w:rPr>
        <w:t xml:space="preserve">over </w:t>
      </w:r>
      <w:r w:rsidR="009E14FE">
        <w:rPr>
          <w:rFonts w:cs="Arial"/>
          <w:szCs w:val="24"/>
        </w:rPr>
        <w:t>two thirds</w:t>
      </w:r>
      <w:r>
        <w:rPr>
          <w:rFonts w:cs="Arial"/>
          <w:szCs w:val="24"/>
        </w:rPr>
        <w:t xml:space="preserve"> of </w:t>
      </w:r>
      <w:r w:rsidR="00B903FD">
        <w:rPr>
          <w:rFonts w:cs="Arial"/>
          <w:szCs w:val="24"/>
        </w:rPr>
        <w:t>residents</w:t>
      </w:r>
      <w:r>
        <w:rPr>
          <w:rFonts w:cs="Arial"/>
          <w:szCs w:val="24"/>
        </w:rPr>
        <w:t xml:space="preserve"> </w:t>
      </w:r>
      <w:r w:rsidR="00F269B4">
        <w:rPr>
          <w:rFonts w:cs="Arial"/>
          <w:szCs w:val="24"/>
        </w:rPr>
        <w:t xml:space="preserve">(66.3%) </w:t>
      </w:r>
      <w:r>
        <w:rPr>
          <w:rFonts w:cs="Arial"/>
          <w:szCs w:val="24"/>
        </w:rPr>
        <w:t xml:space="preserve">who answered the religion question on the 2021 census </w:t>
      </w:r>
      <w:r w:rsidR="003575B4">
        <w:rPr>
          <w:rFonts w:cs="Arial"/>
          <w:szCs w:val="24"/>
        </w:rPr>
        <w:t>(as opposed to all residents</w:t>
      </w:r>
      <w:r w:rsidR="00A642E3">
        <w:rPr>
          <w:rFonts w:cs="Arial"/>
          <w:szCs w:val="24"/>
        </w:rPr>
        <w:t xml:space="preserve">) </w:t>
      </w:r>
      <w:r>
        <w:rPr>
          <w:rFonts w:cs="Arial"/>
          <w:szCs w:val="24"/>
        </w:rPr>
        <w:t xml:space="preserve">said they identified with a religious faith in Greater Manchester </w:t>
      </w:r>
      <w:r w:rsidR="00705ED3">
        <w:rPr>
          <w:rFonts w:cs="Arial"/>
          <w:szCs w:val="24"/>
        </w:rPr>
        <w:t>(</w:t>
      </w:r>
      <w:r>
        <w:rPr>
          <w:rFonts w:cs="Arial"/>
          <w:szCs w:val="24"/>
        </w:rPr>
        <w:t>compared with 61% in England</w:t>
      </w:r>
      <w:r w:rsidR="00705ED3">
        <w:rPr>
          <w:rFonts w:cs="Arial"/>
          <w:szCs w:val="24"/>
        </w:rPr>
        <w:t>)</w:t>
      </w:r>
      <w:r>
        <w:rPr>
          <w:rFonts w:cs="Arial"/>
          <w:szCs w:val="24"/>
        </w:rPr>
        <w:t xml:space="preserve">. </w:t>
      </w:r>
    </w:p>
    <w:sectPr w:rsidR="00112D5C" w:rsidRPr="00084CD3" w:rsidSect="000D108F">
      <w:headerReference w:type="default" r:id="rId18"/>
      <w:footerReference w:type="default" r:id="rId19"/>
      <w:pgSz w:w="11906" w:h="16838" w:code="9"/>
      <w:pgMar w:top="1794"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B5EB" w14:textId="77777777" w:rsidR="002924FC" w:rsidRDefault="002924FC">
      <w:pPr>
        <w:spacing w:after="0" w:line="240" w:lineRule="auto"/>
      </w:pPr>
      <w:r>
        <w:separator/>
      </w:r>
    </w:p>
  </w:endnote>
  <w:endnote w:type="continuationSeparator" w:id="0">
    <w:p w14:paraId="3AAD04BB" w14:textId="77777777" w:rsidR="002924FC" w:rsidRDefault="0029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39336348"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81A5" w14:textId="77777777" w:rsidR="002924FC" w:rsidRDefault="002924FC">
      <w:pPr>
        <w:spacing w:after="0" w:line="240" w:lineRule="auto"/>
      </w:pPr>
      <w:r>
        <w:separator/>
      </w:r>
    </w:p>
  </w:footnote>
  <w:footnote w:type="continuationSeparator" w:id="0">
    <w:p w14:paraId="58DB1F0E" w14:textId="77777777" w:rsidR="002924FC" w:rsidRDefault="00292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5D12" w14:textId="77777777" w:rsidR="007222D5" w:rsidRDefault="002F4BA4">
    <w:pPr>
      <w:pStyle w:val="Header"/>
    </w:pPr>
    <w:r>
      <w:rPr>
        <w:noProof/>
      </w:rPr>
      <w:drawing>
        <wp:anchor distT="0" distB="0" distL="114300" distR="114300" simplePos="0" relativeHeight="251659264" behindDoc="1" locked="0" layoutInCell="1" allowOverlap="1" wp14:anchorId="2C0ED2F0" wp14:editId="5C96D1AD">
          <wp:simplePos x="0" y="0"/>
          <wp:positionH relativeFrom="column">
            <wp:posOffset>4997144</wp:posOffset>
          </wp:positionH>
          <wp:positionV relativeFrom="paragraph">
            <wp:posOffset>22247</wp:posOffset>
          </wp:positionV>
          <wp:extent cx="1005840" cy="259080"/>
          <wp:effectExtent l="0" t="0" r="3810" b="7620"/>
          <wp:wrapTight wrapText="bothSides">
            <wp:wrapPolygon edited="0">
              <wp:start x="0" y="0"/>
              <wp:lineTo x="0" y="20647"/>
              <wp:lineTo x="21273" y="20647"/>
              <wp:lineTo x="21273" y="15882"/>
              <wp:lineTo x="20455" y="0"/>
              <wp:lineTo x="0"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B65623" wp14:editId="1E1365EB">
          <wp:extent cx="923925" cy="388049"/>
          <wp:effectExtent l="0" t="0" r="0" b="0"/>
          <wp:docPr id="23" name="Picture 23" descr="JSNA - Demographics and population - Serv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NA - Demographics and population - Service Det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785" cy="41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44AAB"/>
    <w:multiLevelType w:val="hybridMultilevel"/>
    <w:tmpl w:val="6F08021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63B13FFC"/>
    <w:multiLevelType w:val="hybridMultilevel"/>
    <w:tmpl w:val="ED94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F2145"/>
    <w:multiLevelType w:val="hybridMultilevel"/>
    <w:tmpl w:val="3A16C548"/>
    <w:lvl w:ilvl="0" w:tplc="E98650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D3B3C"/>
    <w:multiLevelType w:val="hybridMultilevel"/>
    <w:tmpl w:val="5234233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6EE800FA"/>
    <w:multiLevelType w:val="hybridMultilevel"/>
    <w:tmpl w:val="53C87434"/>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024587">
    <w:abstractNumId w:val="4"/>
  </w:num>
  <w:num w:numId="2" w16cid:durableId="936332336">
    <w:abstractNumId w:val="2"/>
  </w:num>
  <w:num w:numId="3" w16cid:durableId="1794639749">
    <w:abstractNumId w:val="1"/>
  </w:num>
  <w:num w:numId="4" w16cid:durableId="2050063487">
    <w:abstractNumId w:val="3"/>
  </w:num>
  <w:num w:numId="5" w16cid:durableId="22310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8F"/>
    <w:rsid w:val="0000293E"/>
    <w:rsid w:val="000104D3"/>
    <w:rsid w:val="00014C7A"/>
    <w:rsid w:val="00043426"/>
    <w:rsid w:val="000453D0"/>
    <w:rsid w:val="000461C3"/>
    <w:rsid w:val="00046BFC"/>
    <w:rsid w:val="000521F1"/>
    <w:rsid w:val="00055408"/>
    <w:rsid w:val="000601BE"/>
    <w:rsid w:val="00084CD3"/>
    <w:rsid w:val="00095D00"/>
    <w:rsid w:val="0009651A"/>
    <w:rsid w:val="000A05D2"/>
    <w:rsid w:val="000A2B25"/>
    <w:rsid w:val="000A3E7B"/>
    <w:rsid w:val="000A5896"/>
    <w:rsid w:val="000B291A"/>
    <w:rsid w:val="000C1684"/>
    <w:rsid w:val="000C24D4"/>
    <w:rsid w:val="000C3166"/>
    <w:rsid w:val="000D108F"/>
    <w:rsid w:val="000D2A85"/>
    <w:rsid w:val="000D5179"/>
    <w:rsid w:val="000D5F60"/>
    <w:rsid w:val="000D7B4A"/>
    <w:rsid w:val="000E3662"/>
    <w:rsid w:val="000F2010"/>
    <w:rsid w:val="000F3BD0"/>
    <w:rsid w:val="00112D5C"/>
    <w:rsid w:val="0011320F"/>
    <w:rsid w:val="00114A60"/>
    <w:rsid w:val="00120041"/>
    <w:rsid w:val="00122AF5"/>
    <w:rsid w:val="00122FE8"/>
    <w:rsid w:val="0013149D"/>
    <w:rsid w:val="001320F5"/>
    <w:rsid w:val="00136029"/>
    <w:rsid w:val="00140A3F"/>
    <w:rsid w:val="00143CC0"/>
    <w:rsid w:val="00147690"/>
    <w:rsid w:val="001478B7"/>
    <w:rsid w:val="001518E5"/>
    <w:rsid w:val="00153C30"/>
    <w:rsid w:val="00162BE6"/>
    <w:rsid w:val="00163AA7"/>
    <w:rsid w:val="00164414"/>
    <w:rsid w:val="00165293"/>
    <w:rsid w:val="00171A0F"/>
    <w:rsid w:val="00171D24"/>
    <w:rsid w:val="001745C3"/>
    <w:rsid w:val="001804A1"/>
    <w:rsid w:val="0018063B"/>
    <w:rsid w:val="00181E87"/>
    <w:rsid w:val="00182D10"/>
    <w:rsid w:val="00187ADC"/>
    <w:rsid w:val="001919EC"/>
    <w:rsid w:val="00194322"/>
    <w:rsid w:val="00196C7F"/>
    <w:rsid w:val="001D1DAB"/>
    <w:rsid w:val="001D608A"/>
    <w:rsid w:val="001E161E"/>
    <w:rsid w:val="001E5CBD"/>
    <w:rsid w:val="001E6CF2"/>
    <w:rsid w:val="001E7279"/>
    <w:rsid w:val="001F2A22"/>
    <w:rsid w:val="001F519B"/>
    <w:rsid w:val="002006D4"/>
    <w:rsid w:val="00204FA1"/>
    <w:rsid w:val="00207897"/>
    <w:rsid w:val="00216600"/>
    <w:rsid w:val="00216C03"/>
    <w:rsid w:val="00217ED1"/>
    <w:rsid w:val="002220B1"/>
    <w:rsid w:val="002235D9"/>
    <w:rsid w:val="00224535"/>
    <w:rsid w:val="0023142D"/>
    <w:rsid w:val="002335DD"/>
    <w:rsid w:val="00234B3B"/>
    <w:rsid w:val="002371EF"/>
    <w:rsid w:val="002373A2"/>
    <w:rsid w:val="002374CD"/>
    <w:rsid w:val="00244256"/>
    <w:rsid w:val="00253E2F"/>
    <w:rsid w:val="002548CC"/>
    <w:rsid w:val="0026121B"/>
    <w:rsid w:val="002677BD"/>
    <w:rsid w:val="00270EC6"/>
    <w:rsid w:val="00272D59"/>
    <w:rsid w:val="00287210"/>
    <w:rsid w:val="002924FC"/>
    <w:rsid w:val="002A1C1C"/>
    <w:rsid w:val="002B0319"/>
    <w:rsid w:val="002B45E5"/>
    <w:rsid w:val="002C2667"/>
    <w:rsid w:val="002C2C69"/>
    <w:rsid w:val="002C75B1"/>
    <w:rsid w:val="002D180C"/>
    <w:rsid w:val="002D7D4F"/>
    <w:rsid w:val="002E0981"/>
    <w:rsid w:val="002E3BDD"/>
    <w:rsid w:val="002F4BA4"/>
    <w:rsid w:val="002F6047"/>
    <w:rsid w:val="002F7151"/>
    <w:rsid w:val="00313B94"/>
    <w:rsid w:val="00315499"/>
    <w:rsid w:val="00317DB5"/>
    <w:rsid w:val="00325C96"/>
    <w:rsid w:val="003263C2"/>
    <w:rsid w:val="00331753"/>
    <w:rsid w:val="003322CF"/>
    <w:rsid w:val="003323AE"/>
    <w:rsid w:val="00332E59"/>
    <w:rsid w:val="00332F0B"/>
    <w:rsid w:val="00335E33"/>
    <w:rsid w:val="00337D87"/>
    <w:rsid w:val="00342A5A"/>
    <w:rsid w:val="00346DC9"/>
    <w:rsid w:val="0034754F"/>
    <w:rsid w:val="00347AB0"/>
    <w:rsid w:val="00350085"/>
    <w:rsid w:val="00352C6F"/>
    <w:rsid w:val="00355F20"/>
    <w:rsid w:val="003575B4"/>
    <w:rsid w:val="00357771"/>
    <w:rsid w:val="00365628"/>
    <w:rsid w:val="0036569F"/>
    <w:rsid w:val="003663F2"/>
    <w:rsid w:val="00372274"/>
    <w:rsid w:val="00374F79"/>
    <w:rsid w:val="003769AF"/>
    <w:rsid w:val="00380790"/>
    <w:rsid w:val="00387CE9"/>
    <w:rsid w:val="0039336E"/>
    <w:rsid w:val="00394213"/>
    <w:rsid w:val="00394F89"/>
    <w:rsid w:val="00396354"/>
    <w:rsid w:val="003A388D"/>
    <w:rsid w:val="003B1172"/>
    <w:rsid w:val="003B5192"/>
    <w:rsid w:val="003B5516"/>
    <w:rsid w:val="003C1A1C"/>
    <w:rsid w:val="003C1AC9"/>
    <w:rsid w:val="003C756D"/>
    <w:rsid w:val="003D060D"/>
    <w:rsid w:val="003D1786"/>
    <w:rsid w:val="003E1F5E"/>
    <w:rsid w:val="003E31E8"/>
    <w:rsid w:val="003E4876"/>
    <w:rsid w:val="003F1237"/>
    <w:rsid w:val="003F2097"/>
    <w:rsid w:val="003F6214"/>
    <w:rsid w:val="00407693"/>
    <w:rsid w:val="00410911"/>
    <w:rsid w:val="0043006E"/>
    <w:rsid w:val="00431341"/>
    <w:rsid w:val="0043235F"/>
    <w:rsid w:val="00435A2B"/>
    <w:rsid w:val="0044144D"/>
    <w:rsid w:val="00450A28"/>
    <w:rsid w:val="00453DE7"/>
    <w:rsid w:val="004550ED"/>
    <w:rsid w:val="0046698D"/>
    <w:rsid w:val="004718F7"/>
    <w:rsid w:val="00476456"/>
    <w:rsid w:val="00477899"/>
    <w:rsid w:val="0048251D"/>
    <w:rsid w:val="00485B36"/>
    <w:rsid w:val="0048648E"/>
    <w:rsid w:val="0048738A"/>
    <w:rsid w:val="004912A9"/>
    <w:rsid w:val="004912AA"/>
    <w:rsid w:val="00492B3F"/>
    <w:rsid w:val="00496096"/>
    <w:rsid w:val="004A2689"/>
    <w:rsid w:val="004A3109"/>
    <w:rsid w:val="004A75F7"/>
    <w:rsid w:val="004C2FF5"/>
    <w:rsid w:val="004C43D4"/>
    <w:rsid w:val="004D6413"/>
    <w:rsid w:val="004D6940"/>
    <w:rsid w:val="004E0535"/>
    <w:rsid w:val="004E1833"/>
    <w:rsid w:val="004E2D6B"/>
    <w:rsid w:val="004E3634"/>
    <w:rsid w:val="004E4E83"/>
    <w:rsid w:val="004E6DF8"/>
    <w:rsid w:val="004F121A"/>
    <w:rsid w:val="004F4AF9"/>
    <w:rsid w:val="00500F48"/>
    <w:rsid w:val="00506D1F"/>
    <w:rsid w:val="00513351"/>
    <w:rsid w:val="0052573E"/>
    <w:rsid w:val="00527D87"/>
    <w:rsid w:val="005344E8"/>
    <w:rsid w:val="00535CC2"/>
    <w:rsid w:val="00536C06"/>
    <w:rsid w:val="00543B31"/>
    <w:rsid w:val="0054441D"/>
    <w:rsid w:val="00552EDD"/>
    <w:rsid w:val="0055462C"/>
    <w:rsid w:val="00556F82"/>
    <w:rsid w:val="0057309A"/>
    <w:rsid w:val="005852B4"/>
    <w:rsid w:val="00594461"/>
    <w:rsid w:val="005A5025"/>
    <w:rsid w:val="005A6193"/>
    <w:rsid w:val="005C158A"/>
    <w:rsid w:val="005D25C6"/>
    <w:rsid w:val="005D6397"/>
    <w:rsid w:val="005E2B5C"/>
    <w:rsid w:val="005E391B"/>
    <w:rsid w:val="005E6F36"/>
    <w:rsid w:val="005F3016"/>
    <w:rsid w:val="005F456E"/>
    <w:rsid w:val="005F784A"/>
    <w:rsid w:val="0060109F"/>
    <w:rsid w:val="00601875"/>
    <w:rsid w:val="00602A2C"/>
    <w:rsid w:val="0060628B"/>
    <w:rsid w:val="00612110"/>
    <w:rsid w:val="00613923"/>
    <w:rsid w:val="00630B17"/>
    <w:rsid w:val="0063472E"/>
    <w:rsid w:val="00635523"/>
    <w:rsid w:val="00637AFC"/>
    <w:rsid w:val="00644F37"/>
    <w:rsid w:val="00645E53"/>
    <w:rsid w:val="00656E22"/>
    <w:rsid w:val="00660902"/>
    <w:rsid w:val="00662E75"/>
    <w:rsid w:val="0066711D"/>
    <w:rsid w:val="00667BAA"/>
    <w:rsid w:val="00670C43"/>
    <w:rsid w:val="00674E67"/>
    <w:rsid w:val="00680D74"/>
    <w:rsid w:val="00681085"/>
    <w:rsid w:val="0069411C"/>
    <w:rsid w:val="006945A5"/>
    <w:rsid w:val="006957EC"/>
    <w:rsid w:val="00697C61"/>
    <w:rsid w:val="006A5FF1"/>
    <w:rsid w:val="006B0DAF"/>
    <w:rsid w:val="006B1298"/>
    <w:rsid w:val="006B67BA"/>
    <w:rsid w:val="006B6D97"/>
    <w:rsid w:val="006C0B24"/>
    <w:rsid w:val="006C576D"/>
    <w:rsid w:val="006D2F18"/>
    <w:rsid w:val="006D406C"/>
    <w:rsid w:val="006D5943"/>
    <w:rsid w:val="006E0509"/>
    <w:rsid w:val="006E10F9"/>
    <w:rsid w:val="006E30B9"/>
    <w:rsid w:val="006F1AE7"/>
    <w:rsid w:val="006F4FDE"/>
    <w:rsid w:val="006F5BA0"/>
    <w:rsid w:val="007054F2"/>
    <w:rsid w:val="00705ED3"/>
    <w:rsid w:val="0071034D"/>
    <w:rsid w:val="00715BFF"/>
    <w:rsid w:val="00733655"/>
    <w:rsid w:val="0073611F"/>
    <w:rsid w:val="00745E34"/>
    <w:rsid w:val="007463E6"/>
    <w:rsid w:val="00747CE7"/>
    <w:rsid w:val="00750046"/>
    <w:rsid w:val="00753E87"/>
    <w:rsid w:val="00765DC9"/>
    <w:rsid w:val="00770EA3"/>
    <w:rsid w:val="00775B0E"/>
    <w:rsid w:val="00776C3A"/>
    <w:rsid w:val="00786AE3"/>
    <w:rsid w:val="00786EA9"/>
    <w:rsid w:val="00793B38"/>
    <w:rsid w:val="007B624A"/>
    <w:rsid w:val="007C1C1A"/>
    <w:rsid w:val="007D13BE"/>
    <w:rsid w:val="007D728B"/>
    <w:rsid w:val="007E104D"/>
    <w:rsid w:val="007E465C"/>
    <w:rsid w:val="007E5E07"/>
    <w:rsid w:val="007F7CA3"/>
    <w:rsid w:val="0080005C"/>
    <w:rsid w:val="0080531D"/>
    <w:rsid w:val="00814CD9"/>
    <w:rsid w:val="00817031"/>
    <w:rsid w:val="008178D0"/>
    <w:rsid w:val="008265F3"/>
    <w:rsid w:val="0083259F"/>
    <w:rsid w:val="00832964"/>
    <w:rsid w:val="00833801"/>
    <w:rsid w:val="00833AEE"/>
    <w:rsid w:val="00837294"/>
    <w:rsid w:val="00843EDA"/>
    <w:rsid w:val="008444EA"/>
    <w:rsid w:val="00845A28"/>
    <w:rsid w:val="008550C4"/>
    <w:rsid w:val="00856912"/>
    <w:rsid w:val="00870B9A"/>
    <w:rsid w:val="008746A3"/>
    <w:rsid w:val="00881BB7"/>
    <w:rsid w:val="0088212B"/>
    <w:rsid w:val="00893C3A"/>
    <w:rsid w:val="00894AFE"/>
    <w:rsid w:val="008A3776"/>
    <w:rsid w:val="008A667C"/>
    <w:rsid w:val="008B21DC"/>
    <w:rsid w:val="008B303B"/>
    <w:rsid w:val="008C6CE3"/>
    <w:rsid w:val="008D6994"/>
    <w:rsid w:val="008E4991"/>
    <w:rsid w:val="008E6EF2"/>
    <w:rsid w:val="008F22AA"/>
    <w:rsid w:val="008F2B53"/>
    <w:rsid w:val="008F6134"/>
    <w:rsid w:val="00900224"/>
    <w:rsid w:val="00904A5D"/>
    <w:rsid w:val="0091076F"/>
    <w:rsid w:val="00923928"/>
    <w:rsid w:val="00924B00"/>
    <w:rsid w:val="00927CF5"/>
    <w:rsid w:val="0093110D"/>
    <w:rsid w:val="0093420C"/>
    <w:rsid w:val="00935453"/>
    <w:rsid w:val="009447C9"/>
    <w:rsid w:val="009508D8"/>
    <w:rsid w:val="0096054A"/>
    <w:rsid w:val="009745D2"/>
    <w:rsid w:val="00975B16"/>
    <w:rsid w:val="00977A6E"/>
    <w:rsid w:val="00981049"/>
    <w:rsid w:val="0098529B"/>
    <w:rsid w:val="0099334B"/>
    <w:rsid w:val="00997DF5"/>
    <w:rsid w:val="009A09E7"/>
    <w:rsid w:val="009B1F8B"/>
    <w:rsid w:val="009B6EB6"/>
    <w:rsid w:val="009C0079"/>
    <w:rsid w:val="009C5336"/>
    <w:rsid w:val="009C67F1"/>
    <w:rsid w:val="009C71EC"/>
    <w:rsid w:val="009D1DEA"/>
    <w:rsid w:val="009D2FD4"/>
    <w:rsid w:val="009E0E3F"/>
    <w:rsid w:val="009E136D"/>
    <w:rsid w:val="009E14FE"/>
    <w:rsid w:val="009F4CBA"/>
    <w:rsid w:val="00A02431"/>
    <w:rsid w:val="00A05579"/>
    <w:rsid w:val="00A123A6"/>
    <w:rsid w:val="00A12E9E"/>
    <w:rsid w:val="00A136E5"/>
    <w:rsid w:val="00A16485"/>
    <w:rsid w:val="00A16E1F"/>
    <w:rsid w:val="00A23AD1"/>
    <w:rsid w:val="00A353A6"/>
    <w:rsid w:val="00A516B5"/>
    <w:rsid w:val="00A5615E"/>
    <w:rsid w:val="00A642E3"/>
    <w:rsid w:val="00A65C32"/>
    <w:rsid w:val="00A70C95"/>
    <w:rsid w:val="00A733C4"/>
    <w:rsid w:val="00A74E42"/>
    <w:rsid w:val="00A9145E"/>
    <w:rsid w:val="00A93C92"/>
    <w:rsid w:val="00A972FD"/>
    <w:rsid w:val="00AA113C"/>
    <w:rsid w:val="00AA449A"/>
    <w:rsid w:val="00AB074A"/>
    <w:rsid w:val="00AB3FD1"/>
    <w:rsid w:val="00AB5DDA"/>
    <w:rsid w:val="00AC077A"/>
    <w:rsid w:val="00AE295A"/>
    <w:rsid w:val="00AE402E"/>
    <w:rsid w:val="00B015F7"/>
    <w:rsid w:val="00B040A0"/>
    <w:rsid w:val="00B04B01"/>
    <w:rsid w:val="00B10CBD"/>
    <w:rsid w:val="00B111F0"/>
    <w:rsid w:val="00B16814"/>
    <w:rsid w:val="00B232D2"/>
    <w:rsid w:val="00B24CD0"/>
    <w:rsid w:val="00B351E1"/>
    <w:rsid w:val="00B40370"/>
    <w:rsid w:val="00B41A46"/>
    <w:rsid w:val="00B4253F"/>
    <w:rsid w:val="00B443C9"/>
    <w:rsid w:val="00B458A6"/>
    <w:rsid w:val="00B466C1"/>
    <w:rsid w:val="00B46C79"/>
    <w:rsid w:val="00B501E1"/>
    <w:rsid w:val="00B5033F"/>
    <w:rsid w:val="00B53DA3"/>
    <w:rsid w:val="00B60FCA"/>
    <w:rsid w:val="00B63D67"/>
    <w:rsid w:val="00B66AF4"/>
    <w:rsid w:val="00B6779A"/>
    <w:rsid w:val="00B70C24"/>
    <w:rsid w:val="00B77994"/>
    <w:rsid w:val="00B80767"/>
    <w:rsid w:val="00B80F16"/>
    <w:rsid w:val="00B87AAC"/>
    <w:rsid w:val="00B903FD"/>
    <w:rsid w:val="00B92F0E"/>
    <w:rsid w:val="00B94A5E"/>
    <w:rsid w:val="00B97B7B"/>
    <w:rsid w:val="00BA5747"/>
    <w:rsid w:val="00BB2EB1"/>
    <w:rsid w:val="00BB40E1"/>
    <w:rsid w:val="00BB6FE6"/>
    <w:rsid w:val="00BB7636"/>
    <w:rsid w:val="00BD0887"/>
    <w:rsid w:val="00BD57AC"/>
    <w:rsid w:val="00BE2A44"/>
    <w:rsid w:val="00BE3D66"/>
    <w:rsid w:val="00BF05F0"/>
    <w:rsid w:val="00BF2274"/>
    <w:rsid w:val="00C02836"/>
    <w:rsid w:val="00C06B4B"/>
    <w:rsid w:val="00C231DC"/>
    <w:rsid w:val="00C360EC"/>
    <w:rsid w:val="00C40FC7"/>
    <w:rsid w:val="00C46978"/>
    <w:rsid w:val="00C545A8"/>
    <w:rsid w:val="00C54CCE"/>
    <w:rsid w:val="00C64AAB"/>
    <w:rsid w:val="00C64CC8"/>
    <w:rsid w:val="00C65972"/>
    <w:rsid w:val="00C73F3D"/>
    <w:rsid w:val="00C76D08"/>
    <w:rsid w:val="00C94896"/>
    <w:rsid w:val="00CB10EE"/>
    <w:rsid w:val="00CB33E1"/>
    <w:rsid w:val="00CB3F5E"/>
    <w:rsid w:val="00CB7967"/>
    <w:rsid w:val="00CC1E73"/>
    <w:rsid w:val="00CC7319"/>
    <w:rsid w:val="00CD1AF9"/>
    <w:rsid w:val="00CD4F7C"/>
    <w:rsid w:val="00CD7EF7"/>
    <w:rsid w:val="00CF700C"/>
    <w:rsid w:val="00D00CDF"/>
    <w:rsid w:val="00D03648"/>
    <w:rsid w:val="00D04A76"/>
    <w:rsid w:val="00D06E83"/>
    <w:rsid w:val="00D07B7C"/>
    <w:rsid w:val="00D179B4"/>
    <w:rsid w:val="00D217DF"/>
    <w:rsid w:val="00D236D8"/>
    <w:rsid w:val="00D328BB"/>
    <w:rsid w:val="00D33477"/>
    <w:rsid w:val="00D36425"/>
    <w:rsid w:val="00D41599"/>
    <w:rsid w:val="00D46F1A"/>
    <w:rsid w:val="00D47A88"/>
    <w:rsid w:val="00D50161"/>
    <w:rsid w:val="00D50C5F"/>
    <w:rsid w:val="00D50EFE"/>
    <w:rsid w:val="00D51767"/>
    <w:rsid w:val="00D53ED4"/>
    <w:rsid w:val="00D558B7"/>
    <w:rsid w:val="00D60FA2"/>
    <w:rsid w:val="00D626B7"/>
    <w:rsid w:val="00D71423"/>
    <w:rsid w:val="00D735EF"/>
    <w:rsid w:val="00D87B99"/>
    <w:rsid w:val="00D87E8B"/>
    <w:rsid w:val="00D958B3"/>
    <w:rsid w:val="00DA5CCB"/>
    <w:rsid w:val="00DB1435"/>
    <w:rsid w:val="00DC75B8"/>
    <w:rsid w:val="00DD43D5"/>
    <w:rsid w:val="00DE086A"/>
    <w:rsid w:val="00DE1DE0"/>
    <w:rsid w:val="00DE3917"/>
    <w:rsid w:val="00DE4BD5"/>
    <w:rsid w:val="00DE6E15"/>
    <w:rsid w:val="00DF0AD7"/>
    <w:rsid w:val="00DF135A"/>
    <w:rsid w:val="00DF3562"/>
    <w:rsid w:val="00E0177B"/>
    <w:rsid w:val="00E0784F"/>
    <w:rsid w:val="00E262C4"/>
    <w:rsid w:val="00E34DF1"/>
    <w:rsid w:val="00E500AC"/>
    <w:rsid w:val="00E50B58"/>
    <w:rsid w:val="00E57DB9"/>
    <w:rsid w:val="00E61F55"/>
    <w:rsid w:val="00E62537"/>
    <w:rsid w:val="00E65E0E"/>
    <w:rsid w:val="00E81EC0"/>
    <w:rsid w:val="00E873A0"/>
    <w:rsid w:val="00E91F0B"/>
    <w:rsid w:val="00E92781"/>
    <w:rsid w:val="00E96DFD"/>
    <w:rsid w:val="00E9748B"/>
    <w:rsid w:val="00EA55F9"/>
    <w:rsid w:val="00EA681B"/>
    <w:rsid w:val="00EB753C"/>
    <w:rsid w:val="00EC05EB"/>
    <w:rsid w:val="00EC0711"/>
    <w:rsid w:val="00EC75BA"/>
    <w:rsid w:val="00ED6B70"/>
    <w:rsid w:val="00ED7080"/>
    <w:rsid w:val="00EE2AFC"/>
    <w:rsid w:val="00EF163F"/>
    <w:rsid w:val="00F0336A"/>
    <w:rsid w:val="00F14075"/>
    <w:rsid w:val="00F24BC1"/>
    <w:rsid w:val="00F24EE1"/>
    <w:rsid w:val="00F26460"/>
    <w:rsid w:val="00F269B4"/>
    <w:rsid w:val="00F304A9"/>
    <w:rsid w:val="00F32547"/>
    <w:rsid w:val="00F3330A"/>
    <w:rsid w:val="00F42162"/>
    <w:rsid w:val="00F42C18"/>
    <w:rsid w:val="00F47731"/>
    <w:rsid w:val="00F55087"/>
    <w:rsid w:val="00F551EA"/>
    <w:rsid w:val="00F71B40"/>
    <w:rsid w:val="00F73363"/>
    <w:rsid w:val="00F74CE0"/>
    <w:rsid w:val="00F750FF"/>
    <w:rsid w:val="00F8165B"/>
    <w:rsid w:val="00F82C1B"/>
    <w:rsid w:val="00F84466"/>
    <w:rsid w:val="00F90848"/>
    <w:rsid w:val="00F95726"/>
    <w:rsid w:val="00FA0547"/>
    <w:rsid w:val="00FA4040"/>
    <w:rsid w:val="00FB5DE6"/>
    <w:rsid w:val="00FC7523"/>
    <w:rsid w:val="00FD0AA6"/>
    <w:rsid w:val="00FD25EA"/>
    <w:rsid w:val="00FE352B"/>
    <w:rsid w:val="00FF294A"/>
    <w:rsid w:val="00FF77D4"/>
    <w:rsid w:val="00FF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B39"/>
  <w15:chartTrackingRefBased/>
  <w15:docId w15:val="{B24A53BD-463B-40D6-A40E-1E39334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8F"/>
    <w:pPr>
      <w:spacing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A12E9E"/>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uiPriority w:val="9"/>
    <w:unhideWhenUsed/>
    <w:qFormat/>
    <w:rsid w:val="003D060D"/>
    <w:pPr>
      <w:keepNext/>
      <w:keepLines/>
      <w:spacing w:before="40" w:after="0"/>
      <w:outlineLvl w:val="1"/>
    </w:pPr>
    <w:rPr>
      <w:rFonts w:asciiTheme="majorHAnsi" w:eastAsiaTheme="majorEastAsia" w:hAnsiTheme="majorHAnsi" w:cstheme="majorBidi"/>
      <w:color w:val="213B47" w:themeColor="accent1" w:themeShade="BF"/>
      <w:sz w:val="26"/>
      <w:szCs w:val="26"/>
    </w:rPr>
  </w:style>
  <w:style w:type="paragraph" w:styleId="Heading3">
    <w:name w:val="heading 3"/>
    <w:basedOn w:val="Normal"/>
    <w:next w:val="Normal"/>
    <w:link w:val="Heading3Char"/>
    <w:autoRedefine/>
    <w:uiPriority w:val="9"/>
    <w:unhideWhenUsed/>
    <w:qFormat/>
    <w:rsid w:val="002E0981"/>
    <w:pPr>
      <w:spacing w:line="240" w:lineRule="auto"/>
      <w:outlineLvl w:val="2"/>
    </w:pPr>
    <w:rPr>
      <w:rFonts w:asciiTheme="minorHAnsi" w:hAnsiTheme="minorHAns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9E"/>
    <w:rPr>
      <w:rFonts w:ascii="Arial" w:eastAsiaTheme="majorEastAsia" w:hAnsi="Arial" w:cs="Arial"/>
      <w:b/>
      <w:bCs/>
      <w:noProof/>
      <w:color w:val="FFFFFF" w:themeColor="background1"/>
      <w:sz w:val="72"/>
      <w:szCs w:val="40"/>
    </w:rPr>
  </w:style>
  <w:style w:type="table" w:styleId="TableGrid">
    <w:name w:val="Table Grid"/>
    <w:basedOn w:val="TableNormal"/>
    <w:uiPriority w:val="39"/>
    <w:rsid w:val="000D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8F2B53"/>
    <w:pPr>
      <w:ind w:left="714"/>
      <w:contextualSpacing/>
    </w:pPr>
    <w:rPr>
      <w:rFonts w:cs="Arial"/>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8F2B53"/>
    <w:rPr>
      <w:rFonts w:ascii="Arial" w:hAnsi="Arial" w:cs="Arial"/>
      <w:color w:val="000000" w:themeColor="text1"/>
      <w:sz w:val="24"/>
      <w:szCs w:val="24"/>
    </w:rPr>
  </w:style>
  <w:style w:type="character" w:styleId="CommentReference">
    <w:name w:val="annotation reference"/>
    <w:basedOn w:val="DefaultParagraphFont"/>
    <w:uiPriority w:val="99"/>
    <w:semiHidden/>
    <w:unhideWhenUsed/>
    <w:rsid w:val="000D108F"/>
    <w:rPr>
      <w:sz w:val="16"/>
      <w:szCs w:val="16"/>
    </w:rPr>
  </w:style>
  <w:style w:type="paragraph" w:styleId="CommentText">
    <w:name w:val="annotation text"/>
    <w:basedOn w:val="Normal"/>
    <w:link w:val="CommentTextChar"/>
    <w:uiPriority w:val="99"/>
    <w:unhideWhenUsed/>
    <w:rsid w:val="000D108F"/>
    <w:pPr>
      <w:spacing w:line="240" w:lineRule="auto"/>
    </w:pPr>
    <w:rPr>
      <w:sz w:val="20"/>
      <w:szCs w:val="20"/>
    </w:rPr>
  </w:style>
  <w:style w:type="character" w:customStyle="1" w:styleId="CommentTextChar">
    <w:name w:val="Comment Text Char"/>
    <w:basedOn w:val="DefaultParagraphFont"/>
    <w:link w:val="CommentText"/>
    <w:uiPriority w:val="99"/>
    <w:rsid w:val="000D108F"/>
    <w:rPr>
      <w:rFonts w:ascii="Arial" w:hAnsi="Arial"/>
      <w:color w:val="000000" w:themeColor="text1"/>
      <w:sz w:val="20"/>
      <w:szCs w:val="20"/>
    </w:rPr>
  </w:style>
  <w:style w:type="paragraph" w:styleId="Header">
    <w:name w:val="header"/>
    <w:basedOn w:val="Normal"/>
    <w:link w:val="HeaderChar"/>
    <w:uiPriority w:val="99"/>
    <w:unhideWhenUsed/>
    <w:rsid w:val="000D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08F"/>
    <w:rPr>
      <w:rFonts w:ascii="Arial" w:hAnsi="Arial"/>
      <w:color w:val="000000" w:themeColor="text1"/>
      <w:sz w:val="24"/>
    </w:rPr>
  </w:style>
  <w:style w:type="character" w:styleId="Hyperlink">
    <w:name w:val="Hyperlink"/>
    <w:basedOn w:val="DefaultParagraphFont"/>
    <w:uiPriority w:val="99"/>
    <w:unhideWhenUsed/>
    <w:rsid w:val="000D108F"/>
    <w:rPr>
      <w:color w:val="5C5B5A"/>
      <w:u w:val="single"/>
    </w:rPr>
  </w:style>
  <w:style w:type="paragraph" w:customStyle="1" w:styleId="PageNumber1">
    <w:name w:val="Page Number1"/>
    <w:basedOn w:val="Footer"/>
    <w:link w:val="PagenumberChar"/>
    <w:qFormat/>
    <w:rsid w:val="000D108F"/>
    <w:pPr>
      <w:spacing w:before="120"/>
      <w:jc w:val="right"/>
    </w:pPr>
    <w:rPr>
      <w:b/>
      <w:color w:val="2C5060" w:themeColor="accent1"/>
      <w:sz w:val="28"/>
    </w:rPr>
  </w:style>
  <w:style w:type="character" w:customStyle="1" w:styleId="PagenumberChar">
    <w:name w:val="Page number Char"/>
    <w:basedOn w:val="FooterChar"/>
    <w:link w:val="PageNumber1"/>
    <w:rsid w:val="000D108F"/>
    <w:rPr>
      <w:rFonts w:ascii="Arial" w:hAnsi="Arial"/>
      <w:b/>
      <w:color w:val="2C5060" w:themeColor="accent1"/>
      <w:sz w:val="28"/>
    </w:rPr>
  </w:style>
  <w:style w:type="paragraph" w:styleId="Footer">
    <w:name w:val="footer"/>
    <w:basedOn w:val="Normal"/>
    <w:link w:val="FooterChar"/>
    <w:uiPriority w:val="99"/>
    <w:semiHidden/>
    <w:unhideWhenUsed/>
    <w:rsid w:val="000D10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08F"/>
    <w:rPr>
      <w:rFonts w:ascii="Arial" w:hAnsi="Arial"/>
      <w:color w:val="000000" w:themeColor="text1"/>
      <w:sz w:val="24"/>
    </w:rPr>
  </w:style>
  <w:style w:type="paragraph" w:styleId="Revision">
    <w:name w:val="Revision"/>
    <w:hidden/>
    <w:uiPriority w:val="99"/>
    <w:semiHidden/>
    <w:rsid w:val="006D2F18"/>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4076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C6CE3"/>
    <w:rPr>
      <w:b/>
      <w:bCs/>
    </w:rPr>
  </w:style>
  <w:style w:type="character" w:customStyle="1" w:styleId="CommentSubjectChar">
    <w:name w:val="Comment Subject Char"/>
    <w:basedOn w:val="CommentTextChar"/>
    <w:link w:val="CommentSubject"/>
    <w:uiPriority w:val="99"/>
    <w:semiHidden/>
    <w:rsid w:val="008C6CE3"/>
    <w:rPr>
      <w:rFonts w:ascii="Arial" w:hAnsi="Arial"/>
      <w:b/>
      <w:bCs/>
      <w:color w:val="000000" w:themeColor="text1"/>
      <w:sz w:val="20"/>
      <w:szCs w:val="20"/>
    </w:rPr>
  </w:style>
  <w:style w:type="paragraph" w:styleId="FootnoteText">
    <w:name w:val="footnote text"/>
    <w:basedOn w:val="Normal"/>
    <w:link w:val="FootnoteTextChar"/>
    <w:uiPriority w:val="99"/>
    <w:semiHidden/>
    <w:unhideWhenUsed/>
    <w:rsid w:val="00332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5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332E59"/>
    <w:rPr>
      <w:vertAlign w:val="superscript"/>
    </w:rPr>
  </w:style>
  <w:style w:type="character" w:customStyle="1" w:styleId="Frontpagesub-titleChar">
    <w:name w:val="Front page sub-title Char"/>
    <w:basedOn w:val="DefaultParagraphFont"/>
    <w:link w:val="Frontpagesub-title"/>
    <w:rsid w:val="00A12E9E"/>
    <w:rPr>
      <w:rFonts w:ascii="Arial" w:hAnsi="Arial"/>
      <w:color w:val="FFFFFF" w:themeColor="background1"/>
      <w:sz w:val="36"/>
      <w:szCs w:val="32"/>
    </w:rPr>
  </w:style>
  <w:style w:type="paragraph" w:customStyle="1" w:styleId="Frontpagesub-title">
    <w:name w:val="Front page sub-title"/>
    <w:basedOn w:val="Normal"/>
    <w:link w:val="Frontpagesub-titleChar"/>
    <w:autoRedefine/>
    <w:qFormat/>
    <w:rsid w:val="00A12E9E"/>
    <w:pPr>
      <w:spacing w:before="1200" w:line="240" w:lineRule="auto"/>
      <w:contextualSpacing/>
    </w:pPr>
    <w:rPr>
      <w:color w:val="FFFFFF" w:themeColor="background1"/>
      <w:sz w:val="36"/>
      <w:szCs w:val="32"/>
    </w:rPr>
  </w:style>
  <w:style w:type="character" w:customStyle="1" w:styleId="Heading3Char">
    <w:name w:val="Heading 3 Char"/>
    <w:basedOn w:val="DefaultParagraphFont"/>
    <w:link w:val="Heading3"/>
    <w:uiPriority w:val="9"/>
    <w:rsid w:val="002E0981"/>
    <w:rPr>
      <w:b/>
      <w:bCs/>
      <w:sz w:val="36"/>
      <w:szCs w:val="28"/>
    </w:rPr>
  </w:style>
  <w:style w:type="character" w:styleId="UnresolvedMention">
    <w:name w:val="Unresolved Mention"/>
    <w:basedOn w:val="DefaultParagraphFont"/>
    <w:uiPriority w:val="99"/>
    <w:semiHidden/>
    <w:unhideWhenUsed/>
    <w:rsid w:val="00BE3D66"/>
    <w:rPr>
      <w:color w:val="605E5C"/>
      <w:shd w:val="clear" w:color="auto" w:fill="E1DFDD"/>
    </w:rPr>
  </w:style>
  <w:style w:type="character" w:customStyle="1" w:styleId="Heading2Char">
    <w:name w:val="Heading 2 Char"/>
    <w:basedOn w:val="DefaultParagraphFont"/>
    <w:link w:val="Heading2"/>
    <w:uiPriority w:val="9"/>
    <w:rsid w:val="003D060D"/>
    <w:rPr>
      <w:rFonts w:asciiTheme="majorHAnsi" w:eastAsiaTheme="majorEastAsia" w:hAnsiTheme="majorHAnsi" w:cstheme="majorBidi"/>
      <w:color w:val="213B47" w:themeColor="accent1" w:themeShade="BF"/>
      <w:sz w:val="26"/>
      <w:szCs w:val="26"/>
    </w:rPr>
  </w:style>
  <w:style w:type="paragraph" w:styleId="BalloonText">
    <w:name w:val="Balloon Text"/>
    <w:basedOn w:val="Normal"/>
    <w:link w:val="BalloonTextChar"/>
    <w:uiPriority w:val="99"/>
    <w:semiHidden/>
    <w:unhideWhenUsed/>
    <w:rsid w:val="00C4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78"/>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query/construct/summary.asp?mode=construct&amp;version=0&amp;dataset=22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misweb.co.uk/query/construct/summary.asp?mode=construct&amp;version=0&amp;dataset=2218"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misweb.co.uk/sources/census_202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greatermanchesterca-my.sharepoint.com/personal/stephen_overell_greatermanchester-ca_gov_uk/Documents/Documents/NEWECON;Stephen%20Overell's%20Docs/census%202021%20nomis%20ra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greatermanchesterca-my.sharepoint.com/personal/stephen_overell_greatermanchester-ca_gov_uk/Documents/Documents/NEWECON;Stephen%20Overell's%20Docs/census%20religion%20chan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greatermanchesterca-my.sharepoint.com/personal/stephen_overell_greatermanchester-ca_gov_uk/Documents/Documents/NEWECON;Stephen%20Overell's%20Docs/census%20religion%20chang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Data!$J$49</c:f>
              <c:strCache>
                <c:ptCount val="1"/>
                <c:pt idx="0">
                  <c:v>No religion</c:v>
                </c:pt>
              </c:strCache>
            </c:strRef>
          </c:tx>
          <c:spPr>
            <a:solidFill>
              <a:schemeClr val="accent1"/>
            </a:solidFill>
            <a:ln>
              <a:noFill/>
            </a:ln>
            <a:effectLst/>
          </c:spPr>
          <c:invertIfNegative val="0"/>
          <c:cat>
            <c:strRef>
              <c:f>Data!$I$50:$I$61</c:f>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f>Data!$J$50:$J$61</c:f>
              <c:numCache>
                <c:formatCode>0.0%</c:formatCode>
                <c:ptCount val="12"/>
                <c:pt idx="0">
                  <c:v>0.30298724091651635</c:v>
                </c:pt>
                <c:pt idx="1">
                  <c:v>0.33126991622952007</c:v>
                </c:pt>
                <c:pt idx="2">
                  <c:v>0.380437604943828</c:v>
                </c:pt>
                <c:pt idx="3">
                  <c:v>0.39606882607574667</c:v>
                </c:pt>
                <c:pt idx="4">
                  <c:v>0.35617037198946383</c:v>
                </c:pt>
                <c:pt idx="5">
                  <c:v>0.28756630662597032</c:v>
                </c:pt>
                <c:pt idx="6">
                  <c:v>0.24994010393000834</c:v>
                </c:pt>
                <c:pt idx="7">
                  <c:v>0.32437510417950038</c:v>
                </c:pt>
                <c:pt idx="8">
                  <c:v>0.29408457098050544</c:v>
                </c:pt>
                <c:pt idx="9">
                  <c:v>0.25760555195156232</c:v>
                </c:pt>
                <c:pt idx="10">
                  <c:v>0.36671350087316262</c:v>
                </c:pt>
                <c:pt idx="11">
                  <c:v>0.31805055978226215</c:v>
                </c:pt>
              </c:numCache>
            </c:numRef>
          </c:val>
          <c:extLst>
            <c:ext xmlns:c16="http://schemas.microsoft.com/office/drawing/2014/chart" uri="{C3380CC4-5D6E-409C-BE32-E72D297353CC}">
              <c16:uniqueId val="{00000000-3D6B-49F8-AA49-47181B921A1D}"/>
            </c:ext>
          </c:extLst>
        </c:ser>
        <c:ser>
          <c:idx val="1"/>
          <c:order val="1"/>
          <c:tx>
            <c:strRef>
              <c:f>Data!$K$49</c:f>
              <c:strCache>
                <c:ptCount val="1"/>
                <c:pt idx="0">
                  <c:v>Christian</c:v>
                </c:pt>
              </c:strCache>
            </c:strRef>
          </c:tx>
          <c:spPr>
            <a:solidFill>
              <a:schemeClr val="accent2"/>
            </a:solidFill>
            <a:ln>
              <a:noFill/>
            </a:ln>
            <a:effectLst/>
          </c:spPr>
          <c:invertIfNegative val="0"/>
          <c:cat>
            <c:strRef>
              <c:f>Data!$I$50:$I$61</c:f>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f>Data!$K$50:$K$61</c:f>
              <c:numCache>
                <c:formatCode>0.0%</c:formatCode>
                <c:ptCount val="12"/>
                <c:pt idx="0">
                  <c:v>0.62814650172772934</c:v>
                </c:pt>
                <c:pt idx="1">
                  <c:v>0.48378409424498081</c:v>
                </c:pt>
                <c:pt idx="2">
                  <c:v>0.47836642489916736</c:v>
                </c:pt>
                <c:pt idx="3">
                  <c:v>0.47477372342013491</c:v>
                </c:pt>
                <c:pt idx="4">
                  <c:v>0.47711047801813083</c:v>
                </c:pt>
                <c:pt idx="5">
                  <c:v>0.4685191557440419</c:v>
                </c:pt>
                <c:pt idx="6">
                  <c:v>0.44909247127054019</c:v>
                </c:pt>
                <c:pt idx="7">
                  <c:v>0.36213337874955609</c:v>
                </c:pt>
                <c:pt idx="8">
                  <c:v>0.48835949630898279</c:v>
                </c:pt>
                <c:pt idx="9">
                  <c:v>0.47013528489566442</c:v>
                </c:pt>
                <c:pt idx="10">
                  <c:v>0.46323023258078194</c:v>
                </c:pt>
                <c:pt idx="11">
                  <c:v>0.4780421009278929</c:v>
                </c:pt>
              </c:numCache>
            </c:numRef>
          </c:val>
          <c:extLst>
            <c:ext xmlns:c16="http://schemas.microsoft.com/office/drawing/2014/chart" uri="{C3380CC4-5D6E-409C-BE32-E72D297353CC}">
              <c16:uniqueId val="{00000001-3D6B-49F8-AA49-47181B921A1D}"/>
            </c:ext>
          </c:extLst>
        </c:ser>
        <c:ser>
          <c:idx val="3"/>
          <c:order val="3"/>
          <c:tx>
            <c:strRef>
              <c:f>Data!$M$49</c:f>
              <c:strCache>
                <c:ptCount val="1"/>
                <c:pt idx="0">
                  <c:v>Hindu</c:v>
                </c:pt>
              </c:strCache>
            </c:strRef>
          </c:tx>
          <c:spPr>
            <a:solidFill>
              <a:schemeClr val="tx1"/>
            </a:solidFill>
            <a:ln>
              <a:noFill/>
            </a:ln>
            <a:effectLst/>
          </c:spPr>
          <c:invertIfNegative val="0"/>
          <c:cat>
            <c:strRef>
              <c:f>Data!$I$50:$I$61</c:f>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f>Data!$M$50:$M$61</c:f>
              <c:numCache>
                <c:formatCode>0.0%</c:formatCode>
                <c:ptCount val="12"/>
                <c:pt idx="0">
                  <c:v>3.0303582381412185E-3</c:v>
                </c:pt>
                <c:pt idx="1">
                  <c:v>1.9808804196607487E-2</c:v>
                </c:pt>
                <c:pt idx="2">
                  <c:v>1.3406844501376171E-2</c:v>
                </c:pt>
                <c:pt idx="3">
                  <c:v>8.1011765025171996E-3</c:v>
                </c:pt>
                <c:pt idx="4">
                  <c:v>7.8280423966479822E-3</c:v>
                </c:pt>
                <c:pt idx="5">
                  <c:v>2.7394076980484512E-3</c:v>
                </c:pt>
                <c:pt idx="6">
                  <c:v>5.0519236965375939E-3</c:v>
                </c:pt>
                <c:pt idx="7">
                  <c:v>1.0957871621866462E-2</c:v>
                </c:pt>
                <c:pt idx="8">
                  <c:v>4.508663960092649E-3</c:v>
                </c:pt>
                <c:pt idx="9">
                  <c:v>1.9890663855551952E-2</c:v>
                </c:pt>
                <c:pt idx="10">
                  <c:v>1.8065712457326556E-2</c:v>
                </c:pt>
                <c:pt idx="11">
                  <c:v>9.5323756667387155E-3</c:v>
                </c:pt>
              </c:numCache>
            </c:numRef>
          </c:val>
          <c:extLst>
            <c:ext xmlns:c16="http://schemas.microsoft.com/office/drawing/2014/chart" uri="{C3380CC4-5D6E-409C-BE32-E72D297353CC}">
              <c16:uniqueId val="{00000003-3D6B-49F8-AA49-47181B921A1D}"/>
            </c:ext>
          </c:extLst>
        </c:ser>
        <c:ser>
          <c:idx val="4"/>
          <c:order val="4"/>
          <c:tx>
            <c:strRef>
              <c:f>Data!$N$49</c:f>
              <c:strCache>
                <c:ptCount val="1"/>
                <c:pt idx="0">
                  <c:v>Jewish</c:v>
                </c:pt>
              </c:strCache>
            </c:strRef>
          </c:tx>
          <c:spPr>
            <a:solidFill>
              <a:schemeClr val="accent5"/>
            </a:solidFill>
            <a:ln>
              <a:noFill/>
            </a:ln>
            <a:effectLst/>
          </c:spPr>
          <c:invertIfNegative val="0"/>
          <c:cat>
            <c:strRef>
              <c:f>Data!$I$50:$I$61</c:f>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f>Data!$N$50:$N$61</c:f>
              <c:numCache>
                <c:formatCode>0.0%</c:formatCode>
                <c:ptCount val="12"/>
                <c:pt idx="0">
                  <c:v>2.5506021242871978E-4</c:v>
                </c:pt>
                <c:pt idx="1">
                  <c:v>1.0227741685705413E-2</c:v>
                </c:pt>
                <c:pt idx="2">
                  <c:v>3.7649950665581889E-4</c:v>
                </c:pt>
                <c:pt idx="3">
                  <c:v>4.1727165402412709E-3</c:v>
                </c:pt>
                <c:pt idx="4">
                  <c:v>3.8428908556757936E-2</c:v>
                </c:pt>
                <c:pt idx="5">
                  <c:v>9.7421024172033015E-4</c:v>
                </c:pt>
                <c:pt idx="6">
                  <c:v>6.0309146336425901E-4</c:v>
                </c:pt>
                <c:pt idx="7">
                  <c:v>4.7705152083952372E-3</c:v>
                </c:pt>
                <c:pt idx="8">
                  <c:v>5.5372996507590963E-2</c:v>
                </c:pt>
                <c:pt idx="9">
                  <c:v>5.4397772732187261E-4</c:v>
                </c:pt>
                <c:pt idx="10">
                  <c:v>4.7669102788898219E-3</c:v>
                </c:pt>
                <c:pt idx="11">
                  <c:v>1.1572571765018181E-2</c:v>
                </c:pt>
              </c:numCache>
            </c:numRef>
          </c:val>
          <c:extLst>
            <c:ext xmlns:c16="http://schemas.microsoft.com/office/drawing/2014/chart" uri="{C3380CC4-5D6E-409C-BE32-E72D297353CC}">
              <c16:uniqueId val="{00000004-3D6B-49F8-AA49-47181B921A1D}"/>
            </c:ext>
          </c:extLst>
        </c:ser>
        <c:ser>
          <c:idx val="5"/>
          <c:order val="5"/>
          <c:tx>
            <c:strRef>
              <c:f>Data!$O$49</c:f>
              <c:strCache>
                <c:ptCount val="1"/>
                <c:pt idx="0">
                  <c:v>Muslim</c:v>
                </c:pt>
              </c:strCache>
            </c:strRef>
          </c:tx>
          <c:spPr>
            <a:solidFill>
              <a:schemeClr val="accent4"/>
            </a:solidFill>
            <a:ln>
              <a:noFill/>
            </a:ln>
            <a:effectLst/>
          </c:spPr>
          <c:invertIfNegative val="0"/>
          <c:cat>
            <c:strRef>
              <c:f>Data!$I$50:$I$61</c:f>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f>Data!$O$50:$O$61</c:f>
              <c:numCache>
                <c:formatCode>0.0%</c:formatCode>
                <c:ptCount val="12"/>
                <c:pt idx="0">
                  <c:v>1.2613334790820262E-2</c:v>
                </c:pt>
                <c:pt idx="1">
                  <c:v>8.7425068177853796E-2</c:v>
                </c:pt>
                <c:pt idx="2">
                  <c:v>7.3330852187159207E-2</c:v>
                </c:pt>
                <c:pt idx="3">
                  <c:v>5.5405533768471904E-2</c:v>
                </c:pt>
                <c:pt idx="4">
                  <c:v>5.0176529209749306E-2</c:v>
                </c:pt>
                <c:pt idx="5">
                  <c:v>0.18822814395073534</c:v>
                </c:pt>
                <c:pt idx="6">
                  <c:v>0.24384309708120255</c:v>
                </c:pt>
                <c:pt idx="7">
                  <c:v>0.2227846908677156</c:v>
                </c:pt>
                <c:pt idx="8">
                  <c:v>9.9257669629453857E-2</c:v>
                </c:pt>
                <c:pt idx="9">
                  <c:v>0.19933573899881069</c:v>
                </c:pt>
                <c:pt idx="10">
                  <c:v>6.7289496114802519E-2</c:v>
                </c:pt>
                <c:pt idx="11">
                  <c:v>0.12324006586619725</c:v>
                </c:pt>
              </c:numCache>
            </c:numRef>
          </c:val>
          <c:extLst>
            <c:ext xmlns:c16="http://schemas.microsoft.com/office/drawing/2014/chart" uri="{C3380CC4-5D6E-409C-BE32-E72D297353CC}">
              <c16:uniqueId val="{00000005-3D6B-49F8-AA49-47181B921A1D}"/>
            </c:ext>
          </c:extLst>
        </c:ser>
        <c:dLbls>
          <c:showLegendKey val="0"/>
          <c:showVal val="0"/>
          <c:showCatName val="0"/>
          <c:showSerName val="0"/>
          <c:showPercent val="0"/>
          <c:showBubbleSize val="0"/>
        </c:dLbls>
        <c:gapWidth val="150"/>
        <c:overlap val="100"/>
        <c:axId val="1934785296"/>
        <c:axId val="1934823568"/>
        <c:extLst>
          <c:ext xmlns:c15="http://schemas.microsoft.com/office/drawing/2012/chart" uri="{02D57815-91ED-43cb-92C2-25804820EDAC}">
            <c15:filteredBarSeries>
              <c15:ser>
                <c:idx val="2"/>
                <c:order val="2"/>
                <c:tx>
                  <c:strRef>
                    <c:extLst>
                      <c:ext uri="{02D57815-91ED-43cb-92C2-25804820EDAC}">
                        <c15:formulaRef>
                          <c15:sqref>Data!$L$49</c15:sqref>
                        </c15:formulaRef>
                      </c:ext>
                    </c:extLst>
                    <c:strCache>
                      <c:ptCount val="1"/>
                      <c:pt idx="0">
                        <c:v>Buddhist</c:v>
                      </c:pt>
                    </c:strCache>
                  </c:strRef>
                </c:tx>
                <c:spPr>
                  <a:solidFill>
                    <a:schemeClr val="accent3"/>
                  </a:solidFill>
                  <a:ln>
                    <a:noFill/>
                  </a:ln>
                  <a:effectLst/>
                </c:spPr>
                <c:invertIfNegative val="0"/>
                <c:cat>
                  <c:strRef>
                    <c:extLst>
                      <c:ext uri="{02D57815-91ED-43cb-92C2-25804820EDAC}">
                        <c15:formulaRef>
                          <c15:sqref>Data!$I$50:$I$61</c15:sqref>
                        </c15:formulaRef>
                      </c:ext>
                    </c:extLst>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extLst>
                      <c:ext uri="{02D57815-91ED-43cb-92C2-25804820EDAC}">
                        <c15:formulaRef>
                          <c15:sqref>Data!$L$50:$L$61</c15:sqref>
                        </c15:formulaRef>
                      </c:ext>
                    </c:extLst>
                    <c:numCache>
                      <c:formatCode>0.0%</c:formatCode>
                      <c:ptCount val="12"/>
                      <c:pt idx="0">
                        <c:v>2.5232742443841208E-3</c:v>
                      </c:pt>
                      <c:pt idx="1">
                        <c:v>4.0587627155419977E-3</c:v>
                      </c:pt>
                      <c:pt idx="2">
                        <c:v>2.5446173553289827E-3</c:v>
                      </c:pt>
                      <c:pt idx="3">
                        <c:v>3.2771090877016813E-3</c:v>
                      </c:pt>
                      <c:pt idx="4">
                        <c:v>3.7862088638780113E-3</c:v>
                      </c:pt>
                      <c:pt idx="5">
                        <c:v>1.7786040192875753E-3</c:v>
                      </c:pt>
                      <c:pt idx="6">
                        <c:v>1.9373280569714895E-3</c:v>
                      </c:pt>
                      <c:pt idx="7">
                        <c:v>5.8322402035033303E-3</c:v>
                      </c:pt>
                      <c:pt idx="8">
                        <c:v>2.6154377892070634E-3</c:v>
                      </c:pt>
                      <c:pt idx="9">
                        <c:v>1.9562925721699643E-3</c:v>
                      </c:pt>
                      <c:pt idx="10">
                        <c:v>4.645632283915486E-3</c:v>
                      </c:pt>
                      <c:pt idx="11">
                        <c:v>3.0309874907974215E-3</c:v>
                      </c:pt>
                    </c:numCache>
                  </c:numRef>
                </c:val>
                <c:extLst>
                  <c:ext xmlns:c16="http://schemas.microsoft.com/office/drawing/2014/chart" uri="{C3380CC4-5D6E-409C-BE32-E72D297353CC}">
                    <c16:uniqueId val="{00000002-3D6B-49F8-AA49-47181B921A1D}"/>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Data!$P$49</c15:sqref>
                        </c15:formulaRef>
                      </c:ext>
                    </c:extLst>
                    <c:strCache>
                      <c:ptCount val="1"/>
                      <c:pt idx="0">
                        <c:v>Sikh</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Data!$I$50:$I$61</c15:sqref>
                        </c15:formulaRef>
                      </c:ext>
                    </c:extLst>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extLst xmlns:c15="http://schemas.microsoft.com/office/drawing/2012/chart">
                      <c:ext xmlns:c15="http://schemas.microsoft.com/office/drawing/2012/chart" uri="{02D57815-91ED-43cb-92C2-25804820EDAC}">
                        <c15:formulaRef>
                          <c15:sqref>Data!$P$50:$P$61</c15:sqref>
                        </c15:formulaRef>
                      </c:ext>
                    </c:extLst>
                    <c:numCache>
                      <c:formatCode>0.0%</c:formatCode>
                      <c:ptCount val="12"/>
                      <c:pt idx="0">
                        <c:v>3.6437173204102827E-4</c:v>
                      </c:pt>
                      <c:pt idx="1">
                        <c:v>8.4451194867409488E-3</c:v>
                      </c:pt>
                      <c:pt idx="2">
                        <c:v>7.962748186743755E-4</c:v>
                      </c:pt>
                      <c:pt idx="3">
                        <c:v>1.7097960457573989E-3</c:v>
                      </c:pt>
                      <c:pt idx="4">
                        <c:v>2.7007301974237481E-3</c:v>
                      </c:pt>
                      <c:pt idx="5">
                        <c:v>8.5355117508524342E-4</c:v>
                      </c:pt>
                      <c:pt idx="6">
                        <c:v>5.3699924820105251E-4</c:v>
                      </c:pt>
                      <c:pt idx="7">
                        <c:v>4.924519687207844E-3</c:v>
                      </c:pt>
                      <c:pt idx="8">
                        <c:v>2.9662262895346378E-3</c:v>
                      </c:pt>
                      <c:pt idx="9">
                        <c:v>7.3656611525570333E-4</c:v>
                      </c:pt>
                      <c:pt idx="10">
                        <c:v>9.2068249187246248E-3</c:v>
                      </c:pt>
                      <c:pt idx="11">
                        <c:v>2.4034154795921983E-3</c:v>
                      </c:pt>
                    </c:numCache>
                  </c:numRef>
                </c:val>
                <c:extLst xmlns:c15="http://schemas.microsoft.com/office/drawing/2012/chart">
                  <c:ext xmlns:c16="http://schemas.microsoft.com/office/drawing/2014/chart" uri="{C3380CC4-5D6E-409C-BE32-E72D297353CC}">
                    <c16:uniqueId val="{00000006-3D6B-49F8-AA49-47181B921A1D}"/>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Data!$Q$49</c15:sqref>
                        </c15:formulaRef>
                      </c:ext>
                    </c:extLst>
                    <c:strCache>
                      <c:ptCount val="1"/>
                      <c:pt idx="0">
                        <c:v>Other religion</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Data!$I$50:$I$61</c15:sqref>
                        </c15:formulaRef>
                      </c:ext>
                    </c:extLst>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extLst xmlns:c15="http://schemas.microsoft.com/office/drawing/2012/chart">
                      <c:ext xmlns:c15="http://schemas.microsoft.com/office/drawing/2012/chart" uri="{02D57815-91ED-43cb-92C2-25804820EDAC}">
                        <c15:formulaRef>
                          <c15:sqref>Data!$Q$50:$Q$61</c15:sqref>
                        </c15:formulaRef>
                      </c:ext>
                    </c:extLst>
                    <c:numCache>
                      <c:formatCode>0.0%</c:formatCode>
                      <c:ptCount val="12"/>
                      <c:pt idx="0">
                        <c:v>3.3370377792757504E-3</c:v>
                      </c:pt>
                      <c:pt idx="1">
                        <c:v>3.901347390096449E-3</c:v>
                      </c:pt>
                      <c:pt idx="2">
                        <c:v>3.8039432913846527E-3</c:v>
                      </c:pt>
                      <c:pt idx="3">
                        <c:v>4.094690133391231E-3</c:v>
                      </c:pt>
                      <c:pt idx="4">
                        <c:v>3.952920604459724E-3</c:v>
                      </c:pt>
                      <c:pt idx="5">
                        <c:v>3.0164766658771691E-3</c:v>
                      </c:pt>
                      <c:pt idx="6">
                        <c:v>2.4288889072478378E-3</c:v>
                      </c:pt>
                      <c:pt idx="7">
                        <c:v>4.9553205829703656E-3</c:v>
                      </c:pt>
                      <c:pt idx="8">
                        <c:v>3.3531253707782863E-3</c:v>
                      </c:pt>
                      <c:pt idx="9">
                        <c:v>3.3111687750027028E-3</c:v>
                      </c:pt>
                      <c:pt idx="10">
                        <c:v>5.8843991109938827E-3</c:v>
                      </c:pt>
                      <c:pt idx="11">
                        <c:v>3.6154919500484169E-3</c:v>
                      </c:pt>
                    </c:numCache>
                  </c:numRef>
                </c:val>
                <c:extLst xmlns:c15="http://schemas.microsoft.com/office/drawing/2012/chart">
                  <c:ext xmlns:c16="http://schemas.microsoft.com/office/drawing/2014/chart" uri="{C3380CC4-5D6E-409C-BE32-E72D297353CC}">
                    <c16:uniqueId val="{00000007-3D6B-49F8-AA49-47181B921A1D}"/>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Data!$R$49</c15:sqref>
                        </c15:formulaRef>
                      </c:ext>
                    </c:extLst>
                    <c:strCache>
                      <c:ptCount val="1"/>
                      <c:pt idx="0">
                        <c:v>Not answered</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Data!$I$50:$I$61</c15:sqref>
                        </c15:formulaRef>
                      </c:ext>
                    </c:extLst>
                    <c:strCache>
                      <c:ptCount val="12"/>
                      <c:pt idx="0">
                        <c:v>Wigan</c:v>
                      </c:pt>
                      <c:pt idx="1">
                        <c:v>Trafford</c:v>
                      </c:pt>
                      <c:pt idx="2">
                        <c:v>Tameside</c:v>
                      </c:pt>
                      <c:pt idx="3">
                        <c:v>Stockport</c:v>
                      </c:pt>
                      <c:pt idx="4">
                        <c:v>Salford</c:v>
                      </c:pt>
                      <c:pt idx="5">
                        <c:v>Rochdale</c:v>
                      </c:pt>
                      <c:pt idx="6">
                        <c:v>Oldham</c:v>
                      </c:pt>
                      <c:pt idx="7">
                        <c:v>Manchester</c:v>
                      </c:pt>
                      <c:pt idx="8">
                        <c:v>Bury</c:v>
                      </c:pt>
                      <c:pt idx="9">
                        <c:v>Bolton</c:v>
                      </c:pt>
                      <c:pt idx="10">
                        <c:v>England</c:v>
                      </c:pt>
                      <c:pt idx="11">
                        <c:v>GM</c:v>
                      </c:pt>
                    </c:strCache>
                  </c:strRef>
                </c:cat>
                <c:val>
                  <c:numRef>
                    <c:extLst xmlns:c15="http://schemas.microsoft.com/office/drawing/2012/chart">
                      <c:ext xmlns:c15="http://schemas.microsoft.com/office/drawing/2012/chart" uri="{02D57815-91ED-43cb-92C2-25804820EDAC}">
                        <c15:formulaRef>
                          <c15:sqref>Data!$R$50:$R$61</c15:sqref>
                        </c15:formulaRef>
                      </c:ext>
                    </c:extLst>
                    <c:numCache>
                      <c:formatCode>0.0%</c:formatCode>
                      <c:ptCount val="12"/>
                      <c:pt idx="0">
                        <c:v>4.6742820358663242E-2</c:v>
                      </c:pt>
                      <c:pt idx="1">
                        <c:v>5.107914587295307E-2</c:v>
                      </c:pt>
                      <c:pt idx="2">
                        <c:v>4.6936938496425419E-2</c:v>
                      </c:pt>
                      <c:pt idx="3">
                        <c:v>5.2396428426037749E-2</c:v>
                      </c:pt>
                      <c:pt idx="4">
                        <c:v>5.9845810163488646E-2</c:v>
                      </c:pt>
                      <c:pt idx="5">
                        <c:v>4.6324143879233684E-2</c:v>
                      </c:pt>
                      <c:pt idx="6">
                        <c:v>4.6566096345926657E-2</c:v>
                      </c:pt>
                      <c:pt idx="7">
                        <c:v>5.9266358899284693E-2</c:v>
                      </c:pt>
                      <c:pt idx="8">
                        <c:v>4.9481813163854339E-2</c:v>
                      </c:pt>
                      <c:pt idx="9">
                        <c:v>4.6484755108660396E-2</c:v>
                      </c:pt>
                      <c:pt idx="10">
                        <c:v>6.0197291381402562E-2</c:v>
                      </c:pt>
                      <c:pt idx="11">
                        <c:v>5.0512431071452799E-2</c:v>
                      </c:pt>
                    </c:numCache>
                  </c:numRef>
                </c:val>
                <c:extLst xmlns:c15="http://schemas.microsoft.com/office/drawing/2012/chart">
                  <c:ext xmlns:c16="http://schemas.microsoft.com/office/drawing/2014/chart" uri="{C3380CC4-5D6E-409C-BE32-E72D297353CC}">
                    <c16:uniqueId val="{00000008-3D6B-49F8-AA49-47181B921A1D}"/>
                  </c:ext>
                </c:extLst>
              </c15:ser>
            </c15:filteredBarSeries>
          </c:ext>
        </c:extLst>
      </c:barChart>
      <c:catAx>
        <c:axId val="193478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4823568"/>
        <c:crosses val="autoZero"/>
        <c:auto val="1"/>
        <c:lblAlgn val="ctr"/>
        <c:lblOffset val="100"/>
        <c:noMultiLvlLbl val="0"/>
      </c:catAx>
      <c:valAx>
        <c:axId val="1934823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478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Sheet1!$G$9</c:f>
              <c:strCache>
                <c:ptCount val="1"/>
                <c:pt idx="0">
                  <c:v>2011</c:v>
                </c:pt>
              </c:strCache>
            </c:strRef>
          </c:tx>
          <c:spPr>
            <a:solidFill>
              <a:schemeClr val="accent1"/>
            </a:solidFill>
            <a:ln>
              <a:noFill/>
            </a:ln>
            <a:effectLst/>
          </c:spPr>
          <c:invertIfNegative val="0"/>
          <c:cat>
            <c:strRef>
              <c:f>Sheet1!$F$10:$F$21</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Sheet1!$G$10:$G$21</c:f>
              <c:numCache>
                <c:formatCode>0.0%</c:formatCode>
                <c:ptCount val="12"/>
                <c:pt idx="0">
                  <c:v>0.17185479034344223</c:v>
                </c:pt>
                <c:pt idx="1">
                  <c:v>0.18578298930076731</c:v>
                </c:pt>
                <c:pt idx="2">
                  <c:v>0.25338532815770171</c:v>
                </c:pt>
                <c:pt idx="3">
                  <c:v>0.16082473310004136</c:v>
                </c:pt>
                <c:pt idx="4">
                  <c:v>0.1890136467342784</c:v>
                </c:pt>
                <c:pt idx="5">
                  <c:v>0.22273471464051672</c:v>
                </c:pt>
                <c:pt idx="6">
                  <c:v>0.25108463507192658</c:v>
                </c:pt>
                <c:pt idx="7">
                  <c:v>0.23560577045831738</c:v>
                </c:pt>
                <c:pt idx="8">
                  <c:v>0.21170634395219307</c:v>
                </c:pt>
                <c:pt idx="9">
                  <c:v>0.15302863938536854</c:v>
                </c:pt>
                <c:pt idx="10">
                  <c:v>0.20768804649942144</c:v>
                </c:pt>
                <c:pt idx="11">
                  <c:v>0.24738020060794769</c:v>
                </c:pt>
              </c:numCache>
            </c:numRef>
          </c:val>
          <c:extLst>
            <c:ext xmlns:c16="http://schemas.microsoft.com/office/drawing/2014/chart" uri="{C3380CC4-5D6E-409C-BE32-E72D297353CC}">
              <c16:uniqueId val="{00000000-5EA7-48D0-89D5-5011F724A8BF}"/>
            </c:ext>
          </c:extLst>
        </c:ser>
        <c:ser>
          <c:idx val="1"/>
          <c:order val="1"/>
          <c:tx>
            <c:strRef>
              <c:f>Sheet1!$H$9</c:f>
              <c:strCache>
                <c:ptCount val="1"/>
                <c:pt idx="0">
                  <c:v>2021</c:v>
                </c:pt>
              </c:strCache>
            </c:strRef>
          </c:tx>
          <c:spPr>
            <a:solidFill>
              <a:schemeClr val="accent2"/>
            </a:solidFill>
            <a:ln>
              <a:noFill/>
            </a:ln>
            <a:effectLst/>
          </c:spPr>
          <c:invertIfNegative val="0"/>
          <c:cat>
            <c:strRef>
              <c:f>Sheet1!$F$10:$F$21</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Sheet1!$H$10:$H$21</c:f>
              <c:numCache>
                <c:formatCode>0.0%</c:formatCode>
                <c:ptCount val="12"/>
                <c:pt idx="0">
                  <c:v>0.25760555195156232</c:v>
                </c:pt>
                <c:pt idx="1">
                  <c:v>0.29408457098050544</c:v>
                </c:pt>
                <c:pt idx="2">
                  <c:v>0.32437510417950038</c:v>
                </c:pt>
                <c:pt idx="3">
                  <c:v>0.24994010393000834</c:v>
                </c:pt>
                <c:pt idx="4">
                  <c:v>0.28756630662597032</c:v>
                </c:pt>
                <c:pt idx="5">
                  <c:v>0.35617037198946383</c:v>
                </c:pt>
                <c:pt idx="6">
                  <c:v>0.39606882607574667</c:v>
                </c:pt>
                <c:pt idx="7">
                  <c:v>0.380437604943828</c:v>
                </c:pt>
                <c:pt idx="8">
                  <c:v>0.33126991622952007</c:v>
                </c:pt>
                <c:pt idx="9">
                  <c:v>0.30298724091651635</c:v>
                </c:pt>
                <c:pt idx="10">
                  <c:v>0.31805055978226215</c:v>
                </c:pt>
                <c:pt idx="11">
                  <c:v>0.36671350087316262</c:v>
                </c:pt>
              </c:numCache>
            </c:numRef>
          </c:val>
          <c:extLst>
            <c:ext xmlns:c16="http://schemas.microsoft.com/office/drawing/2014/chart" uri="{C3380CC4-5D6E-409C-BE32-E72D297353CC}">
              <c16:uniqueId val="{00000001-5EA7-48D0-89D5-5011F724A8BF}"/>
            </c:ext>
          </c:extLst>
        </c:ser>
        <c:dLbls>
          <c:showLegendKey val="0"/>
          <c:showVal val="0"/>
          <c:showCatName val="0"/>
          <c:showSerName val="0"/>
          <c:showPercent val="0"/>
          <c:showBubbleSize val="0"/>
        </c:dLbls>
        <c:gapWidth val="219"/>
        <c:overlap val="-27"/>
        <c:axId val="1784052880"/>
        <c:axId val="1784064528"/>
      </c:barChart>
      <c:catAx>
        <c:axId val="178405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4064528"/>
        <c:crosses val="autoZero"/>
        <c:auto val="1"/>
        <c:lblAlgn val="ctr"/>
        <c:lblOffset val="100"/>
        <c:noMultiLvlLbl val="0"/>
      </c:catAx>
      <c:valAx>
        <c:axId val="1784064528"/>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residents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8405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Sheet1!$B$31</c:f>
              <c:strCache>
                <c:ptCount val="1"/>
                <c:pt idx="0">
                  <c:v>2011</c:v>
                </c:pt>
              </c:strCache>
            </c:strRef>
          </c:tx>
          <c:spPr>
            <a:solidFill>
              <a:schemeClr val="accent1"/>
            </a:solidFill>
            <a:ln>
              <a:noFill/>
            </a:ln>
            <a:effectLst/>
          </c:spPr>
          <c:invertIfNegative val="0"/>
          <c:cat>
            <c:strRef>
              <c:f>Sheet1!$A$32:$A$43</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Sheet1!$B$32:$B$43</c:f>
              <c:numCache>
                <c:formatCode>0.0%</c:formatCode>
                <c:ptCount val="12"/>
                <c:pt idx="0">
                  <c:v>0.11700375018967722</c:v>
                </c:pt>
                <c:pt idx="1">
                  <c:v>6.094780071328218E-2</c:v>
                </c:pt>
                <c:pt idx="2">
                  <c:v>0.15800384395987493</c:v>
                </c:pt>
                <c:pt idx="3">
                  <c:v>0.17732117369284606</c:v>
                </c:pt>
                <c:pt idx="4">
                  <c:v>0.1389992394862517</c:v>
                </c:pt>
                <c:pt idx="5">
                  <c:v>2.5776611251939658E-2</c:v>
                </c:pt>
                <c:pt idx="6">
                  <c:v>3.3292736739917041E-2</c:v>
                </c:pt>
                <c:pt idx="7">
                  <c:v>4.4249603326585327E-2</c:v>
                </c:pt>
                <c:pt idx="8">
                  <c:v>5.7348904130145026E-2</c:v>
                </c:pt>
                <c:pt idx="9">
                  <c:v>6.8019720055749744E-3</c:v>
                </c:pt>
                <c:pt idx="10">
                  <c:v>8.6778963723771016E-2</c:v>
                </c:pt>
                <c:pt idx="11">
                  <c:v>5.0179074895152942E-2</c:v>
                </c:pt>
              </c:numCache>
            </c:numRef>
          </c:val>
          <c:extLst>
            <c:ext xmlns:c16="http://schemas.microsoft.com/office/drawing/2014/chart" uri="{C3380CC4-5D6E-409C-BE32-E72D297353CC}">
              <c16:uniqueId val="{00000000-27C2-442F-B1FD-34FCD4AF995E}"/>
            </c:ext>
          </c:extLst>
        </c:ser>
        <c:ser>
          <c:idx val="1"/>
          <c:order val="1"/>
          <c:tx>
            <c:strRef>
              <c:f>Sheet1!$C$31</c:f>
              <c:strCache>
                <c:ptCount val="1"/>
                <c:pt idx="0">
                  <c:v>2021</c:v>
                </c:pt>
              </c:strCache>
            </c:strRef>
          </c:tx>
          <c:spPr>
            <a:solidFill>
              <a:schemeClr val="accent2"/>
            </a:solidFill>
            <a:ln>
              <a:noFill/>
            </a:ln>
            <a:effectLst/>
          </c:spPr>
          <c:invertIfNegative val="0"/>
          <c:cat>
            <c:strRef>
              <c:f>Sheet1!$A$32:$A$43</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c:v>
                </c:pt>
                <c:pt idx="11">
                  <c:v>England</c:v>
                </c:pt>
              </c:strCache>
            </c:strRef>
          </c:cat>
          <c:val>
            <c:numRef>
              <c:f>Sheet1!$C$32:$C$43</c:f>
              <c:numCache>
                <c:formatCode>0.0%</c:formatCode>
                <c:ptCount val="12"/>
                <c:pt idx="0">
                  <c:v>0.19933573899881069</c:v>
                </c:pt>
                <c:pt idx="1">
                  <c:v>9.9257669629453857E-2</c:v>
                </c:pt>
                <c:pt idx="2">
                  <c:v>0.2227846908677156</c:v>
                </c:pt>
                <c:pt idx="3">
                  <c:v>0.24384309708120255</c:v>
                </c:pt>
                <c:pt idx="4">
                  <c:v>0.18822814395073534</c:v>
                </c:pt>
                <c:pt idx="5">
                  <c:v>5.0176529209749306E-2</c:v>
                </c:pt>
                <c:pt idx="6">
                  <c:v>5.5405533768471904E-2</c:v>
                </c:pt>
                <c:pt idx="7">
                  <c:v>7.3330852187159207E-2</c:v>
                </c:pt>
                <c:pt idx="8">
                  <c:v>8.7425068177853796E-2</c:v>
                </c:pt>
                <c:pt idx="9">
                  <c:v>1.2613334790820262E-2</c:v>
                </c:pt>
                <c:pt idx="10">
                  <c:v>0.12324006586619725</c:v>
                </c:pt>
                <c:pt idx="11">
                  <c:v>6.7289496114802519E-2</c:v>
                </c:pt>
              </c:numCache>
            </c:numRef>
          </c:val>
          <c:extLst>
            <c:ext xmlns:c16="http://schemas.microsoft.com/office/drawing/2014/chart" uri="{C3380CC4-5D6E-409C-BE32-E72D297353CC}">
              <c16:uniqueId val="{00000001-27C2-442F-B1FD-34FCD4AF995E}"/>
            </c:ext>
          </c:extLst>
        </c:ser>
        <c:dLbls>
          <c:showLegendKey val="0"/>
          <c:showVal val="0"/>
          <c:showCatName val="0"/>
          <c:showSerName val="0"/>
          <c:showPercent val="0"/>
          <c:showBubbleSize val="0"/>
        </c:dLbls>
        <c:gapWidth val="219"/>
        <c:overlap val="-27"/>
        <c:axId val="1890704176"/>
        <c:axId val="1890705840"/>
      </c:barChart>
      <c:catAx>
        <c:axId val="189070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90705840"/>
        <c:crosses val="autoZero"/>
        <c:auto val="1"/>
        <c:lblAlgn val="ctr"/>
        <c:lblOffset val="100"/>
        <c:noMultiLvlLbl val="0"/>
      </c:catAx>
      <c:valAx>
        <c:axId val="1890705840"/>
        <c:scaling>
          <c:orientation val="minMax"/>
          <c:max val="0.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residents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9070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D53B3-BD21-4DAE-9DD1-119E1430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5F786-EB65-416E-8325-C32E62967B88}">
  <ds:schemaRefs>
    <ds:schemaRef ds:uri="http://schemas.openxmlformats.org/officeDocument/2006/bibliography"/>
  </ds:schemaRefs>
</ds:datastoreItem>
</file>

<file path=customXml/itemProps3.xml><?xml version="1.0" encoding="utf-8"?>
<ds:datastoreItem xmlns:ds="http://schemas.openxmlformats.org/officeDocument/2006/customXml" ds:itemID="{ED836BED-7616-4F63-9329-FB35691BAC2F}">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customXml/itemProps4.xml><?xml version="1.0" encoding="utf-8"?>
<ds:datastoreItem xmlns:ds="http://schemas.openxmlformats.org/officeDocument/2006/customXml" ds:itemID="{95430DEA-0859-4CD7-9DBF-F2C8FD6E6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Overell, Stephen</dc:creator>
  <cp:keywords/>
  <dc:description/>
  <cp:lastModifiedBy>Overell, Stephen</cp:lastModifiedBy>
  <cp:revision>2</cp:revision>
  <dcterms:created xsi:type="dcterms:W3CDTF">2023-06-29T18:58:00Z</dcterms:created>
  <dcterms:modified xsi:type="dcterms:W3CDTF">2023-06-29T18:58:00Z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