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714" w:tblpY="1460"/>
        <w:tblW w:w="10490" w:type="dxa"/>
        <w:tblLook w:val="04A0" w:firstRow="1" w:lastRow="0" w:firstColumn="1" w:lastColumn="0" w:noHBand="0" w:noVBand="1"/>
      </w:tblPr>
      <w:tblGrid>
        <w:gridCol w:w="1494"/>
        <w:gridCol w:w="4419"/>
        <w:gridCol w:w="4577"/>
      </w:tblGrid>
      <w:tr w:rsidR="00865FE3" w:rsidRPr="001658EA" w14:paraId="47528C87" w14:textId="77777777" w:rsidTr="00041556">
        <w:tc>
          <w:tcPr>
            <w:tcW w:w="1367" w:type="dxa"/>
            <w:tcBorders>
              <w:bottom w:val="single" w:sz="4" w:space="0" w:color="auto"/>
            </w:tcBorders>
          </w:tcPr>
          <w:p w14:paraId="3BF27F7C" w14:textId="47B25A29" w:rsidR="00B57831" w:rsidRPr="001658EA" w:rsidRDefault="00B57831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  <w:b/>
                <w:bCs/>
              </w:rPr>
              <w:t>Theme</w:t>
            </w:r>
          </w:p>
        </w:tc>
        <w:tc>
          <w:tcPr>
            <w:tcW w:w="4490" w:type="dxa"/>
          </w:tcPr>
          <w:p w14:paraId="6ACF019B" w14:textId="079360BA" w:rsidR="00B57831" w:rsidRPr="001658EA" w:rsidRDefault="00B57831" w:rsidP="00A93556">
            <w:pPr>
              <w:rPr>
                <w:rFonts w:ascii="Aptos" w:hAnsi="Aptos"/>
                <w:b/>
                <w:bCs/>
              </w:rPr>
            </w:pPr>
            <w:r w:rsidRPr="001658EA">
              <w:rPr>
                <w:rFonts w:ascii="Aptos" w:hAnsi="Aptos"/>
                <w:b/>
                <w:bCs/>
              </w:rPr>
              <w:t>Question</w:t>
            </w:r>
          </w:p>
        </w:tc>
        <w:tc>
          <w:tcPr>
            <w:tcW w:w="4633" w:type="dxa"/>
          </w:tcPr>
          <w:p w14:paraId="227D9890" w14:textId="77777777" w:rsidR="00B57831" w:rsidRPr="001658EA" w:rsidRDefault="00B57831" w:rsidP="00A93556">
            <w:pPr>
              <w:rPr>
                <w:rFonts w:ascii="Aptos" w:hAnsi="Aptos"/>
                <w:b/>
                <w:bCs/>
              </w:rPr>
            </w:pPr>
            <w:r w:rsidRPr="001658EA">
              <w:rPr>
                <w:rFonts w:ascii="Aptos" w:hAnsi="Aptos"/>
                <w:b/>
                <w:bCs/>
              </w:rPr>
              <w:t>Answer</w:t>
            </w:r>
          </w:p>
        </w:tc>
      </w:tr>
      <w:tr w:rsidR="00865FE3" w:rsidRPr="001658EA" w14:paraId="2ACACD04" w14:textId="77777777" w:rsidTr="00041556">
        <w:tc>
          <w:tcPr>
            <w:tcW w:w="1367" w:type="dxa"/>
            <w:tcBorders>
              <w:bottom w:val="nil"/>
            </w:tcBorders>
            <w:shd w:val="clear" w:color="auto" w:fill="D9E2F3" w:themeFill="accent1" w:themeFillTint="33"/>
          </w:tcPr>
          <w:p w14:paraId="7159B6E5" w14:textId="268D17B2" w:rsidR="00B57831" w:rsidRPr="001658EA" w:rsidRDefault="00B57831" w:rsidP="00684207">
            <w:pPr>
              <w:rPr>
                <w:rFonts w:ascii="Aptos" w:hAnsi="Aptos"/>
              </w:rPr>
            </w:pPr>
          </w:p>
        </w:tc>
        <w:tc>
          <w:tcPr>
            <w:tcW w:w="4490" w:type="dxa"/>
            <w:shd w:val="clear" w:color="auto" w:fill="D9E2F3" w:themeFill="accent1" w:themeFillTint="33"/>
          </w:tcPr>
          <w:p w14:paraId="44E5E412" w14:textId="343A8A54" w:rsidR="00B57831" w:rsidRPr="001658EA" w:rsidRDefault="003813A9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Who is considered a “culture, heritage, and creative organisation</w:t>
            </w:r>
            <w:r w:rsidR="00BF11A4" w:rsidRPr="001658EA">
              <w:rPr>
                <w:rFonts w:ascii="Aptos" w:hAnsi="Aptos"/>
              </w:rPr>
              <w:t>”</w:t>
            </w:r>
            <w:r w:rsidR="0012395E" w:rsidRPr="001658EA">
              <w:rPr>
                <w:rFonts w:ascii="Aptos" w:hAnsi="Aptos"/>
              </w:rPr>
              <w:t xml:space="preserve">, and does this have to encompass all of their work? For example, can a university </w:t>
            </w:r>
            <w:r w:rsidR="004A0B5E" w:rsidRPr="001658EA">
              <w:rPr>
                <w:rFonts w:ascii="Aptos" w:hAnsi="Aptos"/>
              </w:rPr>
              <w:t xml:space="preserve">or health and social care organisation </w:t>
            </w:r>
            <w:r w:rsidR="001C62D1" w:rsidRPr="001658EA">
              <w:rPr>
                <w:rFonts w:ascii="Aptos" w:hAnsi="Aptos"/>
              </w:rPr>
              <w:t xml:space="preserve">that runs creative cultural centres as part of their work apply? </w:t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1CD7A161" w14:textId="77777777" w:rsidR="00A74749" w:rsidRPr="001658EA" w:rsidRDefault="008F03B2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The </w:t>
            </w:r>
            <w:r w:rsidR="00ED443B" w:rsidRPr="001658EA">
              <w:rPr>
                <w:rFonts w:ascii="Aptos" w:hAnsi="Aptos"/>
              </w:rPr>
              <w:t>primary activity of the lead partner organisation must be within the cultural, creative or heritage sector</w:t>
            </w:r>
            <w:r w:rsidR="00A74749" w:rsidRPr="001658EA">
              <w:rPr>
                <w:rFonts w:ascii="Aptos" w:hAnsi="Aptos"/>
              </w:rPr>
              <w:t xml:space="preserve">. Other partners within the consortia can be from other sectors. </w:t>
            </w:r>
          </w:p>
          <w:p w14:paraId="426B55E3" w14:textId="1A04A9DC" w:rsidR="00B57831" w:rsidRPr="001658EA" w:rsidRDefault="00A74749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In the example given</w:t>
            </w:r>
            <w:r w:rsidR="00807410">
              <w:rPr>
                <w:rFonts w:ascii="Aptos" w:hAnsi="Aptos"/>
              </w:rPr>
              <w:t xml:space="preserve"> a</w:t>
            </w:r>
            <w:r w:rsidRPr="001658EA">
              <w:rPr>
                <w:rFonts w:ascii="Aptos" w:hAnsi="Aptos"/>
              </w:rPr>
              <w:t xml:space="preserve"> health and social care organisation </w:t>
            </w:r>
            <w:r w:rsidR="00C66D90" w:rsidRPr="001658EA">
              <w:rPr>
                <w:rFonts w:ascii="Aptos" w:hAnsi="Aptos"/>
              </w:rPr>
              <w:t>could be a partner organisation, but not a lead organisation.</w:t>
            </w:r>
            <w:r w:rsidR="00D369B8" w:rsidRPr="001658EA">
              <w:rPr>
                <w:rFonts w:ascii="Aptos" w:hAnsi="Aptos"/>
              </w:rPr>
              <w:br/>
            </w:r>
          </w:p>
        </w:tc>
      </w:tr>
      <w:tr w:rsidR="00BA1759" w:rsidRPr="001658EA" w14:paraId="5450D59A" w14:textId="77777777" w:rsidTr="00041556">
        <w:tc>
          <w:tcPr>
            <w:tcW w:w="1367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4655970D" w14:textId="77777777" w:rsidR="00BA1759" w:rsidRPr="001658EA" w:rsidRDefault="00BA1759" w:rsidP="00A93556">
            <w:pPr>
              <w:rPr>
                <w:rFonts w:ascii="Aptos" w:hAnsi="Aptos"/>
              </w:rPr>
            </w:pPr>
          </w:p>
        </w:tc>
        <w:tc>
          <w:tcPr>
            <w:tcW w:w="4490" w:type="dxa"/>
            <w:shd w:val="clear" w:color="auto" w:fill="D9E2F3" w:themeFill="accent1" w:themeFillTint="33"/>
          </w:tcPr>
          <w:p w14:paraId="5C90BA4B" w14:textId="7C0019D0" w:rsidR="00BA1759" w:rsidRPr="001658EA" w:rsidRDefault="00F60561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Are projects that cost less than £25,000 eligible to apply? </w:t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5B8AFCF7" w14:textId="77777777" w:rsidR="00BA1759" w:rsidRPr="001658EA" w:rsidRDefault="00DC60AF" w:rsidP="008747C4">
            <w:pPr>
              <w:tabs>
                <w:tab w:val="left" w:pos="1223"/>
              </w:tabs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No, projects that cost less than £25,000 would not be eligible to apply. </w:t>
            </w:r>
          </w:p>
          <w:p w14:paraId="3747B0A7" w14:textId="03BA9DD1" w:rsidR="00DC60AF" w:rsidRPr="001658EA" w:rsidRDefault="00DC60AF" w:rsidP="008747C4">
            <w:pPr>
              <w:tabs>
                <w:tab w:val="left" w:pos="1223"/>
              </w:tabs>
              <w:rPr>
                <w:rFonts w:ascii="Aptos" w:hAnsi="Aptos"/>
              </w:rPr>
            </w:pPr>
          </w:p>
        </w:tc>
      </w:tr>
      <w:tr w:rsidR="000E6271" w:rsidRPr="001658EA" w14:paraId="3EEFCCEA" w14:textId="77777777" w:rsidTr="00041556">
        <w:tc>
          <w:tcPr>
            <w:tcW w:w="1367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306D90A6" w14:textId="77777777" w:rsidR="000E6271" w:rsidRPr="001658EA" w:rsidRDefault="000E6271" w:rsidP="00A93556">
            <w:pPr>
              <w:rPr>
                <w:rFonts w:ascii="Aptos" w:hAnsi="Aptos"/>
              </w:rPr>
            </w:pPr>
          </w:p>
        </w:tc>
        <w:tc>
          <w:tcPr>
            <w:tcW w:w="4490" w:type="dxa"/>
            <w:shd w:val="clear" w:color="auto" w:fill="D9E2F3" w:themeFill="accent1" w:themeFillTint="33"/>
          </w:tcPr>
          <w:p w14:paraId="7652F862" w14:textId="70F233FD" w:rsidR="000E6271" w:rsidRPr="001658EA" w:rsidRDefault="00B52519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Can an organisation be</w:t>
            </w:r>
            <w:r w:rsidR="002158A1" w:rsidRPr="001658EA">
              <w:rPr>
                <w:rFonts w:ascii="Aptos" w:hAnsi="Aptos"/>
              </w:rPr>
              <w:t xml:space="preserve"> a partner in more than one project, and can they be the lead on multiple applications?</w:t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76BC423D" w14:textId="23889A77" w:rsidR="000E6271" w:rsidRPr="001658EA" w:rsidRDefault="007625A1" w:rsidP="008747C4">
            <w:pPr>
              <w:tabs>
                <w:tab w:val="left" w:pos="1223"/>
              </w:tabs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An organisation cannot be a lead on multiple applications but can be a partner in more than one collaboration. </w:t>
            </w:r>
          </w:p>
          <w:p w14:paraId="680FBDC3" w14:textId="702A4DDD" w:rsidR="0087448A" w:rsidRPr="001658EA" w:rsidRDefault="0087448A" w:rsidP="008747C4">
            <w:pPr>
              <w:tabs>
                <w:tab w:val="left" w:pos="1223"/>
              </w:tabs>
              <w:rPr>
                <w:rFonts w:ascii="Aptos" w:hAnsi="Aptos"/>
              </w:rPr>
            </w:pPr>
          </w:p>
        </w:tc>
      </w:tr>
      <w:tr w:rsidR="00431D92" w:rsidRPr="001658EA" w14:paraId="273AAFB9" w14:textId="77777777" w:rsidTr="00041556">
        <w:tc>
          <w:tcPr>
            <w:tcW w:w="1367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12A4DE4C" w14:textId="0DD2C914" w:rsidR="00431D92" w:rsidRPr="001658EA" w:rsidRDefault="00865FE3" w:rsidP="00A93556">
            <w:pPr>
              <w:rPr>
                <w:rFonts w:ascii="Aptos" w:hAnsi="Aptos"/>
                <w:b/>
                <w:bCs/>
              </w:rPr>
            </w:pPr>
            <w:r w:rsidRPr="001658EA">
              <w:rPr>
                <w:rFonts w:ascii="Aptos" w:hAnsi="Aptos"/>
                <w:b/>
                <w:bCs/>
              </w:rPr>
              <w:t>Eligibility</w:t>
            </w:r>
          </w:p>
        </w:tc>
        <w:tc>
          <w:tcPr>
            <w:tcW w:w="4490" w:type="dxa"/>
            <w:shd w:val="clear" w:color="auto" w:fill="D9E2F3" w:themeFill="accent1" w:themeFillTint="33"/>
          </w:tcPr>
          <w:p w14:paraId="59F0B478" w14:textId="4A9A7F34" w:rsidR="00431D92" w:rsidRPr="001658EA" w:rsidRDefault="00431D92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Do CICs need to have more than two directors to apply? </w:t>
            </w:r>
            <w:r w:rsidR="007625A1" w:rsidRPr="001658EA">
              <w:rPr>
                <w:rFonts w:ascii="Aptos" w:hAnsi="Aptos"/>
              </w:rPr>
              <w:br/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0248358A" w14:textId="1EC6765B" w:rsidR="00431D92" w:rsidRPr="001658EA" w:rsidRDefault="00242D88" w:rsidP="008747C4">
            <w:pPr>
              <w:tabs>
                <w:tab w:val="left" w:pos="1223"/>
              </w:tabs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More than two directors are not needed in order to apply. </w:t>
            </w:r>
          </w:p>
        </w:tc>
      </w:tr>
      <w:tr w:rsidR="003B2E6E" w:rsidRPr="001658EA" w14:paraId="564CC998" w14:textId="77777777" w:rsidTr="00041556">
        <w:trPr>
          <w:trHeight w:val="1467"/>
        </w:trPr>
        <w:tc>
          <w:tcPr>
            <w:tcW w:w="1367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501D6EF6" w14:textId="77777777" w:rsidR="003B2E6E" w:rsidRPr="001658EA" w:rsidRDefault="003B2E6E" w:rsidP="00A93556">
            <w:pPr>
              <w:rPr>
                <w:rFonts w:ascii="Aptos" w:hAnsi="Aptos"/>
              </w:rPr>
            </w:pPr>
          </w:p>
        </w:tc>
        <w:tc>
          <w:tcPr>
            <w:tcW w:w="4490" w:type="dxa"/>
            <w:shd w:val="clear" w:color="auto" w:fill="D9E2F3" w:themeFill="accent1" w:themeFillTint="33"/>
          </w:tcPr>
          <w:p w14:paraId="1436A857" w14:textId="61888EEA" w:rsidR="003B2E6E" w:rsidRPr="001658EA" w:rsidRDefault="003B2E6E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Can existing formal consorti</w:t>
            </w:r>
            <w:r w:rsidR="006B780C" w:rsidRPr="001658EA">
              <w:rPr>
                <w:rFonts w:ascii="Aptos" w:hAnsi="Aptos"/>
              </w:rPr>
              <w:t>a</w:t>
            </w:r>
            <w:r w:rsidRPr="001658EA">
              <w:rPr>
                <w:rFonts w:ascii="Aptos" w:hAnsi="Aptos"/>
              </w:rPr>
              <w:t xml:space="preserve"> apply</w:t>
            </w:r>
            <w:r w:rsidR="007E5BB9" w:rsidRPr="001658EA">
              <w:rPr>
                <w:rFonts w:ascii="Aptos" w:hAnsi="Aptos"/>
              </w:rPr>
              <w:t>?</w:t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0FE4C456" w14:textId="28178765" w:rsidR="003B2E6E" w:rsidRPr="001658EA" w:rsidRDefault="00684207" w:rsidP="008747C4">
            <w:pPr>
              <w:tabs>
                <w:tab w:val="left" w:pos="1223"/>
              </w:tabs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Yes, existing </w:t>
            </w:r>
            <w:r w:rsidR="006B780C" w:rsidRPr="001658EA">
              <w:rPr>
                <w:rFonts w:ascii="Aptos" w:hAnsi="Aptos"/>
              </w:rPr>
              <w:t>consortia</w:t>
            </w:r>
            <w:r w:rsidRPr="001658EA">
              <w:rPr>
                <w:rFonts w:ascii="Aptos" w:hAnsi="Aptos"/>
              </w:rPr>
              <w:t xml:space="preserve"> can apply</w:t>
            </w:r>
            <w:r w:rsidR="006B780C" w:rsidRPr="001658EA">
              <w:rPr>
                <w:rFonts w:ascii="Aptos" w:hAnsi="Aptos"/>
              </w:rPr>
              <w:t>,</w:t>
            </w:r>
            <w:r w:rsidRPr="001658EA">
              <w:rPr>
                <w:rFonts w:ascii="Aptos" w:hAnsi="Aptos"/>
              </w:rPr>
              <w:t xml:space="preserve"> but applications should demonstrate how </w:t>
            </w:r>
            <w:r w:rsidR="006B780C" w:rsidRPr="001658EA">
              <w:rPr>
                <w:rFonts w:ascii="Aptos" w:hAnsi="Aptos"/>
              </w:rPr>
              <w:t xml:space="preserve">Collaborate </w:t>
            </w:r>
            <w:r w:rsidRPr="001658EA">
              <w:rPr>
                <w:rFonts w:ascii="Aptos" w:hAnsi="Aptos"/>
              </w:rPr>
              <w:t xml:space="preserve">funding </w:t>
            </w:r>
            <w:r w:rsidR="006B780C" w:rsidRPr="001658EA">
              <w:rPr>
                <w:rFonts w:ascii="Aptos" w:hAnsi="Aptos"/>
              </w:rPr>
              <w:t>would enable</w:t>
            </w:r>
            <w:r w:rsidRPr="001658EA">
              <w:rPr>
                <w:rFonts w:ascii="Aptos" w:hAnsi="Aptos"/>
              </w:rPr>
              <w:t xml:space="preserve"> </w:t>
            </w:r>
            <w:r w:rsidR="006B780C" w:rsidRPr="001658EA">
              <w:rPr>
                <w:rFonts w:ascii="Aptos" w:hAnsi="Aptos"/>
              </w:rPr>
              <w:t>activity</w:t>
            </w:r>
            <w:r w:rsidRPr="001658EA">
              <w:rPr>
                <w:rFonts w:ascii="Aptos" w:hAnsi="Aptos"/>
              </w:rPr>
              <w:t xml:space="preserve"> that is not already </w:t>
            </w:r>
            <w:r w:rsidR="008F2910" w:rsidRPr="001658EA">
              <w:rPr>
                <w:rFonts w:ascii="Aptos" w:hAnsi="Aptos"/>
              </w:rPr>
              <w:t>ongoin</w:t>
            </w:r>
            <w:r w:rsidR="00016BD5" w:rsidRPr="001658EA">
              <w:rPr>
                <w:rFonts w:ascii="Aptos" w:hAnsi="Aptos"/>
              </w:rPr>
              <w:t xml:space="preserve">g. </w:t>
            </w:r>
            <w:r w:rsidR="006B780C" w:rsidRPr="001658EA">
              <w:rPr>
                <w:rFonts w:ascii="Aptos" w:hAnsi="Aptos"/>
              </w:rPr>
              <w:t xml:space="preserve"> </w:t>
            </w:r>
          </w:p>
        </w:tc>
      </w:tr>
      <w:tr w:rsidR="00684207" w:rsidRPr="001658EA" w14:paraId="63A1A884" w14:textId="77777777" w:rsidTr="00041556">
        <w:tc>
          <w:tcPr>
            <w:tcW w:w="1367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1DB2E84D" w14:textId="77777777" w:rsidR="00684207" w:rsidRPr="001658EA" w:rsidRDefault="00684207" w:rsidP="00A93556">
            <w:pPr>
              <w:rPr>
                <w:rFonts w:ascii="Aptos" w:hAnsi="Aptos"/>
              </w:rPr>
            </w:pPr>
          </w:p>
        </w:tc>
        <w:tc>
          <w:tcPr>
            <w:tcW w:w="4490" w:type="dxa"/>
            <w:shd w:val="clear" w:color="auto" w:fill="D9E2F3" w:themeFill="accent1" w:themeFillTint="33"/>
          </w:tcPr>
          <w:p w14:paraId="73868F7C" w14:textId="71B4FE4A" w:rsidR="00684207" w:rsidRPr="001658EA" w:rsidRDefault="00684207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Can creative practitioners and freelancers </w:t>
            </w:r>
            <w:r w:rsidR="00492339" w:rsidRPr="001658EA">
              <w:rPr>
                <w:rFonts w:ascii="Aptos" w:hAnsi="Aptos"/>
              </w:rPr>
              <w:t>be the lead applicant?</w:t>
            </w:r>
            <w:r w:rsidR="000F7BCD" w:rsidRPr="001658EA">
              <w:rPr>
                <w:rFonts w:ascii="Aptos" w:hAnsi="Aptos"/>
              </w:rPr>
              <w:t xml:space="preserve"> </w:t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0C3B8D1F" w14:textId="1116D450" w:rsidR="00684207" w:rsidRPr="001658EA" w:rsidRDefault="00E75DFD" w:rsidP="008747C4">
            <w:pPr>
              <w:tabs>
                <w:tab w:val="left" w:pos="1223"/>
              </w:tabs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Both f</w:t>
            </w:r>
            <w:r w:rsidR="00934A34" w:rsidRPr="001658EA">
              <w:rPr>
                <w:rFonts w:ascii="Aptos" w:hAnsi="Aptos"/>
              </w:rPr>
              <w:t>reelancers and creative practitioners can be the lead. We would be looking for scale,</w:t>
            </w:r>
            <w:r w:rsidR="00807410">
              <w:rPr>
                <w:rFonts w:ascii="Aptos" w:hAnsi="Aptos"/>
              </w:rPr>
              <w:t xml:space="preserve"> it would be unlikely that</w:t>
            </w:r>
            <w:r w:rsidR="00934A34" w:rsidRPr="001658EA">
              <w:rPr>
                <w:rFonts w:ascii="Aptos" w:hAnsi="Aptos"/>
              </w:rPr>
              <w:t xml:space="preserve"> one creative practitioner with one small organisation </w:t>
            </w:r>
            <w:r w:rsidR="00807410">
              <w:rPr>
                <w:rFonts w:ascii="Aptos" w:hAnsi="Aptos"/>
              </w:rPr>
              <w:t>would be able to deliver the scale of impact we would like to support, w</w:t>
            </w:r>
            <w:r w:rsidR="00934A34" w:rsidRPr="001658EA">
              <w:rPr>
                <w:rFonts w:ascii="Aptos" w:hAnsi="Aptos"/>
              </w:rPr>
              <w:t xml:space="preserve">hereas several practitioners working across </w:t>
            </w:r>
            <w:proofErr w:type="gramStart"/>
            <w:r w:rsidR="00934A34" w:rsidRPr="001658EA">
              <w:rPr>
                <w:rFonts w:ascii="Aptos" w:hAnsi="Aptos"/>
              </w:rPr>
              <w:t>a number of</w:t>
            </w:r>
            <w:proofErr w:type="gramEnd"/>
            <w:r w:rsidR="00934A34" w:rsidRPr="001658EA">
              <w:rPr>
                <w:rFonts w:ascii="Aptos" w:hAnsi="Aptos"/>
              </w:rPr>
              <w:t xml:space="preserve"> smaller organisations would be</w:t>
            </w:r>
            <w:r w:rsidR="00BE4D92" w:rsidRPr="001658EA">
              <w:rPr>
                <w:rFonts w:ascii="Aptos" w:hAnsi="Aptos"/>
              </w:rPr>
              <w:t xml:space="preserve"> </w:t>
            </w:r>
            <w:r w:rsidR="00934A34" w:rsidRPr="001658EA">
              <w:rPr>
                <w:rFonts w:ascii="Aptos" w:hAnsi="Aptos"/>
              </w:rPr>
              <w:t xml:space="preserve">the scale of impact we’re looking </w:t>
            </w:r>
            <w:r w:rsidR="00BE4D92" w:rsidRPr="001658EA">
              <w:rPr>
                <w:rFonts w:ascii="Aptos" w:hAnsi="Aptos"/>
              </w:rPr>
              <w:t xml:space="preserve">to </w:t>
            </w:r>
            <w:r w:rsidR="00934A34" w:rsidRPr="001658EA">
              <w:rPr>
                <w:rFonts w:ascii="Aptos" w:hAnsi="Aptos"/>
              </w:rPr>
              <w:t>fund.</w:t>
            </w:r>
            <w:r w:rsidR="006B780C" w:rsidRPr="001658EA">
              <w:rPr>
                <w:rFonts w:ascii="Aptos" w:hAnsi="Aptos"/>
              </w:rPr>
              <w:br/>
            </w:r>
          </w:p>
        </w:tc>
      </w:tr>
      <w:tr w:rsidR="000028C7" w:rsidRPr="001658EA" w14:paraId="5F9AE517" w14:textId="77777777" w:rsidTr="00041556">
        <w:tc>
          <w:tcPr>
            <w:tcW w:w="1367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2C3FA2B4" w14:textId="77777777" w:rsidR="000028C7" w:rsidRPr="001658EA" w:rsidRDefault="000028C7" w:rsidP="00A93556">
            <w:pPr>
              <w:rPr>
                <w:rFonts w:ascii="Aptos" w:hAnsi="Aptos"/>
              </w:rPr>
            </w:pPr>
          </w:p>
        </w:tc>
        <w:tc>
          <w:tcPr>
            <w:tcW w:w="4490" w:type="dxa"/>
            <w:shd w:val="clear" w:color="auto" w:fill="D9E2F3" w:themeFill="accent1" w:themeFillTint="33"/>
          </w:tcPr>
          <w:p w14:paraId="20519601" w14:textId="4323AEA6" w:rsidR="000028C7" w:rsidRPr="001658EA" w:rsidRDefault="0010078F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Does the </w:t>
            </w:r>
            <w:r w:rsidR="002D7E1A" w:rsidRPr="001658EA">
              <w:rPr>
                <w:rFonts w:ascii="Aptos" w:hAnsi="Aptos"/>
              </w:rPr>
              <w:t xml:space="preserve">project have to deliver something </w:t>
            </w:r>
            <w:r w:rsidR="00BE4D92" w:rsidRPr="001658EA">
              <w:rPr>
                <w:rFonts w:ascii="Aptos" w:hAnsi="Aptos"/>
              </w:rPr>
              <w:t>public facing</w:t>
            </w:r>
            <w:r w:rsidR="002D7E1A" w:rsidRPr="001658EA">
              <w:rPr>
                <w:rFonts w:ascii="Aptos" w:hAnsi="Aptos"/>
              </w:rPr>
              <w:t xml:space="preserve"> with programmed activities, for example?</w:t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74F46A32" w14:textId="4675E077" w:rsidR="000028C7" w:rsidRPr="001658EA" w:rsidRDefault="00BE4D92" w:rsidP="008747C4">
            <w:pPr>
              <w:tabs>
                <w:tab w:val="left" w:pos="1223"/>
              </w:tabs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No, funded activity does not need to be public facing. </w:t>
            </w:r>
          </w:p>
        </w:tc>
      </w:tr>
      <w:tr w:rsidR="00AF342A" w:rsidRPr="001658EA" w14:paraId="15566433" w14:textId="77777777" w:rsidTr="00041556">
        <w:tc>
          <w:tcPr>
            <w:tcW w:w="1367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68C15633" w14:textId="77777777" w:rsidR="00AF342A" w:rsidRPr="001658EA" w:rsidRDefault="00AF342A" w:rsidP="00A93556">
            <w:pPr>
              <w:rPr>
                <w:rFonts w:ascii="Aptos" w:hAnsi="Aptos"/>
              </w:rPr>
            </w:pPr>
          </w:p>
        </w:tc>
        <w:tc>
          <w:tcPr>
            <w:tcW w:w="4490" w:type="dxa"/>
            <w:shd w:val="clear" w:color="auto" w:fill="D9E2F3" w:themeFill="accent1" w:themeFillTint="33"/>
          </w:tcPr>
          <w:p w14:paraId="5C14E055" w14:textId="2A75970B" w:rsidR="00AF342A" w:rsidRPr="001658EA" w:rsidRDefault="009C7497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Does activity need to take place across different Greater Manchester </w:t>
            </w:r>
            <w:r w:rsidR="00BE4D92" w:rsidRPr="001658EA">
              <w:rPr>
                <w:rFonts w:ascii="Aptos" w:hAnsi="Aptos"/>
              </w:rPr>
              <w:t>boroughs,</w:t>
            </w:r>
            <w:r w:rsidRPr="001658EA">
              <w:rPr>
                <w:rFonts w:ascii="Aptos" w:hAnsi="Aptos"/>
              </w:rPr>
              <w:t xml:space="preserve"> or can the impact be concentrated in one? </w:t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05C5B98B" w14:textId="360225DA" w:rsidR="00AF342A" w:rsidRPr="001658EA" w:rsidRDefault="00BE4D92" w:rsidP="008747C4">
            <w:pPr>
              <w:tabs>
                <w:tab w:val="left" w:pos="1223"/>
              </w:tabs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Consortia that deliver across multiple Greater Manchester boroughs </w:t>
            </w:r>
            <w:r w:rsidR="002F1CA8" w:rsidRPr="001658EA">
              <w:rPr>
                <w:rFonts w:ascii="Aptos" w:hAnsi="Aptos"/>
              </w:rPr>
              <w:t xml:space="preserve">are more likely to be successful </w:t>
            </w:r>
            <w:r w:rsidRPr="001658EA">
              <w:rPr>
                <w:rFonts w:ascii="Aptos" w:hAnsi="Aptos"/>
              </w:rPr>
              <w:t xml:space="preserve">than consortia that deliver exclusively in one borough. </w:t>
            </w:r>
          </w:p>
          <w:p w14:paraId="27EEF5BF" w14:textId="30984FA2" w:rsidR="00BE4D92" w:rsidRPr="001658EA" w:rsidRDefault="00BE4D92" w:rsidP="008747C4">
            <w:pPr>
              <w:tabs>
                <w:tab w:val="left" w:pos="1223"/>
              </w:tabs>
              <w:rPr>
                <w:rFonts w:ascii="Aptos" w:hAnsi="Aptos"/>
              </w:rPr>
            </w:pPr>
          </w:p>
        </w:tc>
      </w:tr>
      <w:tr w:rsidR="00FD1C37" w:rsidRPr="001658EA" w14:paraId="48A41B85" w14:textId="77777777" w:rsidTr="00041556">
        <w:tc>
          <w:tcPr>
            <w:tcW w:w="1367" w:type="dxa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3B763FC5" w14:textId="77777777" w:rsidR="00FD1C37" w:rsidRPr="001658EA" w:rsidRDefault="00FD1C37" w:rsidP="00A93556">
            <w:pPr>
              <w:rPr>
                <w:rFonts w:ascii="Aptos" w:hAnsi="Aptos"/>
              </w:rPr>
            </w:pPr>
          </w:p>
        </w:tc>
        <w:tc>
          <w:tcPr>
            <w:tcW w:w="4490" w:type="dxa"/>
            <w:shd w:val="clear" w:color="auto" w:fill="D9E2F3" w:themeFill="accent1" w:themeFillTint="33"/>
          </w:tcPr>
          <w:p w14:paraId="42792A6E" w14:textId="7A6343A3" w:rsidR="00FD1C37" w:rsidRPr="001658EA" w:rsidRDefault="00FD1C37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Can the consortium be made up of just arts organisations? </w:t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3D5D8AD6" w14:textId="36A64FAE" w:rsidR="00FD1C37" w:rsidRPr="001658EA" w:rsidRDefault="00BE4D92" w:rsidP="008747C4">
            <w:pPr>
              <w:tabs>
                <w:tab w:val="left" w:pos="1223"/>
              </w:tabs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Yes, consortia </w:t>
            </w:r>
            <w:r w:rsidR="009D78E4" w:rsidRPr="001658EA">
              <w:rPr>
                <w:rFonts w:ascii="Aptos" w:hAnsi="Aptos"/>
              </w:rPr>
              <w:t>can be made up of just arts organisations</w:t>
            </w:r>
            <w:r w:rsidR="002F1CA8" w:rsidRPr="001658EA">
              <w:rPr>
                <w:rFonts w:ascii="Aptos" w:hAnsi="Aptos"/>
              </w:rPr>
              <w:t>, but those that include organisations from a variety of sectors are more likely to be successful.</w:t>
            </w:r>
            <w:r w:rsidR="009D78E4" w:rsidRPr="001658EA">
              <w:rPr>
                <w:rFonts w:ascii="Aptos" w:hAnsi="Aptos"/>
              </w:rPr>
              <w:br/>
            </w:r>
          </w:p>
        </w:tc>
      </w:tr>
      <w:tr w:rsidR="00865FE3" w:rsidRPr="001658EA" w14:paraId="426F3D3B" w14:textId="77777777" w:rsidTr="00041556">
        <w:tc>
          <w:tcPr>
            <w:tcW w:w="1367" w:type="dxa"/>
            <w:tcBorders>
              <w:bottom w:val="nil"/>
            </w:tcBorders>
            <w:shd w:val="clear" w:color="auto" w:fill="B4C6E7" w:themeFill="accent1" w:themeFillTint="66"/>
          </w:tcPr>
          <w:p w14:paraId="2B439104" w14:textId="77777777" w:rsidR="001A1697" w:rsidRPr="001658EA" w:rsidRDefault="001A1697" w:rsidP="00A93556">
            <w:pPr>
              <w:rPr>
                <w:rFonts w:ascii="Aptos" w:hAnsi="Aptos"/>
              </w:rPr>
            </w:pPr>
          </w:p>
          <w:p w14:paraId="71FC6A68" w14:textId="77777777" w:rsidR="001A1697" w:rsidRPr="001658EA" w:rsidRDefault="001A1697" w:rsidP="00A93556">
            <w:pPr>
              <w:rPr>
                <w:rFonts w:ascii="Aptos" w:hAnsi="Aptos"/>
              </w:rPr>
            </w:pPr>
          </w:p>
          <w:p w14:paraId="70D4AA3D" w14:textId="5A1EFDD3" w:rsidR="00B57831" w:rsidRPr="001658EA" w:rsidRDefault="00A93556" w:rsidP="00A93556">
            <w:pPr>
              <w:rPr>
                <w:rFonts w:ascii="Aptos" w:hAnsi="Aptos"/>
                <w:b/>
                <w:bCs/>
              </w:rPr>
            </w:pPr>
            <w:r w:rsidRPr="001658EA">
              <w:rPr>
                <w:rFonts w:ascii="Aptos" w:hAnsi="Aptos"/>
                <w:b/>
                <w:bCs/>
              </w:rPr>
              <w:t>Timescales</w:t>
            </w:r>
          </w:p>
        </w:tc>
        <w:tc>
          <w:tcPr>
            <w:tcW w:w="4490" w:type="dxa"/>
            <w:shd w:val="clear" w:color="auto" w:fill="B4C6E7" w:themeFill="accent1" w:themeFillTint="66"/>
          </w:tcPr>
          <w:p w14:paraId="4127ED57" w14:textId="60955F76" w:rsidR="00B57831" w:rsidRPr="001658EA" w:rsidRDefault="0012716A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How long should the projects be? So, how long should they last and when should they be completed by? </w:t>
            </w:r>
          </w:p>
        </w:tc>
        <w:tc>
          <w:tcPr>
            <w:tcW w:w="4633" w:type="dxa"/>
            <w:shd w:val="clear" w:color="auto" w:fill="B4C6E7" w:themeFill="accent1" w:themeFillTint="66"/>
          </w:tcPr>
          <w:p w14:paraId="33C9091C" w14:textId="269B56F0" w:rsidR="00B57831" w:rsidRPr="001658EA" w:rsidRDefault="00E52F30" w:rsidP="00580F37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We would expect </w:t>
            </w:r>
            <w:r w:rsidR="00807410">
              <w:rPr>
                <w:rFonts w:ascii="Aptos" w:hAnsi="Aptos"/>
              </w:rPr>
              <w:t>activity</w:t>
            </w:r>
            <w:r w:rsidRPr="001658EA">
              <w:rPr>
                <w:rFonts w:ascii="Aptos" w:hAnsi="Aptos"/>
              </w:rPr>
              <w:t xml:space="preserve"> to be delivered by March 31</w:t>
            </w:r>
            <w:r w:rsidRPr="001658EA">
              <w:rPr>
                <w:rFonts w:ascii="Aptos" w:hAnsi="Aptos"/>
                <w:vertAlign w:val="superscript"/>
              </w:rPr>
              <w:t>st</w:t>
            </w:r>
            <w:proofErr w:type="gramStart"/>
            <w:r w:rsidRPr="001658EA">
              <w:rPr>
                <w:rFonts w:ascii="Aptos" w:hAnsi="Aptos"/>
              </w:rPr>
              <w:t xml:space="preserve"> 202</w:t>
            </w:r>
            <w:r w:rsidR="00580F37" w:rsidRPr="001658EA">
              <w:rPr>
                <w:rFonts w:ascii="Aptos" w:hAnsi="Aptos"/>
              </w:rPr>
              <w:t>6</w:t>
            </w:r>
            <w:proofErr w:type="gramEnd"/>
            <w:r w:rsidR="00580F37" w:rsidRPr="001658EA">
              <w:rPr>
                <w:rFonts w:ascii="Aptos" w:hAnsi="Aptos"/>
              </w:rPr>
              <w:t xml:space="preserve">. </w:t>
            </w:r>
            <w:r w:rsidR="005E5DA2" w:rsidRPr="001658EA">
              <w:rPr>
                <w:rFonts w:ascii="Aptos" w:hAnsi="Aptos"/>
              </w:rPr>
              <w:br/>
            </w:r>
          </w:p>
        </w:tc>
      </w:tr>
      <w:tr w:rsidR="00CF4334" w:rsidRPr="001658EA" w14:paraId="21E52345" w14:textId="77777777" w:rsidTr="00041556">
        <w:tc>
          <w:tcPr>
            <w:tcW w:w="1367" w:type="dxa"/>
            <w:tcBorders>
              <w:bottom w:val="nil"/>
            </w:tcBorders>
            <w:shd w:val="clear" w:color="auto" w:fill="D9E2F3" w:themeFill="accent1" w:themeFillTint="33"/>
          </w:tcPr>
          <w:p w14:paraId="2D053908" w14:textId="152FF72D" w:rsidR="00CF4334" w:rsidRPr="001658EA" w:rsidRDefault="005F3DA5" w:rsidP="00A93556">
            <w:pPr>
              <w:rPr>
                <w:rFonts w:ascii="Aptos" w:hAnsi="Aptos"/>
                <w:b/>
                <w:bCs/>
              </w:rPr>
            </w:pPr>
            <w:r w:rsidRPr="001658EA">
              <w:rPr>
                <w:rFonts w:ascii="Aptos" w:hAnsi="Aptos"/>
                <w:b/>
                <w:bCs/>
              </w:rPr>
              <w:t>Networking and contacts</w:t>
            </w:r>
          </w:p>
        </w:tc>
        <w:tc>
          <w:tcPr>
            <w:tcW w:w="4490" w:type="dxa"/>
            <w:shd w:val="clear" w:color="auto" w:fill="D9E2F3" w:themeFill="accent1" w:themeFillTint="33"/>
          </w:tcPr>
          <w:p w14:paraId="3C69AE44" w14:textId="67E000E3" w:rsidR="00CF4334" w:rsidRPr="001658EA" w:rsidRDefault="00A768D9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Will there be ongoing communication between different organisations that could potentially collaborate with each other? </w:t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3D4F2FAF" w14:textId="55E5807D" w:rsidR="00CF4334" w:rsidRPr="001658EA" w:rsidRDefault="00851C9D" w:rsidP="00580F37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Establishing a network where people and organisations can reach out to each other is important</w:t>
            </w:r>
            <w:r w:rsidR="00A424F6" w:rsidRPr="001658EA">
              <w:rPr>
                <w:rFonts w:ascii="Aptos" w:hAnsi="Aptos"/>
              </w:rPr>
              <w:t xml:space="preserve">, and we are looking into establishing an open forum for the application process and beyond. </w:t>
            </w:r>
            <w:r w:rsidR="008852A5" w:rsidRPr="001658EA">
              <w:rPr>
                <w:rFonts w:ascii="Aptos" w:hAnsi="Aptos"/>
              </w:rPr>
              <w:br/>
            </w:r>
          </w:p>
        </w:tc>
      </w:tr>
      <w:tr w:rsidR="00B84C48" w:rsidRPr="001658EA" w14:paraId="5F4AB50F" w14:textId="77777777" w:rsidTr="00041556">
        <w:tc>
          <w:tcPr>
            <w:tcW w:w="1367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4BD59DFB" w14:textId="77777777" w:rsidR="00B84C48" w:rsidRPr="001658EA" w:rsidRDefault="00B84C48" w:rsidP="00A93556">
            <w:pPr>
              <w:rPr>
                <w:rFonts w:ascii="Aptos" w:hAnsi="Aptos"/>
              </w:rPr>
            </w:pPr>
          </w:p>
        </w:tc>
        <w:tc>
          <w:tcPr>
            <w:tcW w:w="4490" w:type="dxa"/>
            <w:shd w:val="clear" w:color="auto" w:fill="D9E2F3" w:themeFill="accent1" w:themeFillTint="33"/>
          </w:tcPr>
          <w:p w14:paraId="5D1A8F75" w14:textId="1C0C6069" w:rsidR="00B84C48" w:rsidRPr="001658EA" w:rsidRDefault="00B84C48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Is there a mailing list we can join? </w:t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5EFE5D35" w14:textId="613F6CF9" w:rsidR="00B84C48" w:rsidRPr="001658EA" w:rsidRDefault="007806A3" w:rsidP="00580F37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No, there is no Collaborate mailing list. </w:t>
            </w:r>
            <w:r w:rsidRPr="001658EA">
              <w:rPr>
                <w:rFonts w:ascii="Aptos" w:hAnsi="Aptos"/>
              </w:rPr>
              <w:br/>
            </w:r>
          </w:p>
        </w:tc>
      </w:tr>
      <w:tr w:rsidR="00FD1C37" w:rsidRPr="001658EA" w14:paraId="2D2EEBBD" w14:textId="77777777" w:rsidTr="00041556">
        <w:tc>
          <w:tcPr>
            <w:tcW w:w="1367" w:type="dxa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55A2EC75" w14:textId="77777777" w:rsidR="00FD1C37" w:rsidRPr="001658EA" w:rsidRDefault="00FD1C37" w:rsidP="00A93556">
            <w:pPr>
              <w:rPr>
                <w:rFonts w:ascii="Aptos" w:hAnsi="Aptos"/>
              </w:rPr>
            </w:pPr>
          </w:p>
        </w:tc>
        <w:tc>
          <w:tcPr>
            <w:tcW w:w="4490" w:type="dxa"/>
            <w:shd w:val="clear" w:color="auto" w:fill="D9E2F3" w:themeFill="accent1" w:themeFillTint="33"/>
          </w:tcPr>
          <w:p w14:paraId="6656229D" w14:textId="70C97AEF" w:rsidR="00FD1C37" w:rsidRPr="001658EA" w:rsidRDefault="006343E5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How do we find out about the EOI process when it is released on 24</w:t>
            </w:r>
            <w:r w:rsidRPr="001658EA">
              <w:rPr>
                <w:rFonts w:ascii="Aptos" w:hAnsi="Aptos"/>
                <w:vertAlign w:val="superscript"/>
              </w:rPr>
              <w:t>th</w:t>
            </w:r>
            <w:r w:rsidRPr="001658EA">
              <w:rPr>
                <w:rFonts w:ascii="Aptos" w:hAnsi="Aptos"/>
              </w:rPr>
              <w:t xml:space="preserve"> February? </w:t>
            </w:r>
            <w:r w:rsidR="007E2591" w:rsidRPr="001658EA">
              <w:rPr>
                <w:rFonts w:ascii="Aptos" w:hAnsi="Aptos"/>
              </w:rPr>
              <w:br/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117AC046" w14:textId="60E9EA0C" w:rsidR="00FD1C37" w:rsidRPr="001658EA" w:rsidRDefault="00560472" w:rsidP="00580F37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It will be announced on GMCA social media channels </w:t>
            </w:r>
            <w:r w:rsidR="00647540" w:rsidRPr="001658EA">
              <w:rPr>
                <w:rFonts w:ascii="Aptos" w:hAnsi="Aptos"/>
              </w:rPr>
              <w:t>and emails will be sent to our networks and partners with information.</w:t>
            </w:r>
            <w:r w:rsidR="00647540" w:rsidRPr="001658EA">
              <w:rPr>
                <w:rFonts w:ascii="Aptos" w:hAnsi="Aptos"/>
              </w:rPr>
              <w:br/>
            </w:r>
          </w:p>
        </w:tc>
      </w:tr>
      <w:tr w:rsidR="00E374D3" w:rsidRPr="001658EA" w14:paraId="272F5E4F" w14:textId="77777777" w:rsidTr="00041556">
        <w:tc>
          <w:tcPr>
            <w:tcW w:w="1367" w:type="dxa"/>
            <w:tcBorders>
              <w:bottom w:val="nil"/>
            </w:tcBorders>
            <w:shd w:val="clear" w:color="auto" w:fill="B4C6E7" w:themeFill="accent1" w:themeFillTint="66"/>
          </w:tcPr>
          <w:p w14:paraId="4C0B8A55" w14:textId="61BE2805" w:rsidR="00E374D3" w:rsidRPr="001658EA" w:rsidRDefault="00E374D3" w:rsidP="00A93556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490" w:type="dxa"/>
            <w:shd w:val="clear" w:color="auto" w:fill="B4C6E7" w:themeFill="accent1" w:themeFillTint="66"/>
          </w:tcPr>
          <w:p w14:paraId="71C6B3FF" w14:textId="6243FBC3" w:rsidR="00E374D3" w:rsidRPr="001658EA" w:rsidRDefault="00B7360C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Are </w:t>
            </w:r>
            <w:r w:rsidR="00B12D31" w:rsidRPr="001658EA">
              <w:rPr>
                <w:rFonts w:ascii="Aptos" w:hAnsi="Aptos"/>
              </w:rPr>
              <w:t>organisations who have previously applied or received GMCA culture funding eligible to apply?</w:t>
            </w:r>
          </w:p>
        </w:tc>
        <w:tc>
          <w:tcPr>
            <w:tcW w:w="4633" w:type="dxa"/>
            <w:shd w:val="clear" w:color="auto" w:fill="B4C6E7" w:themeFill="accent1" w:themeFillTint="66"/>
          </w:tcPr>
          <w:p w14:paraId="6EF424A9" w14:textId="0B4EB622" w:rsidR="00E374D3" w:rsidRPr="001658EA" w:rsidRDefault="00B12D31" w:rsidP="00580F37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Yes, Collaborate funding is also open to those who have previously applied for other funding from the GMCA, whether they were successful or unsuccessful. </w:t>
            </w:r>
            <w:r w:rsidR="00F04029" w:rsidRPr="001658EA">
              <w:rPr>
                <w:rFonts w:ascii="Aptos" w:hAnsi="Aptos"/>
              </w:rPr>
              <w:br/>
            </w:r>
          </w:p>
        </w:tc>
      </w:tr>
      <w:tr w:rsidR="0010078F" w:rsidRPr="001658EA" w14:paraId="7E169BD7" w14:textId="77777777" w:rsidTr="00041556">
        <w:tc>
          <w:tcPr>
            <w:tcW w:w="1367" w:type="dxa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70D536D8" w14:textId="77777777" w:rsidR="0010078F" w:rsidRPr="001658EA" w:rsidRDefault="0010078F" w:rsidP="00A93556">
            <w:pPr>
              <w:rPr>
                <w:rFonts w:ascii="Aptos" w:hAnsi="Aptos"/>
              </w:rPr>
            </w:pPr>
          </w:p>
          <w:p w14:paraId="7D406DD1" w14:textId="77777777" w:rsidR="00865FE3" w:rsidRPr="001658EA" w:rsidRDefault="00865FE3" w:rsidP="00865FE3">
            <w:pPr>
              <w:rPr>
                <w:rFonts w:ascii="Aptos" w:hAnsi="Aptos"/>
              </w:rPr>
            </w:pPr>
          </w:p>
          <w:p w14:paraId="360DD991" w14:textId="2BC1E4C3" w:rsidR="00865FE3" w:rsidRPr="001658EA" w:rsidRDefault="00865FE3" w:rsidP="00865FE3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  <w:b/>
                <w:bCs/>
              </w:rPr>
              <w:t>Existing partnerships and funding</w:t>
            </w:r>
          </w:p>
        </w:tc>
        <w:tc>
          <w:tcPr>
            <w:tcW w:w="4490" w:type="dxa"/>
            <w:shd w:val="clear" w:color="auto" w:fill="B4C6E7" w:themeFill="accent1" w:themeFillTint="66"/>
          </w:tcPr>
          <w:p w14:paraId="4C60694A" w14:textId="04C691FF" w:rsidR="0010078F" w:rsidRPr="001658EA" w:rsidRDefault="0010078F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Do you require match funding?</w:t>
            </w:r>
            <w:r w:rsidRPr="001658EA">
              <w:rPr>
                <w:rFonts w:ascii="Aptos" w:hAnsi="Aptos"/>
              </w:rPr>
              <w:tab/>
            </w:r>
          </w:p>
        </w:tc>
        <w:tc>
          <w:tcPr>
            <w:tcW w:w="4633" w:type="dxa"/>
            <w:shd w:val="clear" w:color="auto" w:fill="B4C6E7" w:themeFill="accent1" w:themeFillTint="66"/>
          </w:tcPr>
          <w:p w14:paraId="29B41F04" w14:textId="5611F45F" w:rsidR="0010078F" w:rsidRPr="001658EA" w:rsidRDefault="00807410" w:rsidP="00580F3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While</w:t>
            </w:r>
            <w:r w:rsidR="0010078F" w:rsidRPr="001658EA">
              <w:rPr>
                <w:rFonts w:ascii="Aptos" w:hAnsi="Aptos"/>
              </w:rPr>
              <w:t xml:space="preserve"> there is no requirement for match funding,</w:t>
            </w:r>
            <w:r>
              <w:rPr>
                <w:rFonts w:ascii="Aptos" w:hAnsi="Aptos"/>
              </w:rPr>
              <w:t xml:space="preserve"> projects that can demonstrate how they are able lever investment from other sources are likely to score more highly at full application stage. We will </w:t>
            </w:r>
            <w:r w:rsidR="0010078F" w:rsidRPr="001658EA">
              <w:rPr>
                <w:rFonts w:ascii="Aptos" w:hAnsi="Aptos"/>
              </w:rPr>
              <w:t xml:space="preserve">not be asking for this </w:t>
            </w:r>
            <w:r>
              <w:rPr>
                <w:rFonts w:ascii="Aptos" w:hAnsi="Aptos"/>
              </w:rPr>
              <w:t xml:space="preserve">information </w:t>
            </w:r>
            <w:r w:rsidR="0010078F" w:rsidRPr="001658EA">
              <w:rPr>
                <w:rFonts w:ascii="Aptos" w:hAnsi="Aptos"/>
              </w:rPr>
              <w:t>at the expressions of interest stage.</w:t>
            </w:r>
            <w:r w:rsidR="00F04029" w:rsidRPr="001658EA">
              <w:rPr>
                <w:rFonts w:ascii="Aptos" w:hAnsi="Aptos"/>
              </w:rPr>
              <w:br/>
            </w:r>
          </w:p>
        </w:tc>
      </w:tr>
      <w:tr w:rsidR="00332A2E" w:rsidRPr="001658EA" w14:paraId="5AF441E9" w14:textId="77777777" w:rsidTr="00041556">
        <w:tc>
          <w:tcPr>
            <w:tcW w:w="1367" w:type="dxa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013B5FBF" w14:textId="77777777" w:rsidR="00332A2E" w:rsidRPr="001658EA" w:rsidRDefault="00332A2E" w:rsidP="00A93556">
            <w:pPr>
              <w:rPr>
                <w:rFonts w:ascii="Aptos" w:hAnsi="Aptos"/>
              </w:rPr>
            </w:pPr>
          </w:p>
        </w:tc>
        <w:tc>
          <w:tcPr>
            <w:tcW w:w="4490" w:type="dxa"/>
            <w:shd w:val="clear" w:color="auto" w:fill="B4C6E7" w:themeFill="accent1" w:themeFillTint="66"/>
          </w:tcPr>
          <w:p w14:paraId="5DD4E645" w14:textId="03365D33" w:rsidR="00332A2E" w:rsidRPr="001658EA" w:rsidRDefault="00B33F97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Are there any partnership exclusions</w:t>
            </w:r>
            <w:r w:rsidR="00642ED0" w:rsidRPr="001658EA">
              <w:rPr>
                <w:rFonts w:ascii="Aptos" w:hAnsi="Aptos"/>
              </w:rPr>
              <w:t xml:space="preserve">? For example, NPOs, Music Hubs, and organisations in the GMCA portfolio? </w:t>
            </w:r>
          </w:p>
        </w:tc>
        <w:tc>
          <w:tcPr>
            <w:tcW w:w="4633" w:type="dxa"/>
            <w:shd w:val="clear" w:color="auto" w:fill="B4C6E7" w:themeFill="accent1" w:themeFillTint="66"/>
          </w:tcPr>
          <w:p w14:paraId="4B92D4A3" w14:textId="77191611" w:rsidR="00332A2E" w:rsidRPr="001658EA" w:rsidRDefault="00807410" w:rsidP="00580F3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There are no partnership exclusions.</w:t>
            </w:r>
            <w:r w:rsidR="00F04029" w:rsidRPr="001658EA">
              <w:rPr>
                <w:rFonts w:ascii="Aptos" w:hAnsi="Aptos"/>
              </w:rPr>
              <w:br/>
            </w:r>
          </w:p>
        </w:tc>
      </w:tr>
      <w:tr w:rsidR="003C2325" w:rsidRPr="001658EA" w14:paraId="63A39F08" w14:textId="77777777" w:rsidTr="00041556">
        <w:tc>
          <w:tcPr>
            <w:tcW w:w="1367" w:type="dxa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01BBEB0B" w14:textId="77777777" w:rsidR="003C2325" w:rsidRPr="001658EA" w:rsidRDefault="003C2325" w:rsidP="00A93556">
            <w:pPr>
              <w:rPr>
                <w:rFonts w:ascii="Aptos" w:hAnsi="Aptos"/>
              </w:rPr>
            </w:pPr>
          </w:p>
        </w:tc>
        <w:tc>
          <w:tcPr>
            <w:tcW w:w="4490" w:type="dxa"/>
            <w:shd w:val="clear" w:color="auto" w:fill="B4C6E7" w:themeFill="accent1" w:themeFillTint="66"/>
          </w:tcPr>
          <w:p w14:paraId="2134B0D5" w14:textId="3793B130" w:rsidR="003C2325" w:rsidRPr="001658EA" w:rsidRDefault="00AD33E5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Can the grant be in addition to Arts Council England Funding? </w:t>
            </w:r>
          </w:p>
        </w:tc>
        <w:tc>
          <w:tcPr>
            <w:tcW w:w="4633" w:type="dxa"/>
            <w:shd w:val="clear" w:color="auto" w:fill="B4C6E7" w:themeFill="accent1" w:themeFillTint="66"/>
          </w:tcPr>
          <w:p w14:paraId="7D7098D2" w14:textId="00FA9EA1" w:rsidR="003C2325" w:rsidRPr="001658EA" w:rsidRDefault="007E2591" w:rsidP="00580F37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Yes, it can.</w:t>
            </w:r>
          </w:p>
        </w:tc>
      </w:tr>
      <w:tr w:rsidR="000C36B9" w:rsidRPr="001658EA" w14:paraId="12325ED3" w14:textId="77777777" w:rsidTr="00041556">
        <w:tc>
          <w:tcPr>
            <w:tcW w:w="1367" w:type="dxa"/>
            <w:tcBorders>
              <w:top w:val="nil"/>
              <w:bottom w:val="single" w:sz="4" w:space="0" w:color="auto"/>
            </w:tcBorders>
            <w:shd w:val="clear" w:color="auto" w:fill="B4C6E7" w:themeFill="accent1" w:themeFillTint="66"/>
          </w:tcPr>
          <w:p w14:paraId="6A62516C" w14:textId="77777777" w:rsidR="000C36B9" w:rsidRPr="001658EA" w:rsidRDefault="000C36B9" w:rsidP="00A93556">
            <w:pPr>
              <w:rPr>
                <w:rFonts w:ascii="Aptos" w:hAnsi="Aptos"/>
              </w:rPr>
            </w:pPr>
          </w:p>
        </w:tc>
        <w:tc>
          <w:tcPr>
            <w:tcW w:w="4490" w:type="dxa"/>
            <w:shd w:val="clear" w:color="auto" w:fill="B4C6E7" w:themeFill="accent1" w:themeFillTint="66"/>
          </w:tcPr>
          <w:p w14:paraId="58DA8EB9" w14:textId="4522AF8C" w:rsidR="000C36B9" w:rsidRPr="001658EA" w:rsidRDefault="000C36B9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Would applicants remain eligible for future GMCA funding</w:t>
            </w:r>
          </w:p>
        </w:tc>
        <w:tc>
          <w:tcPr>
            <w:tcW w:w="4633" w:type="dxa"/>
            <w:shd w:val="clear" w:color="auto" w:fill="B4C6E7" w:themeFill="accent1" w:themeFillTint="66"/>
          </w:tcPr>
          <w:p w14:paraId="53A23E06" w14:textId="38F6D801" w:rsidR="000C36B9" w:rsidRPr="001658EA" w:rsidRDefault="007E2591" w:rsidP="00580F37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Yes, they would.</w:t>
            </w:r>
          </w:p>
        </w:tc>
      </w:tr>
      <w:tr w:rsidR="00A9652D" w:rsidRPr="001658EA" w14:paraId="2CBE4AAA" w14:textId="77777777" w:rsidTr="00041556">
        <w:tc>
          <w:tcPr>
            <w:tcW w:w="1367" w:type="dxa"/>
            <w:tcBorders>
              <w:bottom w:val="nil"/>
            </w:tcBorders>
            <w:shd w:val="clear" w:color="auto" w:fill="D9E2F3" w:themeFill="accent1" w:themeFillTint="33"/>
          </w:tcPr>
          <w:p w14:paraId="15CECD0E" w14:textId="77777777" w:rsidR="00784324" w:rsidRPr="001658EA" w:rsidRDefault="00784324" w:rsidP="00A93556">
            <w:pPr>
              <w:rPr>
                <w:rFonts w:ascii="Aptos" w:hAnsi="Aptos"/>
              </w:rPr>
            </w:pPr>
          </w:p>
          <w:p w14:paraId="609101D9" w14:textId="77777777" w:rsidR="00784324" w:rsidRPr="001658EA" w:rsidRDefault="00784324" w:rsidP="00A93556">
            <w:pPr>
              <w:rPr>
                <w:rFonts w:ascii="Aptos" w:hAnsi="Aptos"/>
              </w:rPr>
            </w:pPr>
          </w:p>
          <w:p w14:paraId="553DC661" w14:textId="77777777" w:rsidR="00784324" w:rsidRPr="001658EA" w:rsidRDefault="00784324" w:rsidP="00A93556">
            <w:pPr>
              <w:rPr>
                <w:rFonts w:ascii="Aptos" w:hAnsi="Aptos"/>
              </w:rPr>
            </w:pPr>
          </w:p>
          <w:p w14:paraId="495D272D" w14:textId="77777777" w:rsidR="00784324" w:rsidRPr="001658EA" w:rsidRDefault="00784324" w:rsidP="00865FE3">
            <w:pPr>
              <w:shd w:val="clear" w:color="auto" w:fill="D9E2F3" w:themeFill="accent1" w:themeFillTint="33"/>
              <w:rPr>
                <w:rFonts w:ascii="Aptos" w:hAnsi="Aptos"/>
              </w:rPr>
            </w:pPr>
          </w:p>
          <w:p w14:paraId="5239912F" w14:textId="12AE8D1C" w:rsidR="00A9652D" w:rsidRPr="001658EA" w:rsidRDefault="00A9652D" w:rsidP="00865FE3">
            <w:pPr>
              <w:shd w:val="clear" w:color="auto" w:fill="D9E2F3" w:themeFill="accent1" w:themeFillTint="33"/>
              <w:rPr>
                <w:rFonts w:ascii="Aptos" w:hAnsi="Aptos"/>
                <w:b/>
                <w:bCs/>
              </w:rPr>
            </w:pPr>
          </w:p>
        </w:tc>
        <w:tc>
          <w:tcPr>
            <w:tcW w:w="4490" w:type="dxa"/>
            <w:shd w:val="clear" w:color="auto" w:fill="D9E2F3" w:themeFill="accent1" w:themeFillTint="33"/>
          </w:tcPr>
          <w:p w14:paraId="05838FD2" w14:textId="141F88F7" w:rsidR="00A9652D" w:rsidRPr="001658EA" w:rsidRDefault="00A46720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How will the GMCA assess </w:t>
            </w:r>
            <w:r w:rsidR="00234C75" w:rsidRPr="001658EA">
              <w:rPr>
                <w:rFonts w:ascii="Aptos" w:hAnsi="Aptos"/>
              </w:rPr>
              <w:t xml:space="preserve">each project? For </w:t>
            </w:r>
            <w:r w:rsidR="00101E21" w:rsidRPr="001658EA">
              <w:rPr>
                <w:rFonts w:ascii="Aptos" w:hAnsi="Aptos"/>
              </w:rPr>
              <w:t>example,</w:t>
            </w:r>
            <w:r w:rsidR="00234C75" w:rsidRPr="001658EA">
              <w:rPr>
                <w:rFonts w:ascii="Aptos" w:hAnsi="Aptos"/>
              </w:rPr>
              <w:t xml:space="preserve"> will it be about the merit of each project’s impact or how well they balance with other projects? </w:t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6D8987B5" w14:textId="40FA479E" w:rsidR="00A94E2B" w:rsidRPr="001658EA" w:rsidRDefault="00807410" w:rsidP="002406B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We expect to fund a portfolio of seven projects that deliver against each theme of the fund. At full application stage e</w:t>
            </w:r>
            <w:r w:rsidR="00DE0388" w:rsidRPr="001658EA">
              <w:rPr>
                <w:rFonts w:ascii="Aptos" w:hAnsi="Aptos"/>
              </w:rPr>
              <w:t xml:space="preserve">ach project will be </w:t>
            </w:r>
            <w:r w:rsidR="00A22ACE" w:rsidRPr="001658EA">
              <w:rPr>
                <w:rFonts w:ascii="Aptos" w:hAnsi="Aptos"/>
              </w:rPr>
              <w:t xml:space="preserve">assessed </w:t>
            </w:r>
            <w:r w:rsidR="00A94E2B" w:rsidRPr="001658EA">
              <w:rPr>
                <w:rFonts w:ascii="Aptos" w:hAnsi="Aptos"/>
              </w:rPr>
              <w:t xml:space="preserve">on its alignment with </w:t>
            </w:r>
            <w:r w:rsidR="002406B4" w:rsidRPr="001658EA">
              <w:rPr>
                <w:rFonts w:ascii="Aptos" w:hAnsi="Aptos"/>
              </w:rPr>
              <w:t xml:space="preserve">the following criteria: </w:t>
            </w:r>
          </w:p>
          <w:p w14:paraId="298810B8" w14:textId="77777777" w:rsidR="002406B4" w:rsidRPr="001658EA" w:rsidRDefault="002406B4" w:rsidP="002406B4">
            <w:pPr>
              <w:rPr>
                <w:rFonts w:ascii="Aptos" w:hAnsi="Aptos"/>
              </w:rPr>
            </w:pPr>
          </w:p>
          <w:p w14:paraId="77778345" w14:textId="37B716B7" w:rsidR="002406B4" w:rsidRPr="001658EA" w:rsidRDefault="006C5C62" w:rsidP="002406B4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Sustainability through collaboration</w:t>
            </w:r>
          </w:p>
          <w:p w14:paraId="46311A11" w14:textId="51471AE8" w:rsidR="006C5C62" w:rsidRPr="001658EA" w:rsidRDefault="006C5C62" w:rsidP="002406B4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Interdisciplinary impact </w:t>
            </w:r>
          </w:p>
          <w:p w14:paraId="452D0086" w14:textId="7F09D298" w:rsidR="006C5C62" w:rsidRPr="001658EA" w:rsidRDefault="006C5C62" w:rsidP="002406B4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Cross-sector partnerships</w:t>
            </w:r>
          </w:p>
          <w:p w14:paraId="71CE0058" w14:textId="4DF943DB" w:rsidR="006C5C62" w:rsidRPr="001658EA" w:rsidRDefault="006C5C62" w:rsidP="002406B4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Regional representation</w:t>
            </w:r>
          </w:p>
          <w:p w14:paraId="1EB8135F" w14:textId="0DFCAC6D" w:rsidR="00183F2A" w:rsidRPr="001658EA" w:rsidRDefault="00183F2A" w:rsidP="002406B4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Lead applicant must work within the culture, creative or heritage sectors</w:t>
            </w:r>
          </w:p>
          <w:p w14:paraId="2331134E" w14:textId="6CCA51D4" w:rsidR="00A94E2B" w:rsidRPr="001658EA" w:rsidRDefault="00A94E2B" w:rsidP="00A94E2B">
            <w:pPr>
              <w:pStyle w:val="ListParagraph"/>
              <w:rPr>
                <w:rFonts w:ascii="Aptos" w:hAnsi="Aptos"/>
              </w:rPr>
            </w:pPr>
          </w:p>
        </w:tc>
      </w:tr>
      <w:tr w:rsidR="00101E21" w:rsidRPr="001658EA" w14:paraId="3FA72291" w14:textId="77777777" w:rsidTr="00041556">
        <w:tc>
          <w:tcPr>
            <w:tcW w:w="1367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27D87D34" w14:textId="77777777" w:rsidR="00101E21" w:rsidRPr="001658EA" w:rsidRDefault="00101E21" w:rsidP="00A93556">
            <w:pPr>
              <w:rPr>
                <w:rFonts w:ascii="Aptos" w:hAnsi="Aptos"/>
              </w:rPr>
            </w:pPr>
          </w:p>
        </w:tc>
        <w:tc>
          <w:tcPr>
            <w:tcW w:w="4490" w:type="dxa"/>
            <w:shd w:val="clear" w:color="auto" w:fill="D9E2F3" w:themeFill="accent1" w:themeFillTint="33"/>
          </w:tcPr>
          <w:p w14:paraId="3748038A" w14:textId="316F8E5E" w:rsidR="00101E21" w:rsidRPr="001658EA" w:rsidRDefault="00101E21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Will </w:t>
            </w:r>
            <w:r w:rsidR="00784324" w:rsidRPr="001658EA">
              <w:rPr>
                <w:rFonts w:ascii="Aptos" w:hAnsi="Aptos"/>
              </w:rPr>
              <w:t xml:space="preserve">applications be assessed separately depending on how much funding they have </w:t>
            </w:r>
            <w:r w:rsidR="00784324" w:rsidRPr="001658EA">
              <w:rPr>
                <w:rFonts w:ascii="Aptos" w:hAnsi="Aptos"/>
              </w:rPr>
              <w:lastRenderedPageBreak/>
              <w:t xml:space="preserve">applied for? </w:t>
            </w:r>
            <w:r w:rsidR="00183F2A" w:rsidRPr="001658EA">
              <w:rPr>
                <w:rFonts w:ascii="Aptos" w:hAnsi="Aptos"/>
              </w:rPr>
              <w:br/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60BCA231" w14:textId="37E97648" w:rsidR="00101E21" w:rsidRPr="001658EA" w:rsidRDefault="000B18DE" w:rsidP="00580F37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lastRenderedPageBreak/>
              <w:t>No, all applications will be judged across the same set of five criteria regardless of the level of funding they have applied for.</w:t>
            </w:r>
          </w:p>
        </w:tc>
      </w:tr>
      <w:tr w:rsidR="00784324" w:rsidRPr="001658EA" w14:paraId="33A00D10" w14:textId="77777777" w:rsidTr="00041556">
        <w:tc>
          <w:tcPr>
            <w:tcW w:w="1367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777BC47C" w14:textId="77777777" w:rsidR="00784324" w:rsidRPr="001658EA" w:rsidRDefault="00784324" w:rsidP="00A93556">
            <w:pPr>
              <w:rPr>
                <w:rFonts w:ascii="Aptos" w:hAnsi="Aptos"/>
              </w:rPr>
            </w:pPr>
          </w:p>
        </w:tc>
        <w:tc>
          <w:tcPr>
            <w:tcW w:w="4490" w:type="dxa"/>
            <w:shd w:val="clear" w:color="auto" w:fill="D9E2F3" w:themeFill="accent1" w:themeFillTint="33"/>
          </w:tcPr>
          <w:p w14:paraId="622DD0BE" w14:textId="1FB56B8A" w:rsidR="00784324" w:rsidRPr="001658EA" w:rsidRDefault="00775EF4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What measures do you have in place to ensure a fair and inclusive process? Will there be an independent and diverse judging panel? </w:t>
            </w:r>
            <w:r w:rsidR="00183F2A" w:rsidRPr="001658EA">
              <w:rPr>
                <w:rFonts w:ascii="Aptos" w:hAnsi="Aptos"/>
              </w:rPr>
              <w:br/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12ADE111" w14:textId="2DC6371F" w:rsidR="00784324" w:rsidRPr="001658EA" w:rsidRDefault="00BA397D" w:rsidP="00580F37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We will include a question in the Expression of Interest stage </w:t>
            </w:r>
            <w:r w:rsidR="00DD5542" w:rsidRPr="001658EA">
              <w:rPr>
                <w:rFonts w:ascii="Aptos" w:hAnsi="Aptos"/>
              </w:rPr>
              <w:t>asking how consortia will reflect and support diverse communities in Greater Manchester, with the full applications being discussed by a panel that reflects the diversity of our city-region.</w:t>
            </w:r>
            <w:r w:rsidR="00DD5542" w:rsidRPr="001658EA">
              <w:rPr>
                <w:rFonts w:ascii="Aptos" w:hAnsi="Aptos"/>
              </w:rPr>
              <w:br/>
            </w:r>
          </w:p>
        </w:tc>
      </w:tr>
      <w:tr w:rsidR="001B419B" w:rsidRPr="001658EA" w14:paraId="1E39D617" w14:textId="77777777" w:rsidTr="00041556">
        <w:tc>
          <w:tcPr>
            <w:tcW w:w="1367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3D30AB12" w14:textId="4D6838F2" w:rsidR="001B419B" w:rsidRPr="001658EA" w:rsidRDefault="00865FE3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  <w:b/>
                <w:bCs/>
              </w:rPr>
              <w:t>Criteria</w:t>
            </w:r>
          </w:p>
        </w:tc>
        <w:tc>
          <w:tcPr>
            <w:tcW w:w="4490" w:type="dxa"/>
            <w:shd w:val="clear" w:color="auto" w:fill="D9E2F3" w:themeFill="accent1" w:themeFillTint="33"/>
          </w:tcPr>
          <w:p w14:paraId="0F1FB6FF" w14:textId="60152157" w:rsidR="001B419B" w:rsidRPr="001658EA" w:rsidRDefault="001B419B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Will the lead applicant be entirely responsible for collaboration</w:t>
            </w:r>
            <w:r w:rsidR="00EF42F5" w:rsidRPr="001658EA">
              <w:rPr>
                <w:rFonts w:ascii="Aptos" w:hAnsi="Aptos"/>
              </w:rPr>
              <w:t xml:space="preserve"> and delivery? </w:t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4EBC05DD" w14:textId="1DA679FF" w:rsidR="001B419B" w:rsidRPr="001658EA" w:rsidRDefault="00183F2A" w:rsidP="00580F37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The lead applicant will take control of project management and the overall steering of the collaboration, with partner organisations within the consortia providing support </w:t>
            </w:r>
            <w:r w:rsidR="006117EF" w:rsidRPr="001658EA">
              <w:rPr>
                <w:rFonts w:ascii="Aptos" w:hAnsi="Aptos"/>
              </w:rPr>
              <w:t xml:space="preserve">and capacity. </w:t>
            </w:r>
            <w:r w:rsidR="006117EF" w:rsidRPr="001658EA">
              <w:rPr>
                <w:rFonts w:ascii="Aptos" w:hAnsi="Aptos"/>
              </w:rPr>
              <w:br/>
            </w:r>
          </w:p>
        </w:tc>
      </w:tr>
      <w:tr w:rsidR="000E71A1" w:rsidRPr="001658EA" w14:paraId="7955BCFF" w14:textId="77777777" w:rsidTr="00041556">
        <w:tc>
          <w:tcPr>
            <w:tcW w:w="1367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6FC32283" w14:textId="77777777" w:rsidR="000E71A1" w:rsidRPr="001658EA" w:rsidRDefault="000E71A1" w:rsidP="00A93556">
            <w:pPr>
              <w:rPr>
                <w:rFonts w:ascii="Aptos" w:hAnsi="Aptos"/>
              </w:rPr>
            </w:pPr>
          </w:p>
        </w:tc>
        <w:tc>
          <w:tcPr>
            <w:tcW w:w="4490" w:type="dxa"/>
            <w:shd w:val="clear" w:color="auto" w:fill="D9E2F3" w:themeFill="accent1" w:themeFillTint="33"/>
          </w:tcPr>
          <w:p w14:paraId="2C0FF19A" w14:textId="6F958AE3" w:rsidR="000E71A1" w:rsidRPr="001658EA" w:rsidRDefault="00CE5EDD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Can a Manchester-based organisation collaborate with a national organisation?</w:t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7AB47E14" w14:textId="0C3B8A64" w:rsidR="000E71A1" w:rsidRPr="001658EA" w:rsidRDefault="00D93520" w:rsidP="00580F37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Yes, but the application would need to demonstrate the impact this collaboration is going to have on Greater Manchester communities. For example, how are you going to make connections</w:t>
            </w:r>
            <w:r w:rsidR="003F11E2" w:rsidRPr="001658EA">
              <w:rPr>
                <w:rFonts w:ascii="Aptos" w:hAnsi="Aptos"/>
              </w:rPr>
              <w:t xml:space="preserve"> with communities in other districts if they are not there already? Strong applications will be able to demonstrate that they have these partnerships in place, ready to make impacts</w:t>
            </w:r>
            <w:r w:rsidR="000028C7" w:rsidRPr="001658EA">
              <w:rPr>
                <w:rFonts w:ascii="Aptos" w:hAnsi="Aptos"/>
              </w:rPr>
              <w:t>, which could be more challenging for national organisations</w:t>
            </w:r>
            <w:r w:rsidR="00807410">
              <w:rPr>
                <w:rFonts w:ascii="Aptos" w:hAnsi="Aptos"/>
              </w:rPr>
              <w:t xml:space="preserve"> that don’t already have links within the city region</w:t>
            </w:r>
            <w:r w:rsidR="000028C7" w:rsidRPr="001658EA">
              <w:rPr>
                <w:rFonts w:ascii="Aptos" w:hAnsi="Aptos"/>
              </w:rPr>
              <w:t xml:space="preserve">. </w:t>
            </w:r>
          </w:p>
        </w:tc>
      </w:tr>
      <w:tr w:rsidR="00396564" w:rsidRPr="001658EA" w14:paraId="57E66FE1" w14:textId="77777777" w:rsidTr="00041556">
        <w:tc>
          <w:tcPr>
            <w:tcW w:w="1367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4FD37F3F" w14:textId="77777777" w:rsidR="00396564" w:rsidRPr="001658EA" w:rsidRDefault="00396564" w:rsidP="00A93556">
            <w:pPr>
              <w:rPr>
                <w:rFonts w:ascii="Aptos" w:hAnsi="Aptos"/>
              </w:rPr>
            </w:pPr>
          </w:p>
        </w:tc>
        <w:tc>
          <w:tcPr>
            <w:tcW w:w="4490" w:type="dxa"/>
            <w:shd w:val="clear" w:color="auto" w:fill="D9E2F3" w:themeFill="accent1" w:themeFillTint="33"/>
          </w:tcPr>
          <w:p w14:paraId="7FC56DCC" w14:textId="03D66936" w:rsidR="00396564" w:rsidRPr="001658EA" w:rsidRDefault="00396564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Is a publicly shared creative outcome required at the end of a project? </w:t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54122A1D" w14:textId="61763A3D" w:rsidR="00396564" w:rsidRPr="001658EA" w:rsidRDefault="006117EF" w:rsidP="00580F37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No, a publicly shared creative outcome is not required at the end of the project.</w:t>
            </w:r>
            <w:r w:rsidRPr="001658EA">
              <w:rPr>
                <w:rFonts w:ascii="Aptos" w:hAnsi="Aptos"/>
              </w:rPr>
              <w:br/>
            </w:r>
          </w:p>
        </w:tc>
      </w:tr>
      <w:tr w:rsidR="006343E5" w:rsidRPr="001658EA" w14:paraId="389F7974" w14:textId="77777777" w:rsidTr="00041556">
        <w:tc>
          <w:tcPr>
            <w:tcW w:w="1367" w:type="dxa"/>
            <w:tcBorders>
              <w:top w:val="nil"/>
            </w:tcBorders>
            <w:shd w:val="clear" w:color="auto" w:fill="D9E2F3" w:themeFill="accent1" w:themeFillTint="33"/>
          </w:tcPr>
          <w:p w14:paraId="1536B5ED" w14:textId="77777777" w:rsidR="006343E5" w:rsidRPr="001658EA" w:rsidRDefault="006343E5" w:rsidP="00A93556">
            <w:pPr>
              <w:rPr>
                <w:rFonts w:ascii="Aptos" w:hAnsi="Aptos"/>
              </w:rPr>
            </w:pPr>
          </w:p>
        </w:tc>
        <w:tc>
          <w:tcPr>
            <w:tcW w:w="4490" w:type="dxa"/>
            <w:shd w:val="clear" w:color="auto" w:fill="D9E2F3" w:themeFill="accent1" w:themeFillTint="33"/>
          </w:tcPr>
          <w:p w14:paraId="6EEDFF50" w14:textId="38E63D3C" w:rsidR="006343E5" w:rsidRPr="001658EA" w:rsidRDefault="00865FE3" w:rsidP="00A93556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>If the project could be delivered at different scales, with either a £25k or £50k grant, what approach would you recommend? Will you consider offering a smaller amount than that asked for?</w:t>
            </w:r>
            <w:r w:rsidR="006117EF" w:rsidRPr="001658EA">
              <w:rPr>
                <w:rFonts w:ascii="Aptos" w:hAnsi="Aptos"/>
              </w:rPr>
              <w:br/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3B68A56F" w14:textId="5CF081F1" w:rsidR="006343E5" w:rsidRPr="001658EA" w:rsidRDefault="006117EF" w:rsidP="00580F37">
            <w:pPr>
              <w:rPr>
                <w:rFonts w:ascii="Aptos" w:hAnsi="Aptos"/>
              </w:rPr>
            </w:pPr>
            <w:r w:rsidRPr="001658EA">
              <w:rPr>
                <w:rFonts w:ascii="Aptos" w:hAnsi="Aptos"/>
              </w:rPr>
              <w:t xml:space="preserve">It would be up to the organisations within the consortia to ascertain whether or not a specific project is suitable for a £25k or a £50k grant, but naturally we would expect higher </w:t>
            </w:r>
            <w:r w:rsidR="0054761C" w:rsidRPr="001658EA">
              <w:rPr>
                <w:rFonts w:ascii="Aptos" w:hAnsi="Aptos"/>
              </w:rPr>
              <w:t xml:space="preserve">ambition, scope and reach from a project receiving higher amounts of funding, with those seeking less much more focused on grassroots and community collaboration. </w:t>
            </w:r>
            <w:r w:rsidR="0054761C" w:rsidRPr="001658EA">
              <w:rPr>
                <w:rFonts w:ascii="Aptos" w:hAnsi="Aptos"/>
              </w:rPr>
              <w:br/>
            </w:r>
          </w:p>
        </w:tc>
      </w:tr>
    </w:tbl>
    <w:p w14:paraId="66F12A34" w14:textId="77777777" w:rsidR="00B77C91" w:rsidRPr="001658EA" w:rsidRDefault="00B77C91">
      <w:pPr>
        <w:rPr>
          <w:rFonts w:ascii="Aptos" w:hAnsi="Aptos"/>
        </w:rPr>
      </w:pPr>
    </w:p>
    <w:sectPr w:rsidR="00B77C91" w:rsidRPr="00165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A3C1D"/>
    <w:multiLevelType w:val="hybridMultilevel"/>
    <w:tmpl w:val="B9EC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E7AA0"/>
    <w:multiLevelType w:val="hybridMultilevel"/>
    <w:tmpl w:val="36443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1404D"/>
    <w:multiLevelType w:val="hybridMultilevel"/>
    <w:tmpl w:val="F6F6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073159">
    <w:abstractNumId w:val="1"/>
  </w:num>
  <w:num w:numId="2" w16cid:durableId="474030186">
    <w:abstractNumId w:val="0"/>
  </w:num>
  <w:num w:numId="3" w16cid:durableId="1150100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08"/>
    <w:rsid w:val="00000264"/>
    <w:rsid w:val="000028C7"/>
    <w:rsid w:val="00016BD5"/>
    <w:rsid w:val="00041556"/>
    <w:rsid w:val="0004716F"/>
    <w:rsid w:val="000B18DE"/>
    <w:rsid w:val="000C36B9"/>
    <w:rsid w:val="000E6271"/>
    <w:rsid w:val="000E71A1"/>
    <w:rsid w:val="000F7BCD"/>
    <w:rsid w:val="0010078F"/>
    <w:rsid w:val="00101E21"/>
    <w:rsid w:val="0012395E"/>
    <w:rsid w:val="0012716A"/>
    <w:rsid w:val="001658EA"/>
    <w:rsid w:val="00183F2A"/>
    <w:rsid w:val="001A1697"/>
    <w:rsid w:val="001B419B"/>
    <w:rsid w:val="001C62D1"/>
    <w:rsid w:val="002158A1"/>
    <w:rsid w:val="00230DFF"/>
    <w:rsid w:val="00234C75"/>
    <w:rsid w:val="002406B4"/>
    <w:rsid w:val="00242D88"/>
    <w:rsid w:val="00280648"/>
    <w:rsid w:val="002D7E1A"/>
    <w:rsid w:val="002F1CA8"/>
    <w:rsid w:val="00332A2E"/>
    <w:rsid w:val="003813A9"/>
    <w:rsid w:val="00396564"/>
    <w:rsid w:val="003A3B1F"/>
    <w:rsid w:val="003B2E6E"/>
    <w:rsid w:val="003C2325"/>
    <w:rsid w:val="003E3773"/>
    <w:rsid w:val="003F11E2"/>
    <w:rsid w:val="00400D31"/>
    <w:rsid w:val="00431D92"/>
    <w:rsid w:val="004747C2"/>
    <w:rsid w:val="00492339"/>
    <w:rsid w:val="004A0B5E"/>
    <w:rsid w:val="004B3AF2"/>
    <w:rsid w:val="00516FAB"/>
    <w:rsid w:val="005472A3"/>
    <w:rsid w:val="0054761C"/>
    <w:rsid w:val="00560472"/>
    <w:rsid w:val="005670AC"/>
    <w:rsid w:val="00570924"/>
    <w:rsid w:val="00580F37"/>
    <w:rsid w:val="005C6BD1"/>
    <w:rsid w:val="005E5DA2"/>
    <w:rsid w:val="005F3DA5"/>
    <w:rsid w:val="006117EF"/>
    <w:rsid w:val="006343E5"/>
    <w:rsid w:val="00642ED0"/>
    <w:rsid w:val="00647540"/>
    <w:rsid w:val="00650508"/>
    <w:rsid w:val="00663948"/>
    <w:rsid w:val="00684207"/>
    <w:rsid w:val="006972EA"/>
    <w:rsid w:val="006B780C"/>
    <w:rsid w:val="006C5C62"/>
    <w:rsid w:val="006D5B73"/>
    <w:rsid w:val="007625A1"/>
    <w:rsid w:val="00775EF4"/>
    <w:rsid w:val="007806A3"/>
    <w:rsid w:val="00784324"/>
    <w:rsid w:val="007E2591"/>
    <w:rsid w:val="007E5BB9"/>
    <w:rsid w:val="007F3AB8"/>
    <w:rsid w:val="00807410"/>
    <w:rsid w:val="00825471"/>
    <w:rsid w:val="00826D69"/>
    <w:rsid w:val="00851C9D"/>
    <w:rsid w:val="00865FE3"/>
    <w:rsid w:val="0087448A"/>
    <w:rsid w:val="008747C4"/>
    <w:rsid w:val="008852A5"/>
    <w:rsid w:val="008F03B2"/>
    <w:rsid w:val="008F1CC5"/>
    <w:rsid w:val="008F2910"/>
    <w:rsid w:val="00934A34"/>
    <w:rsid w:val="009B6AEF"/>
    <w:rsid w:val="009C7497"/>
    <w:rsid w:val="009D78E4"/>
    <w:rsid w:val="00A208BC"/>
    <w:rsid w:val="00A22ACE"/>
    <w:rsid w:val="00A255D9"/>
    <w:rsid w:val="00A424F6"/>
    <w:rsid w:val="00A46720"/>
    <w:rsid w:val="00A74749"/>
    <w:rsid w:val="00A768D9"/>
    <w:rsid w:val="00A91DC9"/>
    <w:rsid w:val="00A93556"/>
    <w:rsid w:val="00A94E2B"/>
    <w:rsid w:val="00A9652D"/>
    <w:rsid w:val="00AD33E5"/>
    <w:rsid w:val="00AF342A"/>
    <w:rsid w:val="00B12D31"/>
    <w:rsid w:val="00B33F97"/>
    <w:rsid w:val="00B52519"/>
    <w:rsid w:val="00B57831"/>
    <w:rsid w:val="00B7360C"/>
    <w:rsid w:val="00B77C91"/>
    <w:rsid w:val="00B84C48"/>
    <w:rsid w:val="00BA1759"/>
    <w:rsid w:val="00BA397D"/>
    <w:rsid w:val="00BD19C8"/>
    <w:rsid w:val="00BE4D92"/>
    <w:rsid w:val="00BF11A4"/>
    <w:rsid w:val="00C14DF0"/>
    <w:rsid w:val="00C6573D"/>
    <w:rsid w:val="00C66D90"/>
    <w:rsid w:val="00CE2641"/>
    <w:rsid w:val="00CE5EDD"/>
    <w:rsid w:val="00CF4334"/>
    <w:rsid w:val="00D369B8"/>
    <w:rsid w:val="00D726D5"/>
    <w:rsid w:val="00D93520"/>
    <w:rsid w:val="00DB0CAB"/>
    <w:rsid w:val="00DC60AF"/>
    <w:rsid w:val="00DD5542"/>
    <w:rsid w:val="00DE0388"/>
    <w:rsid w:val="00E374D3"/>
    <w:rsid w:val="00E52F30"/>
    <w:rsid w:val="00E75DFD"/>
    <w:rsid w:val="00E9581A"/>
    <w:rsid w:val="00ED443B"/>
    <w:rsid w:val="00EF42F5"/>
    <w:rsid w:val="00EF7FD1"/>
    <w:rsid w:val="00F02D82"/>
    <w:rsid w:val="00F04029"/>
    <w:rsid w:val="00F60561"/>
    <w:rsid w:val="00F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CBAB"/>
  <w15:chartTrackingRefBased/>
  <w15:docId w15:val="{6D159745-8871-4CDC-90BE-BEE17376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5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5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5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5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5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5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5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5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5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5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5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50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5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8d8036a-b5f9-4f3f-9d36-d7cd740299bb}" enabled="0" method="" siteId="{e8d8036a-b5f9-4f3f-9d36-d7cd740299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1008</Words>
  <Characters>5751</Characters>
  <Application>Microsoft Office Word</Application>
  <DocSecurity>0</DocSecurity>
  <Lines>47</Lines>
  <Paragraphs>13</Paragraphs>
  <ScaleCrop>false</ScaleCrop>
  <Company>Greater Manchester Combined Authority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Outhart, Maisie</dc:creator>
  <cp:keywords/>
  <dc:description/>
  <cp:lastModifiedBy>Daly, Marie-Claire</cp:lastModifiedBy>
  <cp:revision>2</cp:revision>
  <dcterms:created xsi:type="dcterms:W3CDTF">2025-02-21T10:48:00Z</dcterms:created>
  <dcterms:modified xsi:type="dcterms:W3CDTF">2025-02-21T10:48:00Z</dcterms:modified>
</cp:coreProperties>
</file>